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326C2">
      <w:pPr>
        <w:pStyle w:val="4"/>
        <w:jc w:val="center"/>
        <w:outlineLvl w:val="9"/>
        <w:rPr>
          <w:rFonts w:ascii="宋体" w:hAnsi="宋体" w:cs="宋体"/>
          <w:color w:val="auto"/>
          <w:sz w:val="44"/>
          <w:highlight w:val="none"/>
        </w:rPr>
      </w:pPr>
      <w:bookmarkStart w:id="0" w:name="_Toc15105"/>
      <w:bookmarkStart w:id="1" w:name="_Toc278543496"/>
      <w:r>
        <w:rPr>
          <w:rFonts w:hint="eastAsia" w:ascii="宋体" w:hAnsi="宋体" w:eastAsia="宋体" w:cs="宋体"/>
          <w:color w:val="auto"/>
        </w:rPr>
        <w:drawing>
          <wp:anchor distT="0" distB="0" distL="114300" distR="114300" simplePos="0" relativeHeight="251660288" behindDoc="0" locked="0" layoutInCell="1" allowOverlap="1">
            <wp:simplePos x="0" y="0"/>
            <wp:positionH relativeFrom="column">
              <wp:posOffset>5054600</wp:posOffset>
            </wp:positionH>
            <wp:positionV relativeFrom="paragraph">
              <wp:posOffset>-219710</wp:posOffset>
            </wp:positionV>
            <wp:extent cx="867410" cy="491490"/>
            <wp:effectExtent l="0" t="0" r="8890" b="3810"/>
            <wp:wrapNone/>
            <wp:docPr id="22" name="图片 4"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D:/中恒致泰/图标.png图标"/>
                    <pic:cNvPicPr>
                      <a:picLocks noChangeAspect="1"/>
                    </pic:cNvPicPr>
                  </pic:nvPicPr>
                  <pic:blipFill>
                    <a:blip r:embed="rId8"/>
                    <a:srcRect l="1624" t="1263" r="-89"/>
                    <a:stretch>
                      <a:fillRect/>
                    </a:stretch>
                  </pic:blipFill>
                  <pic:spPr>
                    <a:xfrm>
                      <a:off x="0" y="0"/>
                      <a:ext cx="867410" cy="491490"/>
                    </a:xfrm>
                    <a:prstGeom prst="rect">
                      <a:avLst/>
                    </a:prstGeom>
                    <a:noFill/>
                    <a:ln>
                      <a:noFill/>
                    </a:ln>
                  </pic:spPr>
                </pic:pic>
              </a:graphicData>
            </a:graphic>
          </wp:anchor>
        </w:drawing>
      </w:r>
    </w:p>
    <w:p w14:paraId="4DC5BD59">
      <w:pPr>
        <w:pStyle w:val="4"/>
        <w:jc w:val="center"/>
        <w:outlineLvl w:val="0"/>
        <w:rPr>
          <w:rFonts w:hint="eastAsia" w:ascii="宋体" w:hAnsi="宋体" w:cs="宋体"/>
          <w:color w:val="auto"/>
          <w:sz w:val="48"/>
          <w:szCs w:val="21"/>
          <w:highlight w:val="none"/>
          <w:lang w:eastAsia="zh-CN"/>
        </w:rPr>
      </w:pPr>
      <w:r>
        <w:rPr>
          <w:rFonts w:hint="eastAsia" w:ascii="宋体" w:hAnsi="宋体" w:cs="宋体"/>
          <w:color w:val="auto"/>
          <w:sz w:val="48"/>
          <w:szCs w:val="21"/>
          <w:highlight w:val="none"/>
          <w:lang w:eastAsia="zh-CN"/>
        </w:rPr>
        <w:t>孝义市市场监督管理局2026年电梯监督</w:t>
      </w:r>
    </w:p>
    <w:p w14:paraId="364177BD">
      <w:pPr>
        <w:pStyle w:val="4"/>
        <w:jc w:val="center"/>
        <w:outlineLvl w:val="0"/>
        <w:rPr>
          <w:rFonts w:hint="eastAsia" w:ascii="宋体" w:hAnsi="宋体" w:cs="宋体"/>
          <w:color w:val="auto"/>
          <w:sz w:val="48"/>
          <w:szCs w:val="21"/>
          <w:highlight w:val="none"/>
          <w:lang w:eastAsia="zh-CN"/>
        </w:rPr>
      </w:pPr>
      <w:r>
        <w:rPr>
          <w:rFonts w:hint="eastAsia" w:ascii="宋体" w:hAnsi="宋体" w:cs="宋体"/>
          <w:color w:val="auto"/>
          <w:sz w:val="48"/>
          <w:szCs w:val="21"/>
          <w:highlight w:val="none"/>
          <w:lang w:eastAsia="zh-CN"/>
        </w:rPr>
        <w:t>抽检项目</w:t>
      </w:r>
    </w:p>
    <w:p w14:paraId="65D64419">
      <w:pPr>
        <w:rPr>
          <w:rFonts w:hint="eastAsia" w:ascii="宋体" w:hAnsi="宋体" w:cs="宋体"/>
          <w:color w:val="auto"/>
          <w:sz w:val="48"/>
          <w:szCs w:val="21"/>
          <w:highlight w:val="none"/>
          <w:lang w:eastAsia="zh-CN"/>
        </w:rPr>
      </w:pPr>
    </w:p>
    <w:p w14:paraId="78331D67">
      <w:pPr>
        <w:rPr>
          <w:rFonts w:ascii="宋体" w:hAnsi="宋体" w:cs="宋体"/>
          <w:color w:val="auto"/>
          <w:highlight w:val="none"/>
        </w:rPr>
      </w:pPr>
    </w:p>
    <w:p w14:paraId="58F43E22">
      <w:pPr>
        <w:rPr>
          <w:rFonts w:ascii="宋体" w:hAnsi="宋体" w:cs="宋体"/>
          <w:color w:val="auto"/>
          <w:highlight w:val="none"/>
        </w:rPr>
      </w:pPr>
    </w:p>
    <w:p w14:paraId="6328A3CC">
      <w:pPr>
        <w:pStyle w:val="53"/>
        <w:rPr>
          <w:rFonts w:ascii="宋体" w:hAnsi="宋体" w:eastAsia="宋体" w:cs="宋体"/>
          <w:color w:val="auto"/>
          <w:highlight w:val="none"/>
        </w:rPr>
      </w:pPr>
    </w:p>
    <w:p w14:paraId="62BD1D6F">
      <w:pPr>
        <w:pStyle w:val="53"/>
        <w:ind w:left="0" w:leftChars="0" w:firstLine="0" w:firstLineChars="0"/>
        <w:rPr>
          <w:rFonts w:ascii="宋体" w:hAnsi="宋体" w:eastAsia="宋体" w:cs="宋体"/>
          <w:color w:val="auto"/>
          <w:highlight w:val="none"/>
        </w:rPr>
      </w:pPr>
    </w:p>
    <w:p w14:paraId="4D92B35C">
      <w:pPr>
        <w:pStyle w:val="53"/>
        <w:ind w:left="0" w:leftChars="0" w:firstLine="0" w:firstLineChars="0"/>
        <w:rPr>
          <w:rFonts w:ascii="宋体" w:hAnsi="宋体" w:eastAsia="宋体" w:cs="宋体"/>
          <w:color w:val="auto"/>
          <w:highlight w:val="none"/>
        </w:rPr>
      </w:pPr>
    </w:p>
    <w:p w14:paraId="5CA05869">
      <w:pPr>
        <w:pStyle w:val="53"/>
        <w:ind w:left="0" w:leftChars="0" w:firstLine="0" w:firstLineChars="0"/>
        <w:rPr>
          <w:rFonts w:ascii="宋体" w:hAnsi="宋体" w:eastAsia="宋体" w:cs="宋体"/>
          <w:color w:val="auto"/>
          <w:highlight w:val="none"/>
        </w:rPr>
      </w:pPr>
    </w:p>
    <w:p w14:paraId="16B02EEB">
      <w:pPr>
        <w:pStyle w:val="53"/>
        <w:rPr>
          <w:rFonts w:ascii="宋体" w:hAnsi="宋体" w:eastAsia="宋体" w:cs="宋体"/>
          <w:color w:val="auto"/>
          <w:highlight w:val="none"/>
        </w:rPr>
      </w:pPr>
    </w:p>
    <w:p w14:paraId="297F5459">
      <w:pPr>
        <w:pStyle w:val="53"/>
        <w:rPr>
          <w:rFonts w:ascii="宋体" w:hAnsi="宋体" w:eastAsia="宋体" w:cs="宋体"/>
          <w:color w:val="auto"/>
          <w:highlight w:val="none"/>
        </w:rPr>
      </w:pPr>
    </w:p>
    <w:p w14:paraId="1FE5460E">
      <w:pPr>
        <w:jc w:val="center"/>
        <w:rPr>
          <w:rFonts w:hint="eastAsia" w:ascii="宋体" w:hAnsi="宋体" w:eastAsia="宋体" w:cs="宋体"/>
          <w:b/>
          <w:color w:val="auto"/>
          <w:sz w:val="72"/>
          <w:highlight w:val="none"/>
          <w:lang w:eastAsia="zh-CN"/>
        </w:rPr>
      </w:pPr>
      <w:r>
        <w:rPr>
          <w:rFonts w:hint="eastAsia" w:ascii="宋体" w:hAnsi="宋体" w:cs="宋体"/>
          <w:b/>
          <w:color w:val="auto"/>
          <w:sz w:val="72"/>
          <w:highlight w:val="none"/>
          <w:lang w:eastAsia="zh-CN"/>
        </w:rPr>
        <w:t>竞争性磋商文件</w:t>
      </w:r>
    </w:p>
    <w:p w14:paraId="39B9F885">
      <w:pPr>
        <w:pStyle w:val="53"/>
        <w:ind w:left="0" w:leftChars="0" w:firstLine="0" w:firstLineChars="0"/>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val="en-US" w:eastAsia="zh-CN"/>
        </w:rPr>
        <w:t>项目编号：</w:t>
      </w:r>
      <w:r>
        <w:rPr>
          <w:rFonts w:hint="eastAsia" w:ascii="宋体" w:hAnsi="宋体" w:eastAsia="宋体" w:cs="宋体"/>
          <w:color w:val="auto"/>
          <w:sz w:val="32"/>
          <w:highlight w:val="none"/>
          <w:lang w:eastAsia="zh-CN"/>
        </w:rPr>
        <w:t>1411812026CCS00070</w:t>
      </w:r>
    </w:p>
    <w:p w14:paraId="7DE0E783">
      <w:pPr>
        <w:spacing w:line="360" w:lineRule="auto"/>
        <w:rPr>
          <w:rFonts w:ascii="宋体" w:hAnsi="宋体" w:cs="宋体"/>
          <w:color w:val="auto"/>
          <w:sz w:val="32"/>
          <w:highlight w:val="none"/>
        </w:rPr>
      </w:pPr>
    </w:p>
    <w:p w14:paraId="7B0F62EB">
      <w:pPr>
        <w:pStyle w:val="11"/>
        <w:rPr>
          <w:rFonts w:ascii="宋体" w:hAnsi="宋体" w:cs="宋体"/>
          <w:color w:val="auto"/>
          <w:sz w:val="32"/>
          <w:highlight w:val="none"/>
        </w:rPr>
      </w:pPr>
    </w:p>
    <w:p w14:paraId="11F528B0">
      <w:pPr>
        <w:pStyle w:val="11"/>
        <w:rPr>
          <w:rFonts w:ascii="宋体" w:hAnsi="宋体" w:cs="宋体"/>
          <w:color w:val="auto"/>
          <w:sz w:val="32"/>
          <w:highlight w:val="none"/>
        </w:rPr>
      </w:pPr>
    </w:p>
    <w:p w14:paraId="18B0369A">
      <w:pPr>
        <w:spacing w:line="360" w:lineRule="auto"/>
        <w:rPr>
          <w:rFonts w:ascii="宋体" w:hAnsi="宋体" w:cs="宋体"/>
          <w:color w:val="auto"/>
          <w:sz w:val="32"/>
          <w:highlight w:val="none"/>
        </w:rPr>
      </w:pPr>
    </w:p>
    <w:p w14:paraId="5AC653D8">
      <w:pPr>
        <w:spacing w:line="360" w:lineRule="auto"/>
        <w:rPr>
          <w:rFonts w:ascii="宋体" w:hAnsi="宋体" w:cs="宋体"/>
          <w:color w:val="auto"/>
          <w:sz w:val="32"/>
          <w:highlight w:val="none"/>
        </w:rPr>
      </w:pPr>
    </w:p>
    <w:p w14:paraId="2054160C">
      <w:pPr>
        <w:spacing w:line="360" w:lineRule="auto"/>
        <w:outlineLvl w:val="0"/>
        <w:rPr>
          <w:rFonts w:hint="eastAsia" w:ascii="宋体" w:hAnsi="宋体" w:cs="宋体"/>
          <w:b/>
          <w:color w:val="auto"/>
          <w:sz w:val="30"/>
          <w:highlight w:val="none"/>
        </w:rPr>
      </w:pPr>
      <w:bookmarkStart w:id="2" w:name="_Toc5307"/>
    </w:p>
    <w:p w14:paraId="58B78642">
      <w:pPr>
        <w:spacing w:line="360" w:lineRule="auto"/>
        <w:ind w:firstLine="1205" w:firstLineChars="400"/>
        <w:outlineLvl w:val="0"/>
        <w:rPr>
          <w:rFonts w:hint="default" w:ascii="宋体" w:hAnsi="宋体" w:eastAsia="宋体" w:cs="宋体"/>
          <w:b/>
          <w:color w:val="auto"/>
          <w:sz w:val="30"/>
          <w:highlight w:val="none"/>
          <w:u w:val="none"/>
          <w:lang w:val="en-US" w:eastAsia="zh-CN"/>
        </w:rPr>
      </w:pPr>
      <w:r>
        <w:rPr>
          <w:rFonts w:hint="eastAsia" w:ascii="宋体" w:hAnsi="宋体" w:cs="宋体"/>
          <w:b/>
          <w:color w:val="auto"/>
          <w:sz w:val="30"/>
          <w:highlight w:val="none"/>
        </w:rPr>
        <w:t xml:space="preserve">采   购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 xml:space="preserve"> 人：</w:t>
      </w:r>
      <w:bookmarkEnd w:id="2"/>
      <w:r>
        <w:rPr>
          <w:rFonts w:hint="eastAsia" w:ascii="宋体" w:hAnsi="宋体" w:cs="宋体"/>
          <w:b/>
          <w:color w:val="auto"/>
          <w:sz w:val="30"/>
          <w:highlight w:val="none"/>
          <w:u w:val="none"/>
          <w:lang w:eastAsia="zh-CN"/>
        </w:rPr>
        <w:t>孝义市市场监督管理局</w:t>
      </w:r>
      <w:r>
        <w:rPr>
          <w:rFonts w:hint="eastAsia" w:ascii="宋体" w:hAnsi="宋体" w:cs="宋体"/>
          <w:b/>
          <w:color w:val="auto"/>
          <w:sz w:val="30"/>
          <w:highlight w:val="none"/>
          <w:u w:val="none"/>
          <w:lang w:val="en-US" w:eastAsia="zh-CN"/>
        </w:rPr>
        <w:t xml:space="preserve">         </w:t>
      </w:r>
    </w:p>
    <w:p w14:paraId="70ABF48B">
      <w:pPr>
        <w:tabs>
          <w:tab w:val="left" w:pos="720"/>
        </w:tabs>
        <w:spacing w:line="360" w:lineRule="auto"/>
        <w:ind w:firstLine="1205" w:firstLineChars="400"/>
        <w:rPr>
          <w:rFonts w:hint="eastAsia" w:ascii="宋体" w:hAnsi="宋体" w:cs="宋体"/>
          <w:b/>
          <w:color w:val="auto"/>
          <w:sz w:val="30"/>
          <w:highlight w:val="none"/>
          <w:u w:val="none"/>
        </w:rPr>
      </w:pPr>
      <w:r>
        <w:rPr>
          <w:rFonts w:hint="eastAsia" w:ascii="宋体" w:hAnsi="宋体" w:cs="宋体"/>
          <w:b/>
          <w:color w:val="auto"/>
          <w:sz w:val="30"/>
          <w:highlight w:val="none"/>
          <w:u w:val="none"/>
        </w:rPr>
        <w:t>采购代理机构</w:t>
      </w:r>
      <w:r>
        <w:rPr>
          <w:rFonts w:hint="eastAsia" w:ascii="宋体" w:hAnsi="宋体" w:cs="宋体"/>
          <w:b/>
          <w:color w:val="auto"/>
          <w:sz w:val="30"/>
          <w:highlight w:val="none"/>
          <w:u w:val="none"/>
          <w:lang w:eastAsia="zh-CN"/>
        </w:rPr>
        <w:t>：</w:t>
      </w:r>
      <w:r>
        <w:rPr>
          <w:rFonts w:hint="eastAsia" w:ascii="宋体" w:hAnsi="宋体" w:cs="宋体"/>
          <w:b/>
          <w:color w:val="auto"/>
          <w:sz w:val="30"/>
          <w:highlight w:val="none"/>
          <w:u w:val="none"/>
          <w:lang w:val="en-US" w:eastAsia="zh-CN"/>
        </w:rPr>
        <w:t>山西中恒致泰工程项目管理有限公司</w:t>
      </w:r>
      <w:r>
        <w:rPr>
          <w:rFonts w:hint="eastAsia" w:ascii="宋体" w:hAnsi="宋体" w:cs="宋体"/>
          <w:b/>
          <w:color w:val="auto"/>
          <w:sz w:val="30"/>
          <w:highlight w:val="none"/>
          <w:u w:val="none"/>
        </w:rPr>
        <w:t xml:space="preserve">        </w:t>
      </w:r>
    </w:p>
    <w:p w14:paraId="11447F00">
      <w:pPr>
        <w:tabs>
          <w:tab w:val="left" w:pos="720"/>
        </w:tabs>
        <w:spacing w:line="360" w:lineRule="auto"/>
        <w:ind w:firstLine="904" w:firstLineChars="300"/>
        <w:rPr>
          <w:rFonts w:hint="eastAsia" w:ascii="宋体" w:hAnsi="宋体" w:cs="宋体"/>
          <w:b/>
          <w:color w:val="auto"/>
          <w:sz w:val="30"/>
          <w:highlight w:val="none"/>
        </w:rPr>
      </w:pPr>
    </w:p>
    <w:p w14:paraId="29A1C303">
      <w:pPr>
        <w:overflowPunct w:val="0"/>
        <w:topLinePunct/>
        <w:autoSpaceDN w:val="0"/>
        <w:adjustRightInd w:val="0"/>
        <w:snapToGrid w:val="0"/>
        <w:spacing w:line="360" w:lineRule="auto"/>
        <w:jc w:val="center"/>
        <w:rPr>
          <w:rFonts w:ascii="宋体" w:hAnsi="宋体" w:cs="宋体"/>
          <w:snapToGrid w:val="0"/>
          <w:color w:val="auto"/>
          <w:kern w:val="0"/>
          <w:sz w:val="28"/>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宋体" w:hAnsi="宋体" w:cs="宋体"/>
          <w:b/>
          <w:color w:val="auto"/>
          <w:sz w:val="30"/>
          <w:highlight w:val="none"/>
        </w:rPr>
        <w:t>二</w:t>
      </w:r>
      <w:r>
        <w:rPr>
          <w:rFonts w:hint="eastAsia" w:ascii="宋体" w:hAnsi="宋体" w:cs="宋体"/>
          <w:b/>
          <w:color w:val="auto"/>
          <w:sz w:val="30"/>
          <w:highlight w:val="none"/>
          <w:lang w:val="en-US" w:eastAsia="zh-CN"/>
        </w:rPr>
        <w:t>〇</w:t>
      </w:r>
      <w:r>
        <w:rPr>
          <w:rFonts w:hint="eastAsia" w:ascii="宋体" w:hAnsi="宋体" w:cs="宋体"/>
          <w:b/>
          <w:color w:val="auto"/>
          <w:sz w:val="30"/>
          <w:highlight w:val="none"/>
        </w:rPr>
        <w:t>二</w:t>
      </w:r>
      <w:r>
        <w:rPr>
          <w:rFonts w:hint="eastAsia" w:ascii="宋体" w:hAnsi="宋体" w:cs="宋体"/>
          <w:b/>
          <w:color w:val="auto"/>
          <w:sz w:val="30"/>
          <w:highlight w:val="none"/>
          <w:lang w:val="en-US" w:eastAsia="zh-CN"/>
        </w:rPr>
        <w:t>六</w:t>
      </w:r>
      <w:r>
        <w:rPr>
          <w:rFonts w:hint="eastAsia" w:ascii="宋体" w:hAnsi="宋体" w:cs="宋体"/>
          <w:b/>
          <w:color w:val="auto"/>
          <w:sz w:val="30"/>
          <w:highlight w:val="none"/>
        </w:rPr>
        <w:t>年</w:t>
      </w:r>
      <w:r>
        <w:rPr>
          <w:rFonts w:hint="eastAsia" w:ascii="宋体" w:hAnsi="宋体" w:cs="宋体"/>
          <w:b/>
          <w:color w:val="auto"/>
          <w:sz w:val="30"/>
          <w:highlight w:val="none"/>
          <w:lang w:val="en-US" w:eastAsia="zh-CN"/>
        </w:rPr>
        <w:t>五</w:t>
      </w:r>
      <w:r>
        <w:rPr>
          <w:rFonts w:hint="eastAsia" w:ascii="宋体" w:hAnsi="宋体" w:cs="宋体"/>
          <w:b/>
          <w:color w:val="auto"/>
          <w:sz w:val="30"/>
          <w:highlight w:val="none"/>
        </w:rPr>
        <w:t>月</w:t>
      </w:r>
    </w:p>
    <w:bookmarkEnd w:id="0"/>
    <w:sdt>
      <w:sdtPr>
        <w:rPr>
          <w:rFonts w:ascii="宋体" w:hAnsi="宋体" w:eastAsia="宋体" w:cs="Times New Roman"/>
          <w:kern w:val="2"/>
          <w:sz w:val="21"/>
          <w:szCs w:val="24"/>
          <w:lang w:val="en-US" w:eastAsia="zh-CN" w:bidi="ar-SA"/>
        </w:rPr>
        <w:id w:val="147456011"/>
        <w15:color w:val="DBDBDB"/>
        <w:docPartObj>
          <w:docPartGallery w:val="Table of Contents"/>
          <w:docPartUnique/>
        </w:docPartObj>
      </w:sdtPr>
      <w:sdtEndPr>
        <w:rPr>
          <w:rFonts w:hint="eastAsia" w:ascii="Times New Roman" w:hAnsi="Times New Roman" w:eastAsia="宋体" w:cs="Times New Roman"/>
          <w:b/>
          <w:bCs/>
          <w:kern w:val="44"/>
          <w:sz w:val="30"/>
          <w:szCs w:val="44"/>
          <w:lang w:val="en-US" w:eastAsia="zh-CN" w:bidi="ar-SA"/>
        </w:rPr>
      </w:sdtEndPr>
      <w:sdtContent>
        <w:p w14:paraId="4F2F584B">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3" w:name="_Toc10267"/>
        </w:p>
        <w:p w14:paraId="327F6E81">
          <w:pPr>
            <w:spacing w:before="0" w:beforeLines="0" w:after="0" w:afterLines="0" w:line="240" w:lineRule="auto"/>
            <w:ind w:left="0" w:leftChars="0" w:right="0" w:rightChars="0" w:firstLine="0" w:firstLineChars="0"/>
            <w:jc w:val="center"/>
            <w:rPr>
              <w:sz w:val="22"/>
              <w:szCs w:val="28"/>
            </w:rPr>
          </w:pPr>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p>
        <w:p w14:paraId="607EA46B">
          <w:pPr>
            <w:pStyle w:val="39"/>
            <w:tabs>
              <w:tab w:val="right" w:leader="dot" w:pos="8620"/>
            </w:tabs>
            <w:rPr>
              <w:sz w:val="21"/>
              <w:szCs w:val="21"/>
            </w:rPr>
          </w:pPr>
          <w:r>
            <w:rPr>
              <w:rFonts w:hint="eastAsia"/>
              <w:sz w:val="21"/>
              <w:szCs w:val="21"/>
            </w:rPr>
            <w:fldChar w:fldCharType="begin"/>
          </w:r>
          <w:r>
            <w:rPr>
              <w:rFonts w:hint="eastAsia"/>
              <w:sz w:val="21"/>
              <w:szCs w:val="21"/>
            </w:rPr>
            <w:instrText xml:space="preserve">TOC \o "1-1" \h \u </w:instrText>
          </w:r>
          <w:r>
            <w:rPr>
              <w:rFonts w:hint="eastAsia"/>
              <w:sz w:val="21"/>
              <w:szCs w:val="21"/>
            </w:rPr>
            <w:fldChar w:fldCharType="separate"/>
          </w:r>
        </w:p>
        <w:p w14:paraId="0F26EFDA">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_Toc6144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第一部分  </w:t>
          </w:r>
          <w:r>
            <w:rPr>
              <w:rFonts w:hint="eastAsia" w:ascii="宋体" w:hAnsi="宋体" w:cs="宋体"/>
              <w:b w:val="0"/>
              <w:bCs w:val="0"/>
              <w:sz w:val="28"/>
              <w:szCs w:val="28"/>
              <w:lang w:val="en-US" w:eastAsia="zh-CN"/>
            </w:rPr>
            <w:t>磋商</w:t>
          </w:r>
          <w:r>
            <w:rPr>
              <w:rFonts w:hint="eastAsia" w:ascii="宋体" w:hAnsi="宋体" w:eastAsia="宋体" w:cs="宋体"/>
              <w:b w:val="0"/>
              <w:bCs w:val="0"/>
              <w:sz w:val="28"/>
              <w:szCs w:val="28"/>
            </w:rPr>
            <w:t>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_Toc6144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A8F1F4F">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_Toc483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第二部分  供应商须知前附表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_Toc483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EEBB033">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_Toc23956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第三部分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_Toc23956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- 10 -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6121067">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_Toc24871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第四部分  评审标准和</w:t>
          </w:r>
          <w:r>
            <w:rPr>
              <w:rFonts w:hint="eastAsia" w:ascii="宋体" w:hAnsi="宋体" w:cs="宋体"/>
              <w:b w:val="0"/>
              <w:bCs w:val="0"/>
              <w:sz w:val="28"/>
              <w:szCs w:val="28"/>
              <w:lang w:eastAsia="zh-CN"/>
            </w:rPr>
            <w:t>评审</w:t>
          </w:r>
          <w:r>
            <w:rPr>
              <w:rFonts w:hint="eastAsia" w:ascii="宋体" w:hAnsi="宋体" w:eastAsia="宋体" w:cs="宋体"/>
              <w:b w:val="0"/>
              <w:bCs w:val="0"/>
              <w:sz w:val="28"/>
              <w:szCs w:val="28"/>
            </w:rPr>
            <w:t>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_Toc24871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- 29 -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A6FF0FA">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_Toc10861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第五部分  商务、技术要求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- 37 -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94B4334">
          <w:pPr>
            <w:pStyle w:val="39"/>
            <w:tabs>
              <w:tab w:val="right" w:leader="dot" w:pos="8620"/>
            </w:tabs>
            <w:spacing w:line="48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_Toc19603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第六部分  合同原则（仅供参考）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_Toc19603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- 5</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0E4D316">
          <w:pPr>
            <w:pStyle w:val="39"/>
            <w:tabs>
              <w:tab w:val="right" w:leader="dot" w:pos="8620"/>
            </w:tabs>
            <w:spacing w:line="480" w:lineRule="auto"/>
            <w:jc w:val="center"/>
            <w:rPr>
              <w:rFonts w:hint="eastAsia" w:ascii="宋体" w:hAnsi="宋体" w:eastAsia="宋体" w:cs="宋体"/>
              <w:sz w:val="24"/>
              <w:szCs w:val="24"/>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_Toc22594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第七部分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_Toc22594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- 60 -</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ADBB3FD">
          <w:pPr>
            <w:pStyle w:val="2"/>
            <w:bidi w:val="0"/>
            <w:spacing w:before="0" w:beforeAutospacing="0" w:after="0" w:afterAutospacing="0"/>
            <w:outlineLvl w:val="9"/>
            <w:rPr>
              <w:rFonts w:hint="eastAsia" w:ascii="Times New Roman" w:hAnsi="Times New Roman" w:eastAsia="宋体" w:cs="Times New Roman"/>
              <w:b/>
              <w:bCs/>
              <w:kern w:val="44"/>
              <w:sz w:val="30"/>
              <w:szCs w:val="44"/>
              <w:lang w:val="en-US" w:eastAsia="zh-CN" w:bidi="ar-SA"/>
            </w:rPr>
          </w:pPr>
          <w:r>
            <w:rPr>
              <w:rFonts w:hint="eastAsia"/>
              <w:sz w:val="32"/>
              <w:szCs w:val="48"/>
            </w:rPr>
            <w:fldChar w:fldCharType="end"/>
          </w:r>
        </w:p>
      </w:sdtContent>
    </w:sdt>
    <w:p w14:paraId="5E9E1B51">
      <w:pPr>
        <w:rPr>
          <w:rFonts w:hint="eastAsia"/>
        </w:rPr>
      </w:pPr>
    </w:p>
    <w:p w14:paraId="691BFDB4">
      <w:pPr>
        <w:bidi w:val="0"/>
        <w:rPr>
          <w:rFonts w:hint="eastAsia" w:ascii="Times New Roman" w:hAnsi="Times New Roman" w:eastAsia="宋体" w:cs="Times New Roman"/>
          <w:kern w:val="2"/>
          <w:sz w:val="21"/>
          <w:szCs w:val="24"/>
          <w:lang w:val="en-US" w:eastAsia="zh-CN" w:bidi="ar-SA"/>
        </w:rPr>
      </w:pPr>
    </w:p>
    <w:p w14:paraId="2F52ECDB">
      <w:pPr>
        <w:bidi w:val="0"/>
        <w:rPr>
          <w:rFonts w:hint="eastAsia"/>
          <w:lang w:val="en-US" w:eastAsia="zh-CN"/>
        </w:rPr>
      </w:pPr>
    </w:p>
    <w:p w14:paraId="6D54DF3A">
      <w:pPr>
        <w:bidi w:val="0"/>
        <w:rPr>
          <w:rFonts w:hint="eastAsia"/>
          <w:lang w:val="en-US" w:eastAsia="zh-CN"/>
        </w:rPr>
      </w:pPr>
    </w:p>
    <w:p w14:paraId="1C7C4589">
      <w:pPr>
        <w:bidi w:val="0"/>
        <w:rPr>
          <w:rFonts w:hint="eastAsia"/>
          <w:lang w:val="en-US" w:eastAsia="zh-CN"/>
        </w:rPr>
      </w:pPr>
    </w:p>
    <w:p w14:paraId="23884E8B">
      <w:pPr>
        <w:bidi w:val="0"/>
        <w:rPr>
          <w:rFonts w:hint="eastAsia"/>
          <w:lang w:val="en-US" w:eastAsia="zh-CN"/>
        </w:rPr>
      </w:pPr>
    </w:p>
    <w:p w14:paraId="590A294D">
      <w:pPr>
        <w:bidi w:val="0"/>
        <w:rPr>
          <w:rFonts w:hint="eastAsia"/>
          <w:lang w:val="en-US" w:eastAsia="zh-CN"/>
        </w:rPr>
      </w:pPr>
    </w:p>
    <w:p w14:paraId="6C738D17">
      <w:pPr>
        <w:tabs>
          <w:tab w:val="left" w:pos="2931"/>
        </w:tabs>
        <w:bidi w:val="0"/>
        <w:jc w:val="left"/>
        <w:rPr>
          <w:rFonts w:hint="eastAsia"/>
          <w:lang w:val="en-US" w:eastAsia="zh-CN"/>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lang w:val="en-US" w:eastAsia="zh-CN"/>
        </w:rPr>
        <w:tab/>
      </w:r>
    </w:p>
    <w:p w14:paraId="6AC9C524">
      <w:pPr>
        <w:pStyle w:val="2"/>
        <w:bidi w:val="0"/>
        <w:spacing w:before="0" w:beforeAutospacing="0" w:after="0" w:afterAutospacing="0"/>
        <w:rPr>
          <w:rFonts w:ascii="宋体" w:hAnsi="宋体" w:cs="宋体"/>
          <w:b/>
          <w:snapToGrid w:val="0"/>
          <w:color w:val="auto"/>
          <w:kern w:val="0"/>
          <w:sz w:val="28"/>
          <w:szCs w:val="32"/>
          <w:highlight w:val="none"/>
        </w:rPr>
      </w:pPr>
      <w:bookmarkStart w:id="4" w:name="_Toc6144"/>
      <w:r>
        <w:rPr>
          <w:rFonts w:hint="eastAsia"/>
          <w:sz w:val="28"/>
          <w:szCs w:val="44"/>
        </w:rPr>
        <w:t xml:space="preserve">第一部分  </w:t>
      </w:r>
      <w:bookmarkEnd w:id="4"/>
      <w:r>
        <w:rPr>
          <w:rFonts w:hint="eastAsia"/>
          <w:sz w:val="28"/>
          <w:szCs w:val="44"/>
          <w:lang w:eastAsia="zh-CN"/>
        </w:rPr>
        <w:t>磋商公告</w:t>
      </w:r>
    </w:p>
    <w:p w14:paraId="05F10A6A">
      <w:pPr>
        <w:pBdr>
          <w:top w:val="single" w:color="auto" w:sz="4" w:space="1"/>
          <w:left w:val="single" w:color="auto" w:sz="4" w:space="4"/>
          <w:bottom w:val="single" w:color="auto" w:sz="4" w:space="1"/>
          <w:right w:val="single" w:color="auto" w:sz="4" w:space="4"/>
        </w:pBdr>
        <w:spacing w:before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08B43C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u w:val="single"/>
          <w:lang w:eastAsia="zh-CN"/>
        </w:rPr>
        <w:t>孝义市市场监督管理局2026年电梯监督抽检项目</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政采云平台线上</w:t>
      </w:r>
      <w:r>
        <w:rPr>
          <w:rFonts w:hint="eastAsia" w:ascii="宋体" w:hAnsi="宋体" w:cs="宋体"/>
          <w:color w:val="auto"/>
          <w:sz w:val="24"/>
          <w:highlight w:val="none"/>
        </w:rPr>
        <w:t>获取电子磋商文件，并于</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514AA2DB">
      <w:pPr>
        <w:keepNext w:val="0"/>
        <w:keepLines w:val="0"/>
        <w:pageBreakBefore w:val="0"/>
        <w:kinsoku/>
        <w:wordWrap/>
        <w:overflowPunct w:val="0"/>
        <w:topLinePunct/>
        <w:autoSpaceDE/>
        <w:autoSpaceDN w:val="0"/>
        <w:bidi w:val="0"/>
        <w:adjustRightInd w:val="0"/>
        <w:snapToGrid w:val="0"/>
        <w:spacing w:line="420" w:lineRule="exact"/>
        <w:textAlignment w:val="auto"/>
        <w:rPr>
          <w:rFonts w:ascii="宋体" w:hAnsi="宋体" w:cs="宋体"/>
          <w:snapToGrid w:val="0"/>
          <w:color w:val="auto"/>
          <w:kern w:val="0"/>
          <w:sz w:val="24"/>
          <w:highlight w:val="none"/>
        </w:rPr>
      </w:pPr>
      <w:bookmarkStart w:id="5" w:name="_Toc28359089"/>
      <w:bookmarkStart w:id="6" w:name="_Toc35393629"/>
      <w:bookmarkStart w:id="7" w:name="_Toc28359012"/>
      <w:bookmarkStart w:id="8" w:name="_Toc35393798"/>
      <w:r>
        <w:rPr>
          <w:rFonts w:hint="eastAsia" w:ascii="宋体" w:hAnsi="宋体" w:cs="宋体"/>
          <w:b/>
          <w:bCs/>
          <w:snapToGrid w:val="0"/>
          <w:color w:val="auto"/>
          <w:kern w:val="0"/>
          <w:sz w:val="24"/>
          <w:highlight w:val="none"/>
        </w:rPr>
        <w:t>一、项目基本情况</w:t>
      </w:r>
      <w:bookmarkEnd w:id="5"/>
      <w:bookmarkEnd w:id="6"/>
      <w:bookmarkEnd w:id="7"/>
      <w:bookmarkEnd w:id="8"/>
    </w:p>
    <w:p w14:paraId="18ACC4C0">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项目编号：</w:t>
      </w:r>
      <w:r>
        <w:rPr>
          <w:rFonts w:hint="eastAsia" w:ascii="宋体" w:hAnsi="宋体" w:cs="宋体"/>
          <w:snapToGrid w:val="0"/>
          <w:color w:val="auto"/>
          <w:kern w:val="0"/>
          <w:sz w:val="24"/>
          <w:highlight w:val="none"/>
          <w:lang w:eastAsia="zh-CN"/>
        </w:rPr>
        <w:t>1411812026CCS00070</w:t>
      </w:r>
    </w:p>
    <w:p w14:paraId="37E8021A">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项目名称：</w:t>
      </w:r>
      <w:r>
        <w:rPr>
          <w:rFonts w:hint="eastAsia" w:ascii="宋体" w:hAnsi="宋体" w:cs="宋体"/>
          <w:snapToGrid w:val="0"/>
          <w:color w:val="auto"/>
          <w:kern w:val="0"/>
          <w:sz w:val="24"/>
          <w:highlight w:val="none"/>
          <w:lang w:eastAsia="zh-CN"/>
        </w:rPr>
        <w:t>孝义市市场监督管理局2026年电梯监督抽检项目</w:t>
      </w:r>
    </w:p>
    <w:p w14:paraId="1E1EBAFF">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采购方式：</w:t>
      </w:r>
      <w:r>
        <w:rPr>
          <w:rFonts w:hint="eastAsia" w:ascii="宋体" w:hAnsi="宋体" w:cs="宋体"/>
          <w:snapToGrid w:val="0"/>
          <w:color w:val="auto"/>
          <w:kern w:val="0"/>
          <w:sz w:val="24"/>
          <w:highlight w:val="none"/>
          <w:lang w:eastAsia="zh-CN"/>
        </w:rPr>
        <w:t>竞争性磋商</w:t>
      </w:r>
    </w:p>
    <w:p w14:paraId="5A2F5E5D">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预算金额：</w:t>
      </w:r>
      <w:r>
        <w:rPr>
          <w:rFonts w:hint="eastAsia" w:ascii="宋体" w:hAnsi="宋体" w:cs="宋体"/>
          <w:snapToGrid w:val="0"/>
          <w:color w:val="auto"/>
          <w:kern w:val="0"/>
          <w:sz w:val="24"/>
          <w:highlight w:val="none"/>
          <w:lang w:val="en-US" w:eastAsia="zh-CN"/>
        </w:rPr>
        <w:t>300000元</w:t>
      </w:r>
    </w:p>
    <w:p w14:paraId="40723D95">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最高限价：</w:t>
      </w:r>
      <w:r>
        <w:rPr>
          <w:rFonts w:hint="eastAsia" w:ascii="宋体" w:hAnsi="宋体" w:cs="宋体"/>
          <w:snapToGrid w:val="0"/>
          <w:color w:val="auto"/>
          <w:kern w:val="0"/>
          <w:sz w:val="24"/>
          <w:highlight w:val="none"/>
          <w:lang w:val="en-US" w:eastAsia="zh-CN"/>
        </w:rPr>
        <w:t>300000元</w:t>
      </w:r>
    </w:p>
    <w:p w14:paraId="744F80A9">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采购需求：</w:t>
      </w:r>
    </w:p>
    <w:p w14:paraId="784B4F49">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标项名称：</w:t>
      </w:r>
      <w:r>
        <w:rPr>
          <w:rFonts w:hint="eastAsia" w:ascii="宋体" w:hAnsi="宋体" w:cs="宋体"/>
          <w:snapToGrid w:val="0"/>
          <w:color w:val="auto"/>
          <w:kern w:val="0"/>
          <w:sz w:val="24"/>
          <w:highlight w:val="none"/>
          <w:lang w:eastAsia="zh-CN"/>
        </w:rPr>
        <w:t>孝义市市场监督管理局2026年电梯监督抽检项目</w:t>
      </w:r>
    </w:p>
    <w:p w14:paraId="697EDE21">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数量：1</w:t>
      </w:r>
    </w:p>
    <w:p w14:paraId="65B2B73B">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rPr>
        <w:t>预算金额：</w:t>
      </w:r>
      <w:r>
        <w:rPr>
          <w:rFonts w:hint="eastAsia" w:ascii="宋体" w:hAnsi="宋体" w:cs="宋体"/>
          <w:snapToGrid w:val="0"/>
          <w:color w:val="auto"/>
          <w:kern w:val="0"/>
          <w:sz w:val="24"/>
          <w:highlight w:val="none"/>
          <w:lang w:val="en-US" w:eastAsia="zh-CN"/>
        </w:rPr>
        <w:t>300000元</w:t>
      </w:r>
    </w:p>
    <w:p w14:paraId="68A3D2D9">
      <w:pPr>
        <w:keepNext w:val="0"/>
        <w:keepLines w:val="0"/>
        <w:pageBreakBefore w:val="0"/>
        <w:kinsoku/>
        <w:wordWrap/>
        <w:overflowPunct w:val="0"/>
        <w:topLinePunct/>
        <w:autoSpaceDE/>
        <w:autoSpaceDN w:val="0"/>
        <w:bidi w:val="0"/>
        <w:adjustRightInd w:val="0"/>
        <w:snapToGrid w:val="0"/>
        <w:spacing w:line="420" w:lineRule="exact"/>
        <w:ind w:firstLine="480" w:firstLineChars="200"/>
        <w:textAlignment w:val="auto"/>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单位：项</w:t>
      </w:r>
    </w:p>
    <w:p w14:paraId="0E3DD2FE">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yellow"/>
          <w:lang w:val="en-US" w:eastAsia="zh-CN"/>
        </w:rPr>
      </w:pPr>
      <w:r>
        <w:rPr>
          <w:rFonts w:hint="eastAsia" w:ascii="宋体" w:hAnsi="宋体" w:cs="宋体"/>
          <w:color w:val="auto"/>
          <w:sz w:val="24"/>
          <w:highlight w:val="none"/>
          <w:lang w:val="en-US" w:eastAsia="zh-CN"/>
        </w:rPr>
        <w:t>简要规格描述：孝义市辖区内（除工业企业外）的被抽中25个使用单位150台电梯维护保养质量和电梯安全性能监督抽查并出具相应报告。（每台电梯首次抽查，如不合格出具整改通知单，待整改完成后再次复检出具意见）。</w:t>
      </w:r>
    </w:p>
    <w:p w14:paraId="536C54E3">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yellow"/>
          <w:lang w:eastAsia="zh-CN"/>
        </w:rPr>
      </w:pPr>
      <w:r>
        <w:rPr>
          <w:rFonts w:hint="eastAsia" w:ascii="宋体" w:hAnsi="宋体" w:cs="宋体"/>
          <w:color w:val="auto"/>
          <w:sz w:val="24"/>
          <w:highlight w:val="none"/>
        </w:rPr>
        <w:t>合同履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期限：合同订立之日起，至</w:t>
      </w:r>
      <w:r>
        <w:rPr>
          <w:rFonts w:hint="eastAsia" w:ascii="宋体" w:hAnsi="宋体" w:cs="宋体"/>
          <w:color w:val="auto"/>
          <w:sz w:val="24"/>
          <w:highlight w:val="none"/>
          <w:lang w:eastAsia="zh-CN"/>
        </w:rPr>
        <w:t>2026年</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日</w:t>
      </w:r>
    </w:p>
    <w:p w14:paraId="2B64AB75">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bookmarkStart w:id="9" w:name="_Toc28359090"/>
      <w:bookmarkStart w:id="10" w:name="_Toc35393799"/>
      <w:bookmarkStart w:id="11" w:name="_Toc28359013"/>
      <w:bookmarkStart w:id="12" w:name="_Toc35393630"/>
      <w:r>
        <w:rPr>
          <w:rFonts w:hint="eastAsia" w:ascii="宋体" w:hAnsi="宋体" w:cs="宋体"/>
          <w:color w:val="auto"/>
          <w:sz w:val="24"/>
          <w:highlight w:val="none"/>
        </w:rPr>
        <w:t>本项目不接受联合体投标。</w:t>
      </w:r>
    </w:p>
    <w:p w14:paraId="78617C9D">
      <w:pPr>
        <w:keepNext w:val="0"/>
        <w:keepLines w:val="0"/>
        <w:pageBreakBefore w:val="0"/>
        <w:kinsoku/>
        <w:wordWrap/>
        <w:autoSpaceDE/>
        <w:bidi w:val="0"/>
        <w:spacing w:line="4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二、申请人的资格要求：</w:t>
      </w:r>
      <w:bookmarkEnd w:id="9"/>
      <w:bookmarkEnd w:id="10"/>
      <w:bookmarkEnd w:id="11"/>
      <w:bookmarkEnd w:id="12"/>
    </w:p>
    <w:p w14:paraId="269C68AB">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w:t>
      </w:r>
    </w:p>
    <w:p w14:paraId="4E681A7E">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2、落实政府采购政策需满足的资格要求：本项目专门面向中小企业</w:t>
      </w:r>
      <w:r>
        <w:rPr>
          <w:rFonts w:hint="eastAsia" w:ascii="宋体" w:hAnsi="宋体" w:cs="宋体"/>
          <w:color w:val="auto"/>
          <w:sz w:val="24"/>
          <w:highlight w:val="none"/>
          <w:lang w:eastAsia="zh-CN"/>
        </w:rPr>
        <w:t>；</w:t>
      </w:r>
    </w:p>
    <w:p w14:paraId="1F251540">
      <w:pPr>
        <w:keepNext w:val="0"/>
        <w:keepLines w:val="0"/>
        <w:pageBreakBefore w:val="0"/>
        <w:widowControl/>
        <w:kinsoku/>
        <w:wordWrap/>
        <w:autoSpaceDE/>
        <w:bidi w:val="0"/>
        <w:adjustRightInd w:val="0"/>
        <w:spacing w:line="420" w:lineRule="exact"/>
        <w:ind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color w:val="auto"/>
          <w:sz w:val="24"/>
          <w:highlight w:val="none"/>
        </w:rPr>
        <w:t>3、本项目的特定资格要求：供应商需具备有效期内的《特种设备检验检测机构核准证》，核准项目与电梯检测相适应；且电梯检验、检测机构现未在孝义市辖区范围承担电梯检验任务和电梯检测服务</w:t>
      </w:r>
      <w:r>
        <w:rPr>
          <w:rFonts w:hint="eastAsia" w:ascii="宋体" w:hAnsi="宋体" w:cs="宋体"/>
          <w:color w:val="auto"/>
          <w:sz w:val="24"/>
          <w:highlight w:val="none"/>
          <w:lang w:eastAsia="zh-CN"/>
        </w:rPr>
        <w:t>。</w:t>
      </w:r>
    </w:p>
    <w:p w14:paraId="4F19FFFD">
      <w:pPr>
        <w:keepNext w:val="0"/>
        <w:keepLines w:val="0"/>
        <w:pageBreakBefore w:val="0"/>
        <w:widowControl/>
        <w:kinsoku/>
        <w:wordWrap/>
        <w:autoSpaceDE/>
        <w:bidi w:val="0"/>
        <w:adjustRightInd w:val="0"/>
        <w:spacing w:line="420" w:lineRule="exact"/>
        <w:jc w:val="left"/>
        <w:textAlignment w:val="auto"/>
        <w:rPr>
          <w:rFonts w:ascii="宋体" w:hAnsi="宋体" w:cs="宋体"/>
          <w:color w:val="auto"/>
          <w:sz w:val="24"/>
          <w:highlight w:val="none"/>
        </w:rPr>
      </w:pPr>
      <w:r>
        <w:rPr>
          <w:rFonts w:hint="eastAsia" w:ascii="宋体" w:hAnsi="宋体" w:cs="宋体"/>
          <w:b/>
          <w:bCs/>
          <w:color w:val="auto"/>
          <w:sz w:val="24"/>
          <w:highlight w:val="none"/>
        </w:rPr>
        <w:t>三、</w:t>
      </w:r>
      <w:bookmarkStart w:id="13" w:name="_Toc28359015"/>
      <w:bookmarkStart w:id="14" w:name="_Toc35393632"/>
      <w:bookmarkStart w:id="15" w:name="_Toc35393801"/>
      <w:bookmarkStart w:id="16" w:name="_Toc28359092"/>
      <w:r>
        <w:rPr>
          <w:rFonts w:hint="eastAsia" w:ascii="宋体" w:hAnsi="宋体" w:cs="宋体"/>
          <w:b/>
          <w:bCs/>
          <w:color w:val="auto"/>
          <w:sz w:val="24"/>
          <w:highlight w:val="none"/>
        </w:rPr>
        <w:t>获取</w:t>
      </w:r>
      <w:r>
        <w:rPr>
          <w:rFonts w:hint="eastAsia" w:ascii="宋体" w:hAnsi="宋体" w:cs="宋体"/>
          <w:b/>
          <w:bCs/>
          <w:color w:val="auto"/>
          <w:sz w:val="24"/>
          <w:highlight w:val="none"/>
          <w:lang w:val="en-US" w:eastAsia="zh-CN"/>
        </w:rPr>
        <w:t>采购</w:t>
      </w:r>
      <w:r>
        <w:rPr>
          <w:rFonts w:hint="eastAsia" w:ascii="宋体" w:hAnsi="宋体" w:cs="宋体"/>
          <w:b/>
          <w:bCs/>
          <w:color w:val="auto"/>
          <w:sz w:val="24"/>
          <w:highlight w:val="none"/>
        </w:rPr>
        <w:t>文件</w:t>
      </w:r>
    </w:p>
    <w:p w14:paraId="2F99B7A4">
      <w:pPr>
        <w:keepNext w:val="0"/>
        <w:keepLines w:val="0"/>
        <w:pageBreakBefore w:val="0"/>
        <w:widowControl/>
        <w:kinsoku/>
        <w:wordWrap/>
        <w:autoSpaceDE/>
        <w:bidi w:val="0"/>
        <w:adjustRightInd w:val="0"/>
        <w:spacing w:line="42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20</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日00时00分00秒至202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日23时59分59秒</w:t>
      </w:r>
      <w:r>
        <w:rPr>
          <w:rFonts w:hint="eastAsia" w:ascii="宋体" w:hAnsi="宋体" w:cs="宋体"/>
          <w:color w:val="auto"/>
          <w:sz w:val="24"/>
          <w:highlight w:val="none"/>
        </w:rPr>
        <w:t>（北京时间，法定节假日除外）</w:t>
      </w:r>
      <w:r>
        <w:rPr>
          <w:rFonts w:hint="eastAsia" w:ascii="宋体" w:hAnsi="宋体" w:cs="宋体"/>
          <w:color w:val="auto"/>
          <w:sz w:val="24"/>
          <w:highlight w:val="none"/>
          <w:lang w:eastAsia="zh-CN"/>
        </w:rPr>
        <w:t>。</w:t>
      </w:r>
    </w:p>
    <w:p w14:paraId="04CC7EFA">
      <w:pPr>
        <w:keepNext w:val="0"/>
        <w:keepLines w:val="0"/>
        <w:pageBreakBefore w:val="0"/>
        <w:widowControl/>
        <w:kinsoku/>
        <w:wordWrap/>
        <w:autoSpaceDE/>
        <w:bidi w:val="0"/>
        <w:adjustRightInd w:val="0"/>
        <w:spacing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地点：政采云平台线上获取。</w:t>
      </w:r>
    </w:p>
    <w:p w14:paraId="04CC7EFB">
      <w:pPr>
        <w:keepNext w:val="0"/>
        <w:keepLines w:val="0"/>
        <w:pageBreakBefore w:val="0"/>
        <w:widowControl/>
        <w:kinsoku/>
        <w:wordWrap/>
        <w:autoSpaceDE/>
        <w:bidi w:val="0"/>
        <w:adjustRightInd w:val="0"/>
        <w:spacing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方式：在线获取。</w:t>
      </w:r>
    </w:p>
    <w:p w14:paraId="04CC7EFC">
      <w:pPr>
        <w:keepNext w:val="0"/>
        <w:keepLines w:val="0"/>
        <w:pageBreakBefore w:val="0"/>
        <w:widowControl/>
        <w:kinsoku/>
        <w:wordWrap/>
        <w:autoSpaceDE/>
        <w:bidi w:val="0"/>
        <w:adjustRightInd w:val="0"/>
        <w:spacing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售价（元）：0元。</w:t>
      </w:r>
    </w:p>
    <w:p w14:paraId="53F97CF1">
      <w:pPr>
        <w:keepNext w:val="0"/>
        <w:keepLines w:val="0"/>
        <w:pageBreakBefore w:val="0"/>
        <w:kinsoku/>
        <w:wordWrap/>
        <w:autoSpaceDE/>
        <w:bidi w:val="0"/>
        <w:spacing w:line="420" w:lineRule="exact"/>
        <w:textAlignment w:val="auto"/>
        <w:rPr>
          <w:rFonts w:ascii="宋体" w:hAnsi="宋体" w:cs="宋体"/>
          <w:color w:val="auto"/>
          <w:sz w:val="24"/>
          <w:highlight w:val="none"/>
        </w:rPr>
      </w:pPr>
      <w:r>
        <w:rPr>
          <w:rFonts w:hint="eastAsia" w:ascii="宋体" w:hAnsi="宋体" w:cs="宋体"/>
          <w:b/>
          <w:bCs/>
          <w:color w:val="auto"/>
          <w:sz w:val="24"/>
          <w:highlight w:val="none"/>
        </w:rPr>
        <w:t>四、响应文件提交</w:t>
      </w:r>
      <w:bookmarkEnd w:id="13"/>
      <w:bookmarkEnd w:id="14"/>
      <w:bookmarkEnd w:id="15"/>
      <w:bookmarkEnd w:id="16"/>
      <w:bookmarkStart w:id="17" w:name="_Toc35393633"/>
      <w:bookmarkStart w:id="18" w:name="_Toc28359016"/>
      <w:bookmarkStart w:id="19" w:name="_Toc28359093"/>
      <w:bookmarkStart w:id="20" w:name="_Toc35393802"/>
    </w:p>
    <w:p w14:paraId="60887468">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截止时间：</w:t>
      </w:r>
      <w:r>
        <w:rPr>
          <w:rFonts w:hint="eastAsia" w:ascii="宋体" w:hAnsi="宋体" w:cs="宋体"/>
          <w:color w:val="auto"/>
          <w:sz w:val="24"/>
          <w:highlight w:val="none"/>
          <w:lang w:eastAsia="zh-CN"/>
        </w:rPr>
        <w:t>2026年05月20日15时00分</w:t>
      </w:r>
      <w:r>
        <w:rPr>
          <w:rFonts w:hint="eastAsia" w:ascii="宋体" w:hAnsi="宋体" w:eastAsia="宋体" w:cs="宋体"/>
          <w:color w:val="auto"/>
          <w:sz w:val="24"/>
          <w:highlight w:val="none"/>
        </w:rPr>
        <w:t>（北京时间）</w:t>
      </w:r>
      <w:r>
        <w:rPr>
          <w:rFonts w:hint="eastAsia" w:ascii="宋体" w:hAnsi="宋体" w:eastAsia="宋体" w:cs="宋体"/>
          <w:color w:val="auto"/>
          <w:sz w:val="24"/>
          <w:highlight w:val="none"/>
          <w:lang w:eastAsia="zh-CN"/>
        </w:rPr>
        <w:t>。</w:t>
      </w:r>
    </w:p>
    <w:p w14:paraId="550EB07C">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地点：请登录政采云投标客户端投标。</w:t>
      </w:r>
    </w:p>
    <w:p w14:paraId="45CF4AFD">
      <w:pPr>
        <w:keepNext w:val="0"/>
        <w:keepLines w:val="0"/>
        <w:pageBreakBefore w:val="0"/>
        <w:kinsoku/>
        <w:wordWrap/>
        <w:autoSpaceDE/>
        <w:bidi w:val="0"/>
        <w:spacing w:line="420" w:lineRule="exact"/>
        <w:textAlignment w:val="auto"/>
        <w:rPr>
          <w:rFonts w:ascii="宋体" w:hAnsi="宋体" w:cs="宋体"/>
          <w:color w:val="auto"/>
          <w:sz w:val="24"/>
          <w:highlight w:val="none"/>
        </w:rPr>
      </w:pPr>
      <w:r>
        <w:rPr>
          <w:rFonts w:hint="eastAsia" w:ascii="宋体" w:hAnsi="宋体" w:cs="宋体"/>
          <w:b/>
          <w:bCs/>
          <w:color w:val="auto"/>
          <w:sz w:val="24"/>
          <w:highlight w:val="none"/>
        </w:rPr>
        <w:t>五、</w:t>
      </w:r>
      <w:bookmarkEnd w:id="17"/>
      <w:bookmarkEnd w:id="18"/>
      <w:bookmarkEnd w:id="19"/>
      <w:bookmarkEnd w:id="20"/>
      <w:r>
        <w:rPr>
          <w:rFonts w:hint="eastAsia" w:ascii="宋体" w:hAnsi="宋体" w:cs="宋体"/>
          <w:b/>
          <w:bCs/>
          <w:color w:val="auto"/>
          <w:sz w:val="24"/>
          <w:highlight w:val="none"/>
        </w:rPr>
        <w:t>响应文件开启</w:t>
      </w:r>
    </w:p>
    <w:p w14:paraId="49923B7F">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val="en-US" w:eastAsia="zh-CN"/>
        </w:rPr>
      </w:pPr>
      <w:bookmarkStart w:id="21" w:name="_Toc28359017"/>
      <w:bookmarkStart w:id="22" w:name="_Toc35393634"/>
      <w:bookmarkStart w:id="23" w:name="_Toc35393803"/>
      <w:bookmarkStart w:id="24" w:name="_Toc28359094"/>
      <w:r>
        <w:rPr>
          <w:rFonts w:hint="eastAsia" w:ascii="宋体" w:hAnsi="宋体" w:cs="宋体"/>
          <w:color w:val="auto"/>
          <w:sz w:val="24"/>
          <w:highlight w:val="none"/>
        </w:rPr>
        <w:t>1、时间：</w:t>
      </w:r>
      <w:r>
        <w:rPr>
          <w:rFonts w:hint="eastAsia" w:ascii="宋体" w:hAnsi="宋体" w:cs="宋体"/>
          <w:color w:val="auto"/>
          <w:sz w:val="24"/>
          <w:highlight w:val="none"/>
          <w:lang w:eastAsia="zh-CN"/>
        </w:rPr>
        <w:t>2026年05月20日15时00分</w:t>
      </w:r>
      <w:r>
        <w:rPr>
          <w:rFonts w:hint="eastAsia" w:ascii="宋体" w:hAnsi="宋体" w:cs="宋体"/>
          <w:color w:val="auto"/>
          <w:sz w:val="24"/>
          <w:highlight w:val="none"/>
        </w:rPr>
        <w:t>（北京时间）</w:t>
      </w:r>
      <w:r>
        <w:rPr>
          <w:rFonts w:hint="eastAsia" w:ascii="宋体" w:hAnsi="宋体" w:cs="宋体"/>
          <w:color w:val="auto"/>
          <w:sz w:val="24"/>
          <w:highlight w:val="none"/>
          <w:lang w:eastAsia="zh-CN"/>
        </w:rPr>
        <w:t>。</w:t>
      </w:r>
    </w:p>
    <w:p w14:paraId="017A72B7">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2、地点：线上开标</w:t>
      </w:r>
      <w:r>
        <w:rPr>
          <w:rFonts w:hint="eastAsia" w:ascii="宋体" w:hAnsi="宋体" w:cs="宋体"/>
          <w:color w:val="auto"/>
          <w:sz w:val="24"/>
          <w:highlight w:val="none"/>
          <w:lang w:eastAsia="zh-CN"/>
        </w:rPr>
        <w:t>。</w:t>
      </w:r>
    </w:p>
    <w:p w14:paraId="220C835C">
      <w:pPr>
        <w:keepNext w:val="0"/>
        <w:keepLines w:val="0"/>
        <w:pageBreakBefore w:val="0"/>
        <w:kinsoku/>
        <w:wordWrap/>
        <w:autoSpaceDE/>
        <w:bidi w:val="0"/>
        <w:spacing w:line="4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1"/>
      <w:bookmarkEnd w:id="22"/>
      <w:bookmarkEnd w:id="23"/>
      <w:bookmarkEnd w:id="24"/>
    </w:p>
    <w:p w14:paraId="6BB7C086">
      <w:pPr>
        <w:keepNext w:val="0"/>
        <w:keepLines w:val="0"/>
        <w:pageBreakBefore w:val="0"/>
        <w:kinsoku/>
        <w:wordWrap/>
        <w:autoSpaceDE/>
        <w:bidi w:val="0"/>
        <w:spacing w:line="42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bookmarkStart w:id="25" w:name="_Toc35393804"/>
      <w:bookmarkStart w:id="26" w:name="_Toc35393635"/>
    </w:p>
    <w:p w14:paraId="30472331">
      <w:pPr>
        <w:keepNext w:val="0"/>
        <w:keepLines w:val="0"/>
        <w:pageBreakBefore w:val="0"/>
        <w:kinsoku/>
        <w:wordWrap/>
        <w:autoSpaceDE/>
        <w:bidi w:val="0"/>
        <w:spacing w:line="4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七、其他补充事宜</w:t>
      </w:r>
      <w:bookmarkEnd w:id="25"/>
      <w:bookmarkEnd w:id="26"/>
    </w:p>
    <w:p w14:paraId="04CC7F06">
      <w:pPr>
        <w:keepNext w:val="0"/>
        <w:keepLines w:val="0"/>
        <w:pageBreakBefore w:val="0"/>
        <w:kinsoku/>
        <w:wordWrap/>
        <w:overflowPunct w:val="0"/>
        <w:autoSpaceDE/>
        <w:bidi w:val="0"/>
        <w:spacing w:line="420" w:lineRule="exact"/>
        <w:ind w:firstLine="480" w:firstLineChars="200"/>
        <w:textAlignment w:val="auto"/>
        <w:rPr>
          <w:rFonts w:hint="eastAsia" w:ascii="宋体" w:hAnsi="宋体" w:eastAsia="宋体" w:cs="宋体"/>
          <w:sz w:val="24"/>
          <w:szCs w:val="22"/>
        </w:rPr>
      </w:pPr>
      <w:bookmarkStart w:id="27" w:name="_Toc35393636"/>
      <w:bookmarkStart w:id="28" w:name="_Toc28359018"/>
      <w:bookmarkStart w:id="29" w:name="_Toc28359095"/>
      <w:bookmarkStart w:id="30" w:name="_Toc35393805"/>
      <w:r>
        <w:rPr>
          <w:rFonts w:hint="eastAsia" w:ascii="宋体" w:hAnsi="宋体" w:eastAsia="宋体" w:cs="宋体"/>
          <w:sz w:val="24"/>
          <w:szCs w:val="22"/>
        </w:rPr>
        <w:t>针对本项目的质疑需一次性提出，多次提出将不予受理。供应商参与山西省政府采购项目时，符合法定质疑条件的，通过政府采购平台进入“项目质疑管理”栏目向采购人、采购代理机构在线提起质疑。</w:t>
      </w:r>
    </w:p>
    <w:p w14:paraId="04CC7F07">
      <w:pPr>
        <w:keepNext w:val="0"/>
        <w:keepLines w:val="0"/>
        <w:pageBreakBefore w:val="0"/>
        <w:kinsoku/>
        <w:wordWrap/>
        <w:overflowPunct w:val="0"/>
        <w:autoSpaceDE/>
        <w:bidi w:val="0"/>
        <w:spacing w:line="42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代理费支付方式：供应商支付。</w:t>
      </w:r>
    </w:p>
    <w:p w14:paraId="04CC7F08">
      <w:pPr>
        <w:keepNext w:val="0"/>
        <w:keepLines w:val="0"/>
        <w:pageBreakBefore w:val="0"/>
        <w:kinsoku/>
        <w:wordWrap/>
        <w:autoSpaceDE/>
        <w:bidi w:val="0"/>
        <w:adjustRightInd w:val="0"/>
        <w:snapToGrid w:val="0"/>
        <w:spacing w:line="42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代理费收费标准：国家计委计价格（[2002]1980号、国家发改委发改价格[2003]857 号、《国家发展改革委关于降低部分建设项目收费标准规范收费行为等有关问题的通知》（发改价格[2011]534 号）文件规定收取。在领取</w:t>
      </w:r>
      <w:r>
        <w:rPr>
          <w:rFonts w:hint="eastAsia" w:ascii="宋体" w:hAnsi="宋体" w:eastAsia="宋体" w:cs="宋体"/>
          <w:sz w:val="24"/>
          <w:szCs w:val="22"/>
          <w:lang w:val="en-US" w:eastAsia="zh-CN"/>
        </w:rPr>
        <w:t>成交</w:t>
      </w:r>
      <w:r>
        <w:rPr>
          <w:rFonts w:hint="eastAsia" w:ascii="宋体" w:hAnsi="宋体" w:eastAsia="宋体" w:cs="宋体"/>
          <w:sz w:val="24"/>
          <w:szCs w:val="22"/>
        </w:rPr>
        <w:t>通知书时一次性向代理机构支付。</w:t>
      </w:r>
    </w:p>
    <w:p w14:paraId="56A0BA20">
      <w:pPr>
        <w:keepNext w:val="0"/>
        <w:keepLines w:val="0"/>
        <w:pageBreakBefore w:val="0"/>
        <w:kinsoku/>
        <w:wordWrap/>
        <w:autoSpaceDE/>
        <w:bidi w:val="0"/>
        <w:spacing w:line="420" w:lineRule="exact"/>
        <w:textAlignment w:val="auto"/>
        <w:rPr>
          <w:rFonts w:hint="eastAsia" w:ascii="宋体" w:hAnsi="宋体" w:cs="宋体"/>
          <w:color w:val="auto"/>
          <w:sz w:val="24"/>
          <w:highlight w:val="none"/>
        </w:rPr>
      </w:pPr>
      <w:r>
        <w:rPr>
          <w:rFonts w:hint="eastAsia" w:ascii="宋体" w:hAnsi="宋体" w:cs="宋体"/>
          <w:b/>
          <w:bCs/>
          <w:color w:val="auto"/>
          <w:sz w:val="24"/>
          <w:highlight w:val="none"/>
        </w:rPr>
        <w:t>八、凡对本次采购提出询问，请按以下方式联系</w:t>
      </w:r>
      <w:bookmarkEnd w:id="27"/>
      <w:bookmarkEnd w:id="28"/>
      <w:bookmarkEnd w:id="29"/>
      <w:bookmarkEnd w:id="30"/>
      <w:bookmarkStart w:id="31" w:name="_Toc28359096"/>
      <w:bookmarkStart w:id="32" w:name="_Toc35393637"/>
      <w:bookmarkStart w:id="33" w:name="_Toc35393806"/>
      <w:bookmarkStart w:id="34" w:name="_Toc28359019"/>
    </w:p>
    <w:p w14:paraId="747039FF">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bookmarkEnd w:id="31"/>
      <w:bookmarkEnd w:id="32"/>
      <w:bookmarkEnd w:id="33"/>
      <w:bookmarkEnd w:id="34"/>
    </w:p>
    <w:p w14:paraId="59C7319B">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bookmarkStart w:id="35" w:name="_Toc28359097"/>
      <w:bookmarkStart w:id="36" w:name="_Toc35393638"/>
      <w:bookmarkStart w:id="37" w:name="_Toc28359020"/>
      <w:bookmarkStart w:id="38" w:name="_Toc35393807"/>
      <w:r>
        <w:rPr>
          <w:rFonts w:hint="eastAsia" w:ascii="宋体" w:hAnsi="宋体" w:cs="宋体"/>
          <w:color w:val="auto"/>
          <w:sz w:val="24"/>
          <w:highlight w:val="none"/>
        </w:rPr>
        <w:t>名称：</w:t>
      </w:r>
      <w:r>
        <w:rPr>
          <w:rFonts w:hint="eastAsia" w:ascii="宋体" w:hAnsi="宋体" w:cs="宋体"/>
          <w:color w:val="auto"/>
          <w:sz w:val="24"/>
          <w:highlight w:val="none"/>
          <w:lang w:eastAsia="zh-CN"/>
        </w:rPr>
        <w:t>孝义市市场监督管理局</w:t>
      </w:r>
      <w:r>
        <w:rPr>
          <w:rFonts w:hint="eastAsia" w:ascii="宋体" w:hAnsi="宋体" w:cs="宋体"/>
          <w:color w:val="auto"/>
          <w:sz w:val="24"/>
          <w:highlight w:val="none"/>
        </w:rPr>
        <w:t xml:space="preserve">                </w:t>
      </w:r>
    </w:p>
    <w:p w14:paraId="2205BCE8">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地址：孝义市府前街425号                </w:t>
      </w:r>
    </w:p>
    <w:p w14:paraId="4E9F593C">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郭女士       </w:t>
      </w:r>
    </w:p>
    <w:p w14:paraId="077EB8C4">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联系电话：0358-7898409</w:t>
      </w:r>
      <w:r>
        <w:rPr>
          <w:rFonts w:hint="eastAsia" w:ascii="宋体" w:hAnsi="宋体" w:cs="宋体"/>
          <w:color w:val="auto"/>
          <w:sz w:val="24"/>
          <w:highlight w:val="none"/>
        </w:rPr>
        <w:t xml:space="preserve">               </w:t>
      </w:r>
    </w:p>
    <w:p w14:paraId="11C98245">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bookmarkEnd w:id="35"/>
      <w:bookmarkEnd w:id="36"/>
      <w:bookmarkEnd w:id="37"/>
      <w:bookmarkEnd w:id="38"/>
    </w:p>
    <w:p w14:paraId="7D384FAD">
      <w:pPr>
        <w:keepNext w:val="0"/>
        <w:keepLines w:val="0"/>
        <w:pageBreakBefore w:val="0"/>
        <w:kinsoku/>
        <w:wordWrap/>
        <w:autoSpaceDE/>
        <w:bidi w:val="0"/>
        <w:spacing w:line="420" w:lineRule="exact"/>
        <w:ind w:firstLine="480" w:firstLineChars="200"/>
        <w:textAlignment w:val="auto"/>
        <w:rPr>
          <w:rFonts w:ascii="宋体" w:hAnsi="宋体" w:cs="宋体"/>
          <w:color w:val="auto"/>
          <w:sz w:val="24"/>
          <w:highlight w:val="none"/>
        </w:rPr>
      </w:pPr>
      <w:bookmarkStart w:id="39" w:name="_Toc35393639"/>
      <w:bookmarkStart w:id="40" w:name="_Toc28359098"/>
      <w:bookmarkStart w:id="41" w:name="_Toc28359021"/>
      <w:bookmarkStart w:id="42" w:name="_Toc35393808"/>
      <w:r>
        <w:rPr>
          <w:rFonts w:hint="eastAsia" w:ascii="宋体" w:hAnsi="宋体" w:cs="宋体"/>
          <w:color w:val="auto"/>
          <w:sz w:val="24"/>
          <w:highlight w:val="none"/>
        </w:rPr>
        <w:t xml:space="preserve">名称：山西中恒致泰工程项目管理有限公司 </w:t>
      </w:r>
    </w:p>
    <w:p w14:paraId="295DC442">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山西省太原市万柏林区长兴北街华润大厦T3-3123室</w:t>
      </w:r>
    </w:p>
    <w:p w14:paraId="2A4D82F0">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范先生     </w:t>
      </w:r>
    </w:p>
    <w:p w14:paraId="644419F6">
      <w:pPr>
        <w:keepNext w:val="0"/>
        <w:keepLines w:val="0"/>
        <w:pageBreakBefore w:val="0"/>
        <w:kinsoku/>
        <w:wordWrap/>
        <w:autoSpaceDE/>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联系电话：</w:t>
      </w:r>
      <w:r>
        <w:rPr>
          <w:rFonts w:hint="eastAsia" w:ascii="宋体" w:hAnsi="宋体" w:cs="宋体"/>
          <w:color w:val="auto"/>
          <w:sz w:val="24"/>
          <w:highlight w:val="none"/>
        </w:rPr>
        <w:t>15525844388</w:t>
      </w:r>
      <w:bookmarkEnd w:id="39"/>
      <w:bookmarkEnd w:id="40"/>
      <w:bookmarkEnd w:id="41"/>
      <w:bookmarkEnd w:id="42"/>
    </w:p>
    <w:p w14:paraId="68F8FA6A">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3D452C3A">
      <w:pPr>
        <w:keepNext w:val="0"/>
        <w:keepLines w:val="0"/>
        <w:pageBreakBefore w:val="0"/>
        <w:kinsoku/>
        <w:wordWrap/>
        <w:autoSpaceDE/>
        <w:bidi w:val="0"/>
        <w:spacing w:line="42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项目联系人：范先生     </w:t>
      </w:r>
    </w:p>
    <w:p w14:paraId="2640C026">
      <w:pPr>
        <w:keepNext w:val="0"/>
        <w:keepLines w:val="0"/>
        <w:pageBreakBefore w:val="0"/>
        <w:kinsoku/>
        <w:wordWrap/>
        <w:autoSpaceDE/>
        <w:bidi w:val="0"/>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eastAsia="宋体" w:cs="宋体"/>
          <w:color w:val="auto"/>
          <w:sz w:val="24"/>
          <w:highlight w:val="none"/>
        </w:rPr>
        <w:t>15525844388</w:t>
      </w:r>
    </w:p>
    <w:p w14:paraId="504D63AD">
      <w:pPr>
        <w:pStyle w:val="40"/>
        <w:spacing w:line="360" w:lineRule="auto"/>
        <w:ind w:firstLine="480"/>
        <w:jc w:val="left"/>
        <w:rPr>
          <w:rFonts w:ascii="宋体" w:hAnsi="宋体" w:cs="宋体"/>
          <w:color w:val="auto"/>
          <w:sz w:val="24"/>
          <w:highlight w:val="none"/>
        </w:rPr>
      </w:pPr>
    </w:p>
    <w:p w14:paraId="6BC1F20D">
      <w:pPr>
        <w:pStyle w:val="40"/>
        <w:spacing w:line="360" w:lineRule="auto"/>
        <w:ind w:firstLine="480"/>
        <w:jc w:val="left"/>
        <w:rPr>
          <w:rFonts w:ascii="宋体" w:hAnsi="宋体" w:cs="宋体"/>
          <w:color w:val="auto"/>
          <w:sz w:val="24"/>
          <w:highlight w:val="none"/>
        </w:rPr>
      </w:pPr>
    </w:p>
    <w:p w14:paraId="28ECB6A4">
      <w:pPr>
        <w:pStyle w:val="2"/>
        <w:bidi w:val="0"/>
        <w:spacing w:before="0" w:beforeAutospacing="0" w:after="0" w:afterAutospacing="0"/>
        <w:jc w:val="center"/>
        <w:rPr>
          <w:rFonts w:hint="eastAsia" w:ascii="Times New Roman" w:hAnsi="Times New Roman" w:eastAsia="宋体" w:cs="Times New Roman"/>
          <w:sz w:val="28"/>
          <w:szCs w:val="44"/>
        </w:rPr>
      </w:pPr>
      <w:bookmarkStart w:id="43" w:name="_Toc483"/>
      <w:r>
        <w:rPr>
          <w:rFonts w:hint="eastAsia" w:ascii="Times New Roman" w:hAnsi="Times New Roman" w:eastAsia="宋体" w:cs="Times New Roman"/>
          <w:sz w:val="28"/>
          <w:szCs w:val="44"/>
        </w:rPr>
        <w:t>第二部分  供应商须知前附表</w:t>
      </w:r>
      <w:bookmarkEnd w:id="43"/>
    </w:p>
    <w:tbl>
      <w:tblPr>
        <w:tblStyle w:val="27"/>
        <w:tblpPr w:leftFromText="180" w:rightFromText="180" w:vertAnchor="text" w:tblpXSpec="center" w:tblpY="1"/>
        <w:tblOverlap w:val="never"/>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820"/>
        <w:gridCol w:w="6246"/>
      </w:tblGrid>
      <w:tr w14:paraId="1E01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7" w:type="dxa"/>
            <w:vAlign w:val="center"/>
          </w:tcPr>
          <w:p w14:paraId="45062E95">
            <w:pPr>
              <w:keepLines w:val="0"/>
              <w:pageBreakBefore w:val="0"/>
              <w:widowControl w:val="0"/>
              <w:kinsoku/>
              <w:bidi w:val="0"/>
              <w:adjustRightInd/>
              <w:spacing w:line="440" w:lineRule="exact"/>
              <w:ind w:left="-105" w:leftChars="-50" w:right="-105" w:rightChars="-5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2820" w:type="dxa"/>
            <w:vAlign w:val="center"/>
          </w:tcPr>
          <w:p w14:paraId="0095596A">
            <w:pPr>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  目</w:t>
            </w:r>
          </w:p>
        </w:tc>
        <w:tc>
          <w:tcPr>
            <w:tcW w:w="6246" w:type="dxa"/>
            <w:vAlign w:val="center"/>
          </w:tcPr>
          <w:p w14:paraId="58C4E712">
            <w:pPr>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3BF2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7" w:type="dxa"/>
            <w:vAlign w:val="center"/>
          </w:tcPr>
          <w:p w14:paraId="00CB0FDC">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820" w:type="dxa"/>
            <w:vAlign w:val="center"/>
          </w:tcPr>
          <w:p w14:paraId="38E28BE2">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144C8593">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采购人联系方式</w:t>
            </w:r>
          </w:p>
        </w:tc>
        <w:tc>
          <w:tcPr>
            <w:tcW w:w="6246" w:type="dxa"/>
            <w:vAlign w:val="center"/>
          </w:tcPr>
          <w:p w14:paraId="76810F15">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孝义市市场监督管理局</w:t>
            </w:r>
            <w:r>
              <w:rPr>
                <w:rFonts w:hint="eastAsia" w:ascii="宋体" w:hAnsi="宋体" w:eastAsia="宋体" w:cs="宋体"/>
                <w:color w:val="auto"/>
                <w:sz w:val="24"/>
                <w:szCs w:val="24"/>
                <w:highlight w:val="none"/>
              </w:rPr>
              <w:t xml:space="preserve">                        </w:t>
            </w:r>
          </w:p>
          <w:p w14:paraId="20866D2F">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0358-7898409</w:t>
            </w:r>
            <w:r>
              <w:rPr>
                <w:rFonts w:hint="eastAsia" w:ascii="宋体" w:hAnsi="宋体" w:eastAsia="宋体" w:cs="宋体"/>
                <w:color w:val="auto"/>
                <w:sz w:val="24"/>
                <w:szCs w:val="24"/>
                <w:highlight w:val="none"/>
              </w:rPr>
              <w:t xml:space="preserve">                       </w:t>
            </w:r>
          </w:p>
        </w:tc>
      </w:tr>
      <w:tr w14:paraId="701B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7" w:type="dxa"/>
            <w:vAlign w:val="center"/>
          </w:tcPr>
          <w:p w14:paraId="505C48D7">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820" w:type="dxa"/>
            <w:vAlign w:val="center"/>
          </w:tcPr>
          <w:p w14:paraId="0F0573FB">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w:t>
            </w:r>
          </w:p>
          <w:p w14:paraId="0EC2E886">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采购代理机构联系方式</w:t>
            </w:r>
          </w:p>
        </w:tc>
        <w:tc>
          <w:tcPr>
            <w:tcW w:w="6246" w:type="dxa"/>
            <w:vAlign w:val="center"/>
          </w:tcPr>
          <w:p w14:paraId="5EC83FF6">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山西中恒致泰工程项目管理有限公司</w:t>
            </w:r>
          </w:p>
          <w:p w14:paraId="7E6B4458">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15525844388</w:t>
            </w:r>
          </w:p>
        </w:tc>
      </w:tr>
      <w:tr w14:paraId="149F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7" w:type="dxa"/>
            <w:vAlign w:val="center"/>
          </w:tcPr>
          <w:p w14:paraId="7EBFCF85">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820" w:type="dxa"/>
            <w:vAlign w:val="center"/>
          </w:tcPr>
          <w:p w14:paraId="2990DAA8">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46" w:type="dxa"/>
            <w:vAlign w:val="center"/>
          </w:tcPr>
          <w:p w14:paraId="00AB0782">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lang w:eastAsia="zh-CN"/>
              </w:rPr>
              <w:t>孝义市市场监督管理局2026年电梯监督抽检项目</w:t>
            </w:r>
          </w:p>
        </w:tc>
      </w:tr>
      <w:tr w14:paraId="133D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7" w:type="dxa"/>
            <w:vAlign w:val="center"/>
          </w:tcPr>
          <w:p w14:paraId="0298B032">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2820" w:type="dxa"/>
            <w:shd w:val="clear" w:color="auto" w:fill="auto"/>
            <w:vAlign w:val="center"/>
          </w:tcPr>
          <w:p w14:paraId="4611DE7C">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合同履行期限</w:t>
            </w:r>
          </w:p>
        </w:tc>
        <w:tc>
          <w:tcPr>
            <w:tcW w:w="6246" w:type="dxa"/>
            <w:shd w:val="clear" w:color="auto" w:fill="auto"/>
            <w:vAlign w:val="center"/>
          </w:tcPr>
          <w:p w14:paraId="6B085108">
            <w:pPr>
              <w:keepNext/>
              <w:keepLines w:val="0"/>
              <w:pageBreakBefore w:val="0"/>
              <w:widowControl w:val="0"/>
              <w:kinsoku/>
              <w:bidi w:val="0"/>
              <w:adjustRightInd/>
              <w:spacing w:line="44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合同订立之日起，至2026年1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日</w:t>
            </w:r>
          </w:p>
        </w:tc>
      </w:tr>
      <w:tr w14:paraId="0AA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87" w:type="dxa"/>
            <w:vAlign w:val="center"/>
          </w:tcPr>
          <w:p w14:paraId="52F54CF7">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820" w:type="dxa"/>
            <w:shd w:val="clear" w:color="auto" w:fill="auto"/>
            <w:vAlign w:val="center"/>
          </w:tcPr>
          <w:p w14:paraId="3ABB144F">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供应商应具备的资格</w:t>
            </w:r>
          </w:p>
          <w:p w14:paraId="45E6FE40">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6246" w:type="dxa"/>
            <w:shd w:val="clear" w:color="auto" w:fill="auto"/>
            <w:vAlign w:val="center"/>
          </w:tcPr>
          <w:p w14:paraId="6F9F03F7">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F444492">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（一）具有独立承担民事责任的能力；</w:t>
            </w:r>
          </w:p>
          <w:p w14:paraId="1346B8D5">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（二）具有良好的商业信誉和健全的财务会计制度；</w:t>
            </w:r>
          </w:p>
          <w:p w14:paraId="0D4A809B">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（三）具有履行合同所必需的设备和专业技术能力；</w:t>
            </w:r>
          </w:p>
          <w:p w14:paraId="439EC995">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（四）有依法缴纳税收和社会保障资金的良好记录；</w:t>
            </w:r>
          </w:p>
          <w:p w14:paraId="6CA83B28">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14:paraId="6BE884BD">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（六）法律、行政法规规定的其他条件。</w:t>
            </w:r>
          </w:p>
          <w:p w14:paraId="07D8E806">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2、落实政府采购政策需满足的资格要求：本项目专门面向中小企业；</w:t>
            </w:r>
          </w:p>
          <w:p w14:paraId="1B31EC22">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3、本项目的特定资格要求：供应商需具备有效期内的《特种设备检验检测机构核准证》，核准项目与电梯检测相适应；且电梯检验、检测机构现未在孝义市辖区范围承担电梯检验任务和电梯检测服务。</w:t>
            </w:r>
          </w:p>
        </w:tc>
      </w:tr>
      <w:tr w14:paraId="5048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687" w:type="dxa"/>
            <w:vAlign w:val="center"/>
          </w:tcPr>
          <w:p w14:paraId="2E1F8DD6">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2820" w:type="dxa"/>
            <w:vAlign w:val="center"/>
          </w:tcPr>
          <w:p w14:paraId="45787F85">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资格证明文件</w:t>
            </w:r>
          </w:p>
          <w:p w14:paraId="0D6F85A7">
            <w:pPr>
              <w:keepNext/>
              <w:keepLines w:val="0"/>
              <w:pageBreakBefore w:val="0"/>
              <w:widowControl w:val="0"/>
              <w:kinsoku/>
              <w:bidi w:val="0"/>
              <w:adjustRightIn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（包括但不限于）</w:t>
            </w:r>
          </w:p>
        </w:tc>
        <w:tc>
          <w:tcPr>
            <w:tcW w:w="6246" w:type="dxa"/>
            <w:vAlign w:val="center"/>
          </w:tcPr>
          <w:p w14:paraId="20CF2197">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1、政府采购供应商信用承诺函（见‘响应文件格式’）；</w:t>
            </w:r>
          </w:p>
          <w:p w14:paraId="232B797F">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基本账户开户许可证或基本存款账户信息及磋商保证金的缴纳凭证：</w:t>
            </w:r>
          </w:p>
          <w:p w14:paraId="1360668B">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（1）须提供磋商保证金缴纳凭证扫描件或影印件（须加盖供应商公章）；</w:t>
            </w:r>
          </w:p>
          <w:p w14:paraId="772FA38B">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（2）须提供有效的基本户开户许可证或基本存款账户信息扫描件或影印件（须加盖供应商公章）。</w:t>
            </w:r>
          </w:p>
          <w:p w14:paraId="3B23C92E">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投标保证金金额及缴纳要求：</w:t>
            </w:r>
          </w:p>
          <w:p w14:paraId="65139FB9">
            <w:pPr>
              <w:keepNext/>
              <w:keepLines w:val="0"/>
              <w:pageBreakBefore w:val="0"/>
              <w:widowControl w:val="0"/>
              <w:kinsoku/>
              <w:bidi w:val="0"/>
              <w:adjustRightIn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人民币（大写）：叁仟元整    ￥3000.00</w:t>
            </w:r>
          </w:p>
          <w:p w14:paraId="0E516F75">
            <w:pPr>
              <w:keepNext/>
              <w:keepLines w:val="0"/>
              <w:pageBreakBefore w:val="0"/>
              <w:widowControl w:val="0"/>
              <w:kinsoku/>
              <w:bidi w:val="0"/>
              <w:adjustRightInd/>
              <w:spacing w:line="44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保证金的形式：</w:t>
            </w:r>
            <w:r>
              <w:rPr>
                <w:rFonts w:hint="eastAsia" w:ascii="宋体" w:hAnsi="宋体" w:eastAsia="宋体" w:cs="宋体"/>
                <w:bCs/>
                <w:kern w:val="2"/>
                <w:sz w:val="24"/>
                <w:szCs w:val="24"/>
                <w:highlight w:val="none"/>
                <w:lang w:val="en-US" w:eastAsia="zh-CN" w:bidi="ar-SA"/>
              </w:rPr>
              <w:t>支票、汇票、本票、网上银行转账或者金融机构、担保机构出具的保函等非现金形式。</w:t>
            </w:r>
          </w:p>
          <w:p w14:paraId="4E262805">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供应商在响应文件开启前，保证金须按照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文件要求的数额缴纳，须从供应商的对公账户转出，并确保在响应文件开启之前到账。</w:t>
            </w:r>
          </w:p>
          <w:p w14:paraId="77A7C278">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账户名称（收款单位）：山西中恒致泰工程项目管理有限公司</w:t>
            </w:r>
          </w:p>
          <w:p w14:paraId="362F6DC9">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 户 行：招商银行太原分行营业部</w:t>
            </w:r>
          </w:p>
          <w:p w14:paraId="3E3BBFF7">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号：351906110910802</w:t>
            </w:r>
          </w:p>
          <w:p w14:paraId="596739ED">
            <w:pPr>
              <w:pStyle w:val="11"/>
              <w:rPr>
                <w:rFonts w:hint="eastAsia"/>
                <w:lang w:val="en-US" w:eastAsia="zh-CN"/>
              </w:rPr>
            </w:pPr>
            <w:r>
              <w:rPr>
                <w:rFonts w:hint="eastAsia" w:ascii="宋体" w:hAnsi="宋体" w:eastAsia="宋体" w:cs="宋体"/>
                <w:bCs/>
                <w:kern w:val="2"/>
                <w:sz w:val="24"/>
                <w:szCs w:val="24"/>
                <w:highlight w:val="none"/>
                <w:lang w:val="en-US" w:eastAsia="zh-CN" w:bidi="ar-SA"/>
              </w:rPr>
              <w:t>行    号：308161039026</w:t>
            </w:r>
          </w:p>
          <w:p w14:paraId="5B8AC0C1">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44A17461">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（1）未按要求提交保证金或未足额缴纳保证金或未在开启时间之前到账的，均将被视为无效响应。</w:t>
            </w:r>
          </w:p>
          <w:p w14:paraId="75054C97">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（2）供应商缴纳保证金时，可在凭单用途栏中注明</w:t>
            </w:r>
            <w:r>
              <w:rPr>
                <w:rFonts w:hint="eastAsia" w:ascii="宋体" w:hAnsi="宋体" w:cs="宋体"/>
                <w:color w:val="auto"/>
                <w:sz w:val="24"/>
                <w:szCs w:val="24"/>
                <w:highlight w:val="none"/>
                <w:lang w:val="en-US" w:eastAsia="zh-CN"/>
              </w:rPr>
              <w:t>项目名称或</w:t>
            </w:r>
            <w:r>
              <w:rPr>
                <w:rFonts w:hint="eastAsia" w:ascii="宋体" w:hAnsi="宋体" w:eastAsia="宋体" w:cs="宋体"/>
                <w:color w:val="auto"/>
                <w:sz w:val="24"/>
                <w:szCs w:val="24"/>
                <w:highlight w:val="none"/>
                <w:lang w:val="en-US" w:eastAsia="zh-CN"/>
              </w:rPr>
              <w:t>项目编号，否则，由此造成的后果，由供应商自行承担。</w:t>
            </w:r>
          </w:p>
          <w:p w14:paraId="561F45D0">
            <w:pPr>
              <w:keepNext/>
              <w:keepLines w:val="0"/>
              <w:pageBreakBefore w:val="0"/>
              <w:widowControl w:val="0"/>
              <w:kinsoku/>
              <w:bidi w:val="0"/>
              <w:adjustRightIn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供应商认为需要提供的其他资格证明材料</w:t>
            </w:r>
          </w:p>
          <w:p w14:paraId="18A2C22A">
            <w:pPr>
              <w:keepNext/>
              <w:keepLines w:val="0"/>
              <w:pageBreakBefore w:val="0"/>
              <w:widowControl w:val="0"/>
              <w:kinsoku/>
              <w:bidi w:val="0"/>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注：资格证明文件，若有一项未提供或无效，将导致其不具备</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资格，且不允许在开启后补正。</w:t>
            </w:r>
          </w:p>
        </w:tc>
      </w:tr>
      <w:tr w14:paraId="2619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687" w:type="dxa"/>
            <w:vAlign w:val="center"/>
          </w:tcPr>
          <w:p w14:paraId="22ED1DA3">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2820" w:type="dxa"/>
            <w:vAlign w:val="center"/>
          </w:tcPr>
          <w:p w14:paraId="31D7EF61">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商务技术文件</w:t>
            </w:r>
          </w:p>
          <w:p w14:paraId="24782809">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（包括但不限于）</w:t>
            </w:r>
          </w:p>
        </w:tc>
        <w:tc>
          <w:tcPr>
            <w:tcW w:w="6246" w:type="dxa"/>
            <w:vAlign w:val="center"/>
          </w:tcPr>
          <w:p w14:paraId="21594922">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法定代表人（负责人）身份证明书(见‘响应文件格式’)； </w:t>
            </w:r>
          </w:p>
          <w:p w14:paraId="63F045C5">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法定代表人（负责人）授权委托书(见‘响应文件格式’，若供应商代表为法定代表人的可不提供)；</w:t>
            </w:r>
          </w:p>
          <w:p w14:paraId="72F025CA">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、响应函</w:t>
            </w:r>
            <w:r>
              <w:rPr>
                <w:rFonts w:hint="eastAsia" w:ascii="宋体" w:hAnsi="宋体" w:cs="宋体"/>
                <w:color w:val="auto"/>
                <w:sz w:val="24"/>
                <w:highlight w:val="none"/>
              </w:rPr>
              <w:t>(见‘响应文件格式’)；</w:t>
            </w:r>
          </w:p>
          <w:p w14:paraId="2F481507">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报价一览表</w:t>
            </w:r>
            <w:r>
              <w:rPr>
                <w:rFonts w:hint="eastAsia" w:ascii="宋体" w:hAnsi="宋体" w:cs="宋体"/>
                <w:color w:val="auto"/>
                <w:sz w:val="24"/>
                <w:highlight w:val="none"/>
                <w:lang w:val="en-US" w:eastAsia="zh-CN"/>
              </w:rPr>
              <w:t>及详细报价明细表</w:t>
            </w:r>
            <w:r>
              <w:rPr>
                <w:rFonts w:hint="eastAsia" w:ascii="宋体" w:hAnsi="宋体" w:cs="宋体"/>
                <w:color w:val="auto"/>
                <w:sz w:val="24"/>
                <w:highlight w:val="none"/>
              </w:rPr>
              <w:t>(见‘响应文件格式’)；</w:t>
            </w:r>
          </w:p>
          <w:p w14:paraId="6AEA522C">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商务技术规范响应及偏离表（见‘响应文件格式’）；</w:t>
            </w:r>
          </w:p>
          <w:p w14:paraId="75184110">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服务方案；</w:t>
            </w:r>
          </w:p>
          <w:p w14:paraId="5191733E">
            <w:pPr>
              <w:keepLines w:val="0"/>
              <w:pageBreakBefore w:val="0"/>
              <w:widowControl w:val="0"/>
              <w:kinsoku/>
              <w:topLinePunct/>
              <w:autoSpaceDE w:val="0"/>
              <w:autoSpaceDN w:val="0"/>
              <w:bidi w:val="0"/>
              <w:adjustRightInd/>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近三年同类项目案例及证明资料；</w:t>
            </w:r>
          </w:p>
          <w:p w14:paraId="5D00772A">
            <w:pPr>
              <w:keepLines w:val="0"/>
              <w:pageBreakBefore w:val="0"/>
              <w:widowControl w:val="0"/>
              <w:kinsoku/>
              <w:topLinePunct/>
              <w:autoSpaceDE w:val="0"/>
              <w:autoSpaceDN w:val="0"/>
              <w:bidi w:val="0"/>
              <w:adjustRightInd/>
              <w:spacing w:line="44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8、供应商认为需要提供的其他商务、技术材料；</w:t>
            </w:r>
          </w:p>
          <w:p w14:paraId="5AF46F40">
            <w:pPr>
              <w:pStyle w:val="11"/>
              <w:rPr>
                <w:rFonts w:hint="default"/>
                <w:lang w:val="en-US"/>
              </w:rPr>
            </w:pPr>
            <w:r>
              <w:rPr>
                <w:rFonts w:hint="eastAsia" w:ascii="宋体" w:hAnsi="宋体" w:cs="宋体"/>
                <w:color w:val="auto"/>
                <w:sz w:val="24"/>
                <w:highlight w:val="none"/>
                <w:lang w:val="en-US" w:eastAsia="zh-CN"/>
              </w:rPr>
              <w:t>9、政策性要求。</w:t>
            </w:r>
          </w:p>
        </w:tc>
      </w:tr>
      <w:tr w14:paraId="1B49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7" w:type="dxa"/>
            <w:vAlign w:val="center"/>
          </w:tcPr>
          <w:p w14:paraId="76170DCC">
            <w:pPr>
              <w:keepNext/>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2820" w:type="dxa"/>
            <w:shd w:val="clear" w:color="auto" w:fill="auto"/>
            <w:vAlign w:val="center"/>
          </w:tcPr>
          <w:p w14:paraId="2C1C92BF">
            <w:pPr>
              <w:keepNext/>
              <w:keepLines w:val="0"/>
              <w:pageBreakBefore w:val="0"/>
              <w:widowControl w:val="0"/>
              <w:kinsoku/>
              <w:bidi w:val="0"/>
              <w:adjustRightInd/>
              <w:snapToGrid w:val="0"/>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有效期</w:t>
            </w:r>
          </w:p>
        </w:tc>
        <w:tc>
          <w:tcPr>
            <w:tcW w:w="6246" w:type="dxa"/>
            <w:shd w:val="clear" w:color="auto" w:fill="auto"/>
            <w:vAlign w:val="center"/>
          </w:tcPr>
          <w:p w14:paraId="1D9963E6">
            <w:pPr>
              <w:pStyle w:val="13"/>
              <w:keepLines w:val="0"/>
              <w:pageBreakBefore w:val="0"/>
              <w:widowControl w:val="0"/>
              <w:kinsoku/>
              <w:bidi w:val="0"/>
              <w:adjustRightInd/>
              <w:snapToGrid w:val="0"/>
              <w:spacing w:line="440" w:lineRule="exac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90日历天（从提交响应文件截止之日起计算）</w:t>
            </w:r>
          </w:p>
        </w:tc>
      </w:tr>
      <w:tr w14:paraId="737A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7" w:type="dxa"/>
            <w:vAlign w:val="center"/>
          </w:tcPr>
          <w:p w14:paraId="0D8E4D34">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2820" w:type="dxa"/>
            <w:shd w:val="clear" w:color="auto" w:fill="auto"/>
            <w:vAlign w:val="center"/>
          </w:tcPr>
          <w:p w14:paraId="3A7E2E25">
            <w:pPr>
              <w:keepNext/>
              <w:keepLines w:val="0"/>
              <w:pageBreakBefore w:val="0"/>
              <w:widowControl w:val="0"/>
              <w:kinsoku/>
              <w:bidi w:val="0"/>
              <w:adjustRightInd/>
              <w:snapToGrid w:val="0"/>
              <w:spacing w:line="44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是否允许联合体参加</w:t>
            </w:r>
          </w:p>
        </w:tc>
        <w:tc>
          <w:tcPr>
            <w:tcW w:w="6246" w:type="dxa"/>
            <w:shd w:val="clear" w:color="auto" w:fill="auto"/>
            <w:vAlign w:val="center"/>
          </w:tcPr>
          <w:p w14:paraId="78D90A45">
            <w:pPr>
              <w:pStyle w:val="13"/>
              <w:keepLines w:val="0"/>
              <w:pageBreakBefore w:val="0"/>
              <w:widowControl w:val="0"/>
              <w:kinsoku/>
              <w:bidi w:val="0"/>
              <w:adjustRightInd/>
              <w:snapToGrid w:val="0"/>
              <w:spacing w:line="440" w:lineRule="exac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否</w:t>
            </w:r>
          </w:p>
        </w:tc>
      </w:tr>
      <w:tr w14:paraId="19CE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687" w:type="dxa"/>
            <w:vAlign w:val="center"/>
          </w:tcPr>
          <w:p w14:paraId="2D2F63AF">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820" w:type="dxa"/>
            <w:shd w:val="clear" w:color="auto" w:fill="auto"/>
            <w:vAlign w:val="center"/>
          </w:tcPr>
          <w:p w14:paraId="7AA8A2DA">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政府采购相关政策要求（如涉及的话）</w:t>
            </w:r>
          </w:p>
        </w:tc>
        <w:tc>
          <w:tcPr>
            <w:tcW w:w="6246" w:type="dxa"/>
            <w:shd w:val="clear" w:color="auto" w:fill="auto"/>
            <w:vAlign w:val="center"/>
          </w:tcPr>
          <w:p w14:paraId="577C52B8">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1、本项目涉及进口产品的要求：</w:t>
            </w:r>
          </w:p>
          <w:p w14:paraId="4D90BFEE">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（1）本项目采购标的物未特别注明“进口产品”字样的，均必须采购国产产品</w:t>
            </w:r>
            <w:r>
              <w:rPr>
                <w:rFonts w:hint="eastAsia" w:asciiTheme="minorEastAsia" w:hAnsiTheme="minorEastAsia" w:eastAsiaTheme="minorEastAsia" w:cstheme="minorEastAsia"/>
                <w:color w:val="auto"/>
                <w:sz w:val="24"/>
                <w:szCs w:val="24"/>
                <w:highlight w:val="none"/>
                <w:lang w:eastAsia="zh-CN"/>
              </w:rPr>
              <w:t>，即非“通过中国海关报关验放进入中国境内且产自关境外的产品”，采购产品各项技术标准必须符合国家强制性标准。</w:t>
            </w:r>
          </w:p>
          <w:p w14:paraId="076FFB66">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84F95FF">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2、本项目涉及“节能产品政府采购品目清单”政府强制采购产品的要求： </w:t>
            </w:r>
          </w:p>
          <w:p w14:paraId="03AF0048">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文件所采购产品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2C867163">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（2）本文件未列出政府强制采购节能产品的，磋商供应商可投报“节能产品政府采购品目清单”中非政府强制采购节能产品或其范围以外的产品。</w:t>
            </w:r>
          </w:p>
          <w:p w14:paraId="74C44E8E">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3、本项目涉及非政府强制采购产品的要求：</w:t>
            </w:r>
          </w:p>
          <w:p w14:paraId="2B61207B">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（1）投报产品有“节能产品政府采购品目清单、环境标志产品政府采购品目清单”中非政府强制采购产品的将实行优先采购政策。</w:t>
            </w:r>
          </w:p>
          <w:p w14:paraId="0B2EC9CC">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（2）磋商供应商须如实填写《非政府强制采购产品明细表》，并提供所投产品获得国家确定的认证机构出具的、处于有效期之内的节能产品、环境标志产品认证证书扫描件或影印件。</w:t>
            </w:r>
          </w:p>
          <w:p w14:paraId="14BD3B6F">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4、本项目涉及正版软件的要求：</w:t>
            </w:r>
          </w:p>
          <w:p w14:paraId="46C7C93D">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磋商供应商需承诺投报的计算机产品预装正版操作系统，投报的硬件产品内的预装软件为正版软件。</w:t>
            </w:r>
          </w:p>
          <w:p w14:paraId="772B4C94">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5、本项目涉及信息安全产品的要求：</w:t>
            </w:r>
          </w:p>
          <w:p w14:paraId="3EE256B8">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扫描件或影印件。</w:t>
            </w:r>
          </w:p>
          <w:p w14:paraId="0749FBBB">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6、中小企业参加本项目磋商：</w:t>
            </w:r>
          </w:p>
          <w:p w14:paraId="47DC99AB">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格式见第七部分）。</w:t>
            </w:r>
          </w:p>
          <w:p w14:paraId="50715D8E">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及《关于进一步加大政府采购支持中小企业力度的通知》（财库〔2022〕19号）、《关于进一步加大政府采购支持中小企业力度 助力扎实稳住经济的通知》（晋财购[2022]6号）规定的小微企业报价给予15%的扣除。</w:t>
            </w:r>
          </w:p>
          <w:p w14:paraId="5DE2B571">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根据中小企业划型标准，本项目属于</w:t>
            </w:r>
            <w:r>
              <w:rPr>
                <w:rFonts w:hint="eastAsia" w:asciiTheme="minorEastAsia" w:hAnsiTheme="minorEastAsia" w:eastAsiaTheme="minorEastAsia" w:cstheme="minorEastAsia"/>
                <w:b/>
                <w:bCs/>
                <w:color w:val="auto"/>
                <w:sz w:val="24"/>
                <w:szCs w:val="24"/>
                <w:highlight w:val="none"/>
                <w:u w:val="single"/>
                <w:lang w:val="en-US" w:eastAsia="zh-CN"/>
              </w:rPr>
              <w:t>其他未列明行业</w:t>
            </w:r>
            <w:r>
              <w:rPr>
                <w:rFonts w:hint="eastAsia" w:asciiTheme="minorEastAsia" w:hAnsiTheme="minorEastAsia" w:eastAsiaTheme="minorEastAsia" w:cstheme="minorEastAsia"/>
                <w:color w:val="auto"/>
                <w:sz w:val="24"/>
                <w:szCs w:val="24"/>
                <w:highlight w:val="none"/>
              </w:rPr>
              <w:t>。</w:t>
            </w:r>
          </w:p>
          <w:p w14:paraId="31CC32C0">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7、残疾人福利性单位参加本项目磋商的要求：</w:t>
            </w:r>
          </w:p>
          <w:p w14:paraId="19B5D7FE">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三部门联合发布关于促进残疾人就业政府采购政策的通知》（财库[2017]141号）第三条规定，在政府采购活动中，残疾人福利性单位视同小型、微型企业，享受预留份额、评审中价格扣除等政府采购促进中小企业发展的政府采购政策。</w:t>
            </w:r>
          </w:p>
          <w:p w14:paraId="341DE7FC">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8、监狱企业参加本项目磋商的要求：</w:t>
            </w:r>
          </w:p>
          <w:p w14:paraId="594786C1">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23AF1CB4">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9、本项目涉及创新产品、创新服务的要求：</w:t>
            </w:r>
          </w:p>
          <w:p w14:paraId="082B3999">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（1）磋商供应商投报产品或服务属于《山西省创新产品和服务推荐清单》中创新产品或创新服务的，在评审时，享受投报产品价格折扣。</w:t>
            </w:r>
          </w:p>
          <w:p w14:paraId="4750E805">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（2）磋商供应商投报创新产品或创新服务的，应在响应文件中提供《山西省创新产品和服务推荐清单》，并填写《创新产品或创新服务明细表》。</w:t>
            </w:r>
          </w:p>
          <w:p w14:paraId="087AB538">
            <w:pPr>
              <w:keepNext w:val="0"/>
              <w:keepLines w:val="0"/>
              <w:pageBreakBefore w:val="0"/>
              <w:widowControl w:val="0"/>
              <w:kinsoku/>
              <w:wordWrap/>
              <w:overflowPunct w:val="0"/>
              <w:bidi w:val="0"/>
              <w:adjustRightIn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10、本项目涉及商品包装和快递包装的要求：</w:t>
            </w:r>
          </w:p>
          <w:p w14:paraId="7E7D28A3">
            <w:pPr>
              <w:keepLines w:val="0"/>
              <w:pageBreakBefore w:val="0"/>
              <w:widowControl w:val="0"/>
              <w:kinsoku/>
              <w:bidi w:val="0"/>
              <w:adjustRightIn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tc>
      </w:tr>
      <w:tr w14:paraId="26B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87" w:type="dxa"/>
            <w:vAlign w:val="center"/>
          </w:tcPr>
          <w:p w14:paraId="1212257C">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2820" w:type="dxa"/>
            <w:shd w:val="clear" w:color="auto" w:fill="auto"/>
            <w:vAlign w:val="center"/>
          </w:tcPr>
          <w:p w14:paraId="776724C1">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响应文件递交</w:t>
            </w:r>
          </w:p>
        </w:tc>
        <w:tc>
          <w:tcPr>
            <w:tcW w:w="6246" w:type="dxa"/>
            <w:shd w:val="clear" w:color="auto" w:fill="auto"/>
            <w:vAlign w:val="center"/>
          </w:tcPr>
          <w:p w14:paraId="09790A89">
            <w:pPr>
              <w:keepNext w:val="0"/>
              <w:keepLines w:val="0"/>
              <w:pageBreakBefore w:val="0"/>
              <w:widowControl w:val="0"/>
              <w:kinsoku/>
              <w:wordWrap w:val="0"/>
              <w:overflowPunct/>
              <w:topLinePunct/>
              <w:autoSpaceDE w:val="0"/>
              <w:autoSpaceDN w:val="0"/>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递交截止时间：</w:t>
            </w:r>
            <w:r>
              <w:rPr>
                <w:rFonts w:hint="eastAsia" w:ascii="宋体" w:hAnsi="宋体" w:cs="宋体"/>
                <w:color w:val="auto"/>
                <w:kern w:val="0"/>
                <w:sz w:val="24"/>
                <w:szCs w:val="24"/>
                <w:highlight w:val="none"/>
                <w:lang w:eastAsia="zh-CN"/>
              </w:rPr>
              <w:t>2026年05月20日15时00分</w:t>
            </w:r>
            <w:r>
              <w:rPr>
                <w:rFonts w:hint="eastAsia" w:ascii="宋体" w:hAnsi="宋体" w:eastAsia="宋体" w:cs="宋体"/>
                <w:color w:val="auto"/>
                <w:kern w:val="0"/>
                <w:sz w:val="24"/>
                <w:szCs w:val="24"/>
                <w:highlight w:val="none"/>
              </w:rPr>
              <w:t>（北京时间）前在山西省政府采购信息平台（http://www.ccgp-shanxi.gov.cn/home.html）中完成递交（上传），截止时间前未完成响应文件上传的，视为撤回响应文件，供应商自行承担责任。</w:t>
            </w:r>
          </w:p>
          <w:p w14:paraId="1EBEC5FE">
            <w:pPr>
              <w:keepNext w:val="0"/>
              <w:keepLines w:val="0"/>
              <w:pageBreakBefore w:val="0"/>
              <w:widowControl w:val="0"/>
              <w:kinsoku/>
              <w:wordWrap w:val="0"/>
              <w:overflowPunct/>
              <w:topLinePunct/>
              <w:autoSpaceDE w:val="0"/>
              <w:autoSpaceDN w:val="0"/>
              <w:bidi w:val="0"/>
              <w:adjustRightInd/>
              <w:snapToGri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递交地址：政采云平台投标客户端</w:t>
            </w:r>
          </w:p>
        </w:tc>
      </w:tr>
      <w:tr w14:paraId="20FD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87" w:type="dxa"/>
            <w:vAlign w:val="center"/>
          </w:tcPr>
          <w:p w14:paraId="31977614">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2820" w:type="dxa"/>
            <w:shd w:val="clear" w:color="auto" w:fill="auto"/>
            <w:vAlign w:val="center"/>
          </w:tcPr>
          <w:p w14:paraId="7AFD2232">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小组构成</w:t>
            </w:r>
          </w:p>
        </w:tc>
        <w:tc>
          <w:tcPr>
            <w:tcW w:w="6246" w:type="dxa"/>
            <w:shd w:val="clear" w:color="auto" w:fill="auto"/>
            <w:vAlign w:val="center"/>
          </w:tcPr>
          <w:p w14:paraId="6B00BCD6">
            <w:pPr>
              <w:keepLines w:val="0"/>
              <w:pageBreakBefore w:val="0"/>
              <w:widowControl w:val="0"/>
              <w:kinsoku/>
              <w:bidi w:val="0"/>
              <w:adjustRightIn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本采购项目的</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小组成员由</w:t>
            </w:r>
            <w:r>
              <w:rPr>
                <w:rFonts w:hint="eastAsia" w:ascii="宋体" w:hAnsi="宋体" w:eastAsia="宋体" w:cs="宋体"/>
                <w:bCs/>
                <w:color w:val="auto"/>
                <w:sz w:val="24"/>
                <w:szCs w:val="24"/>
                <w:highlight w:val="none"/>
                <w:u w:val="single"/>
              </w:rPr>
              <w:t>3</w:t>
            </w:r>
            <w:r>
              <w:rPr>
                <w:rFonts w:hint="eastAsia" w:ascii="宋体" w:hAnsi="宋体" w:eastAsia="宋体" w:cs="宋体"/>
                <w:bCs/>
                <w:color w:val="auto"/>
                <w:sz w:val="24"/>
                <w:szCs w:val="24"/>
                <w:highlight w:val="none"/>
              </w:rPr>
              <w:t>人组成，其中评审专家</w:t>
            </w:r>
            <w:r>
              <w:rPr>
                <w:rFonts w:hint="eastAsia" w:ascii="宋体" w:hAnsi="宋体" w:eastAsia="宋体" w:cs="宋体"/>
                <w:bCs/>
                <w:color w:val="auto"/>
                <w:sz w:val="24"/>
                <w:szCs w:val="24"/>
                <w:highlight w:val="none"/>
                <w:u w:val="single"/>
              </w:rPr>
              <w:t>2</w:t>
            </w:r>
            <w:r>
              <w:rPr>
                <w:rFonts w:hint="eastAsia" w:ascii="宋体" w:hAnsi="宋体" w:eastAsia="宋体" w:cs="宋体"/>
                <w:bCs/>
                <w:color w:val="auto"/>
                <w:sz w:val="24"/>
                <w:szCs w:val="24"/>
                <w:highlight w:val="none"/>
              </w:rPr>
              <w:t>人，采购人代表</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rPr>
              <w:t>人。</w:t>
            </w:r>
          </w:p>
        </w:tc>
      </w:tr>
      <w:tr w14:paraId="1EF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687" w:type="dxa"/>
            <w:vAlign w:val="center"/>
          </w:tcPr>
          <w:p w14:paraId="5548319A">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2820" w:type="dxa"/>
            <w:shd w:val="clear" w:color="auto" w:fill="auto"/>
            <w:vAlign w:val="center"/>
          </w:tcPr>
          <w:p w14:paraId="4ABECCA9">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提出成交候选供应商</w:t>
            </w:r>
          </w:p>
        </w:tc>
        <w:tc>
          <w:tcPr>
            <w:tcW w:w="6246" w:type="dxa"/>
            <w:shd w:val="clear" w:color="auto" w:fill="auto"/>
            <w:vAlign w:val="center"/>
          </w:tcPr>
          <w:p w14:paraId="701BA37D">
            <w:pPr>
              <w:keepLines w:val="0"/>
              <w:pageBreakBefore w:val="0"/>
              <w:widowControl w:val="0"/>
              <w:kinsoku/>
              <w:bidi w:val="0"/>
              <w:adjustRightIn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质量和服务均能满足</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文件实质性响应要求的供应商中，按照供应商由低到高的报价顺序，甲方授权评标委员会按照成交候选供应商排序，优先直接确定排名第一的供应商为成交供应商。</w:t>
            </w:r>
          </w:p>
        </w:tc>
      </w:tr>
      <w:tr w14:paraId="041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87" w:type="dxa"/>
            <w:vAlign w:val="center"/>
          </w:tcPr>
          <w:p w14:paraId="017FA61D">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2820" w:type="dxa"/>
            <w:shd w:val="clear" w:color="auto" w:fill="auto"/>
            <w:vAlign w:val="center"/>
          </w:tcPr>
          <w:p w14:paraId="7B03592D">
            <w:pPr>
              <w:keepLines w:val="0"/>
              <w:pageBreakBefore w:val="0"/>
              <w:widowControl w:val="0"/>
              <w:kinsoku/>
              <w:bidi w:val="0"/>
              <w:adjustRightInd/>
              <w:spacing w:line="440" w:lineRule="exact"/>
              <w:ind w:left="-101" w:leftChars="-48" w:right="-94" w:rightChars="-45" w:firstLine="132" w:firstLineChars="5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样品或演示</w:t>
            </w:r>
          </w:p>
        </w:tc>
        <w:tc>
          <w:tcPr>
            <w:tcW w:w="6246" w:type="dxa"/>
            <w:shd w:val="clear" w:color="auto" w:fill="auto"/>
            <w:vAlign w:val="center"/>
          </w:tcPr>
          <w:p w14:paraId="5C83BA9C">
            <w:pPr>
              <w:keepLines w:val="0"/>
              <w:pageBreakBefore w:val="0"/>
              <w:widowControl w:val="0"/>
              <w:kinsoku/>
              <w:bidi w:val="0"/>
              <w:adjustRightInd/>
              <w:spacing w:line="440" w:lineRule="exact"/>
              <w:ind w:left="-101" w:leftChars="-48" w:right="-94" w:rightChars="-45" w:firstLine="132" w:firstLineChars="55"/>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无</w:t>
            </w:r>
          </w:p>
        </w:tc>
      </w:tr>
      <w:tr w14:paraId="3760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87" w:type="dxa"/>
            <w:vAlign w:val="center"/>
          </w:tcPr>
          <w:p w14:paraId="7422CED9">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2820" w:type="dxa"/>
            <w:shd w:val="clear" w:color="auto" w:fill="auto"/>
            <w:vAlign w:val="center"/>
          </w:tcPr>
          <w:p w14:paraId="1EC6A16E">
            <w:pPr>
              <w:keepLines w:val="0"/>
              <w:pageBreakBefore w:val="0"/>
              <w:widowControl w:val="0"/>
              <w:kinsoku/>
              <w:topLinePunct/>
              <w:autoSpaceDE w:val="0"/>
              <w:autoSpaceDN w:val="0"/>
              <w:bidi w:val="0"/>
              <w:adjustRightInd/>
              <w:spacing w:line="440" w:lineRule="exact"/>
              <w:ind w:left="-105" w:leftChars="-50" w:right="-105" w:right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现场勘查</w:t>
            </w:r>
          </w:p>
        </w:tc>
        <w:tc>
          <w:tcPr>
            <w:tcW w:w="6246" w:type="dxa"/>
            <w:shd w:val="clear" w:color="auto" w:fill="auto"/>
            <w:vAlign w:val="center"/>
          </w:tcPr>
          <w:p w14:paraId="5E23FB73">
            <w:pPr>
              <w:pStyle w:val="43"/>
              <w:keepNext w:val="0"/>
              <w:keepLines w:val="0"/>
              <w:pageBreakBefore w:val="0"/>
              <w:widowControl w:val="0"/>
              <w:kinsoku/>
              <w:topLinePunct/>
              <w:autoSpaceDE w:val="0"/>
              <w:autoSpaceDN w:val="0"/>
              <w:bidi w:val="0"/>
              <w:adjustRightInd/>
              <w:snapToGrid w:val="0"/>
              <w:spacing w:before="0"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☑不组织，自行踏勘，事先与采购人联系。</w:t>
            </w:r>
          </w:p>
          <w:p w14:paraId="05CCEE6A">
            <w:pPr>
              <w:pStyle w:val="43"/>
              <w:keepNext w:val="0"/>
              <w:keepLines w:val="0"/>
              <w:pageBreakBefore w:val="0"/>
              <w:widowControl w:val="0"/>
              <w:kinsoku/>
              <w:topLinePunct/>
              <w:autoSpaceDE w:val="0"/>
              <w:autoSpaceDN w:val="0"/>
              <w:bidi w:val="0"/>
              <w:adjustRightInd/>
              <w:snapToGrid w:val="0"/>
              <w:spacing w:before="0"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□组织，踏勘时间和地点：</w:t>
            </w:r>
          </w:p>
          <w:p w14:paraId="4B9CE0F1">
            <w:pPr>
              <w:pStyle w:val="43"/>
              <w:keepNext w:val="0"/>
              <w:keepLines w:val="0"/>
              <w:pageBreakBefore w:val="0"/>
              <w:widowControl w:val="0"/>
              <w:kinsoku/>
              <w:topLinePunct/>
              <w:autoSpaceDE w:val="0"/>
              <w:autoSpaceDN w:val="0"/>
              <w:bidi w:val="0"/>
              <w:adjustRightInd/>
              <w:snapToGrid w:val="0"/>
              <w:spacing w:before="0" w:after="0"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采购人的踏勘通知通过平台发布，一经发布，视作已发放给所有供应商，各供应商应随时关注投标项目信息，及时登陆平台进行确认，否则所造成的一切后果由供应商自负。</w:t>
            </w:r>
          </w:p>
        </w:tc>
      </w:tr>
      <w:tr w14:paraId="0D0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87" w:type="dxa"/>
            <w:vAlign w:val="center"/>
          </w:tcPr>
          <w:p w14:paraId="7F75590F">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2820" w:type="dxa"/>
            <w:shd w:val="clear" w:color="auto" w:fill="auto"/>
            <w:vAlign w:val="center"/>
          </w:tcPr>
          <w:p w14:paraId="0CB12D1F">
            <w:pPr>
              <w:keepLines w:val="0"/>
              <w:pageBreakBefore w:val="0"/>
              <w:widowControl w:val="0"/>
              <w:kinsoku/>
              <w:topLinePunct/>
              <w:autoSpaceDE w:val="0"/>
              <w:autoSpaceDN w:val="0"/>
              <w:bidi w:val="0"/>
              <w:adjustRightInd/>
              <w:spacing w:line="440" w:lineRule="exact"/>
              <w:ind w:left="-105" w:leftChars="-50" w:right="-105" w:right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标前答疑</w:t>
            </w:r>
          </w:p>
        </w:tc>
        <w:tc>
          <w:tcPr>
            <w:tcW w:w="6246" w:type="dxa"/>
            <w:shd w:val="clear" w:color="auto" w:fill="auto"/>
            <w:vAlign w:val="center"/>
          </w:tcPr>
          <w:p w14:paraId="2E595682">
            <w:pPr>
              <w:pStyle w:val="43"/>
              <w:keepNext w:val="0"/>
              <w:keepLines w:val="0"/>
              <w:pageBreakBefore w:val="0"/>
              <w:widowControl w:val="0"/>
              <w:kinsoku/>
              <w:topLinePunct/>
              <w:autoSpaceDE w:val="0"/>
              <w:autoSpaceDN w:val="0"/>
              <w:bidi w:val="0"/>
              <w:adjustRightInd/>
              <w:snapToGrid w:val="0"/>
              <w:spacing w:before="0"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☑不召开</w:t>
            </w:r>
          </w:p>
          <w:p w14:paraId="796C81DC">
            <w:pPr>
              <w:pStyle w:val="43"/>
              <w:keepNext w:val="0"/>
              <w:keepLines w:val="0"/>
              <w:pageBreakBefore w:val="0"/>
              <w:widowControl w:val="0"/>
              <w:kinsoku/>
              <w:topLinePunct/>
              <w:autoSpaceDE w:val="0"/>
              <w:autoSpaceDN w:val="0"/>
              <w:bidi w:val="0"/>
              <w:adjustRightInd/>
              <w:snapToGrid w:val="0"/>
              <w:spacing w:before="0" w:after="0"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□召开，具体时间和地点：</w:t>
            </w:r>
          </w:p>
        </w:tc>
      </w:tr>
      <w:tr w14:paraId="3E3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87" w:type="dxa"/>
            <w:vAlign w:val="center"/>
          </w:tcPr>
          <w:p w14:paraId="3CA40717">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2820" w:type="dxa"/>
            <w:shd w:val="clear" w:color="auto" w:fill="auto"/>
            <w:vAlign w:val="center"/>
          </w:tcPr>
          <w:p w14:paraId="4C62B9B1">
            <w:pPr>
              <w:keepLines w:val="0"/>
              <w:pageBreakBefore w:val="0"/>
              <w:widowControl w:val="0"/>
              <w:kinsoku/>
              <w:bidi w:val="0"/>
              <w:adjustRightInd/>
              <w:spacing w:line="440" w:lineRule="exact"/>
              <w:ind w:left="-103" w:leftChars="-49" w:right="-94" w:rightChars="-4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中可实质性变动内容</w:t>
            </w:r>
          </w:p>
        </w:tc>
        <w:tc>
          <w:tcPr>
            <w:tcW w:w="6246" w:type="dxa"/>
            <w:shd w:val="clear" w:color="auto" w:fill="auto"/>
            <w:vAlign w:val="bottom"/>
          </w:tcPr>
          <w:p w14:paraId="170B8EA2">
            <w:pPr>
              <w:pStyle w:val="43"/>
              <w:keepNext w:val="0"/>
              <w:keepLines w:val="0"/>
              <w:pageBreakBefore w:val="0"/>
              <w:widowControl w:val="0"/>
              <w:kinsoku/>
              <w:bidi w:val="0"/>
              <w:adjustRightInd/>
              <w:snapToGrid w:val="0"/>
              <w:spacing w:before="0" w:after="0"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部分采购需求中</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技术要求等相关内容及第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合同原则</w:t>
            </w:r>
            <w:r>
              <w:rPr>
                <w:rFonts w:hint="eastAsia" w:ascii="宋体" w:hAnsi="宋体" w:eastAsia="宋体" w:cs="宋体"/>
                <w:color w:val="auto"/>
                <w:sz w:val="24"/>
                <w:szCs w:val="24"/>
                <w:highlight w:val="none"/>
              </w:rPr>
              <w:t>中相关内容</w:t>
            </w:r>
            <w:r>
              <w:rPr>
                <w:rFonts w:hint="eastAsia" w:cs="宋体"/>
                <w:color w:val="auto"/>
                <w:sz w:val="24"/>
                <w:szCs w:val="24"/>
                <w:highlight w:val="none"/>
                <w:lang w:eastAsia="zh-CN"/>
              </w:rPr>
              <w:t>。</w:t>
            </w:r>
          </w:p>
        </w:tc>
      </w:tr>
      <w:tr w14:paraId="2A72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87" w:type="dxa"/>
            <w:vAlign w:val="center"/>
          </w:tcPr>
          <w:p w14:paraId="6515F1F1">
            <w:pPr>
              <w:keepLines w:val="0"/>
              <w:pageBreakBefore w:val="0"/>
              <w:widowControl w:val="0"/>
              <w:kinsoku/>
              <w:bidi w:val="0"/>
              <w:adjustRightIn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8</w:t>
            </w:r>
          </w:p>
        </w:tc>
        <w:tc>
          <w:tcPr>
            <w:tcW w:w="2820" w:type="dxa"/>
            <w:shd w:val="clear" w:color="auto" w:fill="auto"/>
            <w:vAlign w:val="center"/>
          </w:tcPr>
          <w:p w14:paraId="581DCE37">
            <w:pPr>
              <w:keepLines w:val="0"/>
              <w:pageBreakBefore w:val="0"/>
              <w:widowControl w:val="0"/>
              <w:kinsoku/>
              <w:bidi w:val="0"/>
              <w:adjustRightInd/>
              <w:spacing w:line="440" w:lineRule="exact"/>
              <w:ind w:left="-103" w:leftChars="-49" w:right="-94" w:rightChars="-4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招标代理费</w:t>
            </w:r>
          </w:p>
        </w:tc>
        <w:tc>
          <w:tcPr>
            <w:tcW w:w="6246" w:type="dxa"/>
            <w:shd w:val="clear" w:color="auto" w:fill="auto"/>
            <w:vAlign w:val="center"/>
          </w:tcPr>
          <w:p w14:paraId="74F44652">
            <w:pPr>
              <w:pStyle w:val="43"/>
              <w:keepNext w:val="0"/>
              <w:keepLines w:val="0"/>
              <w:pageBreakBefore w:val="0"/>
              <w:widowControl w:val="0"/>
              <w:kinsoku/>
              <w:bidi w:val="0"/>
              <w:adjustRightInd/>
              <w:snapToGrid w:val="0"/>
              <w:spacing w:before="0" w:after="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代理费支付方式：供应商支付。</w:t>
            </w:r>
          </w:p>
          <w:p w14:paraId="5FF02308">
            <w:pPr>
              <w:pStyle w:val="43"/>
              <w:keepNext w:val="0"/>
              <w:keepLines w:val="0"/>
              <w:pageBreakBefore w:val="0"/>
              <w:widowControl w:val="0"/>
              <w:kinsoku/>
              <w:bidi w:val="0"/>
              <w:adjustRightInd/>
              <w:snapToGrid w:val="0"/>
              <w:spacing w:before="0" w:after="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代理费收费标准：国家计委计价格（[2002]1980号、国家发改委发改价格[2003]857 号、《国家发展改革委关于降低部分建设项目收费标准规范收费行为等有关问题的通知》（发改价格[2011]534 号）文件规定收取。</w:t>
            </w:r>
          </w:p>
          <w:p w14:paraId="44BADE1D">
            <w:pPr>
              <w:pStyle w:val="43"/>
              <w:keepNext w:val="0"/>
              <w:keepLines w:val="0"/>
              <w:pageBreakBefore w:val="0"/>
              <w:widowControl w:val="0"/>
              <w:kinsoku/>
              <w:bidi w:val="0"/>
              <w:adjustRightInd/>
              <w:snapToGrid w:val="0"/>
              <w:spacing w:before="0"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通知书时一次性向代理机构支付。</w:t>
            </w:r>
          </w:p>
        </w:tc>
      </w:tr>
    </w:tbl>
    <w:p w14:paraId="51457F0A">
      <w:pPr>
        <w:snapToGrid w:val="0"/>
        <w:jc w:val="center"/>
        <w:outlineLvl w:val="1"/>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0FECE731">
      <w:pPr>
        <w:pStyle w:val="2"/>
        <w:bidi w:val="0"/>
        <w:spacing w:before="0" w:beforeAutospacing="0" w:after="0" w:afterAutospacing="0"/>
        <w:rPr>
          <w:rFonts w:hint="eastAsia" w:ascii="Times New Roman" w:hAnsi="Times New Roman" w:eastAsia="宋体" w:cs="Times New Roman"/>
          <w:sz w:val="28"/>
          <w:szCs w:val="44"/>
        </w:rPr>
      </w:pPr>
      <w:r>
        <w:rPr>
          <w:rFonts w:hint="eastAsia" w:ascii="Times New Roman" w:hAnsi="Times New Roman" w:eastAsia="宋体" w:cs="Times New Roman"/>
          <w:sz w:val="28"/>
          <w:szCs w:val="44"/>
        </w:rPr>
        <w:t>电子响应须知附表</w:t>
      </w:r>
    </w:p>
    <w:tbl>
      <w:tblPr>
        <w:tblStyle w:val="27"/>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146"/>
        <w:gridCol w:w="6919"/>
      </w:tblGrid>
      <w:tr w14:paraId="361F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51EE5A2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146" w:type="dxa"/>
            <w:vAlign w:val="center"/>
          </w:tcPr>
          <w:p w14:paraId="0F876F6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条款名称</w:t>
            </w:r>
          </w:p>
        </w:tc>
        <w:tc>
          <w:tcPr>
            <w:tcW w:w="6919" w:type="dxa"/>
            <w:vAlign w:val="center"/>
          </w:tcPr>
          <w:p w14:paraId="0596B3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编列内容</w:t>
            </w:r>
          </w:p>
        </w:tc>
      </w:tr>
      <w:tr w14:paraId="27E5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424B690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146" w:type="dxa"/>
            <w:vAlign w:val="center"/>
          </w:tcPr>
          <w:p w14:paraId="432A2E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响应文件编制</w:t>
            </w:r>
          </w:p>
        </w:tc>
        <w:tc>
          <w:tcPr>
            <w:tcW w:w="6919" w:type="dxa"/>
            <w:vAlign w:val="center"/>
          </w:tcPr>
          <w:p w14:paraId="4CD2FC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1.1供应商应使用政采云系统的响应文件编制工具，按照操作手册编制电子响应文件，并使用数字证书（CA）按照磋商文件规定签字、签章。同时使用数字证书（CA）对响应文件进行加密。</w:t>
            </w:r>
          </w:p>
          <w:p w14:paraId="7695C7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1.2在上传电子响应文件时，需对应系统中每个模块要求，形成独立的PDF格式文件，按照指定对应模块，逐条完成上传，保存后提交。</w:t>
            </w:r>
          </w:p>
          <w:p w14:paraId="3A499F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如：上传营业执照和开户许可证，要把营业执照和开户许可证形成独立PDF格式文档，在供应商具有独立承担民事责任能力模块处完成上传。</w:t>
            </w:r>
          </w:p>
          <w:p w14:paraId="106E32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1.3电子响应文件所附各类证件、证书、证明，均随响应文件统一编排页码进行上传。</w:t>
            </w:r>
          </w:p>
        </w:tc>
      </w:tr>
      <w:tr w14:paraId="61F1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10C926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146" w:type="dxa"/>
            <w:vAlign w:val="center"/>
          </w:tcPr>
          <w:p w14:paraId="1F8FD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电子响应文件解密</w:t>
            </w:r>
          </w:p>
        </w:tc>
        <w:tc>
          <w:tcPr>
            <w:tcW w:w="6919" w:type="dxa"/>
            <w:vAlign w:val="center"/>
          </w:tcPr>
          <w:p w14:paraId="41813A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6711F3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2.2电子响应文件解密时间：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0 </w:t>
            </w:r>
            <w:r>
              <w:rPr>
                <w:rFonts w:hint="eastAsia" w:ascii="宋体" w:hAnsi="宋体" w:eastAsia="宋体" w:cs="宋体"/>
                <w:color w:val="auto"/>
                <w:sz w:val="24"/>
                <w:highlight w:val="none"/>
              </w:rPr>
              <w:t>分钟</w:t>
            </w:r>
          </w:p>
          <w:p w14:paraId="5172B6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2.3电子响应文件解密流程：使用用户名密码或电子CA登录政采云系统→项目采购→开标评标→找到对应项目→解密→输入CA密码→开始下载→解密完成。</w:t>
            </w:r>
          </w:p>
          <w:p w14:paraId="396013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2.4因供应商原因造成响应文件未解密的，视为撤销其响应文件，包括以下情形：</w:t>
            </w:r>
          </w:p>
          <w:p w14:paraId="2A6537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（1)供应商未在规定时间内解密响应文件的；</w:t>
            </w:r>
          </w:p>
          <w:p w14:paraId="4B7325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（2)供应商使用非本次磋商加密用CA数字证书解密的；</w:t>
            </w:r>
          </w:p>
          <w:p w14:paraId="4CAFF4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（3)供应商使用的CA数字证书属于注销或无效或损坏的。</w:t>
            </w:r>
          </w:p>
        </w:tc>
      </w:tr>
      <w:tr w14:paraId="0E33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3714A8D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146" w:type="dxa"/>
            <w:vAlign w:val="center"/>
          </w:tcPr>
          <w:p w14:paraId="67E430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其他</w:t>
            </w:r>
          </w:p>
        </w:tc>
        <w:tc>
          <w:tcPr>
            <w:tcW w:w="6919" w:type="dxa"/>
            <w:vAlign w:val="center"/>
          </w:tcPr>
          <w:p w14:paraId="48BC31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本项目采购活动的全过程，采用电子形式进行。</w:t>
            </w:r>
          </w:p>
        </w:tc>
      </w:tr>
    </w:tbl>
    <w:p w14:paraId="0AC78FA4">
      <w:pPr>
        <w:overflowPunct w:val="0"/>
        <w:topLinePunct/>
        <w:autoSpaceDN w:val="0"/>
        <w:adjustRightInd w:val="0"/>
        <w:snapToGrid w:val="0"/>
        <w:spacing w:line="360" w:lineRule="auto"/>
        <w:jc w:val="both"/>
        <w:outlineLvl w:val="9"/>
        <w:rPr>
          <w:rFonts w:ascii="宋体" w:hAnsi="宋体" w:cs="宋体"/>
          <w:b/>
          <w:bCs/>
          <w:snapToGrid w:val="0"/>
          <w:color w:val="auto"/>
          <w:kern w:val="0"/>
          <w:sz w:val="28"/>
          <w:szCs w:val="28"/>
          <w:highlight w:val="none"/>
        </w:rPr>
      </w:pPr>
    </w:p>
    <w:p w14:paraId="7F482D95">
      <w:pPr>
        <w:pStyle w:val="2"/>
        <w:bidi w:val="0"/>
        <w:spacing w:before="0" w:beforeAutospacing="0" w:after="0" w:afterAutospacing="0"/>
        <w:jc w:val="both"/>
        <w:rPr>
          <w:rFonts w:hint="eastAsia" w:ascii="Times New Roman" w:hAnsi="Times New Roman" w:eastAsia="宋体" w:cs="Times New Roman"/>
          <w:sz w:val="28"/>
          <w:szCs w:val="44"/>
        </w:rPr>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bookmarkStart w:id="44" w:name="_Toc23956"/>
    </w:p>
    <w:p w14:paraId="1AC9ADC0">
      <w:pPr>
        <w:pStyle w:val="2"/>
        <w:bidi w:val="0"/>
        <w:spacing w:before="0" w:beforeAutospacing="0" w:after="0" w:afterAutospacing="0"/>
        <w:jc w:val="center"/>
        <w:rPr>
          <w:rFonts w:hint="eastAsia" w:ascii="Times New Roman" w:hAnsi="Times New Roman" w:eastAsia="宋体" w:cs="Times New Roman"/>
          <w:sz w:val="28"/>
          <w:szCs w:val="44"/>
        </w:rPr>
      </w:pPr>
      <w:r>
        <w:rPr>
          <w:rFonts w:hint="eastAsia" w:ascii="Times New Roman" w:hAnsi="Times New Roman" w:eastAsia="宋体" w:cs="Times New Roman"/>
          <w:sz w:val="28"/>
          <w:szCs w:val="44"/>
        </w:rPr>
        <w:t>第三部分  供应商须知</w:t>
      </w:r>
      <w:bookmarkEnd w:id="44"/>
    </w:p>
    <w:p w14:paraId="52D0D38B">
      <w:pPr>
        <w:keepNext w:val="0"/>
        <w:keepLines w:val="0"/>
        <w:pageBreakBefore w:val="0"/>
        <w:kinsoku/>
        <w:wordWrap/>
        <w:autoSpaceDE/>
        <w:bidi w:val="0"/>
        <w:spacing w:line="480" w:lineRule="exact"/>
        <w:ind w:left="0" w:leftChars="0"/>
        <w:textAlignment w:val="auto"/>
        <w:outlineLvl w:val="1"/>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一、总   则</w:t>
      </w:r>
    </w:p>
    <w:p w14:paraId="39276AE4">
      <w:pPr>
        <w:keepNext w:val="0"/>
        <w:keepLines w:val="0"/>
        <w:pageBreakBefore w:val="0"/>
        <w:kinsoku/>
        <w:wordWrap/>
        <w:autoSpaceDE/>
        <w:bidi w:val="0"/>
        <w:spacing w:line="480" w:lineRule="exact"/>
        <w:ind w:left="0" w:leftChars="0" w:firstLine="482" w:firstLineChars="200"/>
        <w:textAlignment w:val="auto"/>
        <w:outlineLvl w:val="2"/>
        <w:rPr>
          <w:rFonts w:hint="eastAsia" w:ascii="宋体" w:hAnsi="宋体" w:eastAsia="宋体" w:cs="宋体"/>
          <w:b/>
          <w:bCs/>
          <w:kern w:val="44"/>
          <w:sz w:val="24"/>
          <w:szCs w:val="24"/>
          <w:highlight w:val="none"/>
        </w:rPr>
      </w:pPr>
      <w:bookmarkStart w:id="45" w:name="_Toc204157877"/>
      <w:bookmarkStart w:id="46" w:name="_Toc204089778"/>
      <w:bookmarkStart w:id="47" w:name="_Toc204157931"/>
      <w:bookmarkStart w:id="48" w:name="_Toc306269478"/>
      <w:bookmarkStart w:id="49" w:name="_Toc204082746"/>
      <w:r>
        <w:rPr>
          <w:rFonts w:hint="eastAsia" w:ascii="宋体" w:hAnsi="宋体" w:eastAsia="宋体" w:cs="宋体"/>
          <w:b/>
          <w:bCs/>
          <w:kern w:val="44"/>
          <w:sz w:val="24"/>
          <w:szCs w:val="24"/>
          <w:highlight w:val="none"/>
        </w:rPr>
        <w:t>1．适用范围</w:t>
      </w:r>
      <w:bookmarkEnd w:id="45"/>
      <w:bookmarkEnd w:id="46"/>
      <w:bookmarkEnd w:id="47"/>
      <w:bookmarkEnd w:id="48"/>
      <w:bookmarkEnd w:id="49"/>
    </w:p>
    <w:p w14:paraId="124D568E">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本《磋商文件》适用于本次采购活动的全过程。</w:t>
      </w:r>
    </w:p>
    <w:p w14:paraId="709464E9">
      <w:pPr>
        <w:keepNext w:val="0"/>
        <w:keepLines w:val="0"/>
        <w:pageBreakBefore w:val="0"/>
        <w:kinsoku/>
        <w:wordWrap/>
        <w:autoSpaceDE/>
        <w:bidi w:val="0"/>
        <w:spacing w:line="480" w:lineRule="exact"/>
        <w:ind w:left="0" w:leftChars="0" w:firstLine="482" w:firstLineChars="200"/>
        <w:textAlignment w:val="auto"/>
        <w:rPr>
          <w:rFonts w:hint="eastAsia" w:ascii="宋体" w:hAnsi="宋体" w:eastAsia="宋体" w:cs="宋体"/>
          <w:sz w:val="24"/>
          <w:szCs w:val="24"/>
          <w:highlight w:val="none"/>
        </w:rPr>
      </w:pPr>
      <w:bookmarkStart w:id="50" w:name="_Toc204157932"/>
      <w:bookmarkStart w:id="51" w:name="_Toc306269479"/>
      <w:bookmarkStart w:id="52" w:name="_Toc204157878"/>
      <w:bookmarkStart w:id="53" w:name="_Toc204089779"/>
      <w:bookmarkStart w:id="54" w:name="_Toc204082747"/>
      <w:r>
        <w:rPr>
          <w:rFonts w:hint="eastAsia" w:ascii="宋体" w:hAnsi="宋体" w:eastAsia="宋体" w:cs="宋体"/>
          <w:b/>
          <w:bCs/>
          <w:kern w:val="44"/>
          <w:sz w:val="24"/>
          <w:szCs w:val="24"/>
          <w:highlight w:val="none"/>
        </w:rPr>
        <w:t>2．</w:t>
      </w:r>
      <w:bookmarkEnd w:id="50"/>
      <w:bookmarkEnd w:id="51"/>
      <w:bookmarkEnd w:id="52"/>
      <w:bookmarkEnd w:id="53"/>
      <w:bookmarkEnd w:id="54"/>
      <w:r>
        <w:rPr>
          <w:rFonts w:hint="eastAsia" w:ascii="宋体" w:hAnsi="宋体" w:eastAsia="宋体" w:cs="宋体"/>
          <w:b/>
          <w:bCs/>
          <w:kern w:val="44"/>
          <w:sz w:val="24"/>
          <w:szCs w:val="24"/>
          <w:highlight w:val="none"/>
        </w:rPr>
        <w:t>定义</w:t>
      </w:r>
    </w:p>
    <w:p w14:paraId="34BE58D2">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2.1“服务”系指本磋商文件所述供应商向采购人提供的服务及应该履行的承诺和义务。</w:t>
      </w:r>
    </w:p>
    <w:p w14:paraId="59E0104E">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2.2“潜在供应商”系指符合本磋商文件各项规定的合格供应商。</w:t>
      </w:r>
    </w:p>
    <w:p w14:paraId="00140B19">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2.3“供应商”系指符合本磋商文件规定的资格条件并向采购代理机构提交了《响应文件》和磋商保证金的供应商。</w:t>
      </w:r>
    </w:p>
    <w:p w14:paraId="544BFF4E">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2.4“采购代理机构”系指组织本次采购的</w:t>
      </w:r>
      <w:r>
        <w:rPr>
          <w:rFonts w:hint="eastAsia" w:ascii="宋体" w:hAnsi="宋体" w:eastAsia="宋体" w:cs="宋体"/>
          <w:sz w:val="24"/>
          <w:szCs w:val="24"/>
          <w:highlight w:val="none"/>
          <w:lang w:eastAsia="zh-CN"/>
        </w:rPr>
        <w:t>山西中恒致泰工程项目管理有限公司</w:t>
      </w:r>
      <w:r>
        <w:rPr>
          <w:rFonts w:hint="eastAsia" w:ascii="宋体" w:hAnsi="宋体" w:eastAsia="宋体" w:cs="宋体"/>
          <w:sz w:val="24"/>
          <w:szCs w:val="24"/>
          <w:highlight w:val="none"/>
        </w:rPr>
        <w:t>。</w:t>
      </w:r>
    </w:p>
    <w:p w14:paraId="2D646E41">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2.5“采购人” 系指</w:t>
      </w:r>
      <w:r>
        <w:rPr>
          <w:rFonts w:hint="eastAsia" w:ascii="宋体" w:hAnsi="宋体" w:eastAsia="宋体" w:cs="宋体"/>
          <w:sz w:val="24"/>
          <w:szCs w:val="24"/>
          <w:highlight w:val="none"/>
          <w:lang w:eastAsia="zh-CN"/>
        </w:rPr>
        <w:t>孝义市市场监督管理局</w:t>
      </w:r>
      <w:r>
        <w:rPr>
          <w:rFonts w:hint="eastAsia" w:ascii="宋体" w:hAnsi="宋体" w:eastAsia="宋体" w:cs="宋体"/>
          <w:sz w:val="24"/>
          <w:szCs w:val="24"/>
          <w:highlight w:val="none"/>
        </w:rPr>
        <w:t>。</w:t>
      </w:r>
    </w:p>
    <w:p w14:paraId="4D6FD319">
      <w:pPr>
        <w:keepNext w:val="0"/>
        <w:keepLines w:val="0"/>
        <w:pageBreakBefore w:val="0"/>
        <w:kinsoku/>
        <w:wordWrap/>
        <w:autoSpaceDE/>
        <w:bidi w:val="0"/>
        <w:spacing w:line="480" w:lineRule="exact"/>
        <w:ind w:left="0" w:leftChars="0" w:firstLine="482" w:firstLineChars="200"/>
        <w:textAlignment w:val="auto"/>
        <w:outlineLvl w:val="2"/>
        <w:rPr>
          <w:rFonts w:hint="eastAsia" w:ascii="宋体" w:hAnsi="宋体" w:eastAsia="宋体" w:cs="宋体"/>
          <w:b/>
          <w:bCs/>
          <w:kern w:val="44"/>
          <w:sz w:val="24"/>
          <w:szCs w:val="24"/>
          <w:highlight w:val="none"/>
        </w:rPr>
      </w:pPr>
      <w:bookmarkStart w:id="55" w:name="_Toc306269480"/>
      <w:bookmarkStart w:id="56" w:name="_Toc204082748"/>
      <w:bookmarkStart w:id="57" w:name="_Toc204157933"/>
      <w:bookmarkStart w:id="58" w:name="_Toc204157879"/>
      <w:bookmarkStart w:id="59" w:name="_Toc204089780"/>
      <w:r>
        <w:rPr>
          <w:rFonts w:hint="eastAsia" w:ascii="宋体" w:hAnsi="宋体" w:eastAsia="宋体" w:cs="宋体"/>
          <w:b/>
          <w:bCs/>
          <w:kern w:val="44"/>
          <w:sz w:val="24"/>
          <w:szCs w:val="24"/>
          <w:highlight w:val="none"/>
        </w:rPr>
        <w:t>3．合格供应商的条件</w:t>
      </w:r>
      <w:bookmarkEnd w:id="55"/>
      <w:bookmarkEnd w:id="56"/>
      <w:bookmarkEnd w:id="57"/>
      <w:bookmarkEnd w:id="58"/>
      <w:bookmarkEnd w:id="59"/>
    </w:p>
    <w:p w14:paraId="4AEB354D">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3.1</w:t>
      </w:r>
      <w:r>
        <w:rPr>
          <w:rFonts w:hint="eastAsia" w:ascii="宋体" w:hAnsi="宋体" w:eastAsia="宋体" w:cs="宋体"/>
          <w:kern w:val="0"/>
          <w:sz w:val="24"/>
          <w:szCs w:val="24"/>
          <w:highlight w:val="none"/>
        </w:rPr>
        <w:t>具有本项目供应或实施能力，符合、承认</w:t>
      </w:r>
      <w:r>
        <w:rPr>
          <w:rFonts w:hint="eastAsia" w:ascii="宋体" w:hAnsi="宋体" w:eastAsia="宋体" w:cs="宋体"/>
          <w:sz w:val="24"/>
          <w:szCs w:val="24"/>
          <w:highlight w:val="none"/>
        </w:rPr>
        <w:t>并承诺履行本磋商文件各项规定的供应商。</w:t>
      </w:r>
    </w:p>
    <w:p w14:paraId="64274650">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3.2供应商必须是在中华人民共和国境内依法登记注册的供应商。</w:t>
      </w:r>
    </w:p>
    <w:p w14:paraId="146C8E75">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3.3供应商应遵守有关的国家法律、法规和条例，具备《中华人民共和国政府采购法》和本文件中规定的条件：</w:t>
      </w:r>
    </w:p>
    <w:p w14:paraId="20907CBD">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具有独立承担民事责任的能力；</w:t>
      </w:r>
    </w:p>
    <w:p w14:paraId="073802BA">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4A658084">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4E4C1AA1">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1CBF4EFC">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5、参加本次政府采购活动前三年内，在经营活动中没有重大违法记录；</w:t>
      </w:r>
    </w:p>
    <w:p w14:paraId="5A8FE960">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、法律、法规所规定的其他条件；</w:t>
      </w:r>
    </w:p>
    <w:p w14:paraId="44CB349D">
      <w:pPr>
        <w:pStyle w:val="61"/>
        <w:keepNext w:val="0"/>
        <w:keepLines w:val="0"/>
        <w:pageBreakBefore w:val="0"/>
        <w:kinsoku/>
        <w:wordWrap/>
        <w:autoSpaceDE/>
        <w:bidi w:val="0"/>
        <w:adjustRightInd/>
        <w:spacing w:beforeLines="0" w:afterLines="0" w:line="480" w:lineRule="exact"/>
        <w:ind w:left="0" w:leftChars="0" w:firstLine="480"/>
        <w:textAlignment w:val="auto"/>
        <w:rPr>
          <w:rFonts w:hint="eastAsia" w:ascii="宋体" w:hAnsi="宋体" w:eastAsia="宋体" w:cs="宋体"/>
          <w:color w:val="0000FF"/>
          <w:spacing w:val="0"/>
          <w:sz w:val="24"/>
          <w:szCs w:val="24"/>
          <w:highlight w:val="none"/>
        </w:rPr>
      </w:pPr>
      <w:r>
        <w:rPr>
          <w:rFonts w:hint="eastAsia" w:cs="宋体"/>
          <w:spacing w:val="0"/>
          <w:sz w:val="24"/>
          <w:szCs w:val="24"/>
          <w:highlight w:val="none"/>
          <w:lang w:val="en-US" w:eastAsia="zh-CN"/>
        </w:rPr>
        <w:t>7</w:t>
      </w:r>
      <w:r>
        <w:rPr>
          <w:rFonts w:hint="eastAsia" w:ascii="宋体" w:hAnsi="宋体" w:eastAsia="宋体" w:cs="宋体"/>
          <w:spacing w:val="0"/>
          <w:sz w:val="24"/>
          <w:szCs w:val="24"/>
          <w:highlight w:val="none"/>
        </w:rPr>
        <w:t>、</w:t>
      </w:r>
      <w:r>
        <w:rPr>
          <w:rFonts w:hint="eastAsia" w:ascii="宋体" w:hAnsi="宋体" w:eastAsia="宋体" w:cs="宋体"/>
          <w:color w:val="auto"/>
          <w:spacing w:val="0"/>
          <w:sz w:val="24"/>
          <w:szCs w:val="24"/>
          <w:highlight w:val="none"/>
        </w:rPr>
        <w:t>本项目的特定资格要求：</w:t>
      </w:r>
      <w:r>
        <w:rPr>
          <w:rFonts w:hint="eastAsia" w:ascii="宋体" w:hAnsi="宋体" w:eastAsia="宋体" w:cs="宋体"/>
          <w:b w:val="0"/>
          <w:bCs w:val="0"/>
          <w:color w:val="000000"/>
          <w:sz w:val="24"/>
          <w:szCs w:val="24"/>
          <w:highlight w:val="none"/>
          <w:lang w:val="en-US" w:eastAsia="zh-CN"/>
        </w:rPr>
        <w:t>供应商需具备有效期内的《特种设备检验检测机构核准证》，核准项目与电梯检测相适应；且电梯检验、检测机构现未在孝义市辖区范围承担电梯检验任务和电梯检测服务。</w:t>
      </w:r>
    </w:p>
    <w:p w14:paraId="1F7FB2DC">
      <w:pPr>
        <w:pStyle w:val="61"/>
        <w:keepNext w:val="0"/>
        <w:keepLines w:val="0"/>
        <w:pageBreakBefore w:val="0"/>
        <w:kinsoku/>
        <w:wordWrap/>
        <w:autoSpaceDE/>
        <w:bidi w:val="0"/>
        <w:adjustRightInd/>
        <w:spacing w:beforeLines="0" w:afterLines="0" w:line="480" w:lineRule="exact"/>
        <w:ind w:left="0" w:leftChars="0" w:firstLine="480"/>
        <w:textAlignment w:val="auto"/>
        <w:rPr>
          <w:rFonts w:hint="eastAsia" w:ascii="宋体" w:hAnsi="宋体" w:eastAsia="宋体" w:cs="宋体"/>
          <w:spacing w:val="0"/>
          <w:sz w:val="24"/>
          <w:szCs w:val="24"/>
          <w:highlight w:val="none"/>
          <w:lang w:val="zh-CN"/>
        </w:rPr>
      </w:pPr>
      <w:r>
        <w:rPr>
          <w:rFonts w:hint="eastAsia"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val="zh-CN"/>
        </w:rPr>
        <w:t>本项目</w:t>
      </w:r>
      <w:r>
        <w:rPr>
          <w:rFonts w:hint="eastAsia" w:ascii="宋体" w:hAnsi="宋体" w:eastAsia="宋体" w:cs="宋体"/>
          <w:spacing w:val="0"/>
          <w:sz w:val="24"/>
          <w:szCs w:val="24"/>
          <w:highlight w:val="none"/>
        </w:rPr>
        <w:t>不接受</w:t>
      </w:r>
      <w:r>
        <w:rPr>
          <w:rFonts w:hint="eastAsia" w:ascii="宋体" w:hAnsi="宋体" w:eastAsia="宋体" w:cs="宋体"/>
          <w:spacing w:val="0"/>
          <w:sz w:val="24"/>
          <w:szCs w:val="24"/>
          <w:highlight w:val="none"/>
          <w:lang w:val="zh-CN"/>
        </w:rPr>
        <w:t>联合体。</w:t>
      </w:r>
    </w:p>
    <w:p w14:paraId="7D0328D6">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3.4供应商若存在下列情形之一，采购代理机构及磋商小组有权拒绝其本次投标。</w:t>
      </w:r>
    </w:p>
    <w:p w14:paraId="06C8E84C">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(1)被责令停业的；</w:t>
      </w:r>
    </w:p>
    <w:p w14:paraId="32FA27A8">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(2)被各级政府暂停或取消投标资格的；</w:t>
      </w:r>
    </w:p>
    <w:p w14:paraId="7AA41501">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(3)财产被接管或冻结的；</w:t>
      </w:r>
    </w:p>
    <w:p w14:paraId="6D15AC9B">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(4)在最近三年内有骗取成交、恶意竞标、违约或存在重大工程、技术质量问题的；</w:t>
      </w:r>
    </w:p>
    <w:p w14:paraId="7B29E9F2">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磋商小组共同认定其本次投标存在骗取成交或恶意竞标行为的。</w:t>
      </w:r>
    </w:p>
    <w:p w14:paraId="7A902A94">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3.5供应商应独立于采购人及采购代理机构，不得直接或间接地为本次采购的货物或服务进行设计、编制技术规格和其他文件所委托的咨询公司或其附属机构有任何关联。</w:t>
      </w:r>
    </w:p>
    <w:p w14:paraId="360B3611">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3.6如供应商代表不是法定代表人，须持有《法定代表人授权委托书》（按磋商文件提供的格式填写）。</w:t>
      </w:r>
    </w:p>
    <w:p w14:paraId="20D118CB">
      <w:pPr>
        <w:keepNext w:val="0"/>
        <w:keepLines w:val="0"/>
        <w:pageBreakBefore w:val="0"/>
        <w:kinsoku/>
        <w:wordWrap/>
        <w:autoSpaceDE/>
        <w:bidi w:val="0"/>
        <w:spacing w:line="480" w:lineRule="exact"/>
        <w:ind w:left="0" w:leftChars="0" w:firstLine="482" w:firstLineChars="200"/>
        <w:textAlignment w:val="auto"/>
        <w:rPr>
          <w:rFonts w:hint="eastAsia" w:ascii="宋体" w:hAnsi="宋体" w:eastAsia="宋体" w:cs="宋体"/>
          <w:b/>
          <w:bCs/>
          <w:kern w:val="44"/>
          <w:sz w:val="24"/>
          <w:szCs w:val="24"/>
          <w:highlight w:val="none"/>
        </w:rPr>
      </w:pPr>
      <w:bookmarkStart w:id="60" w:name="_Toc204157880"/>
      <w:bookmarkStart w:id="61" w:name="_Toc306269481"/>
      <w:bookmarkStart w:id="62" w:name="_Toc204157934"/>
      <w:bookmarkStart w:id="63" w:name="_Toc204089781"/>
      <w:bookmarkStart w:id="64" w:name="_Toc204082749"/>
      <w:r>
        <w:rPr>
          <w:rFonts w:hint="eastAsia" w:ascii="宋体" w:hAnsi="宋体" w:eastAsia="宋体" w:cs="宋体"/>
          <w:b/>
          <w:bCs/>
          <w:kern w:val="44"/>
          <w:sz w:val="24"/>
          <w:szCs w:val="24"/>
          <w:highlight w:val="none"/>
        </w:rPr>
        <w:t>4．</w:t>
      </w:r>
      <w:bookmarkEnd w:id="60"/>
      <w:bookmarkEnd w:id="61"/>
      <w:bookmarkEnd w:id="62"/>
      <w:bookmarkEnd w:id="63"/>
      <w:bookmarkEnd w:id="64"/>
      <w:r>
        <w:rPr>
          <w:rFonts w:hint="eastAsia" w:ascii="宋体" w:hAnsi="宋体" w:eastAsia="宋体" w:cs="宋体"/>
          <w:b/>
          <w:bCs/>
          <w:kern w:val="44"/>
          <w:sz w:val="24"/>
          <w:szCs w:val="24"/>
          <w:highlight w:val="none"/>
        </w:rPr>
        <w:t>磋商保证金</w:t>
      </w:r>
    </w:p>
    <w:p w14:paraId="736E6DD2">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color w:val="auto"/>
          <w:sz w:val="24"/>
          <w:szCs w:val="24"/>
          <w:highlight w:val="none"/>
          <w:lang w:val="zh-CN"/>
        </w:rPr>
      </w:pPr>
      <w:bookmarkStart w:id="65" w:name="_Toc306269483"/>
      <w:bookmarkStart w:id="66" w:name="_Toc204157882"/>
      <w:bookmarkStart w:id="67" w:name="_Toc204157936"/>
      <w:bookmarkStart w:id="68" w:name="_Toc204089783"/>
      <w:bookmarkStart w:id="69" w:name="_Toc204082751"/>
      <w:r>
        <w:rPr>
          <w:rFonts w:hint="eastAsia" w:ascii="宋体" w:hAnsi="宋体" w:eastAsia="宋体" w:cs="宋体"/>
          <w:sz w:val="24"/>
          <w:szCs w:val="24"/>
          <w:highlight w:val="none"/>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该项目的磋商保证金</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支票、汇票、本票、网上银行转账或者金融机构、担保机构出具的保函等非现金形式交纳。</w:t>
      </w:r>
    </w:p>
    <w:p w14:paraId="0E40FDA4">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color w:val="0000FF"/>
          <w:sz w:val="24"/>
          <w:szCs w:val="24"/>
          <w:highlight w:val="none"/>
          <w:lang w:val="zh-CN"/>
        </w:rPr>
      </w:pPr>
      <w:r>
        <w:rPr>
          <w:rFonts w:hint="eastAsia" w:ascii="宋体" w:hAnsi="宋体" w:eastAsia="宋体" w:cs="宋体"/>
          <w:color w:val="auto"/>
          <w:sz w:val="24"/>
          <w:szCs w:val="24"/>
          <w:highlight w:val="none"/>
          <w:lang w:val="en-US" w:eastAsia="zh-CN"/>
        </w:rPr>
        <w:t>4.1.1</w:t>
      </w:r>
      <w:r>
        <w:rPr>
          <w:rFonts w:hint="eastAsia" w:ascii="宋体" w:hAnsi="宋体" w:eastAsia="宋体" w:cs="宋体"/>
          <w:color w:val="auto"/>
          <w:sz w:val="24"/>
          <w:szCs w:val="24"/>
          <w:highlight w:val="none"/>
          <w:lang w:val="zh-CN"/>
        </w:rPr>
        <w:t>磋商保证金金额为：</w:t>
      </w:r>
      <w:r>
        <w:rPr>
          <w:rFonts w:hint="eastAsia"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lang w:val="zh-CN" w:eastAsia="zh-CN"/>
        </w:rPr>
        <w:t>元</w:t>
      </w:r>
    </w:p>
    <w:p w14:paraId="448051E0">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4.1.2</w:t>
      </w:r>
      <w:r>
        <w:rPr>
          <w:rFonts w:hint="eastAsia" w:ascii="宋体" w:hAnsi="宋体" w:eastAsia="宋体" w:cs="宋体"/>
          <w:sz w:val="24"/>
          <w:szCs w:val="24"/>
          <w:highlight w:val="none"/>
          <w:lang w:val="zh-CN"/>
        </w:rPr>
        <w:t>磋商保证金</w:t>
      </w:r>
      <w:r>
        <w:rPr>
          <w:rFonts w:hint="eastAsia" w:ascii="宋体" w:hAnsi="宋体" w:eastAsia="宋体" w:cs="宋体"/>
          <w:sz w:val="24"/>
          <w:szCs w:val="24"/>
          <w:highlight w:val="none"/>
          <w:lang w:val="en-US" w:eastAsia="zh-CN"/>
        </w:rPr>
        <w:t>账户信息：</w:t>
      </w:r>
    </w:p>
    <w:p w14:paraId="02CB89D6">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账户名称</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收款单位</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：山西中恒致泰工程项目管理有限公司</w:t>
      </w:r>
    </w:p>
    <w:p w14:paraId="6EB040FC">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 户 行：招商银行太原分行营业部</w:t>
      </w:r>
    </w:p>
    <w:p w14:paraId="5F9FE939">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号：351906110910802</w:t>
      </w:r>
    </w:p>
    <w:p w14:paraId="04F1521A">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rPr>
      </w:pPr>
      <w:r>
        <w:rPr>
          <w:rFonts w:hint="eastAsia" w:ascii="宋体" w:hAnsi="宋体" w:eastAsia="宋体" w:cs="宋体"/>
          <w:sz w:val="24"/>
          <w:szCs w:val="24"/>
          <w:highlight w:val="none"/>
          <w:lang w:val="en-US" w:eastAsia="zh-CN"/>
        </w:rPr>
        <w:t>行    号：308161039026</w:t>
      </w:r>
    </w:p>
    <w:p w14:paraId="2CDC015C">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4.1.3</w:t>
      </w:r>
      <w:r>
        <w:rPr>
          <w:rFonts w:hint="eastAsia" w:ascii="宋体" w:hAnsi="宋体" w:eastAsia="宋体" w:cs="宋体"/>
          <w:sz w:val="24"/>
          <w:szCs w:val="24"/>
          <w:highlight w:val="none"/>
        </w:rPr>
        <w:t>采用银行或金融机构、担保机构出具的保函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保函的有效期应当与响应文件有效期</w:t>
      </w:r>
    </w:p>
    <w:p w14:paraId="1562BBFC">
      <w:pPr>
        <w:keepNext w:val="0"/>
        <w:keepLines w:val="0"/>
        <w:pageBreakBefore w:val="0"/>
        <w:tabs>
          <w:tab w:val="left" w:pos="810"/>
        </w:tabs>
        <w:kinsoku/>
        <w:wordWrap/>
        <w:autoSpaceDE/>
        <w:bidi w:val="0"/>
        <w:spacing w:line="480" w:lineRule="exact"/>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一致与采购项目一致，且真实有效。电子响应文件中需附保函扫描件。</w:t>
      </w:r>
    </w:p>
    <w:p w14:paraId="1D486C2B">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4.1.4</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val="zh-CN"/>
        </w:rPr>
        <w:t>前述各款要求提交磋商保证金的，将被视为无效磋商。</w:t>
      </w:r>
    </w:p>
    <w:p w14:paraId="09F1FF98">
      <w:pPr>
        <w:keepNext w:val="0"/>
        <w:keepLines w:val="0"/>
        <w:pageBreakBefore w:val="0"/>
        <w:tabs>
          <w:tab w:val="left" w:pos="810"/>
        </w:tabs>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zh-CN"/>
        </w:rPr>
        <w:t>未成交单位的磋商保证金将在成交通知书发出后5个工作日内退还。成交单位的磋商保证金在</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zh-CN"/>
        </w:rPr>
        <w:t>合同签订后5个工作日内退还。</w:t>
      </w:r>
    </w:p>
    <w:p w14:paraId="187DE3D7">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磋商保证金在响应文件有效期内保持有效，采购人如果按本须知相关条款的规定延长了响应文件有效期，则磋商保证金的有效期也相应延长。</w:t>
      </w:r>
    </w:p>
    <w:p w14:paraId="1F4192E7">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如供应商有下列情况，将被没收磋商保证金：</w:t>
      </w:r>
    </w:p>
    <w:p w14:paraId="096E4C87">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（一）在磋商文件规定的递交响应文件截止时间后撤回响应文件的；</w:t>
      </w:r>
    </w:p>
    <w:p w14:paraId="3CB97415">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（二）在采购人确定成交供应商之前放弃成交候选资格的；</w:t>
      </w:r>
    </w:p>
    <w:p w14:paraId="7B648A18">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（三）成交后放弃、不领取或者不接收成交通知书的；</w:t>
      </w:r>
    </w:p>
    <w:p w14:paraId="2FA60B1C">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（四）由于成交供应商的原因未能按照磋商文件的规定与采购人签订合同的；</w:t>
      </w:r>
    </w:p>
    <w:p w14:paraId="0093DE6B">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（五）由于成交供应商的原因未能按照磋商文件的规定交纳履约保证金的；</w:t>
      </w:r>
    </w:p>
    <w:p w14:paraId="75AF2BD0">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（六）供应商在政府采购活动中提供虚假材料的；</w:t>
      </w:r>
    </w:p>
    <w:p w14:paraId="17D9BDD3">
      <w:pPr>
        <w:keepNext w:val="0"/>
        <w:keepLines w:val="0"/>
        <w:pageBreakBefore w:val="0"/>
        <w:kinsoku/>
        <w:wordWrap/>
        <w:autoSpaceDE/>
        <w:bidi w:val="0"/>
        <w:spacing w:line="480" w:lineRule="exact"/>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（七）报价有效期内，供应商在政府采购活动中有违法、违规、违纪行为。</w:t>
      </w:r>
    </w:p>
    <w:p w14:paraId="2CD800E8">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CN"/>
        </w:rPr>
        <w:t>未按前述各款要求提交磋商保证金，或所提交保证金不完全符合各项要求的投标，将被视为无效投标。</w:t>
      </w:r>
    </w:p>
    <w:p w14:paraId="40C1E9F4">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采购代理服务费</w:t>
      </w:r>
    </w:p>
    <w:p w14:paraId="4D740C97">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代理费支付方式：供应商支付。</w:t>
      </w:r>
    </w:p>
    <w:p w14:paraId="0A758BD2">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代理费收费标准：国家计委计价格（[2002]1980号、国家发改委发改价格[2003]857 号、《国家发展改革委关于降低部分建设项目收费标准规范收费行为等有关问题的通知》（发改价格[2011]534 号）文件规定收取。在领取成交通知书时一次性向代理机构支付。</w:t>
      </w:r>
    </w:p>
    <w:p w14:paraId="6A23AC55">
      <w:pPr>
        <w:pStyle w:val="20"/>
        <w:keepNext w:val="0"/>
        <w:keepLines w:val="0"/>
        <w:pageBreakBefore w:val="0"/>
        <w:widowControl/>
        <w:kinsoku/>
        <w:wordWrap/>
        <w:autoSpaceDE/>
        <w:bidi w:val="0"/>
        <w:spacing w:line="480" w:lineRule="exact"/>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供应商应承担其所有参与和准备投标所涉及的一切费用。无论投标结果如何，采购代理机构和采购人均无义务和责任承担上述费用。 </w:t>
      </w:r>
    </w:p>
    <w:p w14:paraId="6A43BD86">
      <w:pPr>
        <w:keepNext w:val="0"/>
        <w:keepLines w:val="0"/>
        <w:pageBreakBefore w:val="0"/>
        <w:kinsoku/>
        <w:wordWrap/>
        <w:autoSpaceDE/>
        <w:bidi w:val="0"/>
        <w:spacing w:line="480" w:lineRule="exact"/>
        <w:ind w:left="0" w:leftChars="0"/>
        <w:jc w:val="both"/>
        <w:textAlignment w:val="auto"/>
        <w:outlineLvl w:val="1"/>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二、</w:t>
      </w:r>
      <w:bookmarkEnd w:id="65"/>
      <w:bookmarkEnd w:id="66"/>
      <w:bookmarkEnd w:id="67"/>
      <w:bookmarkEnd w:id="68"/>
      <w:bookmarkEnd w:id="69"/>
      <w:r>
        <w:rPr>
          <w:rFonts w:hint="eastAsia" w:ascii="宋体" w:hAnsi="宋体" w:eastAsia="宋体" w:cs="宋体"/>
          <w:b/>
          <w:bCs/>
          <w:kern w:val="44"/>
          <w:sz w:val="24"/>
          <w:szCs w:val="24"/>
          <w:highlight w:val="none"/>
        </w:rPr>
        <w:t>磋商文件</w:t>
      </w:r>
    </w:p>
    <w:p w14:paraId="3B8C151F">
      <w:pPr>
        <w:keepNext w:val="0"/>
        <w:keepLines w:val="0"/>
        <w:pageBreakBefore w:val="0"/>
        <w:kinsoku/>
        <w:wordWrap/>
        <w:autoSpaceDE/>
        <w:bidi w:val="0"/>
        <w:spacing w:line="480" w:lineRule="exact"/>
        <w:ind w:left="0" w:leftChars="0" w:firstLine="482" w:firstLineChars="200"/>
        <w:textAlignment w:val="auto"/>
        <w:outlineLvl w:val="2"/>
        <w:rPr>
          <w:rFonts w:hint="eastAsia" w:ascii="宋体" w:hAnsi="宋体" w:eastAsia="宋体" w:cs="宋体"/>
          <w:b/>
          <w:bCs/>
          <w:kern w:val="44"/>
          <w:sz w:val="24"/>
          <w:szCs w:val="24"/>
          <w:highlight w:val="none"/>
        </w:rPr>
      </w:pPr>
      <w:bookmarkStart w:id="70" w:name="_Toc204089784"/>
      <w:bookmarkStart w:id="71" w:name="_Toc306269484"/>
      <w:bookmarkStart w:id="72" w:name="_Toc204157883"/>
      <w:bookmarkStart w:id="73" w:name="_Toc204082752"/>
      <w:bookmarkStart w:id="74" w:name="_Toc204157937"/>
      <w:r>
        <w:rPr>
          <w:rFonts w:hint="eastAsia" w:ascii="宋体" w:hAnsi="宋体" w:eastAsia="宋体" w:cs="宋体"/>
          <w:b/>
          <w:bCs/>
          <w:kern w:val="44"/>
          <w:sz w:val="24"/>
          <w:szCs w:val="24"/>
          <w:highlight w:val="none"/>
        </w:rPr>
        <w:t>5．磋商文件的组成</w:t>
      </w:r>
      <w:bookmarkEnd w:id="70"/>
      <w:bookmarkEnd w:id="71"/>
      <w:bookmarkEnd w:id="72"/>
      <w:bookmarkEnd w:id="73"/>
      <w:bookmarkEnd w:id="74"/>
    </w:p>
    <w:p w14:paraId="28C0CFFC">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5.1磋商文件用以阐明所需货物及服务要求，以及采购、</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程序和相应的合同条款。磋商文件由下述</w:t>
      </w: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部分内容组成：</w:t>
      </w:r>
    </w:p>
    <w:p w14:paraId="23E4B7B8">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磋商公告;</w:t>
      </w:r>
    </w:p>
    <w:p w14:paraId="49687924">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供应商须知前附表；</w:t>
      </w:r>
    </w:p>
    <w:p w14:paraId="520B83E0">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第三部分  供应商须知</w:t>
      </w:r>
      <w:r>
        <w:rPr>
          <w:rFonts w:hint="eastAsia" w:ascii="宋体" w:hAnsi="宋体" w:eastAsia="宋体" w:cs="宋体"/>
          <w:sz w:val="24"/>
          <w:szCs w:val="24"/>
          <w:highlight w:val="none"/>
          <w:lang w:eastAsia="zh-CN"/>
        </w:rPr>
        <w:t>；</w:t>
      </w:r>
    </w:p>
    <w:p w14:paraId="6907BBB2">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标标准和评标办法</w:t>
      </w:r>
      <w:r>
        <w:rPr>
          <w:rFonts w:hint="eastAsia" w:ascii="宋体" w:hAnsi="宋体" w:eastAsia="宋体" w:cs="宋体"/>
          <w:sz w:val="24"/>
          <w:szCs w:val="24"/>
          <w:highlight w:val="none"/>
        </w:rPr>
        <w:t>；</w:t>
      </w:r>
    </w:p>
    <w:p w14:paraId="2FBC282E">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第五部分  </w:t>
      </w:r>
      <w:r>
        <w:rPr>
          <w:rFonts w:hint="eastAsia" w:ascii="宋体" w:hAnsi="宋体" w:eastAsia="宋体" w:cs="宋体"/>
          <w:sz w:val="24"/>
          <w:szCs w:val="24"/>
          <w:highlight w:val="none"/>
          <w:lang w:val="en-US" w:eastAsia="zh-CN"/>
        </w:rPr>
        <w:t>商务、技术要求</w:t>
      </w:r>
      <w:r>
        <w:rPr>
          <w:rFonts w:hint="eastAsia" w:ascii="宋体" w:hAnsi="宋体" w:eastAsia="宋体" w:cs="宋体"/>
          <w:sz w:val="24"/>
          <w:szCs w:val="24"/>
          <w:highlight w:val="none"/>
        </w:rPr>
        <w:t>；</w:t>
      </w:r>
    </w:p>
    <w:p w14:paraId="6D076712">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第六部分  合同原则；</w:t>
      </w:r>
    </w:p>
    <w:p w14:paraId="3DF44BCB">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部分  响应文件格式。</w:t>
      </w:r>
    </w:p>
    <w:p w14:paraId="22E17524">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bookmarkStart w:id="75" w:name="_Toc204082753"/>
      <w:bookmarkStart w:id="76" w:name="_Toc306269485"/>
      <w:bookmarkStart w:id="77" w:name="_Toc204089785"/>
      <w:bookmarkStart w:id="78" w:name="_Toc204157884"/>
      <w:bookmarkStart w:id="79" w:name="_Toc204157938"/>
      <w:r>
        <w:rPr>
          <w:rFonts w:hint="eastAsia" w:ascii="宋体" w:hAnsi="宋体" w:eastAsia="宋体" w:cs="宋体"/>
          <w:sz w:val="24"/>
          <w:szCs w:val="24"/>
          <w:highlight w:val="none"/>
        </w:rPr>
        <w:t>5.2供应商应认真阅读磋商文件中所有的条款、事项、格式和技术规范、参数及要求等。供应商没有按照磋商文件要求提交全部资料，或者投标没有对磋商文件在各方面都做出实质性响应，有可能导致其投标被拒绝或被认定为无效投标或被取消成交资格。</w:t>
      </w:r>
    </w:p>
    <w:p w14:paraId="29C0317A">
      <w:pPr>
        <w:keepNext w:val="0"/>
        <w:keepLines w:val="0"/>
        <w:pageBreakBefore w:val="0"/>
        <w:kinsoku/>
        <w:wordWrap/>
        <w:autoSpaceDE/>
        <w:bidi w:val="0"/>
        <w:spacing w:line="480" w:lineRule="exact"/>
        <w:ind w:left="0" w:leftChars="0" w:firstLine="482" w:firstLineChars="200"/>
        <w:textAlignment w:val="auto"/>
        <w:outlineLvl w:val="2"/>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6．磋商文件的澄清</w:t>
      </w:r>
      <w:bookmarkEnd w:id="75"/>
      <w:bookmarkEnd w:id="76"/>
      <w:bookmarkEnd w:id="77"/>
      <w:bookmarkEnd w:id="78"/>
      <w:bookmarkEnd w:id="79"/>
      <w:r>
        <w:rPr>
          <w:rFonts w:hint="eastAsia" w:ascii="宋体" w:hAnsi="宋体" w:eastAsia="宋体" w:cs="宋体"/>
          <w:b/>
          <w:bCs/>
          <w:kern w:val="44"/>
          <w:sz w:val="24"/>
          <w:szCs w:val="24"/>
          <w:highlight w:val="none"/>
        </w:rPr>
        <w:t>和修改</w:t>
      </w:r>
    </w:p>
    <w:p w14:paraId="22C674DA">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6.1供应商澄清要求的提交：任何</w:t>
      </w:r>
      <w:r>
        <w:rPr>
          <w:rFonts w:hint="eastAsia" w:ascii="宋体" w:hAnsi="宋体" w:eastAsia="宋体" w:cs="宋体"/>
          <w:sz w:val="24"/>
          <w:szCs w:val="24"/>
          <w:highlight w:val="none"/>
          <w:lang w:val="en-US" w:eastAsia="zh-CN"/>
        </w:rPr>
        <w:t>下载</w:t>
      </w:r>
      <w:r>
        <w:rPr>
          <w:rFonts w:hint="eastAsia" w:ascii="宋体" w:hAnsi="宋体" w:eastAsia="宋体" w:cs="宋体"/>
          <w:sz w:val="24"/>
          <w:szCs w:val="24"/>
          <w:highlight w:val="none"/>
        </w:rPr>
        <w:t>了磋商文件的潜在供应商，均可要求对磋商文件进行澄清，</w:t>
      </w:r>
      <w:r>
        <w:rPr>
          <w:rFonts w:hint="eastAsia" w:ascii="宋体" w:hAnsi="宋体" w:eastAsia="宋体" w:cs="宋体"/>
          <w:sz w:val="24"/>
          <w:szCs w:val="24"/>
          <w:highlight w:val="none"/>
          <w:lang w:val="en-US" w:eastAsia="zh-CN"/>
        </w:rPr>
        <w:t>供应商通过山西政府采购平台提出</w:t>
      </w:r>
      <w:r>
        <w:rPr>
          <w:rFonts w:hint="eastAsia" w:ascii="宋体" w:hAnsi="宋体" w:eastAsia="宋体" w:cs="宋体"/>
          <w:sz w:val="24"/>
          <w:szCs w:val="24"/>
          <w:highlight w:val="none"/>
        </w:rPr>
        <w:t>。</w:t>
      </w:r>
    </w:p>
    <w:p w14:paraId="7F9114CB">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6.2采购代理机构对澄清要求的处理：采购代理机构对其认为需要给予澄清、修改或进行其它答复的，将以补充文件的方式进行， 并且在财政部指定网站补充公告。补充文件中包括原提出的问题及问题的说明意见，但不包括问题的来源。</w:t>
      </w:r>
    </w:p>
    <w:p w14:paraId="3C646CDF">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采购代理机构主动进行的澄清、修改，或采购代理机构无论出于何种原因，均可主动对磋商文件中的相关事项，用补充文件的方式进行澄清和修改。补充文件应当在提交响应文件截止之日前5日发出，不足5日的，采购人、采购代理机构应当顺延提交首次响应文件截止时间。</w:t>
      </w:r>
    </w:p>
    <w:p w14:paraId="52E57D07">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采购代理机构澄清、修改及其它答复的效力：无论是否根据供应商的澄清、修改或进行其它答复的要求，或采购代理机构一旦对磋商文件做出澄清、修改或进行其它答复，即刻发生效力，采购代理机构有关的补充文件，应当作为磋商文件的组成部分，对所有供应商均具有约束力。</w:t>
      </w:r>
    </w:p>
    <w:p w14:paraId="1D29737D">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6.5采购代理机构将视情况确定是否有必要召开标前会。如果召开标前会，采购人将向所有已登记并领取了磋商文件的潜在供应商发出通知。</w:t>
      </w:r>
    </w:p>
    <w:p w14:paraId="0E6838D3">
      <w:pPr>
        <w:keepNext w:val="0"/>
        <w:keepLines w:val="0"/>
        <w:pageBreakBefore w:val="0"/>
        <w:kinsoku/>
        <w:wordWrap/>
        <w:autoSpaceDE/>
        <w:bidi w:val="0"/>
        <w:adjustRightInd w:val="0"/>
        <w:snapToGrid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6.6采购代理机构在开标现场对投标情况可在不改变磋商文件实质内容前提下做进一步的澄清和说明，并经全场供应商代表签字确认。</w:t>
      </w:r>
    </w:p>
    <w:p w14:paraId="6DF6A660">
      <w:pPr>
        <w:keepNext w:val="0"/>
        <w:keepLines w:val="0"/>
        <w:pageBreakBefore w:val="0"/>
        <w:kinsoku/>
        <w:wordWrap/>
        <w:autoSpaceDE/>
        <w:bidi w:val="0"/>
        <w:spacing w:line="480" w:lineRule="exact"/>
        <w:ind w:left="0" w:leftChars="0"/>
        <w:jc w:val="both"/>
        <w:textAlignment w:val="auto"/>
        <w:outlineLvl w:val="1"/>
        <w:rPr>
          <w:rFonts w:hint="eastAsia" w:ascii="宋体" w:hAnsi="宋体" w:eastAsia="宋体" w:cs="宋体"/>
          <w:b/>
          <w:bCs/>
          <w:kern w:val="44"/>
          <w:sz w:val="24"/>
          <w:szCs w:val="24"/>
          <w:highlight w:val="none"/>
        </w:rPr>
      </w:pPr>
      <w:bookmarkStart w:id="80" w:name="_Toc204157886"/>
      <w:bookmarkStart w:id="81" w:name="_Toc204089787"/>
      <w:bookmarkStart w:id="82" w:name="_Toc204082755"/>
      <w:bookmarkStart w:id="83" w:name="_Toc306269487"/>
      <w:bookmarkStart w:id="84" w:name="_Toc204157940"/>
      <w:r>
        <w:rPr>
          <w:rFonts w:hint="eastAsia" w:ascii="宋体" w:hAnsi="宋体" w:eastAsia="宋体" w:cs="宋体"/>
          <w:b/>
          <w:bCs/>
          <w:kern w:val="44"/>
          <w:sz w:val="24"/>
          <w:szCs w:val="24"/>
          <w:highlight w:val="none"/>
        </w:rPr>
        <w:t>三、</w:t>
      </w:r>
      <w:bookmarkEnd w:id="80"/>
      <w:bookmarkEnd w:id="81"/>
      <w:bookmarkEnd w:id="82"/>
      <w:bookmarkEnd w:id="83"/>
      <w:bookmarkEnd w:id="84"/>
      <w:r>
        <w:rPr>
          <w:rFonts w:hint="eastAsia" w:ascii="宋体" w:hAnsi="宋体" w:eastAsia="宋体" w:cs="宋体"/>
          <w:b/>
          <w:bCs/>
          <w:kern w:val="44"/>
          <w:sz w:val="24"/>
          <w:szCs w:val="24"/>
          <w:highlight w:val="none"/>
        </w:rPr>
        <w:t>响应文件</w:t>
      </w:r>
    </w:p>
    <w:p w14:paraId="496D345C">
      <w:pPr>
        <w:keepNext w:val="0"/>
        <w:keepLines w:val="0"/>
        <w:pageBreakBefore w:val="0"/>
        <w:kinsoku/>
        <w:wordWrap/>
        <w:autoSpaceDE/>
        <w:bidi w:val="0"/>
        <w:spacing w:line="480" w:lineRule="exact"/>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7．响应文件的语言和计量单位</w:t>
      </w:r>
    </w:p>
    <w:p w14:paraId="6E77A04B">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7.1供应商提交的响应文件（包括技术文件和资料）以及供应商与采购代理机构就有关投标的所有来往函电均应使用中文简体字。</w:t>
      </w:r>
    </w:p>
    <w:p w14:paraId="0FD0EFC8">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7.2响应文件所使用的计量单位，应使用国家法定计量单位。</w:t>
      </w:r>
    </w:p>
    <w:p w14:paraId="55D435F6">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7156479B">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原版为外文的证书类、证明类文件，与供应商名称或其它实际情况不符的，供应商应当提供相关证明文件。</w:t>
      </w:r>
    </w:p>
    <w:p w14:paraId="7E001E0B">
      <w:pPr>
        <w:keepNext w:val="0"/>
        <w:keepLines w:val="0"/>
        <w:pageBreakBefore w:val="0"/>
        <w:kinsoku/>
        <w:wordWrap/>
        <w:autoSpaceDE/>
        <w:bidi w:val="0"/>
        <w:spacing w:line="480" w:lineRule="exact"/>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8．响应文件的组成及相关要求</w:t>
      </w:r>
    </w:p>
    <w:p w14:paraId="2A18D243">
      <w:pPr>
        <w:keepNext w:val="0"/>
        <w:keepLines w:val="0"/>
        <w:pageBreakBefore w:val="0"/>
        <w:tabs>
          <w:tab w:val="left" w:pos="567"/>
        </w:tabs>
        <w:kinsoku/>
        <w:wordWrap/>
        <w:overflowPunct w:val="0"/>
        <w:topLinePunct/>
        <w:autoSpaceDE/>
        <w:autoSpaceDN w:val="0"/>
        <w:bidi w:val="0"/>
        <w:adjustRightInd w:val="0"/>
        <w:snapToGrid w:val="0"/>
        <w:spacing w:line="480" w:lineRule="exact"/>
        <w:ind w:left="0" w:leftChars="0" w:firstLine="480" w:firstLineChars="200"/>
        <w:textAlignment w:val="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8.1本次磋商，供应商应按本磋商文件要求提交商务、技术部分内容和需要供应商自行编写的其他文件，其</w:t>
      </w:r>
      <w:r>
        <w:rPr>
          <w:rFonts w:hint="eastAsia" w:ascii="宋体" w:hAnsi="宋体" w:eastAsia="宋体" w:cs="宋体"/>
          <w:b/>
          <w:snapToGrid w:val="0"/>
          <w:kern w:val="0"/>
          <w:sz w:val="24"/>
          <w:szCs w:val="24"/>
          <w:highlight w:val="none"/>
        </w:rPr>
        <w:t>中加*项目若有缺失或无效，将导致投标被拒绝</w:t>
      </w:r>
      <w:r>
        <w:rPr>
          <w:rFonts w:hint="eastAsia" w:ascii="宋体" w:hAnsi="宋体" w:eastAsia="宋体" w:cs="宋体"/>
          <w:snapToGrid w:val="0"/>
          <w:kern w:val="0"/>
          <w:sz w:val="24"/>
          <w:szCs w:val="24"/>
          <w:highlight w:val="none"/>
        </w:rPr>
        <w:t>（具体填写要求及格式详见磋商文件第</w:t>
      </w:r>
      <w:r>
        <w:rPr>
          <w:rFonts w:hint="eastAsia" w:ascii="宋体" w:hAnsi="宋体" w:eastAsia="宋体" w:cs="宋体"/>
          <w:snapToGrid w:val="0"/>
          <w:kern w:val="0"/>
          <w:sz w:val="24"/>
          <w:szCs w:val="24"/>
          <w:highlight w:val="none"/>
          <w:lang w:val="en-US" w:eastAsia="zh-CN"/>
        </w:rPr>
        <w:t>五</w:t>
      </w:r>
      <w:r>
        <w:rPr>
          <w:rFonts w:hint="eastAsia" w:ascii="宋体" w:hAnsi="宋体" w:eastAsia="宋体" w:cs="宋体"/>
          <w:snapToGrid w:val="0"/>
          <w:kern w:val="0"/>
          <w:sz w:val="24"/>
          <w:szCs w:val="24"/>
          <w:highlight w:val="none"/>
        </w:rPr>
        <w:t>部分）。</w:t>
      </w:r>
    </w:p>
    <w:p w14:paraId="60D75C75">
      <w:pPr>
        <w:pStyle w:val="11"/>
        <w:keepNext w:val="0"/>
        <w:keepLines w:val="0"/>
        <w:pageBreakBefore w:val="0"/>
        <w:kinsoku/>
        <w:wordWrap/>
        <w:autoSpaceDE/>
        <w:bidi w:val="0"/>
        <w:spacing w:line="480" w:lineRule="exact"/>
        <w:ind w:left="0" w:leftChars="0" w:firstLine="482" w:firstLineChars="200"/>
        <w:textAlignment w:val="auto"/>
        <w:rPr>
          <w:rFonts w:hint="eastAsia" w:ascii="宋体" w:hAnsi="宋体" w:eastAsia="宋体" w:cs="宋体"/>
          <w:b/>
          <w:bCs/>
          <w:snapToGrid w:val="0"/>
          <w:kern w:val="0"/>
          <w:sz w:val="24"/>
          <w:szCs w:val="24"/>
          <w:highlight w:val="none"/>
          <w:lang w:val="en-US" w:bidi="ar-SA"/>
        </w:rPr>
      </w:pPr>
      <w:r>
        <w:rPr>
          <w:rFonts w:hint="eastAsia" w:ascii="宋体" w:hAnsi="宋体" w:eastAsia="宋体" w:cs="宋体"/>
          <w:b/>
          <w:bCs/>
          <w:snapToGrid w:val="0"/>
          <w:kern w:val="0"/>
          <w:sz w:val="24"/>
          <w:szCs w:val="24"/>
          <w:highlight w:val="none"/>
          <w:lang w:val="en-US" w:bidi="ar-SA"/>
        </w:rPr>
        <w:t>供应商应按照山西政府采购网发布的《山西政府采购政采云电子平台电子化操作规范》的要求，在山西政采云平台（http://www.ccgp-shanxi.gov.cn/home.html）完成电子响应文件的编制、递交、解密等操作。</w:t>
      </w:r>
    </w:p>
    <w:p w14:paraId="61412096">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响应文件递交注意事项：供应商应按照对应的操作指南制作并递交电子响应文件，并按磋商文件规定进行电子签章。</w:t>
      </w:r>
    </w:p>
    <w:p w14:paraId="787F00D5">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8.2响应文件要求内容及编排顺序</w:t>
      </w:r>
    </w:p>
    <w:p w14:paraId="1A630DAC">
      <w:pPr>
        <w:keepNext w:val="0"/>
        <w:keepLines w:val="0"/>
        <w:pageBreakBefore w:val="0"/>
        <w:numPr>
          <w:ilvl w:val="0"/>
          <w:numId w:val="0"/>
        </w:numPr>
        <w:kinsoku/>
        <w:wordWrap/>
        <w:autoSpaceDE/>
        <w:bidi w:val="0"/>
        <w:spacing w:line="480" w:lineRule="exac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资格证明文件</w:t>
      </w:r>
      <w:r>
        <w:rPr>
          <w:rFonts w:hint="eastAsia" w:ascii="宋体" w:hAnsi="宋体" w:eastAsia="宋体" w:cs="宋体"/>
          <w:b/>
          <w:bCs/>
          <w:sz w:val="24"/>
          <w:szCs w:val="24"/>
          <w:highlight w:val="none"/>
          <w:lang w:eastAsia="zh-CN"/>
        </w:rPr>
        <w:t>：</w:t>
      </w:r>
    </w:p>
    <w:p w14:paraId="4A14FBDB">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政府采购供应商信用承诺函</w:t>
      </w:r>
      <w:r>
        <w:rPr>
          <w:rFonts w:hint="eastAsia" w:ascii="宋体" w:hAnsi="宋体" w:eastAsia="宋体" w:cs="宋体"/>
          <w:sz w:val="24"/>
          <w:szCs w:val="24"/>
          <w:highlight w:val="none"/>
          <w:lang w:eastAsia="zh-CN"/>
        </w:rPr>
        <w:t>；</w:t>
      </w:r>
    </w:p>
    <w:p w14:paraId="50971FF6">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基本账户开户许可证或基本存款账户信息及</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保证金的缴纳凭证</w:t>
      </w:r>
      <w:r>
        <w:rPr>
          <w:rFonts w:hint="eastAsia" w:ascii="宋体" w:hAnsi="宋体" w:eastAsia="宋体" w:cs="宋体"/>
          <w:sz w:val="24"/>
          <w:szCs w:val="24"/>
          <w:highlight w:val="none"/>
          <w:lang w:eastAsia="zh-CN"/>
        </w:rPr>
        <w:t>；</w:t>
      </w:r>
    </w:p>
    <w:p w14:paraId="6F6DD6F5">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供应商认为需提供的其他资格证明材料。</w:t>
      </w:r>
    </w:p>
    <w:p w14:paraId="39543927">
      <w:pPr>
        <w:keepNext w:val="0"/>
        <w:keepLines w:val="0"/>
        <w:pageBreakBefore w:val="0"/>
        <w:numPr>
          <w:ilvl w:val="0"/>
          <w:numId w:val="0"/>
        </w:numPr>
        <w:kinsoku/>
        <w:wordWrap/>
        <w:autoSpaceDE/>
        <w:bidi w:val="0"/>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val="en-US" w:eastAsia="zh-CN"/>
        </w:rPr>
        <w:t>商务、技术文件</w:t>
      </w:r>
      <w:r>
        <w:rPr>
          <w:rFonts w:hint="eastAsia" w:ascii="宋体" w:hAnsi="宋体" w:eastAsia="宋体" w:cs="宋体"/>
          <w:b/>
          <w:bCs/>
          <w:color w:val="auto"/>
          <w:sz w:val="24"/>
          <w:szCs w:val="24"/>
          <w:highlight w:val="none"/>
        </w:rPr>
        <w:t>：</w:t>
      </w:r>
    </w:p>
    <w:p w14:paraId="63B116D6">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法定代表人（负责人）身份证明书</w:t>
      </w:r>
      <w:r>
        <w:rPr>
          <w:rFonts w:hint="eastAsia" w:ascii="宋体" w:hAnsi="宋体" w:eastAsia="宋体" w:cs="宋体"/>
          <w:sz w:val="24"/>
          <w:highlight w:val="none"/>
          <w:lang w:eastAsia="zh-CN"/>
        </w:rPr>
        <w:t>；</w:t>
      </w:r>
    </w:p>
    <w:p w14:paraId="3744EA7D">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法定代表人（负责人）授权委托书</w:t>
      </w:r>
      <w:r>
        <w:rPr>
          <w:rFonts w:hint="eastAsia" w:ascii="宋体" w:hAnsi="宋体" w:eastAsia="宋体" w:cs="宋体"/>
          <w:sz w:val="24"/>
          <w:highlight w:val="none"/>
          <w:lang w:eastAsia="zh-CN"/>
        </w:rPr>
        <w:t>；</w:t>
      </w:r>
    </w:p>
    <w:p w14:paraId="64EED2C9">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响应函；</w:t>
      </w:r>
    </w:p>
    <w:p w14:paraId="71FC7256">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报价一览表及详细报价明细表</w:t>
      </w:r>
      <w:r>
        <w:rPr>
          <w:rFonts w:hint="eastAsia" w:ascii="宋体" w:hAnsi="宋体" w:eastAsia="宋体" w:cs="宋体"/>
          <w:sz w:val="24"/>
          <w:highlight w:val="none"/>
          <w:lang w:eastAsia="zh-CN"/>
        </w:rPr>
        <w:t>；</w:t>
      </w:r>
    </w:p>
    <w:p w14:paraId="38053B6C">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商务技术规范响应及偏离表</w:t>
      </w:r>
      <w:r>
        <w:rPr>
          <w:rFonts w:hint="eastAsia" w:ascii="宋体" w:hAnsi="宋体" w:eastAsia="宋体" w:cs="宋体"/>
          <w:sz w:val="24"/>
          <w:highlight w:val="none"/>
          <w:lang w:eastAsia="zh-CN"/>
        </w:rPr>
        <w:t>；</w:t>
      </w:r>
    </w:p>
    <w:p w14:paraId="67D02D34">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服务方案</w:t>
      </w:r>
      <w:r>
        <w:rPr>
          <w:rFonts w:hint="eastAsia" w:ascii="宋体" w:hAnsi="宋体" w:eastAsia="宋体" w:cs="宋体"/>
          <w:sz w:val="24"/>
          <w:highlight w:val="none"/>
          <w:lang w:eastAsia="zh-CN"/>
        </w:rPr>
        <w:t>；</w:t>
      </w:r>
    </w:p>
    <w:p w14:paraId="71D4149D">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近三年同类项目案例及相关证明资料</w:t>
      </w:r>
      <w:r>
        <w:rPr>
          <w:rFonts w:hint="eastAsia" w:ascii="宋体" w:hAnsi="宋体" w:eastAsia="宋体" w:cs="宋体"/>
          <w:sz w:val="24"/>
          <w:highlight w:val="none"/>
          <w:lang w:eastAsia="zh-CN"/>
        </w:rPr>
        <w:t>；</w:t>
      </w:r>
    </w:p>
    <w:p w14:paraId="2C87E128">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供应商认为需要提供的其他商务、技术材料；</w:t>
      </w:r>
    </w:p>
    <w:p w14:paraId="55288CE8">
      <w:pPr>
        <w:keepNext w:val="0"/>
        <w:keepLines w:val="0"/>
        <w:pageBreakBefore w:val="0"/>
        <w:numPr>
          <w:ilvl w:val="0"/>
          <w:numId w:val="0"/>
        </w:numPr>
        <w:kinsoku/>
        <w:wordWrap/>
        <w:autoSpaceDE/>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政策性要求。</w:t>
      </w:r>
    </w:p>
    <w:p w14:paraId="05445AC6">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8.3响应文件规格幅面（A4），按照磋商文件所规定的内容顺序，统一编目、编页码。为方便评审，响应文件中的</w:t>
      </w:r>
      <w:r>
        <w:rPr>
          <w:rFonts w:hint="eastAsia" w:ascii="宋体" w:hAnsi="宋体" w:eastAsia="宋体" w:cs="宋体"/>
          <w:sz w:val="24"/>
          <w:szCs w:val="24"/>
          <w:highlight w:val="none"/>
        </w:rPr>
        <w:t>各项表格必须按照磋商文件第</w:t>
      </w: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部分格式要求制作。</w:t>
      </w:r>
    </w:p>
    <w:p w14:paraId="373B6BEC">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8.4报价</w:t>
      </w:r>
    </w:p>
    <w:p w14:paraId="1275592F">
      <w:pPr>
        <w:keepNext w:val="0"/>
        <w:keepLines w:val="0"/>
        <w:pageBreakBefore w:val="0"/>
        <w:kinsoku/>
        <w:wordWrap/>
        <w:autoSpaceDE/>
        <w:bidi w:val="0"/>
        <w:spacing w:line="48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（1）本次报价按总价报价，超过本采购预算金额的投标报价将被拒绝。</w:t>
      </w:r>
    </w:p>
    <w:p w14:paraId="58FFCBC8">
      <w:pPr>
        <w:keepNext w:val="0"/>
        <w:keepLines w:val="0"/>
        <w:pageBreakBefore w:val="0"/>
        <w:kinsoku/>
        <w:wordWrap/>
        <w:autoSpaceDE/>
        <w:bidi w:val="0"/>
        <w:spacing w:line="48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（2）本次磋商不接受可选择或可调整的报价。</w:t>
      </w:r>
    </w:p>
    <w:p w14:paraId="61FF4553">
      <w:pPr>
        <w:keepNext w:val="0"/>
        <w:keepLines w:val="0"/>
        <w:pageBreakBefore w:val="0"/>
        <w:kinsoku/>
        <w:wordWrap/>
        <w:autoSpaceDE/>
        <w:bidi w:val="0"/>
        <w:spacing w:line="48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（3）本次磋商报价，应充分考虑市场竞争因素进行报价。</w:t>
      </w:r>
    </w:p>
    <w:p w14:paraId="095A381A">
      <w:pPr>
        <w:keepNext w:val="0"/>
        <w:keepLines w:val="0"/>
        <w:pageBreakBefore w:val="0"/>
        <w:kinsoku/>
        <w:wordWrap/>
        <w:autoSpaceDE/>
        <w:bidi w:val="0"/>
        <w:spacing w:line="48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（4）供应商对报价若有说明应在报价一览表显著处注明。</w:t>
      </w:r>
    </w:p>
    <w:p w14:paraId="184EBAA1">
      <w:pPr>
        <w:keepNext w:val="0"/>
        <w:keepLines w:val="0"/>
        <w:pageBreakBefore w:val="0"/>
        <w:kinsoku/>
        <w:wordWrap/>
        <w:autoSpaceDE/>
        <w:bidi w:val="0"/>
        <w:spacing w:line="48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（5）投标的报价优惠承诺应对应报价一览表。除报价优惠承诺外，任何超出磋商文件要求而额外赠送的软硬件设备、免费培训等其他形式的优惠，在评标时将不作为价格折算的必备条件。</w:t>
      </w:r>
    </w:p>
    <w:p w14:paraId="7CA19467">
      <w:pPr>
        <w:pStyle w:val="11"/>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）采用综合评分法的，最低报价不能作为中标的保证。</w:t>
      </w:r>
    </w:p>
    <w:p w14:paraId="4DA531C2">
      <w:pPr>
        <w:keepNext w:val="0"/>
        <w:keepLines w:val="0"/>
        <w:pageBreakBefore w:val="0"/>
        <w:kinsoku/>
        <w:wordWrap/>
        <w:autoSpaceDE/>
        <w:bidi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8.5政府采购相关政策要求</w:t>
      </w:r>
    </w:p>
    <w:p w14:paraId="1BC69B83">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.1小型、微型企业参加本项目的评审标准</w:t>
      </w:r>
    </w:p>
    <w:p w14:paraId="0C2A59D8">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3223ABE">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.1.2由中小企业提供服务的，对其报价享受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%的价格折扣，用扣除后价格参加评审</w:t>
      </w:r>
    </w:p>
    <w:p w14:paraId="124385DE">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.1.3联合体价格折扣：本项目若允许联合体参加，大中型企业与小型、微型企业组成联合体的，联合协议约定小型、微型企业的合同份额占到合同总金额30%以上的，对联合体的报价给予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%的扣除，用扣除后价格参加评审。</w:t>
      </w:r>
    </w:p>
    <w:p w14:paraId="4E31B0BE">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.1.4大中型企业向小型、微型企业分包的价格折扣：大中型企业向一家或者多家小型、微型企业分包的，分包意向协议约定小型、微型企业的合同份额占到合同总金额30%以上的，对大中型企业的报价给予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%的扣除，用扣除后价格参加评审。</w:t>
      </w:r>
    </w:p>
    <w:p w14:paraId="40C132B6">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.2残疾人福利性单位参加本项目的评审标准：</w:t>
      </w:r>
    </w:p>
    <w:p w14:paraId="6C582642">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.2.1须根据财库【2017】141号《关于促进残疾人就业政府采购政策的通知》的要求，如实填写残疾人福利性单位声明函，残疾人福利性单位参加本项目投标时，享受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%的价格折扣，用扣除后的价格参与评审。</w:t>
      </w:r>
    </w:p>
    <w:p w14:paraId="047D5729">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.2.2享受政府采购支持政策的残疾人福利性单位应当同时满足以下条件：</w:t>
      </w:r>
    </w:p>
    <w:p w14:paraId="2111D840">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2867B811">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1A3E3C31">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21F99C84">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4AE601FB">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5BD4BEE1">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9FEF18F">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.2.3投标人提供的《残疾人福利性单位声明函》与事实不符的，依照《政府采购法》第七十七条第一款的规定追究法律责任。</w:t>
      </w:r>
    </w:p>
    <w:p w14:paraId="7C765B03">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E5F9AD">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.3监狱企业参加本项目投标的要求：</w:t>
      </w:r>
    </w:p>
    <w:p w14:paraId="7AC6E447">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监狱企业参加投标视同小微企业，需提供由省级以上监狱管理局或戒毒管理局出具的属于监狱企业的证明文件。</w:t>
      </w:r>
    </w:p>
    <w:p w14:paraId="1289EFC6">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.4本项目涉及创新产品、创新服务的评审标准：</w:t>
      </w:r>
    </w:p>
    <w:p w14:paraId="1062C490">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.4.1投标人投提供服务属于《山西省创新产品和服务推荐清单》中创新产品或创新服务的，在评审时，其报价享受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%的价格折扣，以折扣后的价格参与评审。</w:t>
      </w:r>
    </w:p>
    <w:p w14:paraId="4EE75302">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.4.2投标人提供创新服务的，应在投标文件中填写《创新服务明细表》，并提供《山西省创新产品和服务推荐清单》。</w:t>
      </w:r>
    </w:p>
    <w:p w14:paraId="3301845F">
      <w:pPr>
        <w:keepNext w:val="0"/>
        <w:keepLines w:val="0"/>
        <w:pageBreakBefore w:val="0"/>
        <w:pBdr>
          <w:top w:val="none" w:color="auto" w:sz="0" w:space="1"/>
          <w:left w:val="none" w:color="auto" w:sz="0" w:space="4"/>
          <w:bottom w:val="none" w:color="auto" w:sz="0" w:space="1"/>
          <w:right w:val="none" w:color="auto" w:sz="0" w:space="4"/>
        </w:pBdr>
        <w:kinsoku/>
        <w:wordWrap/>
        <w:autoSpaceDE/>
        <w:bidi w:val="0"/>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.4.3创新服务的价格折扣政策可与其他政府采购政策叠加。</w:t>
      </w:r>
    </w:p>
    <w:p w14:paraId="33D77BFA">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9．磋商内容填写说明</w:t>
      </w:r>
    </w:p>
    <w:p w14:paraId="6920A36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9.1供应商应详细阅读磋商文件的全部内容。响应文件须对磋商文件中的内容做出实质性和完整性的响应。</w:t>
      </w:r>
    </w:p>
    <w:p w14:paraId="2E8BDAB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供应商照搬照抄磋商文件商务、技术要求，并未提供技术资料或提供资料不详的，磋商小组有权决定是否通知供应商限期在电子平台进行解释或提供相关证明材料。若已要求，而该供应商在规定期限内未做出解释、做出的解释不合理或不能提供证明材料的，磋商小组有权拒绝该投标。</w:t>
      </w:r>
    </w:p>
    <w:p w14:paraId="305CBBC8">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9.3响应文件应严格按照磋商文件第</w:t>
      </w: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 xml:space="preserve">部分的要求提交，并按规定的统一格式逐项填写，不准有空项；无相应内容可填的项应填写“无”、“未测试”、“没有相应指标”等明确的回答文字。响应文件未按规定提交或留有空项，将被视为不完整响应的响应文件，其投标有可能被拒绝。 </w:t>
      </w:r>
    </w:p>
    <w:p w14:paraId="203731F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9.4报价要求按格式统一填写，不得自行增减内容。</w:t>
      </w:r>
    </w:p>
    <w:p w14:paraId="04E18F48">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9.5供应商必须保证响应文件所提供的全部资料真实可靠，并接受磋商小组对其中任何资料进一步审查的要求。</w:t>
      </w:r>
    </w:p>
    <w:p w14:paraId="31FAFF6B">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10．响应文件的有效期</w:t>
      </w:r>
    </w:p>
    <w:p w14:paraId="5D56A068">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10.1本项目响应文件的有效期为90个日历天。有效期短于该规定期限的投标将被拒绝。</w:t>
      </w:r>
    </w:p>
    <w:p w14:paraId="4D35611E">
      <w:pPr>
        <w:pStyle w:val="6"/>
        <w:keepNext w:val="0"/>
        <w:keepLines w:val="0"/>
        <w:pageBreakBefore w:val="0"/>
        <w:widowControl w:val="0"/>
        <w:kinsoku/>
        <w:wordWrap/>
        <w:overflowPunct/>
        <w:topLinePunct w:val="0"/>
        <w:autoSpaceDE/>
        <w:autoSpaceDN/>
        <w:bidi w:val="0"/>
        <w:spacing w:line="48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10.2在特殊情况下，采购人在原定响应文件有效期内可以根据需要向报价人提出延长响应文件有效期的要求，报价人应在政采云平台对此要求向采购人作出答复；报价人可以拒绝采购人的要求而不会因此被没收报价保证金。同意延期的报价人应相应地延长报价保证金的有效期，但不得因此而提出修改响应文件的要求。在延长期内，本须知第4条关于磋商保证金的退还与没收的规定仍然适用。</w:t>
      </w:r>
    </w:p>
    <w:p w14:paraId="400E8AD0">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11．响应文件的签署及规定</w:t>
      </w:r>
    </w:p>
    <w:p w14:paraId="68F23D5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11.1组成响应文件的各项文件均应遵守本条。</w:t>
      </w:r>
    </w:p>
    <w:p w14:paraId="4281056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11.2供应商在响应文件及相关文件的签订、履行、通知等事项中的“单位盖章”、“印章”、“公章”等处均仅指与当事人名称全称相一致的标准公章，不得使用其它（如带有“专用章”等字样）的电子章。</w:t>
      </w:r>
    </w:p>
    <w:p w14:paraId="29D350E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11.3供应商应按照磋商文件要求，在响应文件要求的位置填写供应商全称并加盖电子章，同时在该处签署法定代表人或供应商代表的全名或加盖本人电子章。</w:t>
      </w:r>
    </w:p>
    <w:p w14:paraId="6071155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11.4供应商须注意：为合理节约政府采购评审成本，提倡诚实信用的投标行为，特别要求供应商应本着诚信精神，在本次响应文件的偏离表和其它偏离文件中（若本次磋商文件中没有提供偏离表或其它偏离文件样本，供应商亦应当自制偏离表并装订于本次响应文件中，并应当在总目录及分目录上清楚表明所在页数），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的事项，一旦在评审中被发现存在负偏离或被认定为属于负偏离，则评委会有权视该条款是否为主要条款而决定是否对该投标予以拒绝。</w:t>
      </w:r>
    </w:p>
    <w:p w14:paraId="318D247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11.5供应商存在下列情况之一的，投标无效</w:t>
      </w:r>
      <w:r>
        <w:rPr>
          <w:rFonts w:hint="eastAsia" w:ascii="宋体" w:hAnsi="宋体" w:eastAsia="宋体" w:cs="宋体"/>
          <w:sz w:val="24"/>
          <w:szCs w:val="24"/>
          <w:highlight w:val="none"/>
          <w:lang w:eastAsia="zh-CN"/>
        </w:rPr>
        <w:t>：</w:t>
      </w:r>
    </w:p>
    <w:p w14:paraId="3AF2E81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（1）未按照磋商文件的规定提交投标保证金的；</w:t>
      </w:r>
    </w:p>
    <w:p w14:paraId="6334C23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（2）响应文件未按磋商文件要求签署、盖章的；</w:t>
      </w:r>
    </w:p>
    <w:p w14:paraId="0FDFAD0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（3）不具备磋商文件中规定的资格要求的；</w:t>
      </w:r>
    </w:p>
    <w:p w14:paraId="793ACD3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（4）报价超过磋商文件中规定的预算金额或者最高限价的；</w:t>
      </w:r>
    </w:p>
    <w:p w14:paraId="471AAA1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（5）响应文件含有采购人不能接受的附加条件的</w:t>
      </w:r>
      <w:r>
        <w:rPr>
          <w:rFonts w:hint="eastAsia" w:ascii="宋体" w:hAnsi="宋体" w:eastAsia="宋体" w:cs="宋体"/>
          <w:sz w:val="24"/>
          <w:szCs w:val="24"/>
          <w:highlight w:val="none"/>
          <w:lang w:eastAsia="zh-CN"/>
        </w:rPr>
        <w:t>；</w:t>
      </w:r>
    </w:p>
    <w:p w14:paraId="0D53164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（6）法律、法规和磋商文件规定的其他无效情形</w:t>
      </w:r>
      <w:r>
        <w:rPr>
          <w:rFonts w:hint="eastAsia" w:ascii="宋体" w:hAnsi="宋体" w:eastAsia="宋体" w:cs="宋体"/>
          <w:sz w:val="24"/>
          <w:szCs w:val="24"/>
          <w:highlight w:val="none"/>
          <w:lang w:eastAsia="zh-CN"/>
        </w:rPr>
        <w:t>。</w:t>
      </w:r>
    </w:p>
    <w:p w14:paraId="0FCD6C98">
      <w:pPr>
        <w:keepNext w:val="0"/>
        <w:keepLines w:val="0"/>
        <w:pageBreakBefore w:val="0"/>
        <w:widowControl w:val="0"/>
        <w:kinsoku/>
        <w:wordWrap/>
        <w:overflowPunct/>
        <w:topLinePunct w:val="0"/>
        <w:autoSpaceDE/>
        <w:autoSpaceDN/>
        <w:bidi w:val="0"/>
        <w:spacing w:line="480" w:lineRule="exact"/>
        <w:ind w:left="0" w:leftChars="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四、响应文件的递交</w:t>
      </w:r>
    </w:p>
    <w:p w14:paraId="15A0BEDC">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12．响应文件的递交</w:t>
      </w:r>
    </w:p>
    <w:p w14:paraId="0CCE6ACA">
      <w:pPr>
        <w:pStyle w:val="15"/>
        <w:keepNext w:val="0"/>
        <w:keepLines w:val="0"/>
        <w:pageBreakBefore w:val="0"/>
        <w:widowControl w:val="0"/>
        <w:kinsoku/>
        <w:wordWrap/>
        <w:overflowPunct/>
        <w:topLinePunct w:val="0"/>
        <w:autoSpaceDE/>
        <w:autoSpaceDN/>
        <w:bidi w:val="0"/>
        <w:spacing w:line="480" w:lineRule="exact"/>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12.1响应文件通过山西政府采购平台电子投标客户端编辑并加密后上传.</w:t>
      </w:r>
    </w:p>
    <w:p w14:paraId="1E5C5263">
      <w:pPr>
        <w:keepNext w:val="0"/>
        <w:keepLines w:val="0"/>
        <w:pageBreakBefore w:val="0"/>
        <w:widowControl w:val="0"/>
        <w:kinsoku/>
        <w:wordWrap/>
        <w:overflowPunct/>
        <w:topLinePunct w:val="0"/>
        <w:autoSpaceDE/>
        <w:autoSpaceDN/>
        <w:bidi w:val="0"/>
        <w:spacing w:line="480" w:lineRule="exact"/>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12.2供应商应在响应文件递交截止时间前在山西省政府采购信息平台（http://www.ccgp-shanxi.gov.cn/home.html）中完成递交（上传），截止时间前未完成响应文件上传的，视为撤回响应文件，供应商自行承担责任。</w:t>
      </w:r>
    </w:p>
    <w:p w14:paraId="1D4ABBE2">
      <w:pPr>
        <w:pStyle w:val="15"/>
        <w:keepNext w:val="0"/>
        <w:keepLines w:val="0"/>
        <w:pageBreakBefore w:val="0"/>
        <w:widowControl w:val="0"/>
        <w:kinsoku/>
        <w:wordWrap/>
        <w:overflowPunct/>
        <w:topLinePunct w:val="0"/>
        <w:autoSpaceDE/>
        <w:autoSpaceDN/>
        <w:bidi w:val="0"/>
        <w:spacing w:line="480" w:lineRule="exact"/>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12.3出现下述情形之一，属于未成功提交响应文件：</w:t>
      </w:r>
    </w:p>
    <w:p w14:paraId="2A1980C7">
      <w:pPr>
        <w:pStyle w:val="7"/>
        <w:keepNext w:val="0"/>
        <w:keepLines w:val="0"/>
        <w:pageBreakBefore w:val="0"/>
        <w:widowControl w:val="0"/>
        <w:numPr>
          <w:ilvl w:val="0"/>
          <w:numId w:val="0"/>
        </w:numPr>
        <w:tabs>
          <w:tab w:val="left" w:pos="0"/>
        </w:tabs>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default" w:ascii="宋体" w:hAnsi="宋体" w:eastAsia="宋体" w:cs="宋体"/>
          <w:color w:val="000000"/>
          <w:kern w:val="0"/>
          <w:sz w:val="24"/>
          <w:szCs w:val="24"/>
          <w:lang w:val="en-US" w:eastAsia="zh-CN" w:bidi="ar-SA"/>
        </w:rPr>
        <w:t>（1）</w:t>
      </w:r>
      <w:r>
        <w:rPr>
          <w:rFonts w:hint="eastAsia" w:ascii="宋体" w:hAnsi="宋体" w:eastAsia="宋体" w:cs="宋体"/>
          <w:sz w:val="24"/>
          <w:szCs w:val="24"/>
          <w:highlight w:val="none"/>
        </w:rPr>
        <w:t>至提交响应文件截止时，响应文件未完整上传并保存的</w:t>
      </w:r>
      <w:r>
        <w:rPr>
          <w:rFonts w:hint="eastAsia" w:ascii="宋体" w:hAnsi="宋体" w:eastAsia="宋体" w:cs="宋体"/>
          <w:sz w:val="24"/>
          <w:szCs w:val="24"/>
          <w:highlight w:val="none"/>
          <w:lang w:eastAsia="zh-CN"/>
        </w:rPr>
        <w:t>；</w:t>
      </w:r>
    </w:p>
    <w:p w14:paraId="35B0DE8F">
      <w:pPr>
        <w:pStyle w:val="7"/>
        <w:keepNext w:val="0"/>
        <w:keepLines w:val="0"/>
        <w:pageBreakBefore w:val="0"/>
        <w:widowControl w:val="0"/>
        <w:numPr>
          <w:ilvl w:val="0"/>
          <w:numId w:val="0"/>
        </w:numPr>
        <w:tabs>
          <w:tab w:val="left" w:pos="0"/>
        </w:tabs>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default" w:ascii="宋体" w:hAnsi="宋体" w:eastAsia="宋体" w:cs="宋体"/>
          <w:color w:val="000000"/>
          <w:kern w:val="0"/>
          <w:sz w:val="24"/>
          <w:szCs w:val="24"/>
          <w:lang w:val="en-US" w:eastAsia="zh-CN" w:bidi="ar-SA"/>
        </w:rPr>
        <w:t>（2）</w:t>
      </w:r>
      <w:r>
        <w:rPr>
          <w:rFonts w:hint="eastAsia" w:ascii="宋体" w:hAnsi="宋体" w:eastAsia="宋体" w:cs="宋体"/>
          <w:sz w:val="24"/>
          <w:szCs w:val="24"/>
          <w:highlight w:val="none"/>
        </w:rPr>
        <w:t>响应文件未按要求进行电子签名和电子签章，或电子签名或电子签章不完整的</w:t>
      </w:r>
      <w:r>
        <w:rPr>
          <w:rFonts w:hint="eastAsia" w:ascii="宋体" w:hAnsi="宋体" w:eastAsia="宋体" w:cs="宋体"/>
          <w:sz w:val="24"/>
          <w:szCs w:val="24"/>
          <w:highlight w:val="none"/>
          <w:lang w:eastAsia="zh-CN"/>
        </w:rPr>
        <w:t>；</w:t>
      </w:r>
    </w:p>
    <w:p w14:paraId="7E61F5F2">
      <w:pPr>
        <w:pStyle w:val="7"/>
        <w:keepNext w:val="0"/>
        <w:keepLines w:val="0"/>
        <w:pageBreakBefore w:val="0"/>
        <w:widowControl w:val="0"/>
        <w:numPr>
          <w:ilvl w:val="0"/>
          <w:numId w:val="0"/>
        </w:numPr>
        <w:tabs>
          <w:tab w:val="left" w:pos="0"/>
        </w:tabs>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default" w:ascii="宋体" w:hAnsi="宋体" w:eastAsia="宋体" w:cs="宋体"/>
          <w:color w:val="000000"/>
          <w:kern w:val="0"/>
          <w:sz w:val="24"/>
          <w:szCs w:val="24"/>
          <w:lang w:val="en-US" w:eastAsia="zh-CN" w:bidi="ar-SA"/>
        </w:rPr>
        <w:t>（3）</w:t>
      </w:r>
      <w:r>
        <w:rPr>
          <w:rFonts w:hint="eastAsia" w:ascii="宋体" w:hAnsi="宋体" w:eastAsia="宋体" w:cs="宋体"/>
          <w:sz w:val="24"/>
          <w:szCs w:val="24"/>
          <w:highlight w:val="none"/>
        </w:rPr>
        <w:t>响应文件损坏或格式不正确的</w:t>
      </w:r>
      <w:r>
        <w:rPr>
          <w:rFonts w:hint="eastAsia" w:ascii="宋体" w:hAnsi="宋体" w:eastAsia="宋体" w:cs="宋体"/>
          <w:sz w:val="24"/>
          <w:szCs w:val="24"/>
          <w:highlight w:val="none"/>
          <w:lang w:eastAsia="zh-CN"/>
        </w:rPr>
        <w:t>；</w:t>
      </w:r>
    </w:p>
    <w:p w14:paraId="48D4413A">
      <w:pPr>
        <w:pStyle w:val="7"/>
        <w:keepNext w:val="0"/>
        <w:keepLines w:val="0"/>
        <w:pageBreakBefore w:val="0"/>
        <w:widowControl w:val="0"/>
        <w:numPr>
          <w:ilvl w:val="0"/>
          <w:numId w:val="0"/>
        </w:numPr>
        <w:tabs>
          <w:tab w:val="left" w:pos="0"/>
        </w:tabs>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default" w:ascii="宋体" w:hAnsi="宋体" w:eastAsia="宋体" w:cs="宋体"/>
          <w:color w:val="000000"/>
          <w:kern w:val="0"/>
          <w:sz w:val="24"/>
          <w:szCs w:val="24"/>
          <w:lang w:val="en-US" w:eastAsia="zh-CN" w:bidi="ar-SA"/>
        </w:rPr>
        <w:t>（4）</w:t>
      </w:r>
      <w:r>
        <w:rPr>
          <w:rFonts w:hint="eastAsia" w:ascii="宋体" w:hAnsi="宋体" w:eastAsia="宋体" w:cs="宋体"/>
          <w:sz w:val="24"/>
          <w:szCs w:val="24"/>
          <w:highlight w:val="none"/>
        </w:rPr>
        <w:t>未使用最新发布的磋商文件制作响应文件的。</w:t>
      </w:r>
    </w:p>
    <w:p w14:paraId="5F3E7E6E">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13.响应文件的补充、修改和撤回</w:t>
      </w:r>
    </w:p>
    <w:p w14:paraId="60B8D83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napToGrid w:val="0"/>
          <w:kern w:val="0"/>
          <w:sz w:val="24"/>
          <w:szCs w:val="24"/>
          <w:highlight w:val="none"/>
        </w:rPr>
        <w:t>供应商应当在报价截止时间前完成响应文件的传输递交，并可以补充、修改或者撤回响应文件。报价截止时间前未完成响应文件传输的，视为撤回响应文件。报价截止时间后送达的响应文件，山西省政府采购信息平台应当拒收。在报价截止时间前，供应商可以补充、修改或撤回已递交的响应文件，但应重新对响应文件进行电子签章并加密，在线递交。</w:t>
      </w:r>
    </w:p>
    <w:p w14:paraId="74880572">
      <w:pPr>
        <w:keepNext w:val="0"/>
        <w:keepLines w:val="0"/>
        <w:pageBreakBefore w:val="0"/>
        <w:widowControl w:val="0"/>
        <w:kinsoku/>
        <w:wordWrap/>
        <w:overflowPunct/>
        <w:topLinePunct w:val="0"/>
        <w:autoSpaceDE/>
        <w:autoSpaceDN/>
        <w:bidi w:val="0"/>
        <w:spacing w:line="480" w:lineRule="exact"/>
        <w:ind w:left="0" w:leftChars="0" w:firstLine="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五、磋商程序及开启仪式</w:t>
      </w:r>
    </w:p>
    <w:p w14:paraId="7C8B2DF8">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程序：本次磋商采取一轮磋商两轮报价的方式进行，但磋商小组也可根据现场情况增加磋商和报价的轮次，磋商小组对供应商提供的响应性文件进行资格性、符合性审查，磋商结束后要求合格的供应商在规定的时间内进行最后报价，对提交最后报价的供应商的响应文件和最后报价进行综合评分。</w:t>
      </w:r>
    </w:p>
    <w:p w14:paraId="67AB88F1">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14.磋商开启仪式及其有关事项</w:t>
      </w:r>
    </w:p>
    <w:p w14:paraId="231A5890">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采购代理机构（或采购人）按磋商文件规定的时间、地点主持磋商开启仪式，供应商在工作人员下达标书开启命令后使用数字证书（CA）对已递交的电子响应文件进行解密，供应商应在开始解密时间起30分钟内在线进行电子响应文件的解密操作，未在规定时间内解密，其报价视为无效。</w:t>
      </w:r>
    </w:p>
    <w:p w14:paraId="2844AC95">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14.2第一轮公开报价后下发开标一览表使用数字证书（CA）进行报价确认。</w:t>
      </w:r>
    </w:p>
    <w:p w14:paraId="53342E58">
      <w:pPr>
        <w:keepNext w:val="0"/>
        <w:keepLines w:val="0"/>
        <w:pageBreakBefore w:val="0"/>
        <w:widowControl w:val="0"/>
        <w:kinsoku/>
        <w:wordWrap/>
        <w:overflowPunct/>
        <w:topLinePunct w:val="0"/>
        <w:autoSpaceDE/>
        <w:autoSpaceDN/>
        <w:bidi w:val="0"/>
        <w:spacing w:line="480" w:lineRule="exact"/>
        <w:ind w:left="0" w:leftChars="0" w:firstLine="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六、评标程序和要求</w:t>
      </w:r>
    </w:p>
    <w:p w14:paraId="7B8250BA">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15．组建磋商小组</w:t>
      </w:r>
    </w:p>
    <w:p w14:paraId="13D3E2F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15.1财政部门会同采购人根据有关法律法规和本磋商文件的规定，依法组建成立磋商小组，磋商小组由采购人的代表和有关专家共三人以上的单数组成，其中专家的人数不得少于成员总数的三分之二。 </w:t>
      </w:r>
    </w:p>
    <w:p w14:paraId="2E14F54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15.2采购代理机构就磋商文件征询过意见的专家，不得作为评标专家参加评标，采购代理机构工作人员不得参加评标。</w:t>
      </w:r>
    </w:p>
    <w:p w14:paraId="0ABA63D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15.3磋商小组对供应商进行资格性审查，详细资质原件需按照第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部分评标标准和评标办法中评审办法中的条款执行。</w:t>
      </w:r>
    </w:p>
    <w:p w14:paraId="36BA1CCD">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16.审核</w:t>
      </w:r>
    </w:p>
    <w:p w14:paraId="3068801F">
      <w:pPr>
        <w:pStyle w:val="11"/>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16.1开标后，采购人或采购代理机构对投标供应商响应文件进行资格性审查，审查各投标供应商响应文件是否符合磋商文件的基本要求，需按照第</w:t>
      </w:r>
      <w:r>
        <w:rPr>
          <w:rFonts w:hint="eastAsia" w:ascii="宋体" w:hAnsi="宋体" w:cs="宋体"/>
          <w:sz w:val="24"/>
          <w:szCs w:val="24"/>
          <w:highlight w:val="none"/>
          <w:lang w:val="en-US" w:eastAsia="zh-CN" w:bidi="ar-SA"/>
        </w:rPr>
        <w:t>四</w:t>
      </w:r>
      <w:r>
        <w:rPr>
          <w:rFonts w:hint="eastAsia" w:ascii="宋体" w:hAnsi="宋体" w:eastAsia="宋体" w:cs="宋体"/>
          <w:sz w:val="24"/>
          <w:szCs w:val="24"/>
          <w:highlight w:val="none"/>
          <w:lang w:val="en-US" w:bidi="ar-SA"/>
        </w:rPr>
        <w:t>部分评标标准和评标办法中评审办法中的条款执行。</w:t>
      </w:r>
    </w:p>
    <w:p w14:paraId="422F107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16.2符合性审核</w:t>
      </w:r>
    </w:p>
    <w:p w14:paraId="73DB752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16.2.1</w:t>
      </w:r>
      <w:r>
        <w:rPr>
          <w:rFonts w:hint="eastAsia" w:ascii="宋体" w:hAnsi="宋体" w:eastAsia="宋体" w:cs="宋体"/>
          <w:sz w:val="24"/>
          <w:szCs w:val="24"/>
          <w:highlight w:val="none"/>
        </w:rPr>
        <w:t>开标后，磋商小组将审查各投标供应商响应文件是否符合磋商文件的基本要求：内容是否完整、资格证明文件是否齐全、有无计算错误、文件签署是否齐全及验证磋商保证金。</w:t>
      </w:r>
    </w:p>
    <w:p w14:paraId="3AAE430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16.2.2</w:t>
      </w:r>
      <w:r>
        <w:rPr>
          <w:rFonts w:hint="eastAsia" w:ascii="宋体" w:hAnsi="宋体" w:eastAsia="宋体" w:cs="宋体"/>
          <w:sz w:val="24"/>
          <w:szCs w:val="24"/>
          <w:highlight w:val="none"/>
        </w:rPr>
        <w:t>审核时，磋商小组要审核每份响应文件是否实质上响应了磋商文件的要求</w:t>
      </w:r>
    </w:p>
    <w:p w14:paraId="20259B4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（1）实质上响应的投标是指与磋商文件的主要条款、条件和规格相符，没有重大偏离。</w:t>
      </w:r>
    </w:p>
    <w:p w14:paraId="10AC21C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重大偏离是</w:t>
      </w:r>
      <w:r>
        <w:rPr>
          <w:rFonts w:hint="eastAsia" w:ascii="宋体" w:hAnsi="宋体" w:eastAsia="宋体" w:cs="宋体"/>
          <w:sz w:val="24"/>
          <w:szCs w:val="24"/>
          <w:highlight w:val="none"/>
        </w:rPr>
        <w:t>响应文件要求质量、数量和交货期限等明显不能满足磋商文件的要求，或者实质上与磋商文件不一致，而且限制了采购人的权利或供应商的义务，纠正这些偏离将对其他实质上响应要求的供应商的竞争地位产生不公正的影响。包括但不限于：</w:t>
      </w:r>
    </w:p>
    <w:p w14:paraId="40D85F5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A、本文件“供应商须知”第8条“响应文件的组成及相关要求”部分中，带＊部分的资格证明文件不全或无效的；</w:t>
      </w:r>
    </w:p>
    <w:p w14:paraId="6B306FD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B、响应文件未按磋商文件的规定签署、盖电子章的；</w:t>
      </w:r>
    </w:p>
    <w:p w14:paraId="6FAEDFD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C、响应有效期不足的；</w:t>
      </w:r>
    </w:p>
    <w:p w14:paraId="42753AD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D、投标服务质量、服务周期、检验标准和方法、售后服务承诺等不满足磋商文件中的相关要求和超出采购人可接受的偏差范围的；</w:t>
      </w:r>
    </w:p>
    <w:p w14:paraId="3A74932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E、未按照磋商文件规定报价的；</w:t>
      </w:r>
    </w:p>
    <w:p w14:paraId="7A37183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F、响应文件附有采购人不能接受的条件；</w:t>
      </w:r>
    </w:p>
    <w:p w14:paraId="4D223E4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G、不符合磋商文件中规定的其他实质性要求。</w:t>
      </w:r>
    </w:p>
    <w:p w14:paraId="0F3F21B8">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（3）重大偏离不允许在开标后修正。</w:t>
      </w:r>
    </w:p>
    <w:p w14:paraId="7185F13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（4）如果响应文件实质上没有响应磋商文件的要求，磋商小组将予以拒绝，供应商不得再对响应文件进行任何修正从而使其投标成为实质上响应的投标。</w:t>
      </w:r>
    </w:p>
    <w:p w14:paraId="183FB4B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（5）响应文件的</w:t>
      </w:r>
      <w:r>
        <w:rPr>
          <w:rFonts w:hint="eastAsia" w:ascii="宋体" w:hAnsi="宋体" w:eastAsia="宋体" w:cs="宋体"/>
          <w:sz w:val="24"/>
          <w:szCs w:val="24"/>
          <w:highlight w:val="none"/>
          <w:u w:val="single"/>
        </w:rPr>
        <w:t>细微偏差</w:t>
      </w:r>
      <w:r>
        <w:rPr>
          <w:rFonts w:hint="eastAsia" w:ascii="宋体" w:hAnsi="宋体" w:eastAsia="宋体" w:cs="宋体"/>
          <w:sz w:val="24"/>
          <w:szCs w:val="24"/>
          <w:highlight w:val="none"/>
        </w:rPr>
        <w:t>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E38CD7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16.3磋商供应商有下列情形之一的，视为串通行为，其磋商无效：</w:t>
      </w:r>
    </w:p>
    <w:p w14:paraId="0D720922">
      <w:pPr>
        <w:keepNext w:val="0"/>
        <w:keepLines w:val="0"/>
        <w:pageBreakBefore w:val="0"/>
        <w:widowControl w:val="0"/>
        <w:numPr>
          <w:ilvl w:val="0"/>
          <w:numId w:val="1"/>
        </w:numPr>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不同磋商供应商的响应文件由同一单位或者个人编制的</w:t>
      </w:r>
      <w:r>
        <w:rPr>
          <w:rFonts w:hint="eastAsia" w:ascii="宋体" w:hAnsi="宋体" w:eastAsia="宋体" w:cs="宋体"/>
          <w:sz w:val="24"/>
          <w:szCs w:val="24"/>
          <w:highlight w:val="none"/>
          <w:lang w:eastAsia="zh-CN"/>
        </w:rPr>
        <w:t>；</w:t>
      </w:r>
    </w:p>
    <w:p w14:paraId="1DB82871">
      <w:pPr>
        <w:keepNext w:val="0"/>
        <w:keepLines w:val="0"/>
        <w:pageBreakBefore w:val="0"/>
        <w:widowControl w:val="0"/>
        <w:numPr>
          <w:ilvl w:val="0"/>
          <w:numId w:val="1"/>
        </w:numPr>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不同磋商供应商委托同一单位或者个人办理磋商事宜；</w:t>
      </w:r>
    </w:p>
    <w:p w14:paraId="385C889C">
      <w:pPr>
        <w:keepNext w:val="0"/>
        <w:keepLines w:val="0"/>
        <w:pageBreakBefore w:val="0"/>
        <w:widowControl w:val="0"/>
        <w:numPr>
          <w:ilvl w:val="0"/>
          <w:numId w:val="1"/>
        </w:numPr>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不同磋商供应商的响应文件载明的项目管理成员或者联系人为同一人；</w:t>
      </w:r>
    </w:p>
    <w:p w14:paraId="6826E9F0">
      <w:pPr>
        <w:keepNext w:val="0"/>
        <w:keepLines w:val="0"/>
        <w:pageBreakBefore w:val="0"/>
        <w:widowControl w:val="0"/>
        <w:numPr>
          <w:ilvl w:val="0"/>
          <w:numId w:val="1"/>
        </w:numPr>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不同磋商供应商的响应文件异常一致或者投标报价呈规律性差异；</w:t>
      </w:r>
    </w:p>
    <w:p w14:paraId="7DEA4A80">
      <w:pPr>
        <w:keepNext w:val="0"/>
        <w:keepLines w:val="0"/>
        <w:pageBreakBefore w:val="0"/>
        <w:widowControl w:val="0"/>
        <w:numPr>
          <w:ilvl w:val="0"/>
          <w:numId w:val="1"/>
        </w:numPr>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不同磋商供应商的响应文件相互混装；</w:t>
      </w:r>
    </w:p>
    <w:p w14:paraId="0A2516C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F、不同磋商供应商的保证金从同一单位或者个人的账户转出。</w:t>
      </w:r>
    </w:p>
    <w:p w14:paraId="15BC828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（1）如果正本与副本不一致，以正本为准；报价一览表内容与响应文件中明细表内容不一致的，以报价一览表为准。</w:t>
      </w:r>
    </w:p>
    <w:p w14:paraId="57D7EB3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（2）如果以文字表示的数据与数字表示的有差别，以文字表示的为准。如果大小写金额不一致的，以大写金额为准。</w:t>
      </w:r>
    </w:p>
    <w:p w14:paraId="230EE20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（3）如果单价乘以数量不等于总价，以单价为准修正总价，但单价金额小数点有明显错误的，应以总价为准，并修改单价。如果明细价格相加不等于汇总价格，以明细价格为准。</w:t>
      </w:r>
    </w:p>
    <w:p w14:paraId="0BFDE774">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（4）调整后的数据应对供应商具有约束力，若供应商不同意以上修正，其投标将被拒绝。</w:t>
      </w:r>
    </w:p>
    <w:p w14:paraId="149ECC3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16.5磋商小组对响应文件的判定，只依据响应文件内容本身，不依据任何外来证明。</w:t>
      </w:r>
    </w:p>
    <w:p w14:paraId="2C06FE28">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17．响应文件的澄清</w:t>
      </w:r>
    </w:p>
    <w:p w14:paraId="46FD5AF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磋商小组有权要求供应商对响应文件中含义不明确、对同类问题表述不一致或者有明显文字和计算错误等内容作必要的澄清、说明或者补正。磋商供应商的澄清、说明或者更正不得超出响应文件的范围或者改变响应文件的实质性内容。</w:t>
      </w:r>
    </w:p>
    <w:p w14:paraId="297C90A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供应商必须按照磋商小组通知的内容和时间在政采云电子平台做出答复，该答复经法定代表人或供应商代表的签字认可，将作为响应文件内容的一部分。澄清、说明或者补正不得超出响应文件的范围或者改变响应文件的实质性内容。供应商拒不按照要求对响应文件进行澄清、说明或者补正的，磋商小组可拒绝该投标。</w:t>
      </w:r>
    </w:p>
    <w:p w14:paraId="514248E9">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17.3如磋商小组一致认为某个供应商的报价明显不合理，有降低质量、不能诚信履行的可能时，磋商小组有权决定是否通知供应商限期进行解释或提供相关证明材料。若已要求，而该供应商在规定期限内未做出解释、做出的解释不合理或不能提供证明材料的，磋商小组有权拒绝该投标。</w:t>
      </w:r>
    </w:p>
    <w:p w14:paraId="79BDA888">
      <w:pPr>
        <w:pStyle w:val="46"/>
        <w:keepNext w:val="0"/>
        <w:keepLines w:val="0"/>
        <w:pageBreakBefore w:val="0"/>
        <w:widowControl w:val="0"/>
        <w:kinsoku/>
        <w:wordWrap/>
        <w:overflowPunct/>
        <w:topLinePunct w:val="0"/>
        <w:autoSpaceDE/>
        <w:autoSpaceDN/>
        <w:bidi w:val="0"/>
        <w:snapToGrid w:val="0"/>
        <w:spacing w:line="480" w:lineRule="exact"/>
        <w:ind w:left="0" w:leftChars="0" w:firstLine="472" w:firstLineChars="196"/>
        <w:jc w:val="lef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18.</w:t>
      </w:r>
      <w:r>
        <w:rPr>
          <w:rFonts w:hint="eastAsia" w:ascii="宋体" w:hAnsi="宋体" w:eastAsia="宋体" w:cs="宋体"/>
          <w:b/>
          <w:bCs/>
          <w:sz w:val="24"/>
          <w:szCs w:val="24"/>
          <w:highlight w:val="none"/>
        </w:rPr>
        <w:t>磋商</w:t>
      </w:r>
    </w:p>
    <w:p w14:paraId="59E9E73F">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18.1磋商小组所有成员集中与单一磋商供应商分别进行磋商，并给予所有参加磋商的磋商供应商平等的磋商机会。</w:t>
      </w:r>
    </w:p>
    <w:p w14:paraId="6DBF6C50">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18.2磋商的顺序，按照参加磋商的磋商递交响应文件的顺序进行。</w:t>
      </w:r>
    </w:p>
    <w:p w14:paraId="0614A1E5">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18.3磋商内容包括货物/服务的技术配置、售后服务、服务方案、价格等采购需求以及磋商小组认为有必要明确的其它问题。</w:t>
      </w:r>
    </w:p>
    <w:p w14:paraId="6A424D25">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磋商时，磋商小组根据情况，可以要求或同意磋商供应商就某些磋商事项在政采云电子平台作出明确的承诺。作为响应文件的组成部分。</w:t>
      </w:r>
    </w:p>
    <w:p w14:paraId="5C847DE7">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18.4经磋商、审查，磋商供应商重新提交的磋商文件全部实质性响应了磋商文件的要求，在满足3家以上磋商供应商的竞争要求的情况下，进入最后报价。</w:t>
      </w:r>
    </w:p>
    <w:p w14:paraId="3D4E971A">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18.5磋商过程中，磋商供应商的所有包括在政采云平台上作出的承诺、补充文件以及重新提交的磋商文件，必须由法定代表人（负责人）签字或其授权代表签字或者加盖电子公章。由授权代表签字的，应当附法定代表人授权书。磋商供应商为自然人的，应当由本人签字并附身份证明。</w:t>
      </w:r>
    </w:p>
    <w:p w14:paraId="36E98BCD">
      <w:pPr>
        <w:pStyle w:val="46"/>
        <w:keepNext w:val="0"/>
        <w:keepLines w:val="0"/>
        <w:pageBreakBefore w:val="0"/>
        <w:widowControl w:val="0"/>
        <w:kinsoku/>
        <w:wordWrap/>
        <w:overflowPunct/>
        <w:topLinePunct w:val="0"/>
        <w:autoSpaceDE/>
        <w:autoSpaceDN/>
        <w:bidi w:val="0"/>
        <w:snapToGrid w:val="0"/>
        <w:spacing w:line="480" w:lineRule="exact"/>
        <w:ind w:left="0" w:leftChars="0"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18.6已提交响应文件的供应商，在提交最后报价之前，可以根据磋商情况退出磋商。采购人、采购代理公司应当退还退出磋商的供应商的磋商保证金。</w:t>
      </w:r>
    </w:p>
    <w:p w14:paraId="5C993CA5">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19.最后报价</w:t>
      </w:r>
    </w:p>
    <w:p w14:paraId="4563986F">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19.1磋商结束后，对磋商文件做出实质性响应的磋商供应商进行最后报价，最后报价在政采云电子平台进行，最后报价是磋商供应商磋商文件有效的组成部分。</w:t>
      </w:r>
    </w:p>
    <w:p w14:paraId="42583822">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19.1.1磋商文件对技术、服务要求已详细列明，磋商结束后，所有继续参加磋商的磋商供应商要按照磋商小组的要求在规定时间内提交最后报价。</w:t>
      </w:r>
    </w:p>
    <w:p w14:paraId="7A1CC45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19.1.2磋商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3E76321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19.2磋商小组认为磋商供应商的报价明显低于其他通过符合性审查磋商供应商的报价，有可能影响产品质量或者不能诚信履约的，应当要求其在磋商现场合理的时间内提供说明，必要时提交相关证明材料；磋商供应商不能证明其报价合理性的，磋商小组应当将其作为无效磋商处理。</w:t>
      </w:r>
    </w:p>
    <w:p w14:paraId="692CB0D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20.综合评审</w:t>
      </w:r>
    </w:p>
    <w:p w14:paraId="1E1B355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20.1经磋商确定最终采购需求和提交最后报价的供应商后，由磋商小组采用综合评分法对提交最后报价的磋商供应商的响应文件和最后报价进行综合评分。</w:t>
      </w:r>
    </w:p>
    <w:p w14:paraId="6916ED8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20.2采用综合评分法评审，应按照磋商文件第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部分评定和成交标准中规定的综合评分法评分细则进行。</w:t>
      </w:r>
    </w:p>
    <w:p w14:paraId="0B10C38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确定成交候选供应商</w:t>
      </w:r>
      <w:r>
        <w:rPr>
          <w:rFonts w:hint="eastAsia" w:ascii="宋体" w:hAnsi="宋体" w:eastAsia="宋体" w:cs="宋体"/>
          <w:sz w:val="24"/>
          <w:szCs w:val="24"/>
          <w:highlight w:val="none"/>
          <w:lang w:val="en-US" w:eastAsia="zh-CN"/>
        </w:rPr>
        <w:t>及成交供应商</w:t>
      </w:r>
    </w:p>
    <w:p w14:paraId="67AECB94">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4E9249DA">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评审结束后磋商小组应编制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记录相关情况。磋商小组成员拒绝在报告上签字又不说明其不同意见和理由的，视为同意评审报告。</w:t>
      </w:r>
    </w:p>
    <w:p w14:paraId="259A6B3B">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21.3采购代理机构应当在评审结束后2个工作日内将评审报告送采购人确认。</w:t>
      </w:r>
    </w:p>
    <w:p w14:paraId="2BC70C6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14:paraId="152774B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21.5</w:t>
      </w:r>
      <w:r>
        <w:rPr>
          <w:rFonts w:hint="eastAsia" w:ascii="宋体" w:hAnsi="宋体" w:eastAsia="宋体" w:cs="宋体"/>
          <w:b/>
          <w:bCs/>
          <w:sz w:val="24"/>
          <w:szCs w:val="24"/>
          <w:highlight w:val="none"/>
          <w:lang w:val="en-US" w:eastAsia="zh-CN"/>
        </w:rPr>
        <w:t>本项目采购人授权磋商小组确定成交供应商。</w:t>
      </w:r>
    </w:p>
    <w:p w14:paraId="28981AB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22.评审复核 </w:t>
      </w:r>
    </w:p>
    <w:p w14:paraId="175E9C3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22.1评审结果汇总完成后，除下列情形外，任何人不得修改评审结果：</w:t>
      </w:r>
    </w:p>
    <w:p w14:paraId="44EE6FF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A、分值汇总计算错误的；</w:t>
      </w:r>
    </w:p>
    <w:p w14:paraId="190594E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B、分项评分超出评分标准范围的；</w:t>
      </w:r>
    </w:p>
    <w:p w14:paraId="1457D75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C、磋商小组对客观评审因素评分不一致的；</w:t>
      </w:r>
    </w:p>
    <w:p w14:paraId="5D80A448">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D、经磋商小组认定评分畸高、畸低的；</w:t>
      </w:r>
    </w:p>
    <w:p w14:paraId="4C26FE0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报告本级财政部门。</w:t>
      </w:r>
    </w:p>
    <w:p w14:paraId="5D7671CD">
      <w:pPr>
        <w:keepNext w:val="0"/>
        <w:keepLines w:val="0"/>
        <w:pageBreakBefore w:val="0"/>
        <w:widowControl w:val="0"/>
        <w:kinsoku/>
        <w:wordWrap/>
        <w:overflowPunct/>
        <w:topLinePunct w:val="0"/>
        <w:autoSpaceDE/>
        <w:autoSpaceDN/>
        <w:bidi w:val="0"/>
        <w:spacing w:line="480" w:lineRule="exact"/>
        <w:ind w:left="0" w:leftChars="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23．评标过程保密</w:t>
      </w:r>
    </w:p>
    <w:p w14:paraId="02B72112">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23.1采购人、代理机构要采取必要措施，保证磋商在严格保密的情况下进行。除采购人代表、磋商现场组织人员外，采购人的其他工作人员以及与磋商工作无关的人员不得进入磋商现场。</w:t>
      </w:r>
    </w:p>
    <w:p w14:paraId="77D28439">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23.2有关人员对磋商情况以及在磋商过程中获悉的国家秘密、商业秘密负有保密责任；任何人不得透露与磋商有关的其他磋商供应商的技术资料、价格和其他信息。</w:t>
      </w:r>
    </w:p>
    <w:p w14:paraId="698516CE">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23.3磋商结束后，参与评审磋商的所有人员不得带走磋商现场的任何资料。</w:t>
      </w:r>
    </w:p>
    <w:p w14:paraId="50F28BC2">
      <w:pPr>
        <w:keepNext w:val="0"/>
        <w:keepLines w:val="0"/>
        <w:pageBreakBefore w:val="0"/>
        <w:widowControl w:val="0"/>
        <w:kinsoku/>
        <w:wordWrap/>
        <w:overflowPunct/>
        <w:topLinePunct w:val="0"/>
        <w:autoSpaceDE/>
        <w:autoSpaceDN/>
        <w:bidi w:val="0"/>
        <w:spacing w:line="480" w:lineRule="exact"/>
        <w:ind w:left="0" w:leftChars="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24．关于供应商非实质性响应滞后发现的处理规则</w:t>
      </w:r>
    </w:p>
    <w:p w14:paraId="10C74D2F">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无论基于何种原因，各项本应做拒绝投标处理的情形，即便未被及时发现而使该供应商进入初审、详细评审或其它后续程序，包括已经签约的情形。一旦被发现存在上述情形，或采购代理机构均有权决定取消该供应商的此前评议结果，或决定对该投标予以拒绝，并有权采取相应的补救及纠正措施。</w:t>
      </w:r>
    </w:p>
    <w:p w14:paraId="179067DB">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25．采购项目终止</w:t>
      </w:r>
    </w:p>
    <w:p w14:paraId="671D5DD8">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25.1在磋商过程中，磋商小组发现有下列情形之一的，应对采购项目予以终止：</w:t>
      </w:r>
    </w:p>
    <w:p w14:paraId="06279724">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A、符合专业条件的磋商供应商或者对磋商文件作实质响应的供应商数量不足3家的；</w:t>
      </w:r>
    </w:p>
    <w:p w14:paraId="6AD942ED">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B、磋商供应商的报价均超过采购预算或最高限价的；</w:t>
      </w:r>
    </w:p>
    <w:p w14:paraId="75D85B75">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C、出现影响采购公正的违法、违规行为的；</w:t>
      </w:r>
    </w:p>
    <w:p w14:paraId="2B8080BB">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D、因重大变故，采购任务取消的。</w:t>
      </w:r>
    </w:p>
    <w:p w14:paraId="6CC58C94">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采购项目终止后，磋商小组应做出书面报告。</w:t>
      </w:r>
    </w:p>
    <w:p w14:paraId="4DE2FCEC">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25.2终止后，代理机构将在财政部门指定的媒体上发布终止公告。</w:t>
      </w:r>
    </w:p>
    <w:p w14:paraId="6B4EE0D5">
      <w:pPr>
        <w:pStyle w:val="46"/>
        <w:keepNext w:val="0"/>
        <w:keepLines w:val="0"/>
        <w:pageBreakBefore w:val="0"/>
        <w:widowControl w:val="0"/>
        <w:kinsoku/>
        <w:wordWrap/>
        <w:overflowPunct/>
        <w:topLinePunct w:val="0"/>
        <w:autoSpaceDE/>
        <w:autoSpaceDN/>
        <w:bidi w:val="0"/>
        <w:snapToGrid w:val="0"/>
        <w:spacing w:line="480" w:lineRule="exact"/>
        <w:ind w:left="0" w:leftChars="0"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25.3如本项目属于市场竞争不充分的科研项目、需要扶持的科技成果转化项目和政府购买服务项目（含政府和社会资</w:t>
      </w:r>
      <w:r>
        <w:rPr>
          <w:rFonts w:hint="eastAsia" w:ascii="宋体" w:hAnsi="宋体" w:eastAsia="宋体" w:cs="宋体"/>
          <w:kern w:val="2"/>
          <w:sz w:val="24"/>
          <w:szCs w:val="24"/>
          <w:highlight w:val="none"/>
        </w:rPr>
        <w:t>本合作项目）的，符合竞争要求的提交最后报价的磋商供应商可以是2家，而不被终止。</w:t>
      </w:r>
    </w:p>
    <w:p w14:paraId="714F5ECF">
      <w:pPr>
        <w:keepNext w:val="0"/>
        <w:keepLines w:val="0"/>
        <w:pageBreakBefore w:val="0"/>
        <w:widowControl w:val="0"/>
        <w:kinsoku/>
        <w:wordWrap/>
        <w:overflowPunct/>
        <w:topLinePunct w:val="0"/>
        <w:autoSpaceDE/>
        <w:autoSpaceDN/>
        <w:bidi w:val="0"/>
        <w:spacing w:line="480" w:lineRule="exact"/>
        <w:ind w:left="0" w:left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七、签订合同</w:t>
      </w:r>
    </w:p>
    <w:p w14:paraId="51EAA9F5">
      <w:pPr>
        <w:keepNext w:val="0"/>
        <w:keepLines w:val="0"/>
        <w:pageBreakBefore w:val="0"/>
        <w:widowControl w:val="0"/>
        <w:kinsoku/>
        <w:wordWrap/>
        <w:overflowPunct/>
        <w:topLinePunct w:val="0"/>
        <w:autoSpaceDE/>
        <w:autoSpaceDN/>
        <w:bidi w:val="0"/>
        <w:spacing w:line="480" w:lineRule="exact"/>
        <w:ind w:left="0" w:leftChars="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26．成交通知</w:t>
      </w:r>
    </w:p>
    <w:p w14:paraId="1E595A59">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1成交供应商确定后，采购代理机构将在刊登本次磋商公告的媒体上发布成交公告，并在政采云平台上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0121D999">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26.2采购代理机构对未成交的供应商不做未成交原因的解释。</w:t>
      </w:r>
    </w:p>
    <w:p w14:paraId="49B9A7F3">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26.3成交通知书是合同的组成部分。</w:t>
      </w:r>
    </w:p>
    <w:p w14:paraId="2A3D6C5F">
      <w:pPr>
        <w:keepNext w:val="0"/>
        <w:keepLines w:val="0"/>
        <w:pageBreakBefore w:val="0"/>
        <w:widowControl w:val="0"/>
        <w:kinsoku/>
        <w:wordWrap/>
        <w:overflowPunct/>
        <w:topLinePunct w:val="0"/>
        <w:autoSpaceDE/>
        <w:autoSpaceDN/>
        <w:bidi w:val="0"/>
        <w:spacing w:line="480" w:lineRule="exact"/>
        <w:ind w:left="0" w:leftChars="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27．签订合同</w:t>
      </w:r>
    </w:p>
    <w:p w14:paraId="07C6FEAB">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27.1成交供应商应在成交通知书发出之日起三十日内与采购人签订采购合同。由于成交供应商的原因逾期未与采购人签订采购合同的，将视为放弃成交，取消其成交资格并将按相关规定进行处理。</w:t>
      </w:r>
    </w:p>
    <w:p w14:paraId="67528A66">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27.2磋商文件、成交供应商的响应文件及双方确认的澄清文件等，均为有法律约束力的合同组成部分。</w:t>
      </w:r>
    </w:p>
    <w:p w14:paraId="545F5704">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FC72468">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27.4成交供应商因不可抗力原因不能履行采购合同或放弃成交的，采购人可以与排在成交供应商之后第一位的成交候选人签订采购合同，以此类推。</w:t>
      </w:r>
    </w:p>
    <w:p w14:paraId="3F9D79BD">
      <w:pPr>
        <w:keepNext w:val="0"/>
        <w:keepLines w:val="0"/>
        <w:pageBreakBefore w:val="0"/>
        <w:widowControl w:val="0"/>
        <w:kinsoku/>
        <w:wordWrap/>
        <w:overflowPunct/>
        <w:topLinePunct w:val="0"/>
        <w:autoSpaceDE/>
        <w:autoSpaceDN/>
        <w:bidi w:val="0"/>
        <w:spacing w:line="480" w:lineRule="exac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27.5竞争性磋商文件、成交供应商提交的响应文件、磋商中的最后报价、成交供应商承诺书、成交通知书等均称为有法律约束力的合同组成内容。</w:t>
      </w:r>
    </w:p>
    <w:p w14:paraId="6FBDC7AA">
      <w:pPr>
        <w:keepNext w:val="0"/>
        <w:keepLines w:val="0"/>
        <w:pageBreakBefore w:val="0"/>
        <w:widowControl w:val="0"/>
        <w:kinsoku/>
        <w:wordWrap/>
        <w:overflowPunct/>
        <w:topLinePunct w:val="0"/>
        <w:autoSpaceDE/>
        <w:autoSpaceDN/>
        <w:bidi w:val="0"/>
        <w:spacing w:line="480" w:lineRule="exact"/>
        <w:ind w:left="0" w:leftChars="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八、保密和披露</w:t>
      </w:r>
    </w:p>
    <w:p w14:paraId="3D880A2F">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28．保密</w:t>
      </w:r>
    </w:p>
    <w:p w14:paraId="67B4128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供应商自领取磋商文件之日起，须承诺承担本采购项目下保密义务，不得将因本次采购获得的信息向第三人外传。</w:t>
      </w:r>
    </w:p>
    <w:p w14:paraId="593FD153">
      <w:pPr>
        <w:keepNext w:val="0"/>
        <w:keepLines w:val="0"/>
        <w:pageBreakBefore w:val="0"/>
        <w:widowControl w:val="0"/>
        <w:kinsoku/>
        <w:wordWrap/>
        <w:overflowPunct/>
        <w:topLinePunct w:val="0"/>
        <w:autoSpaceDE/>
        <w:autoSpaceDN/>
        <w:bidi w:val="0"/>
        <w:spacing w:line="480" w:lineRule="exact"/>
        <w:ind w:left="0" w:leftChars="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29．披露</w:t>
      </w:r>
    </w:p>
    <w:p w14:paraId="1CE0B97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29.1采购代理机构有权将供应商提供的所有资料向有关政府部门或评审标书的有关人员披露。</w:t>
      </w:r>
    </w:p>
    <w:p w14:paraId="3E2B20F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29.2采购代理机构认为适当时、国家机关调查、审查、审计时以及其他符合法律规定的情形下，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6879A7F5">
      <w:pPr>
        <w:keepNext w:val="0"/>
        <w:keepLines w:val="0"/>
        <w:pageBreakBefore w:val="0"/>
        <w:widowControl w:val="0"/>
        <w:kinsoku/>
        <w:wordWrap/>
        <w:overflowPunct/>
        <w:topLinePunct w:val="0"/>
        <w:autoSpaceDE/>
        <w:autoSpaceDN/>
        <w:bidi w:val="0"/>
        <w:spacing w:line="480" w:lineRule="exact"/>
        <w:ind w:left="0" w:leftChars="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九、询问和质疑</w:t>
      </w:r>
    </w:p>
    <w:p w14:paraId="1D631C4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30.询问</w:t>
      </w:r>
    </w:p>
    <w:p w14:paraId="710C8DC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供应商对政府采购活动事项、采购文件有询问或疑问的，可以口头或书面形式向代理机构提出询问，代理机构应当及时做出答复，但答复的内容不得涉及商业秘密。</w:t>
      </w:r>
    </w:p>
    <w:p w14:paraId="293A594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31.质疑</w:t>
      </w:r>
    </w:p>
    <w:p w14:paraId="483E146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31.1采购程序受《中华人民共和国政府采购法》《中华人民共和国政府采购法实施条例》和相关法律法规的约束，并受到严格的内部监督，以确保授予合同过程的公平公正。</w:t>
      </w:r>
    </w:p>
    <w:p w14:paraId="16D0506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供应商认为采购文件、采购过程、成交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62CC0E5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31.3供应商已经参与了投标，并于开标后对磋商文件提出质疑的，其质疑应当被视为无效质疑。</w:t>
      </w:r>
    </w:p>
    <w:p w14:paraId="7C90A0E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31.4质疑应以书面形式向代理机构提出，质疑函须经法定代表人签字并加盖公章</w:t>
      </w:r>
    </w:p>
    <w:p w14:paraId="4C5A7739">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31.5按照“谁主张、谁举证”的原则，质疑时应当提供相关证明材料。供应商提出质疑应当提交质疑函和必要的证明材料。质疑函应当包括下列内容：</w:t>
      </w:r>
    </w:p>
    <w:p w14:paraId="1029E6F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23E8F07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0876B91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C9CA4C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29F3C91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7E83187A">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1CDE8B8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供应商为自然人的，应当由本人签字；供应商为法人或者其他组织的，应当由法定代表人、主要负责人，或者其授权代表签字或者盖章，并加盖公章。</w:t>
      </w:r>
    </w:p>
    <w:p w14:paraId="7B89530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质疑材料按照一式二份提供。</w:t>
      </w:r>
    </w:p>
    <w:p w14:paraId="1A92461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31.6有下列情形之一的，属于无效质疑，代理机构可不予受理：</w:t>
      </w:r>
    </w:p>
    <w:p w14:paraId="6966F4F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A、未在有效期限内提出质疑的；</w:t>
      </w:r>
    </w:p>
    <w:p w14:paraId="7436C76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B、质疑未按格式要求以书面形式提出的；</w:t>
      </w:r>
    </w:p>
    <w:p w14:paraId="0EA9DB6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C、质疑函没有法定代表人签署并加盖单位公章的；</w:t>
      </w:r>
    </w:p>
    <w:p w14:paraId="13FAB79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D、质疑事项已经进入投诉或者诉讼程序的；</w:t>
      </w:r>
    </w:p>
    <w:p w14:paraId="6801205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E、其它不符合受理条件的情形。</w:t>
      </w:r>
    </w:p>
    <w:p w14:paraId="41278D5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31.7采购人、采购代理机构不得拒收质疑供应商在法定质疑期内发出的质疑函，应当在收到质疑函后7个工作日内作出答复，并以书面形式通知质疑供应商和其他有关供应商。</w:t>
      </w:r>
    </w:p>
    <w:p w14:paraId="49E4A359">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31.8供应商进行虚假和恶意质疑的，代理机构可以提请政府采购监管部门将其列入不良记录名单，在一至三年内禁止参加政府采购活动，并将处理决定在相关政府采购媒体上公布。</w:t>
      </w:r>
    </w:p>
    <w:p w14:paraId="6D78987D">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31.9质疑供应商对采购人、采购代理机构的答复不满意，或者采购人、采购代理机构未在规定时间内作出答复的，可以在答复期满后15个工作日内向本办法第六条规定的财政部门提起投诉。</w:t>
      </w:r>
    </w:p>
    <w:p w14:paraId="2DBE302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31.10投诉人投诉时,应当提交投诉书和必要的证明材料，并按照被投诉采购人、采购代理机构（以下简称被投诉人）和与投诉事项有关的供应商数量提供投诉书的副本。投诉书应当包括下列内容：</w:t>
      </w:r>
    </w:p>
    <w:p w14:paraId="39B3DB9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（1）投诉人和被投诉人的姓名或者名称、通讯地址、邮编、联系人及联系电话；</w:t>
      </w:r>
    </w:p>
    <w:p w14:paraId="6D775EE4">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（2）质疑和质疑答复情况说明及相关证明材料；</w:t>
      </w:r>
    </w:p>
    <w:p w14:paraId="66324E7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（3）具体、明确的投诉事项和与投诉事项相关的投诉请求；</w:t>
      </w:r>
    </w:p>
    <w:p w14:paraId="7BFF2BD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ED38B23">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（5）法律依据；</w:t>
      </w:r>
    </w:p>
    <w:p w14:paraId="7DB2D602">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（6）提起投诉的日期。</w:t>
      </w:r>
    </w:p>
    <w:p w14:paraId="07087A1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投诉人为自然人的，应当由本人签字；投诉人为法人或者其他组织的，应当由法定代表人、主要负责人，或者其授权代表签字或者盖章，并加盖公章。</w:t>
      </w:r>
    </w:p>
    <w:p w14:paraId="1DAC874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31.11投诉人应当根据本办法第七条第二款规定的信息内容，并按照其规定的方式提起投诉。</w:t>
      </w:r>
    </w:p>
    <w:p w14:paraId="28EEB99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投诉人提起投诉应当符合下列条件：</w:t>
      </w:r>
    </w:p>
    <w:p w14:paraId="4AA36959">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（1）提起投诉前已依法进行质疑；</w:t>
      </w:r>
    </w:p>
    <w:p w14:paraId="02137CE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（2）投诉书内容符合本办法的规定；</w:t>
      </w:r>
    </w:p>
    <w:p w14:paraId="58A1B141">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（3）在投诉有效期限内提起投诉；</w:t>
      </w:r>
    </w:p>
    <w:p w14:paraId="75EB77B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（4）同一投诉事项未经财政部门投诉处理；</w:t>
      </w:r>
    </w:p>
    <w:p w14:paraId="01967206">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（5）财政部规定的其他条件。</w:t>
      </w:r>
    </w:p>
    <w:p w14:paraId="7491CF05">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31.12供应商投诉的事项不得超出已质疑事项的范围，但基于质疑答复内容提出的投诉事项除外。</w:t>
      </w:r>
    </w:p>
    <w:p w14:paraId="2D3094CA">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供应商对代理机构的答复不满意以及代理机构未在规定的时间内做出答复的，可以在答复期满后15个工作日内向政府采购监管部门进行投诉。</w:t>
      </w:r>
    </w:p>
    <w:p w14:paraId="7878A7B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31.13投诉处理过程中，有下列情形之一的，财政部门应当驳回投诉：</w:t>
      </w:r>
    </w:p>
    <w:p w14:paraId="19B560B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（1）受理后发现投诉不符合法定受理条件；</w:t>
      </w:r>
    </w:p>
    <w:p w14:paraId="0395A4A8">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（2）投诉事项缺乏事实依据，投诉事项不成立；</w:t>
      </w:r>
    </w:p>
    <w:p w14:paraId="246F043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（3）投诉人捏造事实或者提供虚假材料；</w:t>
      </w:r>
    </w:p>
    <w:p w14:paraId="515931EC">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（4）投诉人以非法手段取得证明材料。证据来源的合法性存在明显疑问，投诉人无法证明其取得方式合法的，视为以非法手段取得证明材料。</w:t>
      </w:r>
    </w:p>
    <w:p w14:paraId="603AA505">
      <w:pPr>
        <w:keepNext w:val="0"/>
        <w:keepLines w:val="0"/>
        <w:pageBreakBefore w:val="0"/>
        <w:widowControl w:val="0"/>
        <w:kinsoku/>
        <w:wordWrap/>
        <w:overflowPunct/>
        <w:topLinePunct w:val="0"/>
        <w:autoSpaceDE/>
        <w:autoSpaceDN/>
        <w:bidi w:val="0"/>
        <w:spacing w:line="48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十、供应商违规处罚</w:t>
      </w:r>
    </w:p>
    <w:p w14:paraId="38B40030">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32.投诉人在全国范围12个月内三次以上投诉查无实据的，由财政部门列入不良行为记录名单。</w:t>
      </w:r>
    </w:p>
    <w:p w14:paraId="4DA9146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投诉人有下列行为之一的，属于虚假、恶意投诉，由财政部门列入不良行为记录名单，禁止其1至3年内参加政府采购活动：</w:t>
      </w:r>
    </w:p>
    <w:p w14:paraId="3D96799E">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（1）捏造事实</w:t>
      </w:r>
      <w:r>
        <w:rPr>
          <w:rFonts w:hint="eastAsia" w:ascii="宋体" w:hAnsi="宋体" w:eastAsia="宋体" w:cs="宋体"/>
          <w:sz w:val="24"/>
          <w:szCs w:val="24"/>
          <w:highlight w:val="none"/>
          <w:lang w:eastAsia="zh-CN"/>
        </w:rPr>
        <w:t>；</w:t>
      </w:r>
    </w:p>
    <w:p w14:paraId="3486D4A7">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（2）提供虚假材料</w:t>
      </w:r>
      <w:r>
        <w:rPr>
          <w:rFonts w:hint="eastAsia" w:ascii="宋体" w:hAnsi="宋体" w:eastAsia="宋体" w:cs="宋体"/>
          <w:sz w:val="24"/>
          <w:szCs w:val="24"/>
          <w:highlight w:val="none"/>
          <w:lang w:eastAsia="zh-CN"/>
        </w:rPr>
        <w:t>；</w:t>
      </w:r>
    </w:p>
    <w:p w14:paraId="4E5B719F">
      <w:pPr>
        <w:keepNext w:val="0"/>
        <w:keepLines w:val="0"/>
        <w:pageBreakBefore w:val="0"/>
        <w:widowControl w:val="0"/>
        <w:kinsoku/>
        <w:wordWrap/>
        <w:overflowPunct/>
        <w:topLinePunct w:val="0"/>
        <w:autoSpaceDE/>
        <w:autoSpaceDN/>
        <w:bidi w:val="0"/>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p w14:paraId="0DC16666">
      <w:pPr>
        <w:snapToGrid w:val="0"/>
        <w:spacing w:line="360" w:lineRule="auto"/>
        <w:jc w:val="center"/>
        <w:outlineLvl w:val="0"/>
        <w:rPr>
          <w:rFonts w:hint="eastAsia" w:ascii="宋体" w:hAnsi="宋体" w:cs="宋体"/>
          <w:b/>
          <w:bCs/>
          <w:snapToGrid w:val="0"/>
          <w:color w:val="auto"/>
          <w:kern w:val="0"/>
          <w:sz w:val="36"/>
          <w:szCs w:val="36"/>
          <w:highlight w:val="none"/>
        </w:rPr>
      </w:pPr>
      <w:r>
        <w:rPr>
          <w:rFonts w:hint="eastAsia" w:ascii="宋体" w:hAnsi="宋体" w:cs="宋体"/>
          <w:b/>
          <w:bCs/>
          <w:snapToGrid w:val="0"/>
          <w:color w:val="auto"/>
          <w:kern w:val="0"/>
          <w:sz w:val="36"/>
          <w:szCs w:val="36"/>
          <w:highlight w:val="none"/>
        </w:rPr>
        <w:br w:type="page"/>
      </w:r>
      <w:bookmarkStart w:id="85" w:name="_Toc24871"/>
    </w:p>
    <w:p w14:paraId="4DC3FB6D">
      <w:pPr>
        <w:pStyle w:val="2"/>
        <w:bidi w:val="0"/>
        <w:spacing w:before="0" w:beforeAutospacing="0" w:after="0" w:afterAutospacing="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第四部分  评审标准和</w:t>
      </w:r>
      <w:r>
        <w:rPr>
          <w:rFonts w:hint="eastAsia" w:ascii="Times New Roman" w:hAnsi="Times New Roman" w:eastAsia="宋体" w:cs="Times New Roman"/>
          <w:sz w:val="28"/>
          <w:szCs w:val="28"/>
          <w:lang w:val="en-US" w:eastAsia="zh-CN"/>
        </w:rPr>
        <w:t>评审</w:t>
      </w:r>
      <w:r>
        <w:rPr>
          <w:rFonts w:hint="eastAsia" w:ascii="Times New Roman" w:hAnsi="Times New Roman" w:eastAsia="宋体" w:cs="Times New Roman"/>
          <w:sz w:val="28"/>
          <w:szCs w:val="28"/>
        </w:rPr>
        <w:t>方法</w:t>
      </w:r>
      <w:bookmarkEnd w:id="85"/>
    </w:p>
    <w:p w14:paraId="18300386">
      <w:pPr>
        <w:snapToGrid w:val="0"/>
        <w:spacing w:line="360" w:lineRule="auto"/>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一、资格性审查要求</w:t>
      </w:r>
    </w:p>
    <w:tbl>
      <w:tblPr>
        <w:tblStyle w:val="27"/>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31"/>
        <w:gridCol w:w="3740"/>
        <w:gridCol w:w="3683"/>
      </w:tblGrid>
      <w:tr w14:paraId="6F9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60" w:type="dxa"/>
            <w:vAlign w:val="center"/>
          </w:tcPr>
          <w:p w14:paraId="4FF9111D">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831" w:type="dxa"/>
            <w:vAlign w:val="center"/>
          </w:tcPr>
          <w:p w14:paraId="1A9472CC">
            <w:pPr>
              <w:spacing w:line="240" w:lineRule="auto"/>
              <w:jc w:val="center"/>
              <w:rPr>
                <w:rFonts w:ascii="宋体" w:hAnsi="宋体" w:cs="宋体"/>
                <w:color w:val="auto"/>
                <w:sz w:val="24"/>
                <w:highlight w:val="none"/>
              </w:rPr>
            </w:pPr>
            <w:r>
              <w:rPr>
                <w:rFonts w:hint="eastAsia" w:ascii="宋体" w:hAnsi="宋体" w:cs="宋体"/>
                <w:color w:val="auto"/>
                <w:sz w:val="24"/>
                <w:highlight w:val="none"/>
              </w:rPr>
              <w:t>类型</w:t>
            </w:r>
          </w:p>
        </w:tc>
        <w:tc>
          <w:tcPr>
            <w:tcW w:w="3740" w:type="dxa"/>
            <w:vAlign w:val="center"/>
          </w:tcPr>
          <w:p w14:paraId="2AE972D3">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审查要求</w:t>
            </w:r>
          </w:p>
        </w:tc>
        <w:tc>
          <w:tcPr>
            <w:tcW w:w="3683" w:type="dxa"/>
            <w:vAlign w:val="center"/>
          </w:tcPr>
          <w:p w14:paraId="578DE2C9">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要求说明</w:t>
            </w:r>
          </w:p>
        </w:tc>
      </w:tr>
      <w:tr w14:paraId="484C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60" w:type="dxa"/>
            <w:vAlign w:val="center"/>
          </w:tcPr>
          <w:p w14:paraId="56E877A8">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31" w:type="dxa"/>
            <w:vAlign w:val="center"/>
          </w:tcPr>
          <w:p w14:paraId="1C37F097">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营业执照</w:t>
            </w:r>
          </w:p>
        </w:tc>
        <w:tc>
          <w:tcPr>
            <w:tcW w:w="3740" w:type="dxa"/>
            <w:vAlign w:val="center"/>
          </w:tcPr>
          <w:p w14:paraId="70B6F7BF">
            <w:pPr>
              <w:spacing w:line="240" w:lineRule="auto"/>
              <w:jc w:val="left"/>
              <w:rPr>
                <w:rFonts w:ascii="宋体" w:hAnsi="宋体" w:cs="宋体"/>
                <w:color w:val="auto"/>
                <w:sz w:val="24"/>
                <w:highlight w:val="none"/>
              </w:rPr>
            </w:pPr>
            <w:r>
              <w:rPr>
                <w:rFonts w:hint="eastAsia" w:ascii="宋体" w:hAnsi="宋体" w:cs="宋体"/>
                <w:color w:val="auto"/>
                <w:sz w:val="24"/>
                <w:highlight w:val="none"/>
              </w:rPr>
              <w:t>具有独立承担民事责任的能力</w:t>
            </w:r>
          </w:p>
        </w:tc>
        <w:tc>
          <w:tcPr>
            <w:tcW w:w="3683" w:type="dxa"/>
            <w:vAlign w:val="center"/>
          </w:tcPr>
          <w:p w14:paraId="64A6AE53">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提供供应商信用承诺书。</w:t>
            </w:r>
          </w:p>
          <w:p w14:paraId="7BE773A8">
            <w:pPr>
              <w:spacing w:line="240" w:lineRule="auto"/>
              <w:jc w:val="left"/>
              <w:rPr>
                <w:rFonts w:ascii="宋体" w:hAnsi="宋体" w:cs="宋体"/>
                <w:color w:val="auto"/>
                <w:sz w:val="24"/>
                <w:highlight w:val="none"/>
              </w:rPr>
            </w:pPr>
            <w:r>
              <w:rPr>
                <w:rFonts w:hint="eastAsia" w:ascii="宋体" w:hAnsi="宋体" w:cs="宋体"/>
                <w:color w:val="auto"/>
                <w:sz w:val="24"/>
                <w:highlight w:val="none"/>
              </w:rPr>
              <w:t>以上证明材料须符合要求、有效、完整。否则，响应无效。</w:t>
            </w:r>
          </w:p>
        </w:tc>
      </w:tr>
      <w:tr w14:paraId="725C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60" w:type="dxa"/>
            <w:vAlign w:val="center"/>
          </w:tcPr>
          <w:p w14:paraId="495FC6CF">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31" w:type="dxa"/>
            <w:vAlign w:val="center"/>
          </w:tcPr>
          <w:p w14:paraId="27484F8E">
            <w:pPr>
              <w:spacing w:line="24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财务报告</w:t>
            </w:r>
          </w:p>
        </w:tc>
        <w:tc>
          <w:tcPr>
            <w:tcW w:w="3740" w:type="dxa"/>
            <w:vAlign w:val="center"/>
          </w:tcPr>
          <w:p w14:paraId="523084E6">
            <w:pPr>
              <w:spacing w:line="240" w:lineRule="auto"/>
              <w:jc w:val="left"/>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tc>
        <w:tc>
          <w:tcPr>
            <w:tcW w:w="3683" w:type="dxa"/>
            <w:vAlign w:val="center"/>
          </w:tcPr>
          <w:p w14:paraId="6C473908">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提供供应商信用承诺书。</w:t>
            </w:r>
          </w:p>
          <w:p w14:paraId="75506EDF">
            <w:pPr>
              <w:spacing w:line="240" w:lineRule="auto"/>
              <w:rPr>
                <w:rFonts w:ascii="宋体" w:hAnsi="宋体" w:cs="宋体"/>
                <w:color w:val="auto"/>
                <w:sz w:val="24"/>
                <w:highlight w:val="none"/>
              </w:rPr>
            </w:pPr>
            <w:r>
              <w:rPr>
                <w:rFonts w:hint="eastAsia" w:ascii="宋体" w:hAnsi="宋体" w:cs="宋体"/>
                <w:color w:val="auto"/>
                <w:sz w:val="24"/>
                <w:highlight w:val="none"/>
              </w:rPr>
              <w:t>以上证明材料须符合要求、有效、完整。否则，响应无效。</w:t>
            </w:r>
          </w:p>
        </w:tc>
      </w:tr>
      <w:tr w14:paraId="676A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60" w:type="dxa"/>
            <w:vAlign w:val="center"/>
          </w:tcPr>
          <w:p w14:paraId="26E87A9C">
            <w:pPr>
              <w:spacing w:line="24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31" w:type="dxa"/>
            <w:vAlign w:val="center"/>
          </w:tcPr>
          <w:p w14:paraId="22F1E153">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基本资质</w:t>
            </w:r>
          </w:p>
        </w:tc>
        <w:tc>
          <w:tcPr>
            <w:tcW w:w="3740" w:type="dxa"/>
            <w:vAlign w:val="center"/>
          </w:tcPr>
          <w:p w14:paraId="2A73C78C">
            <w:pPr>
              <w:spacing w:line="240" w:lineRule="auto"/>
              <w:jc w:val="left"/>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3683" w:type="dxa"/>
            <w:vAlign w:val="center"/>
          </w:tcPr>
          <w:p w14:paraId="15728015">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提供供应商信用承诺书。</w:t>
            </w:r>
          </w:p>
          <w:p w14:paraId="232E939B">
            <w:pPr>
              <w:spacing w:line="240" w:lineRule="auto"/>
              <w:rPr>
                <w:rFonts w:ascii="宋体" w:hAnsi="宋体" w:cs="宋体"/>
                <w:color w:val="auto"/>
                <w:sz w:val="24"/>
                <w:highlight w:val="none"/>
              </w:rPr>
            </w:pPr>
            <w:r>
              <w:rPr>
                <w:rFonts w:hint="eastAsia" w:ascii="宋体" w:hAnsi="宋体" w:cs="宋体"/>
                <w:color w:val="auto"/>
                <w:sz w:val="24"/>
                <w:highlight w:val="none"/>
              </w:rPr>
              <w:t>以上证明材料须符合要求、有效、完整。否则，响应无效。</w:t>
            </w:r>
          </w:p>
        </w:tc>
      </w:tr>
      <w:tr w14:paraId="36FE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60" w:type="dxa"/>
            <w:vAlign w:val="center"/>
          </w:tcPr>
          <w:p w14:paraId="3BF5AA3E">
            <w:pPr>
              <w:spacing w:line="24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31" w:type="dxa"/>
            <w:vAlign w:val="center"/>
          </w:tcPr>
          <w:p w14:paraId="5EB979FC">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基本资质</w:t>
            </w:r>
          </w:p>
        </w:tc>
        <w:tc>
          <w:tcPr>
            <w:tcW w:w="3740" w:type="dxa"/>
            <w:vAlign w:val="center"/>
          </w:tcPr>
          <w:p w14:paraId="6B4E2F2B">
            <w:pPr>
              <w:spacing w:line="240" w:lineRule="auto"/>
              <w:jc w:val="left"/>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tc>
        <w:tc>
          <w:tcPr>
            <w:tcW w:w="3683" w:type="dxa"/>
            <w:vAlign w:val="center"/>
          </w:tcPr>
          <w:p w14:paraId="54163420">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提供供应商信用承诺书。</w:t>
            </w:r>
          </w:p>
          <w:p w14:paraId="791E1AE5">
            <w:pPr>
              <w:spacing w:line="240" w:lineRule="auto"/>
              <w:rPr>
                <w:rFonts w:ascii="宋体" w:hAnsi="宋体" w:cs="宋体"/>
                <w:color w:val="auto"/>
                <w:sz w:val="24"/>
                <w:highlight w:val="none"/>
              </w:rPr>
            </w:pPr>
            <w:r>
              <w:rPr>
                <w:rFonts w:hint="eastAsia" w:ascii="宋体" w:hAnsi="宋体" w:cs="宋体"/>
                <w:color w:val="auto"/>
                <w:sz w:val="24"/>
                <w:highlight w:val="none"/>
              </w:rPr>
              <w:t>以上证明材料须符合要求、有效、完整。否则，响应无效。</w:t>
            </w:r>
          </w:p>
        </w:tc>
      </w:tr>
      <w:tr w14:paraId="0666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960" w:type="dxa"/>
            <w:vAlign w:val="center"/>
          </w:tcPr>
          <w:p w14:paraId="6929ED74">
            <w:pPr>
              <w:spacing w:line="24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31" w:type="dxa"/>
            <w:vAlign w:val="center"/>
          </w:tcPr>
          <w:p w14:paraId="00A98A81">
            <w:pPr>
              <w:adjustRightInd w:val="0"/>
              <w:snapToGrid w:val="0"/>
              <w:spacing w:line="240" w:lineRule="auto"/>
              <w:jc w:val="center"/>
              <w:rPr>
                <w:rFonts w:ascii="宋体" w:hAnsi="宋体" w:cs="宋体"/>
                <w:color w:val="auto"/>
                <w:sz w:val="24"/>
                <w:highlight w:val="none"/>
              </w:rPr>
            </w:pPr>
            <w:r>
              <w:rPr>
                <w:rFonts w:hint="eastAsia" w:ascii="宋体" w:hAnsi="宋体" w:cs="宋体"/>
                <w:color w:val="auto"/>
                <w:kern w:val="0"/>
                <w:sz w:val="24"/>
                <w:highlight w:val="none"/>
              </w:rPr>
              <w:t>基本资质</w:t>
            </w:r>
          </w:p>
        </w:tc>
        <w:tc>
          <w:tcPr>
            <w:tcW w:w="3740" w:type="dxa"/>
            <w:vAlign w:val="center"/>
          </w:tcPr>
          <w:p w14:paraId="7ED17724">
            <w:pPr>
              <w:adjustRightInd w:val="0"/>
              <w:snapToGrid w:val="0"/>
              <w:spacing w:line="240" w:lineRule="auto"/>
              <w:jc w:val="left"/>
              <w:rPr>
                <w:rFonts w:ascii="宋体" w:hAnsi="宋体" w:cs="宋体"/>
                <w:color w:val="auto"/>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3683" w:type="dxa"/>
            <w:vAlign w:val="center"/>
          </w:tcPr>
          <w:p w14:paraId="7C186B43">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提供供应商信用承诺书。</w:t>
            </w:r>
          </w:p>
          <w:p w14:paraId="5D1A58C4">
            <w:pPr>
              <w:snapToGrid w:val="0"/>
              <w:spacing w:line="240" w:lineRule="auto"/>
              <w:rPr>
                <w:rFonts w:ascii="宋体" w:hAnsi="宋体" w:cs="宋体"/>
                <w:color w:val="auto"/>
                <w:sz w:val="24"/>
                <w:highlight w:val="none"/>
              </w:rPr>
            </w:pPr>
            <w:r>
              <w:rPr>
                <w:rFonts w:hint="eastAsia" w:ascii="宋体" w:hAnsi="宋体" w:cs="宋体"/>
                <w:color w:val="auto"/>
                <w:sz w:val="24"/>
                <w:highlight w:val="none"/>
              </w:rPr>
              <w:t>以上证明材料须符合要求、有效、完整。否则，响应无效。</w:t>
            </w:r>
          </w:p>
        </w:tc>
      </w:tr>
      <w:tr w14:paraId="261C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960" w:type="dxa"/>
            <w:shd w:val="clear" w:color="auto" w:fill="auto"/>
            <w:vAlign w:val="center"/>
          </w:tcPr>
          <w:p w14:paraId="4B26180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p>
        </w:tc>
        <w:tc>
          <w:tcPr>
            <w:tcW w:w="1831" w:type="dxa"/>
            <w:vAlign w:val="center"/>
          </w:tcPr>
          <w:p w14:paraId="3BC8ED4B">
            <w:pPr>
              <w:adjustRightInd w:val="0"/>
              <w:snapToGrid w:val="0"/>
              <w:spacing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基本资质</w:t>
            </w:r>
          </w:p>
        </w:tc>
        <w:tc>
          <w:tcPr>
            <w:tcW w:w="3740" w:type="dxa"/>
            <w:vAlign w:val="center"/>
          </w:tcPr>
          <w:p w14:paraId="0A822C68">
            <w:pPr>
              <w:adjustRightInd w:val="0"/>
              <w:snapToGrid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对供应商提交的磋商保证金的进行审查</w:t>
            </w:r>
          </w:p>
        </w:tc>
        <w:tc>
          <w:tcPr>
            <w:tcW w:w="3683" w:type="dxa"/>
            <w:vAlign w:val="center"/>
          </w:tcPr>
          <w:p w14:paraId="6F94D565">
            <w:pPr>
              <w:adjustRightInd w:val="0"/>
              <w:snapToGrid w:val="0"/>
              <w:spacing w:line="24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提供磋商保证金提交凭据</w:t>
            </w:r>
            <w:r>
              <w:rPr>
                <w:rFonts w:hint="eastAsia" w:ascii="宋体" w:hAnsi="宋体" w:cs="宋体"/>
                <w:color w:val="auto"/>
                <w:kern w:val="0"/>
                <w:sz w:val="24"/>
                <w:highlight w:val="none"/>
                <w:lang w:eastAsia="zh-CN"/>
              </w:rPr>
              <w:t>。</w:t>
            </w:r>
          </w:p>
          <w:p w14:paraId="3FFE6CC8">
            <w:pPr>
              <w:adjustRightInd w:val="0"/>
              <w:snapToGrid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以上证明材料须符合要求、有效、完整。否则，响应无效。</w:t>
            </w:r>
          </w:p>
        </w:tc>
      </w:tr>
      <w:tr w14:paraId="6A9F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0" w:type="dxa"/>
            <w:shd w:val="clear" w:color="auto" w:fill="auto"/>
            <w:vAlign w:val="center"/>
          </w:tcPr>
          <w:p w14:paraId="53134266">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7</w:t>
            </w:r>
          </w:p>
        </w:tc>
        <w:tc>
          <w:tcPr>
            <w:tcW w:w="1831" w:type="dxa"/>
            <w:vAlign w:val="center"/>
          </w:tcPr>
          <w:p w14:paraId="6864E0F8">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采购政策</w:t>
            </w:r>
          </w:p>
        </w:tc>
        <w:tc>
          <w:tcPr>
            <w:tcW w:w="3740" w:type="dxa"/>
            <w:vAlign w:val="center"/>
          </w:tcPr>
          <w:p w14:paraId="00F1F19D">
            <w:pPr>
              <w:snapToGrid w:val="0"/>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供应商为</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小企业</w:t>
            </w:r>
          </w:p>
        </w:tc>
        <w:tc>
          <w:tcPr>
            <w:tcW w:w="3683" w:type="dxa"/>
            <w:vAlign w:val="center"/>
          </w:tcPr>
          <w:p w14:paraId="4B2D62BB">
            <w:pPr>
              <w:snapToGrid w:val="0"/>
              <w:spacing w:line="24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请根据要求单独上传《中小企业声明函》，格式以采购文件要求为准。</w:t>
            </w:r>
          </w:p>
        </w:tc>
      </w:tr>
      <w:tr w14:paraId="553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60" w:type="dxa"/>
            <w:vAlign w:val="center"/>
          </w:tcPr>
          <w:p w14:paraId="3C097B25">
            <w:pPr>
              <w:spacing w:line="24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831" w:type="dxa"/>
            <w:vAlign w:val="center"/>
          </w:tcPr>
          <w:p w14:paraId="0C0B4C5F">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特定资质</w:t>
            </w:r>
          </w:p>
        </w:tc>
        <w:tc>
          <w:tcPr>
            <w:tcW w:w="3740" w:type="dxa"/>
            <w:vAlign w:val="center"/>
          </w:tcPr>
          <w:p w14:paraId="4FB324B5">
            <w:pPr>
              <w:snapToGri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具备有效期内的《特种设备检验检测机构核准证》，核准项目与电梯检测相适应；且电梯检验、检测机构现未在孝义市辖区范围承担电梯检验任务和电梯检测服务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tc>
        <w:tc>
          <w:tcPr>
            <w:tcW w:w="3683" w:type="dxa"/>
            <w:vAlign w:val="center"/>
          </w:tcPr>
          <w:p w14:paraId="5FC565BE">
            <w:pPr>
              <w:snapToGrid w:val="0"/>
              <w:spacing w:line="24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提供相关资格证件和承诺书。相关资格证件均在国家、省主管部门规定的有效期内。</w:t>
            </w:r>
          </w:p>
          <w:p w14:paraId="2B5F3A06">
            <w:pPr>
              <w:snapToGrid w:val="0"/>
              <w:spacing w:line="24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以上证明材料须符合要求、有效、完整。否则，响应无效。</w:t>
            </w:r>
          </w:p>
        </w:tc>
      </w:tr>
    </w:tbl>
    <w:p w14:paraId="4CA79703">
      <w:pPr>
        <w:spacing w:line="360" w:lineRule="auto"/>
        <w:jc w:val="left"/>
        <w:rPr>
          <w:rFonts w:hint="eastAsia" w:ascii="宋体" w:hAnsi="宋体" w:cs="宋体"/>
          <w:color w:val="auto"/>
          <w:sz w:val="24"/>
          <w:highlight w:val="none"/>
        </w:rPr>
      </w:pPr>
    </w:p>
    <w:p w14:paraId="06515F49">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说明：除上述内容外，供应商提供的其他材料，不作为资格审查的内容。</w:t>
      </w:r>
    </w:p>
    <w:p w14:paraId="243DB8DF">
      <w:pPr>
        <w:snapToGrid w:val="0"/>
        <w:spacing w:line="360" w:lineRule="auto"/>
        <w:jc w:val="left"/>
        <w:rPr>
          <w:rFonts w:hint="eastAsia" w:ascii="宋体" w:hAnsi="宋体" w:cs="宋体"/>
          <w:b/>
          <w:color w:val="auto"/>
          <w:sz w:val="24"/>
          <w:highlight w:val="none"/>
        </w:rPr>
      </w:pPr>
    </w:p>
    <w:p w14:paraId="020A5E1F">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二、符合性审查要求</w:t>
      </w:r>
    </w:p>
    <w:tbl>
      <w:tblPr>
        <w:tblStyle w:val="2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10"/>
        <w:gridCol w:w="2125"/>
        <w:gridCol w:w="5114"/>
      </w:tblGrid>
      <w:tr w14:paraId="79CB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1B5C53B7">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410" w:type="dxa"/>
            <w:vAlign w:val="center"/>
          </w:tcPr>
          <w:p w14:paraId="5D32F81D">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类型</w:t>
            </w:r>
          </w:p>
        </w:tc>
        <w:tc>
          <w:tcPr>
            <w:tcW w:w="2125" w:type="dxa"/>
            <w:vAlign w:val="center"/>
          </w:tcPr>
          <w:p w14:paraId="16287D42">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要求</w:t>
            </w:r>
          </w:p>
        </w:tc>
        <w:tc>
          <w:tcPr>
            <w:tcW w:w="5114" w:type="dxa"/>
            <w:vAlign w:val="center"/>
          </w:tcPr>
          <w:p w14:paraId="3E27A255">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要求说明</w:t>
            </w:r>
          </w:p>
        </w:tc>
      </w:tr>
      <w:tr w14:paraId="5E54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258AE4E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410" w:type="dxa"/>
            <w:vAlign w:val="center"/>
          </w:tcPr>
          <w:p w14:paraId="70DF069B">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商务资信</w:t>
            </w:r>
          </w:p>
        </w:tc>
        <w:tc>
          <w:tcPr>
            <w:tcW w:w="2125" w:type="dxa"/>
            <w:vAlign w:val="center"/>
          </w:tcPr>
          <w:p w14:paraId="656A8560">
            <w:pPr>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对供应商提供的法定代表人（负责人）身份证明文件的符合性、完整性进行审查。</w:t>
            </w:r>
          </w:p>
        </w:tc>
        <w:tc>
          <w:tcPr>
            <w:tcW w:w="5114" w:type="dxa"/>
            <w:vAlign w:val="center"/>
          </w:tcPr>
          <w:p w14:paraId="18A0A84D">
            <w:pPr>
              <w:tabs>
                <w:tab w:val="left" w:pos="567"/>
              </w:tabs>
              <w:adjustRightInd w:val="0"/>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1.1提供供应商法定代表人（负责人）身份证明书；</w:t>
            </w:r>
          </w:p>
          <w:p w14:paraId="5548BCF0">
            <w:pPr>
              <w:tabs>
                <w:tab w:val="left" w:pos="567"/>
              </w:tabs>
              <w:adjustRightInd w:val="0"/>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1.2法定代表人（负责人）身份证明书须按</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rPr>
              <w:t>文件中提供的格式填写，并按</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rPr>
              <w:t>文件要求</w:t>
            </w:r>
            <w:r>
              <w:rPr>
                <w:rFonts w:hint="eastAsia" w:ascii="宋体" w:hAnsi="宋体" w:cs="宋体"/>
                <w:color w:val="auto"/>
                <w:kern w:val="0"/>
                <w:sz w:val="24"/>
                <w:highlight w:val="none"/>
                <w:lang w:val="en-US" w:eastAsia="zh-CN"/>
              </w:rPr>
              <w:t>签</w:t>
            </w:r>
            <w:r>
              <w:rPr>
                <w:rFonts w:hint="eastAsia" w:ascii="宋体" w:hAnsi="宋体" w:cs="宋体"/>
                <w:color w:val="auto"/>
                <w:kern w:val="0"/>
                <w:sz w:val="24"/>
                <w:highlight w:val="none"/>
              </w:rPr>
              <w:t>章，且内容完整、准确、真实、有效；</w:t>
            </w:r>
          </w:p>
          <w:p w14:paraId="1AD9EC90">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1.3不符合以上要求的或未提供的，响应无效。</w:t>
            </w:r>
          </w:p>
        </w:tc>
      </w:tr>
      <w:tr w14:paraId="0FB1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7FBB1F80">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410" w:type="dxa"/>
            <w:vAlign w:val="center"/>
          </w:tcPr>
          <w:p w14:paraId="51EB9E5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商务资信</w:t>
            </w:r>
          </w:p>
        </w:tc>
        <w:tc>
          <w:tcPr>
            <w:tcW w:w="2125" w:type="dxa"/>
            <w:vAlign w:val="center"/>
          </w:tcPr>
          <w:p w14:paraId="18AE545A">
            <w:pPr>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对供应商提供的法定代表人（负责人）授权委托书</w:t>
            </w:r>
            <w:r>
              <w:rPr>
                <w:rFonts w:hint="eastAsia" w:ascii="宋体" w:hAnsi="宋体" w:cs="宋体"/>
                <w:color w:val="auto"/>
                <w:sz w:val="24"/>
                <w:highlight w:val="none"/>
              </w:rPr>
              <w:t>证明文件的符合性、完整性进行审查。</w:t>
            </w:r>
          </w:p>
        </w:tc>
        <w:tc>
          <w:tcPr>
            <w:tcW w:w="5114" w:type="dxa"/>
            <w:vAlign w:val="center"/>
          </w:tcPr>
          <w:p w14:paraId="0A3C72D1">
            <w:pPr>
              <w:tabs>
                <w:tab w:val="left" w:pos="567"/>
              </w:tabs>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2.1提供法定代表人（负责人）授权委托书；</w:t>
            </w:r>
          </w:p>
          <w:p w14:paraId="22F84B73">
            <w:pPr>
              <w:tabs>
                <w:tab w:val="left" w:pos="567"/>
              </w:tabs>
              <w:adjustRightInd w:val="0"/>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2.2法定代表人（负责人）授权委托书须按</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rPr>
              <w:t>文件中提供的格式填写，并按</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rPr>
              <w:t>文件要求签章，且内容完整、准确、真实、有效；</w:t>
            </w:r>
          </w:p>
          <w:p w14:paraId="54A00308">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2.3不符合以上要求的或未提供的，响应无效。</w:t>
            </w:r>
          </w:p>
        </w:tc>
      </w:tr>
      <w:tr w14:paraId="2EEC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3D3DB4E6">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410" w:type="dxa"/>
            <w:vAlign w:val="center"/>
          </w:tcPr>
          <w:p w14:paraId="017576EB">
            <w:pPr>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商务资信</w:t>
            </w:r>
          </w:p>
        </w:tc>
        <w:tc>
          <w:tcPr>
            <w:tcW w:w="2125" w:type="dxa"/>
            <w:vAlign w:val="center"/>
          </w:tcPr>
          <w:p w14:paraId="5840DF7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对供应商提供的</w:t>
            </w:r>
            <w:r>
              <w:rPr>
                <w:rFonts w:hint="eastAsia" w:ascii="宋体" w:hAnsi="宋体" w:cs="宋体"/>
                <w:color w:val="auto"/>
                <w:sz w:val="24"/>
                <w:highlight w:val="none"/>
                <w:lang w:eastAsia="zh-CN"/>
              </w:rPr>
              <w:t>响应函</w:t>
            </w:r>
            <w:r>
              <w:rPr>
                <w:rFonts w:hint="eastAsia" w:ascii="宋体" w:hAnsi="宋体" w:cs="宋体"/>
                <w:color w:val="auto"/>
                <w:sz w:val="24"/>
                <w:highlight w:val="none"/>
              </w:rPr>
              <w:t>的符合性、完整性进行审查</w:t>
            </w:r>
          </w:p>
        </w:tc>
        <w:tc>
          <w:tcPr>
            <w:tcW w:w="5114" w:type="dxa"/>
            <w:vAlign w:val="center"/>
          </w:tcPr>
          <w:p w14:paraId="4DA393BE">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3.1提供</w:t>
            </w:r>
            <w:r>
              <w:rPr>
                <w:rFonts w:hint="eastAsia" w:ascii="宋体" w:hAnsi="宋体" w:cs="宋体"/>
                <w:color w:val="auto"/>
                <w:sz w:val="24"/>
                <w:highlight w:val="none"/>
                <w:lang w:eastAsia="zh-CN"/>
              </w:rPr>
              <w:t>响应函</w:t>
            </w:r>
            <w:r>
              <w:rPr>
                <w:rFonts w:hint="eastAsia" w:ascii="宋体" w:hAnsi="宋体" w:cs="宋体"/>
                <w:color w:val="auto"/>
                <w:sz w:val="24"/>
                <w:highlight w:val="none"/>
              </w:rPr>
              <w:t>；</w:t>
            </w:r>
          </w:p>
          <w:p w14:paraId="1CBA3A04">
            <w:pPr>
              <w:pStyle w:val="1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eastAsia="zh-CN"/>
              </w:rPr>
              <w:t>响应函</w:t>
            </w:r>
            <w:r>
              <w:rPr>
                <w:rFonts w:hint="eastAsia" w:ascii="宋体" w:hAnsi="宋体" w:cs="宋体"/>
                <w:color w:val="auto"/>
                <w:sz w:val="24"/>
                <w:highlight w:val="none"/>
              </w:rPr>
              <w:t>须内容完整、签署符合要求、加盖电子CA章。否则，响应无效。</w:t>
            </w:r>
          </w:p>
        </w:tc>
      </w:tr>
      <w:tr w14:paraId="3B76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26C55740">
            <w:pPr>
              <w:adjustRightInd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410" w:type="dxa"/>
            <w:vAlign w:val="center"/>
          </w:tcPr>
          <w:p w14:paraId="2F15B3B0">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商务资信</w:t>
            </w:r>
          </w:p>
        </w:tc>
        <w:tc>
          <w:tcPr>
            <w:tcW w:w="2125" w:type="dxa"/>
            <w:vAlign w:val="center"/>
          </w:tcPr>
          <w:p w14:paraId="718B1825">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对供应商提供的商务条款响应表的完整性、符合性进行审查</w:t>
            </w:r>
          </w:p>
        </w:tc>
        <w:tc>
          <w:tcPr>
            <w:tcW w:w="5114" w:type="dxa"/>
            <w:vAlign w:val="center"/>
          </w:tcPr>
          <w:p w14:paraId="3125978C">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.1提供商务条款响应表；</w:t>
            </w:r>
          </w:p>
          <w:p w14:paraId="378E9395">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.2响应表须内容完整、签署符合要求、加盖电子CA章。否则，响应无效。</w:t>
            </w:r>
          </w:p>
          <w:p w14:paraId="3D411A37">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.3对照本文件第五部分的</w:t>
            </w:r>
            <w:r>
              <w:rPr>
                <w:rFonts w:hint="eastAsia" w:ascii="宋体" w:hAnsi="宋体" w:cs="宋体"/>
                <w:color w:val="auto"/>
                <w:sz w:val="24"/>
                <w:highlight w:val="none"/>
                <w:lang w:val="en-US" w:eastAsia="zh-CN"/>
              </w:rPr>
              <w:t>服务标准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合同履行期限</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付款方式</w:t>
            </w:r>
            <w:r>
              <w:rPr>
                <w:rFonts w:hint="eastAsia" w:ascii="宋体" w:hAnsi="宋体" w:cs="宋体"/>
                <w:color w:val="auto"/>
                <w:sz w:val="24"/>
                <w:highlight w:val="none"/>
              </w:rPr>
              <w:t>等对响应文件的响应情况进行审查。未全部做出实质性响应的，响应无效。需对服务要求做出承诺，未做出承诺的相应无效。</w:t>
            </w:r>
          </w:p>
        </w:tc>
      </w:tr>
      <w:tr w14:paraId="7212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30485A2F">
            <w:pPr>
              <w:adjustRightInd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410" w:type="dxa"/>
            <w:vAlign w:val="center"/>
          </w:tcPr>
          <w:p w14:paraId="0D533CE7">
            <w:pPr>
              <w:adjustRightInd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商务资信</w:t>
            </w:r>
          </w:p>
        </w:tc>
        <w:tc>
          <w:tcPr>
            <w:tcW w:w="2125" w:type="dxa"/>
            <w:vAlign w:val="center"/>
          </w:tcPr>
          <w:p w14:paraId="7C3CA914">
            <w:pPr>
              <w:adjustRightInd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响应文件的签署、签章</w:t>
            </w:r>
          </w:p>
        </w:tc>
        <w:tc>
          <w:tcPr>
            <w:tcW w:w="5114" w:type="dxa"/>
            <w:vAlign w:val="center"/>
          </w:tcPr>
          <w:p w14:paraId="2F7494D6">
            <w:pPr>
              <w:adjustRightInd w:val="0"/>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符合</w:t>
            </w:r>
            <w:r>
              <w:rPr>
                <w:rFonts w:hint="eastAsia" w:ascii="宋体" w:hAnsi="宋体" w:cs="宋体"/>
                <w:color w:val="auto"/>
                <w:kern w:val="0"/>
                <w:sz w:val="24"/>
                <w:highlight w:val="none"/>
                <w:lang w:val="en-US" w:eastAsia="zh-CN"/>
              </w:rPr>
              <w:t>磋商</w:t>
            </w:r>
            <w:r>
              <w:rPr>
                <w:rFonts w:hint="eastAsia" w:ascii="宋体" w:hAnsi="宋体" w:cs="宋体"/>
                <w:color w:val="auto"/>
                <w:sz w:val="24"/>
                <w:highlight w:val="none"/>
                <w:lang w:val="en-US" w:eastAsia="zh-CN"/>
              </w:rPr>
              <w:t>文件的规定</w:t>
            </w:r>
          </w:p>
        </w:tc>
      </w:tr>
      <w:tr w14:paraId="5669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66F0E366">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410" w:type="dxa"/>
            <w:vAlign w:val="center"/>
          </w:tcPr>
          <w:p w14:paraId="3A82719C">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技术</w:t>
            </w:r>
          </w:p>
        </w:tc>
        <w:tc>
          <w:tcPr>
            <w:tcW w:w="2125" w:type="dxa"/>
            <w:vAlign w:val="center"/>
          </w:tcPr>
          <w:p w14:paraId="6187CF05">
            <w:pPr>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对供应商提供的技术规范响应及偏离表的完整性、符合性进行审查</w:t>
            </w:r>
          </w:p>
        </w:tc>
        <w:tc>
          <w:tcPr>
            <w:tcW w:w="5114" w:type="dxa"/>
            <w:vAlign w:val="center"/>
          </w:tcPr>
          <w:p w14:paraId="491DF548">
            <w:pPr>
              <w:adjustRightInd w:val="0"/>
              <w:snapToGrid w:val="0"/>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6.1提供</w:t>
            </w:r>
            <w:r>
              <w:rPr>
                <w:rFonts w:hint="eastAsia" w:ascii="宋体" w:hAnsi="宋体" w:cs="宋体"/>
                <w:color w:val="auto"/>
                <w:kern w:val="0"/>
                <w:sz w:val="24"/>
                <w:highlight w:val="none"/>
              </w:rPr>
              <w:t>技术规范响应及偏离表；</w:t>
            </w:r>
          </w:p>
          <w:p w14:paraId="6F5D87E8">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6.2技术规范响应及偏离表</w:t>
            </w:r>
            <w:r>
              <w:rPr>
                <w:rFonts w:hint="eastAsia" w:ascii="宋体" w:hAnsi="宋体" w:cs="宋体"/>
                <w:color w:val="auto"/>
                <w:sz w:val="24"/>
                <w:highlight w:val="none"/>
              </w:rPr>
              <w:t>须内容完整、签署符合要求、加盖电子CA章。否则，响应无效。</w:t>
            </w:r>
          </w:p>
          <w:p w14:paraId="7DC6B55F">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6.3对照本</w:t>
            </w:r>
            <w:r>
              <w:rPr>
                <w:rFonts w:hint="eastAsia" w:ascii="宋体" w:hAnsi="宋体" w:cs="宋体"/>
                <w:color w:val="auto"/>
                <w:kern w:val="0"/>
                <w:sz w:val="24"/>
                <w:highlight w:val="none"/>
                <w:lang w:val="en-US" w:eastAsia="zh-CN"/>
              </w:rPr>
              <w:t>磋商</w:t>
            </w:r>
            <w:r>
              <w:rPr>
                <w:rFonts w:hint="eastAsia" w:ascii="宋体" w:hAnsi="宋体" w:cs="宋体"/>
                <w:color w:val="auto"/>
                <w:sz w:val="24"/>
                <w:highlight w:val="none"/>
              </w:rPr>
              <w:t>文件第五部分“商务、技术要求”的内容对响应文件的响应情况进行审查。未对</w:t>
            </w:r>
            <w:r>
              <w:rPr>
                <w:rFonts w:hint="eastAsia" w:ascii="宋体" w:hAnsi="宋体" w:cs="宋体"/>
                <w:color w:val="auto"/>
                <w:kern w:val="0"/>
                <w:sz w:val="24"/>
                <w:highlight w:val="none"/>
                <w:lang w:val="en-US" w:eastAsia="zh-CN"/>
              </w:rPr>
              <w:t>磋商</w:t>
            </w:r>
            <w:r>
              <w:rPr>
                <w:rFonts w:hint="eastAsia" w:ascii="宋体" w:hAnsi="宋体" w:cs="宋体"/>
                <w:color w:val="auto"/>
                <w:sz w:val="24"/>
                <w:highlight w:val="none"/>
              </w:rPr>
              <w:t>文件中的技术要求内容全部做出实质性响应或</w:t>
            </w:r>
            <w:r>
              <w:rPr>
                <w:rFonts w:hint="eastAsia" w:ascii="宋体" w:hAnsi="宋体" w:cs="宋体"/>
                <w:color w:val="auto"/>
                <w:kern w:val="0"/>
                <w:sz w:val="24"/>
                <w:highlight w:val="none"/>
                <w:lang w:val="en-US" w:eastAsia="zh-CN"/>
              </w:rPr>
              <w:t>磋商</w:t>
            </w:r>
            <w:r>
              <w:rPr>
                <w:rFonts w:hint="eastAsia" w:ascii="宋体" w:hAnsi="宋体" w:cs="宋体"/>
                <w:color w:val="auto"/>
                <w:sz w:val="24"/>
                <w:highlight w:val="none"/>
              </w:rPr>
              <w:t>小组共同认定响应内容与其相关证明材料存在重大偏离的，响应无效。</w:t>
            </w:r>
          </w:p>
        </w:tc>
      </w:tr>
      <w:tr w14:paraId="332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dxa"/>
            <w:vAlign w:val="center"/>
          </w:tcPr>
          <w:p w14:paraId="383DCA7B">
            <w:pPr>
              <w:adjustRightInd w:val="0"/>
              <w:snapToGrid w:val="0"/>
              <w:spacing w:line="40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1410" w:type="dxa"/>
            <w:vAlign w:val="center"/>
          </w:tcPr>
          <w:p w14:paraId="7ED91961">
            <w:pPr>
              <w:adjustRightInd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报价</w:t>
            </w:r>
          </w:p>
        </w:tc>
        <w:tc>
          <w:tcPr>
            <w:tcW w:w="2125" w:type="dxa"/>
            <w:vAlign w:val="center"/>
          </w:tcPr>
          <w:p w14:paraId="1DA76B0E">
            <w:pPr>
              <w:adjustRightInd w:val="0"/>
              <w:snapToGrid w:val="0"/>
              <w:spacing w:line="400" w:lineRule="exact"/>
              <w:jc w:val="center"/>
              <w:rPr>
                <w:rFonts w:hint="eastAsia" w:ascii="宋体" w:hAnsi="宋体" w:cs="宋体"/>
                <w:color w:val="auto"/>
                <w:kern w:val="0"/>
                <w:sz w:val="24"/>
                <w:highlight w:val="none"/>
                <w:lang w:val="en-US" w:eastAsia="zh-CN"/>
              </w:rPr>
            </w:pPr>
            <w:r>
              <w:rPr>
                <w:rFonts w:hint="eastAsia" w:ascii="宋体" w:hAnsi="宋体" w:cs="宋体"/>
                <w:color w:val="auto"/>
                <w:sz w:val="24"/>
                <w:highlight w:val="none"/>
              </w:rPr>
              <w:t>对供应商提供的</w:t>
            </w:r>
            <w:r>
              <w:rPr>
                <w:rFonts w:hint="eastAsia" w:ascii="宋体" w:hAnsi="宋体" w:cs="宋体"/>
                <w:color w:val="auto"/>
                <w:kern w:val="0"/>
                <w:sz w:val="24"/>
                <w:highlight w:val="none"/>
                <w:lang w:val="en-US" w:eastAsia="zh-CN"/>
              </w:rPr>
              <w:t>磋商</w:t>
            </w:r>
            <w:r>
              <w:rPr>
                <w:rFonts w:hint="eastAsia" w:ascii="宋体" w:hAnsi="宋体" w:cs="宋体"/>
                <w:color w:val="auto"/>
                <w:sz w:val="24"/>
                <w:highlight w:val="none"/>
              </w:rPr>
              <w:t>报价一览表的符合性、完整性进行审查</w:t>
            </w:r>
          </w:p>
        </w:tc>
        <w:tc>
          <w:tcPr>
            <w:tcW w:w="5114" w:type="dxa"/>
            <w:vAlign w:val="center"/>
          </w:tcPr>
          <w:p w14:paraId="2BCF4BEA">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.1提供报价一览表；</w:t>
            </w:r>
          </w:p>
          <w:p w14:paraId="1457D4EC">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.2报价一览表审查报价一览表须内容完整、签署符合要求、加盖电子CA章。否则，响应无效。</w:t>
            </w:r>
          </w:p>
          <w:p w14:paraId="70D7E79A">
            <w:pPr>
              <w:tabs>
                <w:tab w:val="left" w:pos="567"/>
              </w:tabs>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.3报价一览表存在漏项、缺项、错项；存在有超出本项目最高限价等情形</w:t>
            </w:r>
            <w:r>
              <w:rPr>
                <w:rFonts w:hint="eastAsia" w:ascii="宋体" w:hAnsi="宋体" w:cs="宋体"/>
                <w:color w:val="auto"/>
                <w:sz w:val="24"/>
                <w:highlight w:val="none"/>
                <w:lang w:eastAsia="zh-CN"/>
              </w:rPr>
              <w:t>的</w:t>
            </w:r>
            <w:r>
              <w:rPr>
                <w:rFonts w:hint="eastAsia" w:ascii="宋体" w:hAnsi="宋体" w:cs="宋体"/>
                <w:color w:val="auto"/>
                <w:sz w:val="24"/>
                <w:highlight w:val="none"/>
              </w:rPr>
              <w:t>，响应无效；</w:t>
            </w:r>
          </w:p>
          <w:p w14:paraId="539A8D3B">
            <w:pPr>
              <w:adjustRightInd w:val="0"/>
              <w:snapToGrid w:val="0"/>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.4报价有可选择或可调整的报价的，响应无效。</w:t>
            </w:r>
          </w:p>
        </w:tc>
      </w:tr>
    </w:tbl>
    <w:p w14:paraId="6C1930CB">
      <w:pPr>
        <w:pageBreakBefore w:val="0"/>
        <w:kinsoku/>
        <w:bidi w:val="0"/>
        <w:snapToGrid w:val="0"/>
        <w:spacing w:line="440" w:lineRule="exact"/>
        <w:ind w:left="1080" w:hanging="1080" w:hangingChars="45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59D6747">
      <w:pPr>
        <w:pageBreakBefore w:val="0"/>
        <w:kinsoku/>
        <w:bidi w:val="0"/>
        <w:snapToGrid w:val="0"/>
        <w:spacing w:line="440" w:lineRule="exact"/>
        <w:ind w:left="2" w:firstLine="420" w:firstLineChars="175"/>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1.资格性、符合性审查的内容，经磋商小组共同认定没有做出实质性响应的，将导致响应无效。</w:t>
      </w:r>
    </w:p>
    <w:p w14:paraId="2F6812A0">
      <w:pPr>
        <w:pageBreakBefore w:val="0"/>
        <w:widowControl w:val="0"/>
        <w:kinsoku/>
        <w:bidi w:val="0"/>
        <w:spacing w:line="440" w:lineRule="exact"/>
        <w:ind w:firstLine="480" w:firstLineChars="200"/>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2.响应文件中项目名称、项目编号等存在前后不一致情形的，可按照磋商文件要求做出澄清；如响应文件中所涉及内容全部与磋商文件不一致，按无效响应处理。</w:t>
      </w:r>
    </w:p>
    <w:p w14:paraId="2BF35C6C">
      <w:pPr>
        <w:pageBreakBefore w:val="0"/>
        <w:kinsoku/>
        <w:bidi w:val="0"/>
        <w:snapToGrid w:val="0"/>
        <w:spacing w:line="440" w:lineRule="exact"/>
        <w:jc w:val="left"/>
        <w:textAlignment w:val="auto"/>
        <w:rPr>
          <w:rFonts w:hint="eastAsia" w:asciiTheme="minorEastAsia" w:hAnsiTheme="minorEastAsia" w:eastAsiaTheme="minorEastAsia" w:cstheme="minorEastAsia"/>
          <w:b/>
          <w:color w:val="auto"/>
          <w:sz w:val="24"/>
          <w:szCs w:val="24"/>
          <w:highlight w:val="none"/>
        </w:rPr>
      </w:pPr>
      <w:bookmarkStart w:id="86" w:name="_Toc352761949"/>
      <w:bookmarkStart w:id="87" w:name="_Toc376445019"/>
      <w:bookmarkStart w:id="88" w:name="_Toc326247996"/>
      <w:r>
        <w:rPr>
          <w:rFonts w:hint="eastAsia" w:asciiTheme="minorEastAsia" w:hAnsiTheme="minorEastAsia" w:eastAsiaTheme="minorEastAsia" w:cstheme="minorEastAsia"/>
          <w:b/>
          <w:color w:val="auto"/>
          <w:sz w:val="24"/>
          <w:szCs w:val="24"/>
          <w:highlight w:val="none"/>
        </w:rPr>
        <w:t>三、</w:t>
      </w:r>
      <w:bookmarkStart w:id="89" w:name="_Toc466533586"/>
      <w:r>
        <w:rPr>
          <w:rFonts w:hint="eastAsia" w:asciiTheme="minorEastAsia" w:hAnsiTheme="minorEastAsia" w:eastAsiaTheme="minorEastAsia" w:cstheme="minorEastAsia"/>
          <w:b/>
          <w:color w:val="auto"/>
          <w:sz w:val="24"/>
          <w:szCs w:val="24"/>
          <w:highlight w:val="none"/>
        </w:rPr>
        <w:t>政策性要求评审内容及标准</w:t>
      </w:r>
      <w:bookmarkEnd w:id="89"/>
      <w:r>
        <w:rPr>
          <w:rFonts w:hint="eastAsia" w:asciiTheme="minorEastAsia" w:hAnsiTheme="minorEastAsia" w:eastAsiaTheme="minorEastAsia" w:cstheme="minorEastAsia"/>
          <w:b/>
          <w:color w:val="auto"/>
          <w:sz w:val="24"/>
          <w:szCs w:val="24"/>
          <w:highlight w:val="none"/>
        </w:rPr>
        <w:t>（如涉及）</w:t>
      </w:r>
    </w:p>
    <w:p w14:paraId="3BE39C85">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55DEB2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本文件采购产品中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2505B6A">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3、本文件未列出政府强制采购产品的，磋商供应商可投报“节能产品政府采购品目清单”中非政府强制采购节能产品或其范围以外的产品。</w:t>
      </w:r>
    </w:p>
    <w:p w14:paraId="6A73A55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磋商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14:paraId="21208564">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5、承诺所投报的计算机预装正版操作系统，硬件产品内的预装软件为正版软件。</w:t>
      </w:r>
    </w:p>
    <w:p w14:paraId="239F899A">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6、所投报信息安全产品属于《信息安全产品强制性认证目录》中的产品，须提供有效认证证书扫描件或影印件，否则将可能导致磋商无效。</w:t>
      </w:r>
    </w:p>
    <w:p w14:paraId="72CC0CB2">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7、中小企业参加本项目的评审标准</w:t>
      </w:r>
    </w:p>
    <w:p w14:paraId="7AA61DBD">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BF7FD37">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（2）小型、微企业只有提供本企业制造的货物或者服务，或者大、中型提供其他小型、微企业制造的货物，享受所报货物15%的价格折扣。</w:t>
      </w:r>
    </w:p>
    <w:p w14:paraId="57CFDF2F">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（3）小型、微型企业提供的货物既有中小企业制造货物，也有大型企业制造货物的，不享受价格折扣。</w:t>
      </w:r>
    </w:p>
    <w:p w14:paraId="42F71F1B">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联合体价格折扣：本项目若允许联合体参加，大中型企业与小型、微型企业组成联合体的，联合协议约定小型、微型企业的合同份额占到合同总金额30%以上的，对联合体的报价给予5%的扣除，用扣除后价格参加评审。</w:t>
      </w:r>
    </w:p>
    <w:p w14:paraId="4F86928E">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670C9123">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8、残疾人福利性单位参加本项目的评审标准</w:t>
      </w:r>
    </w:p>
    <w:p w14:paraId="3EA3CCE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（1）须根据财库【2017】141号《关于促进残疾人就业政府采购政策的通知》的要求，如实填写残疾人福利性单位声明函，残疾人福利性单位参加本项目响应时，享受15%的价格折扣，用扣除后的价格参与评审。</w:t>
      </w:r>
    </w:p>
    <w:p w14:paraId="2530FD74">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（2）享受政府采购支持政策的残疾人福利性单位应当同时满足以下条件：</w:t>
      </w:r>
    </w:p>
    <w:p w14:paraId="5EB96289">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A.安置的残疾人占本单位在职职工人数的比例不低于25%（含25%），并且安置的残疾人人数不少于10人（含10人）；</w:t>
      </w:r>
    </w:p>
    <w:p w14:paraId="0C072EDB">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B.依法与安置的每位残疾人签订了一年以上（含一年）的劳动合同或服务协议；</w:t>
      </w:r>
    </w:p>
    <w:p w14:paraId="2B0E3502">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C.为安置的每位残疾人按月足额缴纳了基本养老保险、基本医疗保险、失业保险、工伤保险和生育保险等社会保险费；</w:t>
      </w:r>
    </w:p>
    <w:p w14:paraId="76D3162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D.通过银行等金融机构向安置的每位残疾人，按月支付了不低于单位所在区县适用的经省级人民政府批准的月最低工资标准的工资；</w:t>
      </w:r>
    </w:p>
    <w:p w14:paraId="5CCC77E5">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47771FE3">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6BD609">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（3）供应商提供的《残疾人福利性单位声明函》与事实不符的，依照《政府采购法》第七十七条第一款的规定追究法律责任。</w:t>
      </w:r>
    </w:p>
    <w:p w14:paraId="22D7833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FB0D5F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9、监狱企业参加本项目磋商的要求</w:t>
      </w:r>
    </w:p>
    <w:p w14:paraId="5B9658E6">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（1）监狱企业参与政府采购活动时，视同小微企业，需提供由省级以上监狱管理局或戒毒管理局出具的属于监狱企业的证明文件。</w:t>
      </w:r>
    </w:p>
    <w:p w14:paraId="048BE4AD">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（2）监狱企业只有提供本企业制造的货物或服务，或者提供其他小、微企业制造的货物，享受投标货物的价格折扣。</w:t>
      </w:r>
    </w:p>
    <w:p w14:paraId="49E26D3A">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6F7A30A2">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（4）对于非专门面向监狱企业的采购项目，对监狱企业的标的总价给予15%的价格扣除，用扣除后的价格参加评审。</w:t>
      </w:r>
    </w:p>
    <w:p w14:paraId="399B7A20">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10、本项目涉及创新产品、创新服务的评审标准</w:t>
      </w:r>
    </w:p>
    <w:p w14:paraId="7429E6BB">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（1）磋商供应商投报产品或服务属于《山西省创新产品和服务推荐清单》中创新产品或创新服务的，在评审时，享受投报产品</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%的价格折扣，以折扣后的价格参与评审。</w:t>
      </w:r>
    </w:p>
    <w:p w14:paraId="0784AF7F">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（2）磋商供应商投报创新产品或创新服务的，应在响应文件中填写《创新产品或创新服务明细表》，并提供《山西省创新产品和服务推荐清单》。</w:t>
      </w:r>
    </w:p>
    <w:p w14:paraId="79C4A0C7">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（3）创新产品或创新服务的价格折扣政策可与其他政府采购政策叠加。</w:t>
      </w:r>
    </w:p>
    <w:p w14:paraId="44C9DFF8">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11、本项目涉及商品包装和快递包装的评审标准：</w:t>
      </w:r>
    </w:p>
    <w:p w14:paraId="187EB02B">
      <w:pPr>
        <w:pageBreakBefore w:val="0"/>
        <w:kinsoku/>
        <w:bidi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116E584B">
      <w:pPr>
        <w:pStyle w:val="46"/>
        <w:pageBreakBefore w:val="0"/>
        <w:kinsoku/>
        <w:bidi w:val="0"/>
        <w:snapToGrid w:val="0"/>
        <w:spacing w:line="44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四、无效响应的情形</w:t>
      </w:r>
    </w:p>
    <w:p w14:paraId="76ADB358">
      <w:pPr>
        <w:pStyle w:val="46"/>
        <w:pageBreakBefore w:val="0"/>
        <w:kinsoku/>
        <w:bidi w:val="0"/>
        <w:snapToGrid w:val="0"/>
        <w:spacing w:line="4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未通过资格性、符合性审查的响应文件为无效响应。</w:t>
      </w:r>
    </w:p>
    <w:p w14:paraId="29E83D4A">
      <w:pPr>
        <w:pageBreakBefore w:val="0"/>
        <w:kinsoku/>
        <w:bidi w:val="0"/>
        <w:snapToGrid w:val="0"/>
        <w:spacing w:line="440" w:lineRule="exact"/>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kern w:val="0"/>
          <w:sz w:val="24"/>
          <w:szCs w:val="24"/>
          <w:highlight w:val="none"/>
        </w:rPr>
        <w:t>评分细则</w:t>
      </w:r>
    </w:p>
    <w:p w14:paraId="04CC81CB">
      <w:pPr>
        <w:snapToGri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磋商小组按照磋商文件中规定的评审标准和评定方法，对实质上响应磋商文件要求的供应商响应文件，依据最后报价、各项商务、技术、服务等因素进行综合评价，并填写打分表。综合评分的因素包括但不限于报价、服务方案的合理性、先进性及供应商提供的其他内容及条件。</w:t>
      </w:r>
    </w:p>
    <w:p w14:paraId="7D93F2A4">
      <w:pPr>
        <w:widowControl/>
        <w:snapToGrid w:val="0"/>
        <w:spacing w:line="440" w:lineRule="exact"/>
        <w:ind w:firstLine="480" w:firstLineChars="200"/>
        <w:jc w:val="left"/>
        <w:rPr>
          <w:rFonts w:hint="eastAsia" w:ascii="宋体" w:hAnsi="宋体" w:eastAsia="宋体" w:cs="宋体"/>
          <w:bCs/>
          <w:snapToGrid w:val="0"/>
          <w:sz w:val="24"/>
          <w:szCs w:val="24"/>
        </w:rPr>
      </w:pPr>
      <w:r>
        <w:rPr>
          <w:rFonts w:hint="eastAsia" w:ascii="宋体" w:hAnsi="宋体" w:eastAsia="宋体" w:cs="宋体"/>
          <w:bCs/>
          <w:snapToGrid w:val="0"/>
          <w:sz w:val="24"/>
          <w:szCs w:val="24"/>
        </w:rPr>
        <w:t>磋商小组成员对各供应商得分的算术平均值加价格得分，为各供应商总得分，评分分值计算保留小数点后两位，四舍五入。</w:t>
      </w:r>
    </w:p>
    <w:p w14:paraId="56C2BFE6">
      <w:pPr>
        <w:widowControl/>
        <w:snapToGrid w:val="0"/>
        <w:spacing w:line="440" w:lineRule="exact"/>
        <w:ind w:firstLine="482" w:firstLineChars="200"/>
        <w:jc w:val="left"/>
        <w:rPr>
          <w:rFonts w:hint="eastAsia" w:ascii="宋体" w:hAnsi="宋体" w:eastAsia="宋体" w:cs="宋体"/>
          <w:b/>
          <w:bCs w:val="0"/>
          <w:snapToGrid w:val="0"/>
          <w:sz w:val="24"/>
          <w:szCs w:val="24"/>
        </w:rPr>
      </w:pPr>
      <w:r>
        <w:rPr>
          <w:rFonts w:hint="eastAsia" w:ascii="宋体" w:hAnsi="宋体" w:eastAsia="宋体" w:cs="宋体"/>
          <w:b/>
          <w:bCs w:val="0"/>
          <w:snapToGrid w:val="0"/>
          <w:sz w:val="24"/>
          <w:szCs w:val="24"/>
          <w:lang w:val="en-US" w:eastAsia="zh-CN"/>
        </w:rPr>
        <w:t>注：</w:t>
      </w:r>
      <w:r>
        <w:rPr>
          <w:rFonts w:hint="eastAsia" w:ascii="宋体" w:hAnsi="宋体" w:eastAsia="宋体" w:cs="宋体"/>
          <w:b/>
          <w:bCs w:val="0"/>
          <w:snapToGrid w:val="0"/>
          <w:sz w:val="24"/>
          <w:szCs w:val="24"/>
        </w:rPr>
        <w:t>政府采购评审中出现下列情形之一的，评审委员会应当启动异常低价投标（响应）审查程序：</w:t>
      </w:r>
    </w:p>
    <w:p w14:paraId="75754764">
      <w:pPr>
        <w:widowControl/>
        <w:snapToGrid w:val="0"/>
        <w:spacing w:line="440" w:lineRule="exact"/>
        <w:ind w:firstLine="482" w:firstLineChars="200"/>
        <w:jc w:val="left"/>
        <w:rPr>
          <w:rFonts w:hint="eastAsia" w:ascii="宋体" w:hAnsi="宋体" w:eastAsia="宋体" w:cs="宋体"/>
          <w:b/>
          <w:bCs w:val="0"/>
          <w:snapToGrid w:val="0"/>
          <w:sz w:val="24"/>
          <w:szCs w:val="24"/>
        </w:rPr>
      </w:pPr>
      <w:r>
        <w:rPr>
          <w:rFonts w:hint="eastAsia" w:ascii="宋体" w:hAnsi="宋体" w:eastAsia="宋体" w:cs="宋体"/>
          <w:b/>
          <w:bCs w:val="0"/>
          <w:snapToGrid w:val="0"/>
          <w:sz w:val="24"/>
          <w:szCs w:val="24"/>
        </w:rPr>
        <w:t>1.投标（响应）报价低于全部通过符合性审查供应商投标（响应）报价平均值50%的，即投标（响应）报价&lt;全部通过符合性审查供应商投标（响应）报价平均值×50%；</w:t>
      </w:r>
    </w:p>
    <w:p w14:paraId="1C470A20">
      <w:pPr>
        <w:widowControl/>
        <w:snapToGrid w:val="0"/>
        <w:spacing w:line="440" w:lineRule="exact"/>
        <w:ind w:firstLine="482" w:firstLineChars="200"/>
        <w:jc w:val="left"/>
        <w:rPr>
          <w:rFonts w:hint="eastAsia" w:ascii="宋体" w:hAnsi="宋体" w:eastAsia="宋体" w:cs="宋体"/>
          <w:b/>
          <w:bCs w:val="0"/>
          <w:snapToGrid w:val="0"/>
          <w:sz w:val="24"/>
          <w:szCs w:val="24"/>
        </w:rPr>
      </w:pPr>
      <w:r>
        <w:rPr>
          <w:rFonts w:hint="eastAsia" w:ascii="宋体" w:hAnsi="宋体" w:eastAsia="宋体" w:cs="宋体"/>
          <w:b/>
          <w:bCs w:val="0"/>
          <w:snapToGrid w:val="0"/>
          <w:sz w:val="24"/>
          <w:szCs w:val="24"/>
        </w:rPr>
        <w:t>2.投标（响应）报价低于通过符合性审查的次低报价供应商投标（响应）报价50%的，即投标（响应）报价&lt;通过符合性审查的次低报价供应商投标（响应）报价×50%；</w:t>
      </w:r>
    </w:p>
    <w:p w14:paraId="01D1FDC6">
      <w:pPr>
        <w:widowControl/>
        <w:snapToGrid w:val="0"/>
        <w:spacing w:line="440" w:lineRule="exact"/>
        <w:ind w:firstLine="482" w:firstLineChars="200"/>
        <w:jc w:val="left"/>
        <w:rPr>
          <w:rFonts w:hint="eastAsia" w:ascii="宋体" w:hAnsi="宋体" w:eastAsia="宋体" w:cs="宋体"/>
          <w:b/>
          <w:bCs w:val="0"/>
          <w:snapToGrid w:val="0"/>
          <w:sz w:val="24"/>
          <w:szCs w:val="24"/>
        </w:rPr>
      </w:pPr>
      <w:r>
        <w:rPr>
          <w:rFonts w:hint="eastAsia" w:ascii="宋体" w:hAnsi="宋体" w:eastAsia="宋体" w:cs="宋体"/>
          <w:b/>
          <w:bCs w:val="0"/>
          <w:snapToGrid w:val="0"/>
          <w:sz w:val="24"/>
          <w:szCs w:val="24"/>
        </w:rPr>
        <w:t>3.投标（响应）报价低于采购项目最高限价45%的，即投标（响应）报价&lt;采购项目最高限价×45%；</w:t>
      </w:r>
    </w:p>
    <w:p w14:paraId="62A20343">
      <w:pPr>
        <w:widowControl/>
        <w:snapToGrid w:val="0"/>
        <w:spacing w:line="440" w:lineRule="exact"/>
        <w:ind w:firstLine="482" w:firstLineChars="200"/>
        <w:jc w:val="left"/>
        <w:rPr>
          <w:rFonts w:hint="eastAsia" w:ascii="宋体" w:hAnsi="宋体" w:eastAsia="宋体" w:cs="宋体"/>
          <w:b/>
          <w:bCs w:val="0"/>
          <w:sz w:val="24"/>
          <w:szCs w:val="24"/>
        </w:rPr>
      </w:pPr>
      <w:r>
        <w:rPr>
          <w:rFonts w:hint="eastAsia" w:ascii="宋体" w:hAnsi="宋体" w:eastAsia="宋体" w:cs="宋体"/>
          <w:b/>
          <w:bCs w:val="0"/>
          <w:snapToGrid w:val="0"/>
          <w:sz w:val="24"/>
          <w:szCs w:val="24"/>
        </w:rPr>
        <w:t>4.评审委员会基于专业判断，认为供应商报价过低，有可能影响产品质量或者不能诚信履约的其他情形。</w:t>
      </w:r>
    </w:p>
    <w:p w14:paraId="6C60AAEB">
      <w:pPr>
        <w:pageBreakBefore w:val="0"/>
        <w:kinsoku/>
        <w:overflowPunct w:val="0"/>
        <w:bidi w:val="0"/>
        <w:spacing w:beforeLines="0" w:afterLines="0" w:line="440" w:lineRule="exac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六、详细评审</w:t>
      </w:r>
    </w:p>
    <w:p w14:paraId="09EB5FAD">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1、评标原则</w:t>
      </w:r>
      <w:bookmarkEnd w:id="86"/>
      <w:bookmarkEnd w:id="87"/>
      <w:bookmarkEnd w:id="88"/>
    </w:p>
    <w:p w14:paraId="4D3AAF0E">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磋商小组在评审时，依据响应报价和各项技术、服务因素对供应商及响应服务进行综合评价，</w:t>
      </w:r>
      <w:bookmarkStart w:id="90" w:name="_Toc376445020"/>
      <w:bookmarkStart w:id="91" w:name="_Toc352761950"/>
      <w:bookmarkStart w:id="92" w:name="_Toc326247997"/>
      <w:r>
        <w:rPr>
          <w:rFonts w:hint="eastAsia" w:asciiTheme="minorEastAsia" w:hAnsiTheme="minorEastAsia" w:eastAsiaTheme="minorEastAsia" w:cstheme="minorEastAsia"/>
          <w:color w:val="auto"/>
          <w:sz w:val="24"/>
          <w:szCs w:val="24"/>
          <w:highlight w:val="none"/>
          <w:lang w:val="en-US" w:eastAsia="zh-CN"/>
        </w:rPr>
        <w:t>包括以下各项因素：</w:t>
      </w:r>
    </w:p>
    <w:tbl>
      <w:tblPr>
        <w:tblStyle w:val="27"/>
        <w:tblW w:w="98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8"/>
        <w:gridCol w:w="4836"/>
        <w:gridCol w:w="3514"/>
      </w:tblGrid>
      <w:tr w14:paraId="3DAF4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1508" w:type="dxa"/>
            <w:tcBorders>
              <w:top w:val="single" w:color="auto" w:sz="4" w:space="0"/>
              <w:bottom w:val="single" w:color="auto" w:sz="4" w:space="0"/>
              <w:right w:val="single" w:color="auto" w:sz="4" w:space="0"/>
            </w:tcBorders>
            <w:noWrap w:val="0"/>
            <w:vAlign w:val="center"/>
          </w:tcPr>
          <w:p w14:paraId="6C28851D">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序号</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A4276FF">
            <w:pPr>
              <w:pageBreakBefore w:val="0"/>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评 定 内 容 及 标 准</w:t>
            </w:r>
          </w:p>
        </w:tc>
        <w:tc>
          <w:tcPr>
            <w:tcW w:w="3514" w:type="dxa"/>
            <w:tcBorders>
              <w:top w:val="single" w:color="auto" w:sz="4" w:space="0"/>
              <w:left w:val="single" w:color="auto" w:sz="4" w:space="0"/>
              <w:bottom w:val="single" w:color="auto" w:sz="4" w:space="0"/>
            </w:tcBorders>
            <w:noWrap w:val="0"/>
            <w:vAlign w:val="center"/>
          </w:tcPr>
          <w:p w14:paraId="0BBD6FB2">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得分权重</w:t>
            </w:r>
          </w:p>
        </w:tc>
      </w:tr>
      <w:tr w14:paraId="094B4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exact"/>
          <w:jc w:val="center"/>
        </w:trPr>
        <w:tc>
          <w:tcPr>
            <w:tcW w:w="1508" w:type="dxa"/>
            <w:tcBorders>
              <w:top w:val="single" w:color="auto" w:sz="4" w:space="0"/>
              <w:bottom w:val="single" w:color="auto" w:sz="4" w:space="0"/>
              <w:right w:val="single" w:color="auto" w:sz="4" w:space="0"/>
            </w:tcBorders>
            <w:noWrap w:val="0"/>
            <w:vAlign w:val="center"/>
          </w:tcPr>
          <w:p w14:paraId="6AA6533F">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1</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7C837B3">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价格</w:t>
            </w:r>
            <w:r>
              <w:rPr>
                <w:rFonts w:hint="eastAsia" w:asciiTheme="minorEastAsia" w:hAnsiTheme="minorEastAsia" w:eastAsiaTheme="minorEastAsia" w:cstheme="minorEastAsia"/>
                <w:b w:val="0"/>
                <w:bCs/>
                <w:color w:val="auto"/>
                <w:sz w:val="24"/>
                <w:szCs w:val="24"/>
                <w:highlight w:val="none"/>
              </w:rPr>
              <w:t>部分</w:t>
            </w:r>
          </w:p>
        </w:tc>
        <w:tc>
          <w:tcPr>
            <w:tcW w:w="3514" w:type="dxa"/>
            <w:tcBorders>
              <w:top w:val="single" w:color="auto" w:sz="4" w:space="0"/>
              <w:left w:val="single" w:color="auto" w:sz="4" w:space="0"/>
              <w:bottom w:val="single" w:color="auto" w:sz="4" w:space="0"/>
            </w:tcBorders>
            <w:noWrap w:val="0"/>
            <w:vAlign w:val="center"/>
          </w:tcPr>
          <w:p w14:paraId="3E019388">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lang w:val="en-US" w:eastAsia="zh-CN"/>
              </w:rPr>
              <w:t>10</w:t>
            </w:r>
            <w:r>
              <w:rPr>
                <w:rFonts w:hint="eastAsia" w:asciiTheme="minorEastAsia" w:hAnsiTheme="minorEastAsia" w:eastAsiaTheme="minorEastAsia" w:cstheme="minorEastAsia"/>
                <w:b w:val="0"/>
                <w:bCs/>
                <w:color w:val="auto"/>
                <w:spacing w:val="20"/>
                <w:sz w:val="24"/>
                <w:szCs w:val="24"/>
                <w:highlight w:val="none"/>
              </w:rPr>
              <w:t>分</w:t>
            </w:r>
          </w:p>
        </w:tc>
      </w:tr>
      <w:tr w14:paraId="5752E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exact"/>
          <w:jc w:val="center"/>
        </w:trPr>
        <w:tc>
          <w:tcPr>
            <w:tcW w:w="1508" w:type="dxa"/>
            <w:tcBorders>
              <w:top w:val="single" w:color="auto" w:sz="4" w:space="0"/>
              <w:bottom w:val="single" w:color="auto" w:sz="4" w:space="0"/>
              <w:right w:val="single" w:color="auto" w:sz="4" w:space="0"/>
            </w:tcBorders>
            <w:noWrap w:val="0"/>
            <w:vAlign w:val="center"/>
          </w:tcPr>
          <w:p w14:paraId="53BABAF4">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2</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E9BD49F">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技术、服务部分</w:t>
            </w:r>
          </w:p>
        </w:tc>
        <w:tc>
          <w:tcPr>
            <w:tcW w:w="3514" w:type="dxa"/>
            <w:tcBorders>
              <w:top w:val="single" w:color="auto" w:sz="4" w:space="0"/>
              <w:left w:val="single" w:color="auto" w:sz="4" w:space="0"/>
              <w:bottom w:val="single" w:color="auto" w:sz="4" w:space="0"/>
            </w:tcBorders>
            <w:noWrap w:val="0"/>
            <w:vAlign w:val="center"/>
          </w:tcPr>
          <w:p w14:paraId="6FE30FB6">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lang w:val="en-US" w:eastAsia="zh-CN"/>
              </w:rPr>
              <w:t>60</w:t>
            </w:r>
            <w:r>
              <w:rPr>
                <w:rFonts w:hint="eastAsia" w:asciiTheme="minorEastAsia" w:hAnsiTheme="minorEastAsia" w:eastAsiaTheme="minorEastAsia" w:cstheme="minorEastAsia"/>
                <w:b w:val="0"/>
                <w:bCs/>
                <w:color w:val="auto"/>
                <w:spacing w:val="20"/>
                <w:sz w:val="24"/>
                <w:szCs w:val="24"/>
                <w:highlight w:val="none"/>
              </w:rPr>
              <w:t>分</w:t>
            </w:r>
          </w:p>
        </w:tc>
      </w:tr>
      <w:tr w14:paraId="5415B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exact"/>
          <w:jc w:val="center"/>
        </w:trPr>
        <w:tc>
          <w:tcPr>
            <w:tcW w:w="1508" w:type="dxa"/>
            <w:tcBorders>
              <w:top w:val="single" w:color="auto" w:sz="4" w:space="0"/>
              <w:bottom w:val="single" w:color="auto" w:sz="4" w:space="0"/>
              <w:right w:val="single" w:color="auto" w:sz="4" w:space="0"/>
            </w:tcBorders>
            <w:noWrap w:val="0"/>
            <w:vAlign w:val="center"/>
          </w:tcPr>
          <w:p w14:paraId="7C331D21">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sz w:val="24"/>
                <w:szCs w:val="24"/>
                <w:highlight w:val="none"/>
              </w:rPr>
            </w:pPr>
            <w:r>
              <w:rPr>
                <w:rFonts w:hint="eastAsia" w:asciiTheme="minorEastAsia" w:hAnsiTheme="minorEastAsia" w:eastAsiaTheme="minorEastAsia" w:cstheme="minorEastAsia"/>
                <w:b w:val="0"/>
                <w:bCs/>
                <w:color w:val="auto"/>
                <w:spacing w:val="20"/>
                <w:sz w:val="24"/>
                <w:szCs w:val="24"/>
                <w:highlight w:val="none"/>
              </w:rPr>
              <w:t>3</w:t>
            </w:r>
          </w:p>
        </w:tc>
        <w:tc>
          <w:tcPr>
            <w:tcW w:w="48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65FFD">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商务</w:t>
            </w:r>
            <w:r>
              <w:rPr>
                <w:rFonts w:hint="eastAsia" w:asciiTheme="minorEastAsia" w:hAnsiTheme="minorEastAsia" w:eastAsiaTheme="minorEastAsia" w:cstheme="minorEastAsia"/>
                <w:b w:val="0"/>
                <w:bCs/>
                <w:color w:val="auto"/>
                <w:sz w:val="24"/>
                <w:szCs w:val="24"/>
                <w:highlight w:val="none"/>
              </w:rPr>
              <w:t>部分</w:t>
            </w:r>
          </w:p>
        </w:tc>
        <w:tc>
          <w:tcPr>
            <w:tcW w:w="3514" w:type="dxa"/>
            <w:tcBorders>
              <w:top w:val="single" w:color="auto" w:sz="4" w:space="0"/>
              <w:left w:val="single" w:color="auto" w:sz="4" w:space="0"/>
              <w:bottom w:val="single" w:color="auto" w:sz="4" w:space="0"/>
            </w:tcBorders>
            <w:shd w:val="clear" w:color="auto" w:fill="auto"/>
            <w:noWrap w:val="0"/>
            <w:vAlign w:val="center"/>
          </w:tcPr>
          <w:p w14:paraId="3107C3E8">
            <w:pPr>
              <w:pageBreakBefore w:val="0"/>
              <w:widowControl/>
              <w:kinsoku/>
              <w:bidi w:val="0"/>
              <w:spacing w:line="440" w:lineRule="exact"/>
              <w:jc w:val="center"/>
              <w:textAlignment w:val="auto"/>
              <w:rPr>
                <w:rFonts w:hint="eastAsia" w:asciiTheme="minorEastAsia" w:hAnsiTheme="minorEastAsia" w:eastAsiaTheme="minorEastAsia" w:cstheme="minorEastAsia"/>
                <w:b w:val="0"/>
                <w:bCs/>
                <w:color w:val="auto"/>
                <w:spacing w:val="20"/>
                <w:kern w:val="2"/>
                <w:sz w:val="24"/>
                <w:szCs w:val="24"/>
                <w:highlight w:val="none"/>
                <w:lang w:val="en-US" w:eastAsia="zh-CN" w:bidi="ar-SA"/>
              </w:rPr>
            </w:pPr>
            <w:r>
              <w:rPr>
                <w:rFonts w:hint="eastAsia" w:asciiTheme="minorEastAsia" w:hAnsiTheme="minorEastAsia" w:eastAsiaTheme="minorEastAsia" w:cstheme="minorEastAsia"/>
                <w:b w:val="0"/>
                <w:bCs/>
                <w:color w:val="auto"/>
                <w:spacing w:val="20"/>
                <w:sz w:val="24"/>
                <w:szCs w:val="24"/>
                <w:highlight w:val="none"/>
                <w:lang w:val="en-US" w:eastAsia="zh-CN"/>
              </w:rPr>
              <w:t>30</w:t>
            </w:r>
            <w:r>
              <w:rPr>
                <w:rFonts w:hint="eastAsia" w:asciiTheme="minorEastAsia" w:hAnsiTheme="minorEastAsia" w:eastAsiaTheme="minorEastAsia" w:cstheme="minorEastAsia"/>
                <w:b w:val="0"/>
                <w:bCs/>
                <w:color w:val="auto"/>
                <w:spacing w:val="20"/>
                <w:sz w:val="24"/>
                <w:szCs w:val="24"/>
                <w:highlight w:val="none"/>
              </w:rPr>
              <w:t>分</w:t>
            </w:r>
          </w:p>
        </w:tc>
      </w:tr>
    </w:tbl>
    <w:p w14:paraId="1C7E559A">
      <w:pPr>
        <w:pStyle w:val="46"/>
        <w:pageBreakBefore w:val="0"/>
        <w:kinsoku/>
        <w:bidi w:val="0"/>
        <w:snapToGrid w:val="0"/>
        <w:spacing w:line="44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bookmarkEnd w:id="90"/>
      <w:bookmarkEnd w:id="91"/>
      <w:bookmarkEnd w:id="92"/>
      <w:r>
        <w:rPr>
          <w:rFonts w:hint="eastAsia" w:asciiTheme="minorEastAsia" w:hAnsiTheme="minorEastAsia" w:eastAsiaTheme="minorEastAsia" w:cstheme="minorEastAsia"/>
          <w:color w:val="auto"/>
          <w:kern w:val="2"/>
          <w:sz w:val="24"/>
          <w:szCs w:val="24"/>
          <w:highlight w:val="none"/>
          <w:lang w:val="en-US" w:eastAsia="zh-CN" w:bidi="ar-SA"/>
        </w:rPr>
        <w:t>综合评分法评分细则</w:t>
      </w:r>
    </w:p>
    <w:tbl>
      <w:tblPr>
        <w:tblStyle w:val="2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5"/>
      </w:tblGrid>
      <w:tr w14:paraId="5663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105" w:type="dxa"/>
            <w:noWrap w:val="0"/>
            <w:vAlign w:val="center"/>
          </w:tcPr>
          <w:p w14:paraId="759B61A1">
            <w:pPr>
              <w:keepNext w:val="0"/>
              <w:keepLines w:val="0"/>
              <w:pageBreakBefore w:val="0"/>
              <w:widowControl w:val="0"/>
              <w:kinsoku/>
              <w:wordWrap w:val="0"/>
              <w:overflowPunct w:val="0"/>
              <w:topLinePunct w:val="0"/>
              <w:autoSpaceDE/>
              <w:autoSpaceDN/>
              <w:bidi w:val="0"/>
              <w:adjustRightInd w:val="0"/>
              <w:snapToGrid/>
              <w:spacing w:beforeAutospacing="0" w:afterAutospacing="0" w:line="440" w:lineRule="exact"/>
              <w:ind w:left="0" w:leftChars="0" w:right="0" w:firstLine="0" w:firstLineChars="0"/>
              <w:jc w:val="center"/>
              <w:textAlignment w:val="auto"/>
              <w:outlineLvl w:val="0"/>
              <w:rPr>
                <w:rFonts w:hint="eastAsia" w:asciiTheme="minorEastAsia" w:hAnsiTheme="minorEastAsia" w:eastAsiaTheme="minorEastAsia" w:cstheme="minorEastAsia"/>
                <w:b/>
                <w:color w:val="auto"/>
                <w:spacing w:val="0"/>
                <w:sz w:val="24"/>
                <w:szCs w:val="24"/>
                <w:highlight w:val="none"/>
              </w:rPr>
            </w:pPr>
            <w:bookmarkStart w:id="93" w:name="_Toc8525"/>
            <w:bookmarkStart w:id="94" w:name="_Toc15194"/>
            <w:bookmarkStart w:id="95" w:name="_Toc24388"/>
            <w:bookmarkStart w:id="96" w:name="_Toc25536"/>
            <w:bookmarkStart w:id="97" w:name="_Toc28584_WPSOffice_Level1"/>
            <w:bookmarkStart w:id="98" w:name="_Toc83213512"/>
            <w:r>
              <w:rPr>
                <w:rFonts w:hint="eastAsia" w:asciiTheme="minorEastAsia" w:hAnsiTheme="minorEastAsia" w:eastAsiaTheme="minorEastAsia" w:cstheme="minorEastAsia"/>
                <w:b/>
                <w:color w:val="auto"/>
                <w:spacing w:val="0"/>
                <w:sz w:val="24"/>
                <w:szCs w:val="24"/>
                <w:highlight w:val="none"/>
              </w:rPr>
              <w:t>评 定 内 容 及 标 准</w:t>
            </w:r>
            <w:bookmarkEnd w:id="93"/>
            <w:bookmarkEnd w:id="94"/>
            <w:bookmarkEnd w:id="95"/>
          </w:p>
        </w:tc>
      </w:tr>
      <w:tr w14:paraId="07BE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shd w:val="clear" w:color="auto" w:fill="auto"/>
            <w:noWrap w:val="0"/>
            <w:vAlign w:val="center"/>
          </w:tcPr>
          <w:p w14:paraId="1C6C1210">
            <w:pPr>
              <w:keepNext w:val="0"/>
              <w:keepLines w:val="0"/>
              <w:pageBreakBefore w:val="0"/>
              <w:widowControl w:val="0"/>
              <w:kinsoku/>
              <w:wordWrap w:val="0"/>
              <w:overflowPunct w:val="0"/>
              <w:topLinePunct w:val="0"/>
              <w:autoSpaceDE/>
              <w:autoSpaceDN/>
              <w:bidi w:val="0"/>
              <w:snapToGrid/>
              <w:spacing w:beforeAutospacing="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sz w:val="24"/>
                <w:szCs w:val="24"/>
                <w:highlight w:val="none"/>
                <w:lang w:val="en-US" w:eastAsia="zh-CN"/>
              </w:rPr>
              <w:t>一</w:t>
            </w:r>
            <w:r>
              <w:rPr>
                <w:rFonts w:hint="eastAsia" w:asciiTheme="minorEastAsia" w:hAnsiTheme="minorEastAsia" w:eastAsiaTheme="minorEastAsia" w:cstheme="minorEastAsia"/>
                <w:b/>
                <w:bCs/>
                <w:color w:val="auto"/>
                <w:spacing w:val="0"/>
                <w:sz w:val="24"/>
                <w:szCs w:val="24"/>
                <w:highlight w:val="none"/>
              </w:rPr>
              <w:t>、价格部分（</w:t>
            </w:r>
            <w:r>
              <w:rPr>
                <w:rFonts w:hint="eastAsia" w:asciiTheme="minorEastAsia" w:hAnsiTheme="minorEastAsia" w:eastAsiaTheme="minorEastAsia" w:cstheme="minorEastAsia"/>
                <w:b/>
                <w:bCs/>
                <w:color w:val="auto"/>
                <w:spacing w:val="0"/>
                <w:sz w:val="24"/>
                <w:szCs w:val="24"/>
                <w:highlight w:val="none"/>
                <w:lang w:val="en-US" w:eastAsia="zh-CN"/>
              </w:rPr>
              <w:t>10</w:t>
            </w:r>
            <w:r>
              <w:rPr>
                <w:rFonts w:hint="eastAsia" w:asciiTheme="minorEastAsia" w:hAnsiTheme="minorEastAsia" w:eastAsiaTheme="minorEastAsia" w:cstheme="minorEastAsia"/>
                <w:b/>
                <w:bCs/>
                <w:color w:val="auto"/>
                <w:spacing w:val="0"/>
                <w:sz w:val="24"/>
                <w:szCs w:val="24"/>
                <w:highlight w:val="none"/>
              </w:rPr>
              <w:t>分）</w:t>
            </w:r>
          </w:p>
        </w:tc>
      </w:tr>
      <w:tr w14:paraId="5EB4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shd w:val="clear" w:color="auto" w:fill="auto"/>
            <w:noWrap w:val="0"/>
            <w:vAlign w:val="center"/>
          </w:tcPr>
          <w:p w14:paraId="771272A4">
            <w:pPr>
              <w:keepNext w:val="0"/>
              <w:keepLines w:val="0"/>
              <w:pageBreakBefore w:val="0"/>
              <w:widowControl w:val="0"/>
              <w:kinsoku/>
              <w:wordWrap w:val="0"/>
              <w:overflowPunct w:val="0"/>
              <w:topLinePunct w:val="0"/>
              <w:autoSpaceDE/>
              <w:autoSpaceDN/>
              <w:bidi w:val="0"/>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满足磋商文件要求且投标价格最低的投标报价为评标基准价，其价格分为满分。其他供应商的价格分统一按照下列公式计算：投标报价得分=(评标基准价／投标报价)×10%×100。</w:t>
            </w:r>
          </w:p>
          <w:p w14:paraId="586433D6">
            <w:pPr>
              <w:keepNext w:val="0"/>
              <w:keepLines w:val="0"/>
              <w:pageBreakBefore w:val="0"/>
              <w:widowControl w:val="0"/>
              <w:kinsoku/>
              <w:wordWrap w:val="0"/>
              <w:overflowPunct w:val="0"/>
              <w:topLinePunct w:val="0"/>
              <w:autoSpaceDE/>
              <w:autoSpaceDN/>
              <w:bidi w:val="0"/>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注：因本项目为专门面向中小企业预留份额，故对于中小型、微型企业、残疾人福利性单位、监狱企业在报价价格上不给予扣除。</w:t>
            </w:r>
          </w:p>
        </w:tc>
      </w:tr>
      <w:tr w14:paraId="1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40EE8C44">
            <w:pPr>
              <w:keepNext w:val="0"/>
              <w:keepLines w:val="0"/>
              <w:pageBreakBefore w:val="0"/>
              <w:widowControl w:val="0"/>
              <w:kinsoku/>
              <w:wordWrap w:val="0"/>
              <w:overflowPunct w:val="0"/>
              <w:topLinePunct w:val="0"/>
              <w:autoSpaceDE/>
              <w:autoSpaceDN/>
              <w:bidi w:val="0"/>
              <w:adjustRightInd w:val="0"/>
              <w:snapToGrid/>
              <w:spacing w:beforeAutospacing="0" w:afterAutospacing="0" w:line="4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b/>
                <w:color w:val="auto"/>
                <w:spacing w:val="0"/>
                <w:sz w:val="24"/>
                <w:szCs w:val="24"/>
                <w:highlight w:val="none"/>
                <w:lang w:val="en-US" w:eastAsia="zh-CN"/>
              </w:rPr>
              <w:t>二</w:t>
            </w:r>
            <w:r>
              <w:rPr>
                <w:rFonts w:hint="eastAsia" w:asciiTheme="minorEastAsia" w:hAnsiTheme="minorEastAsia" w:eastAsiaTheme="minorEastAsia" w:cstheme="minorEastAsia"/>
                <w:b/>
                <w:color w:val="auto"/>
                <w:spacing w:val="0"/>
                <w:sz w:val="24"/>
                <w:szCs w:val="24"/>
                <w:highlight w:val="none"/>
              </w:rPr>
              <w:t>、技术</w:t>
            </w:r>
            <w:r>
              <w:rPr>
                <w:rFonts w:hint="eastAsia" w:asciiTheme="minorEastAsia" w:hAnsiTheme="minorEastAsia" w:eastAsiaTheme="minorEastAsia" w:cstheme="minorEastAsia"/>
                <w:b/>
                <w:color w:val="auto"/>
                <w:spacing w:val="0"/>
                <w:sz w:val="24"/>
                <w:szCs w:val="24"/>
                <w:highlight w:val="none"/>
                <w:lang w:val="en-US" w:eastAsia="zh-CN"/>
              </w:rPr>
              <w:t>和服务</w:t>
            </w:r>
            <w:r>
              <w:rPr>
                <w:rFonts w:hint="eastAsia" w:asciiTheme="minorEastAsia" w:hAnsiTheme="minorEastAsia" w:eastAsiaTheme="minorEastAsia" w:cstheme="minorEastAsia"/>
                <w:b/>
                <w:color w:val="auto"/>
                <w:spacing w:val="0"/>
                <w:sz w:val="24"/>
                <w:szCs w:val="24"/>
                <w:highlight w:val="none"/>
              </w:rPr>
              <w:t>部分（</w:t>
            </w:r>
            <w:r>
              <w:rPr>
                <w:rFonts w:hint="eastAsia" w:asciiTheme="minorEastAsia" w:hAnsiTheme="minorEastAsia" w:eastAsiaTheme="minorEastAsia" w:cstheme="minorEastAsia"/>
                <w:b/>
                <w:color w:val="auto"/>
                <w:spacing w:val="0"/>
                <w:sz w:val="24"/>
                <w:szCs w:val="24"/>
                <w:highlight w:val="none"/>
                <w:lang w:val="en-US" w:eastAsia="zh-CN"/>
              </w:rPr>
              <w:t>60</w:t>
            </w:r>
            <w:r>
              <w:rPr>
                <w:rFonts w:hint="eastAsia" w:asciiTheme="minorEastAsia" w:hAnsiTheme="minorEastAsia" w:eastAsiaTheme="minorEastAsia" w:cstheme="minorEastAsia"/>
                <w:b/>
                <w:color w:val="auto"/>
                <w:spacing w:val="0"/>
                <w:sz w:val="24"/>
                <w:szCs w:val="24"/>
                <w:highlight w:val="none"/>
              </w:rPr>
              <w:t>分）</w:t>
            </w:r>
          </w:p>
        </w:tc>
      </w:tr>
      <w:tr w14:paraId="0EA5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546F1FDA">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1、项目整体服务方案（15分）。</w:t>
            </w:r>
          </w:p>
          <w:p w14:paraId="23B2EB6E">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供应商针对本项目提供的整体服务方案进行评审。内容包括但不限于：①对本项目的需求理解；②电梯抽检总体部署与工作计划；③曳引电梯检测抽查实施细则；④自动扶梯检测抽查实施细则；⑤检验时效与进度管控措施等内容。注：每项3分，共15分，每有一项缺失扣3分。各项内容每存在一处缺陷扣0.5分，扣完为止。（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r>
      <w:tr w14:paraId="1B82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55F50E9F">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2、项目实施计划（15分）。</w:t>
            </w:r>
          </w:p>
          <w:p w14:paraId="375BB270">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供应商针对本项目提供的项目实施计划进行评审。内容包括但不限于：①项目总体进度规划；②所有电梯抽检批次与时间安排；③阶段任务分解与工作节点；④人员、设备、车辆配置计划；⑤进度保障及延误处置措施等内容。注：每项3分，共15分，每有一项缺失扣3分。各项内容每存在一处缺陷扣0.5分，扣完为止。（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r>
      <w:tr w14:paraId="6975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7ACA208B">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3、质量保证措施（12分）。</w:t>
            </w:r>
          </w:p>
          <w:p w14:paraId="27A27D3C">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供应商针对本项目提供的质量保证措施进行评审。内容包括但不限于：①项目组织机构健全、职责明确；②检验过程质量控制与复核机制；③数据真实、准确、完整保障措施；④工作台账、档案管理、资料归档制度等内容。注：每项3分，共12分，每有一项缺失扣3分。各项内容每存在一处缺陷扣0.5分，扣完为止。（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r>
      <w:tr w14:paraId="0BA4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35A2DB0F">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4、应急处理方案（12分）。</w:t>
            </w:r>
          </w:p>
          <w:p w14:paraId="1C16C3A5">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根据供应商针对本项目提供的应急处理方案进行评审。内容包括但不限于：①应急组织机构与职责分工；②现场安全突发事件处置流程；③抽检异常情况闭环措施；④</w:t>
            </w:r>
            <w:r>
              <w:rPr>
                <w:rFonts w:ascii="宋体" w:hAnsi="宋体" w:eastAsia="宋体" w:cs="宋体"/>
                <w:sz w:val="24"/>
                <w:szCs w:val="24"/>
              </w:rPr>
              <w:t>应急物资与人员保障</w:t>
            </w:r>
            <w:r>
              <w:rPr>
                <w:rFonts w:hint="eastAsia" w:asciiTheme="minorEastAsia" w:hAnsiTheme="minorEastAsia" w:eastAsiaTheme="minorEastAsia" w:cstheme="minorEastAsia"/>
                <w:color w:val="auto"/>
                <w:kern w:val="2"/>
                <w:sz w:val="24"/>
                <w:szCs w:val="24"/>
                <w:highlight w:val="none"/>
                <w:lang w:val="en-US" w:eastAsia="zh-CN" w:bidi="ar-SA"/>
              </w:rPr>
              <w:t>等内容。注：每项3分，共12分，每有一项缺失扣3分。各项内容每存在一处缺陷扣0.5分，扣完为止。（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r>
      <w:tr w14:paraId="5FDC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noWrap w:val="0"/>
            <w:vAlign w:val="center"/>
          </w:tcPr>
          <w:p w14:paraId="3D13490C">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5、服务承诺（6分）。</w:t>
            </w:r>
          </w:p>
          <w:p w14:paraId="51F03F71">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根据供应商针对本项目提供的服务承诺进行评审。内容包括但不限于：①抽检履约保障方案；②</w:t>
            </w:r>
            <w:r>
              <w:rPr>
                <w:rFonts w:ascii="宋体" w:hAnsi="宋体" w:eastAsia="宋体" w:cs="宋体"/>
                <w:sz w:val="24"/>
                <w:szCs w:val="24"/>
              </w:rPr>
              <w:t>报告质量</w:t>
            </w:r>
            <w:r>
              <w:rPr>
                <w:rFonts w:hint="eastAsia" w:ascii="宋体" w:hAnsi="宋体" w:eastAsia="宋体" w:cs="宋体"/>
                <w:sz w:val="24"/>
                <w:szCs w:val="24"/>
                <w:lang w:val="en-US" w:eastAsia="zh-CN"/>
              </w:rPr>
              <w:t>及</w:t>
            </w:r>
            <w:r>
              <w:rPr>
                <w:rFonts w:hint="eastAsia" w:asciiTheme="minorEastAsia" w:hAnsiTheme="minorEastAsia" w:eastAsiaTheme="minorEastAsia" w:cstheme="minorEastAsia"/>
                <w:color w:val="auto"/>
                <w:kern w:val="2"/>
                <w:sz w:val="24"/>
                <w:szCs w:val="24"/>
                <w:highlight w:val="none"/>
                <w:lang w:val="en-US" w:eastAsia="zh-CN" w:bidi="ar-SA"/>
              </w:rPr>
              <w:t>数据报送保障措施；③检测合规与保密措施等内容。注：每项2分，共6分，每有一项缺失扣2分。各项内容每存在一处缺陷扣0.5分，扣完为止。（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r>
      <w:tr w14:paraId="7132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shd w:val="clear" w:color="auto" w:fill="auto"/>
            <w:noWrap w:val="0"/>
            <w:vAlign w:val="center"/>
          </w:tcPr>
          <w:p w14:paraId="3530CB85">
            <w:pPr>
              <w:keepNext w:val="0"/>
              <w:keepLines w:val="0"/>
              <w:pageBreakBefore w:val="0"/>
              <w:widowControl w:val="0"/>
              <w:kinsoku/>
              <w:wordWrap w:val="0"/>
              <w:overflowPunct w:val="0"/>
              <w:topLinePunct w:val="0"/>
              <w:autoSpaceDE/>
              <w:autoSpaceDN/>
              <w:bidi w:val="0"/>
              <w:adjustRightInd w:val="0"/>
              <w:snapToGrid/>
              <w:spacing w:beforeAutospacing="0" w:afterAutospacing="0" w:line="440" w:lineRule="exact"/>
              <w:ind w:left="0" w:leftChars="0" w:right="0" w:rightChars="0" w:firstLine="0" w:firstLineChars="0"/>
              <w:textAlignment w:val="auto"/>
              <w:outlineLvl w:val="0"/>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b/>
                <w:color w:val="auto"/>
                <w:spacing w:val="0"/>
                <w:sz w:val="24"/>
                <w:szCs w:val="24"/>
                <w:highlight w:val="none"/>
                <w:lang w:val="en-US" w:eastAsia="zh-CN"/>
              </w:rPr>
              <w:t>三</w:t>
            </w:r>
            <w:r>
              <w:rPr>
                <w:rFonts w:hint="eastAsia" w:asciiTheme="minorEastAsia" w:hAnsiTheme="minorEastAsia" w:eastAsiaTheme="minorEastAsia" w:cstheme="minorEastAsia"/>
                <w:b/>
                <w:color w:val="auto"/>
                <w:spacing w:val="0"/>
                <w:sz w:val="24"/>
                <w:szCs w:val="24"/>
                <w:highlight w:val="none"/>
              </w:rPr>
              <w:t>、商务部分(</w:t>
            </w:r>
            <w:r>
              <w:rPr>
                <w:rFonts w:hint="eastAsia" w:asciiTheme="minorEastAsia" w:hAnsiTheme="minorEastAsia" w:eastAsiaTheme="minorEastAsia" w:cstheme="minorEastAsia"/>
                <w:b/>
                <w:color w:val="auto"/>
                <w:spacing w:val="0"/>
                <w:sz w:val="24"/>
                <w:szCs w:val="24"/>
                <w:highlight w:val="none"/>
                <w:lang w:val="en-US" w:eastAsia="zh-CN"/>
              </w:rPr>
              <w:t>30</w:t>
            </w:r>
            <w:r>
              <w:rPr>
                <w:rFonts w:hint="eastAsia" w:asciiTheme="minorEastAsia" w:hAnsiTheme="minorEastAsia" w:eastAsiaTheme="minorEastAsia" w:cstheme="minorEastAsia"/>
                <w:b/>
                <w:color w:val="auto"/>
                <w:spacing w:val="0"/>
                <w:sz w:val="24"/>
                <w:szCs w:val="24"/>
                <w:highlight w:val="none"/>
              </w:rPr>
              <w:t xml:space="preserve">分) </w:t>
            </w:r>
            <w:r>
              <w:rPr>
                <w:rFonts w:hint="eastAsia" w:asciiTheme="minorEastAsia" w:hAnsiTheme="minorEastAsia" w:eastAsiaTheme="minorEastAsia" w:cstheme="minorEastAsia"/>
                <w:color w:val="auto"/>
                <w:spacing w:val="0"/>
                <w:sz w:val="24"/>
                <w:szCs w:val="24"/>
                <w:highlight w:val="none"/>
              </w:rPr>
              <w:t xml:space="preserve"> </w:t>
            </w:r>
          </w:p>
        </w:tc>
      </w:tr>
      <w:tr w14:paraId="7907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shd w:val="clear" w:color="auto" w:fill="auto"/>
            <w:noWrap w:val="0"/>
            <w:vAlign w:val="center"/>
          </w:tcPr>
          <w:p w14:paraId="08240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1、合同执行能力、供应商业绩（20分）</w:t>
            </w:r>
          </w:p>
          <w:p w14:paraId="2A2F8F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近三年同类型项目案例，每提供一项完整同类型项目案例的得5分，最高20分。</w:t>
            </w:r>
          </w:p>
          <w:p w14:paraId="58BE10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供应商同类型项目案例应提供有效合同，以合同签订时间为准。合同必须提供与最终用户签订的合同首页、合同完整金额所在页、签字盖章页原件扫描件作为证明。</w:t>
            </w:r>
          </w:p>
          <w:p w14:paraId="2A42DD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同时，本款可作为分值认定的同类型项目案例仅指供应商自身的项目案例，即项目案例合同的乙方必须与供应商的名称完全一致，如公司名称发生变更，必须提供工商部门的证明文件。</w:t>
            </w:r>
          </w:p>
          <w:p w14:paraId="4B169C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（要求在响应文件内按上述要求提供原件扫描件并加盖单位电子印章。）</w:t>
            </w:r>
          </w:p>
          <w:p w14:paraId="2D407F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证明材料需体现类似电梯监督抽检服务，未提供不计分。</w:t>
            </w:r>
          </w:p>
          <w:p w14:paraId="214C40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近三年是指响应文件提交截止时间前三年。</w:t>
            </w:r>
          </w:p>
        </w:tc>
      </w:tr>
      <w:tr w14:paraId="082A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5" w:type="dxa"/>
            <w:shd w:val="clear" w:color="auto" w:fill="auto"/>
            <w:noWrap w:val="0"/>
            <w:vAlign w:val="center"/>
          </w:tcPr>
          <w:p w14:paraId="7E4AF8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2、项目机构人员配备（10分）</w:t>
            </w:r>
          </w:p>
          <w:p w14:paraId="6A5C37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（1）供应商从事检测人员中具有高级职称人员每有一人得2分，最多得4分；</w:t>
            </w:r>
          </w:p>
          <w:p w14:paraId="1F3CB2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（2）供应商从事检验人员中具有中级职称人员每有一人得1分，最多得4分；</w:t>
            </w:r>
          </w:p>
          <w:p w14:paraId="5415FE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（3）供应商从事检验人员中具有《电梯检验员资格》证书每有一人得0.5分，最多得2分；</w:t>
            </w:r>
          </w:p>
          <w:p w14:paraId="0A4448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响应文件中需提供以上人员的身份证复印件“加盖公章”，劳动合同复印件及岗位职业资格证书复印件，且提供人员社保；退休返聘人员需提供退休证、身份证、职称证以及近三个月的工资证明，以上证明材料缺一不可，同一人不得重复得分。</w:t>
            </w:r>
          </w:p>
        </w:tc>
      </w:tr>
      <w:bookmarkEnd w:id="96"/>
      <w:bookmarkEnd w:id="97"/>
    </w:tbl>
    <w:p w14:paraId="20FE88E9">
      <w:pPr>
        <w:pageBreakBefore w:val="0"/>
        <w:kinsoku/>
        <w:overflowPunct w:val="0"/>
        <w:bidi w:val="0"/>
        <w:spacing w:beforeLines="0" w:afterLines="0" w:line="440" w:lineRule="exact"/>
        <w:ind w:firstLine="482" w:firstLineChars="200"/>
        <w:textAlignment w:val="auto"/>
        <w:outlineLvl w:val="1"/>
        <w:rPr>
          <w:rFonts w:hint="eastAsia" w:asciiTheme="minorEastAsia" w:hAnsiTheme="minorEastAsia" w:eastAsiaTheme="minorEastAsia" w:cstheme="minorEastAsia"/>
          <w:b/>
          <w:color w:val="auto"/>
          <w:sz w:val="24"/>
          <w:szCs w:val="24"/>
          <w:highlight w:val="none"/>
          <w:lang w:val="en-US" w:eastAsia="zh-CN"/>
        </w:rPr>
      </w:pPr>
    </w:p>
    <w:bookmarkEnd w:id="98"/>
    <w:p w14:paraId="32185A3B">
      <w:pP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14:paraId="21994219">
      <w:pPr>
        <w:pStyle w:val="2"/>
        <w:bidi w:val="0"/>
        <w:spacing w:before="0" w:beforeAutospacing="0" w:after="0" w:afterAutospacing="0"/>
        <w:jc w:val="center"/>
        <w:rPr>
          <w:rFonts w:hint="eastAsia" w:ascii="Times New Roman" w:hAnsi="Times New Roman" w:eastAsia="宋体" w:cs="Times New Roman"/>
          <w:sz w:val="28"/>
          <w:szCs w:val="28"/>
        </w:rPr>
      </w:pPr>
      <w:bookmarkStart w:id="99" w:name="_Toc10861"/>
      <w:r>
        <w:rPr>
          <w:rFonts w:hint="eastAsia" w:ascii="Times New Roman" w:hAnsi="Times New Roman" w:eastAsia="宋体" w:cs="Times New Roman"/>
          <w:sz w:val="28"/>
          <w:szCs w:val="28"/>
        </w:rPr>
        <w:t>第五部分  商务、技术要求</w:t>
      </w:r>
      <w:bookmarkEnd w:id="99"/>
    </w:p>
    <w:p w14:paraId="59AF53F1">
      <w:pPr>
        <w:widowControl/>
        <w:spacing w:beforeAutospacing="0" w:line="360" w:lineRule="auto"/>
        <w:jc w:val="left"/>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rPr>
        <w:t>一、</w:t>
      </w:r>
      <w:r>
        <w:rPr>
          <w:rFonts w:hint="eastAsia" w:ascii="宋体" w:hAnsi="宋体" w:cs="宋体"/>
          <w:b/>
          <w:color w:val="auto"/>
          <w:kern w:val="0"/>
          <w:sz w:val="24"/>
          <w:highlight w:val="none"/>
          <w:lang w:val="en-US" w:eastAsia="zh-CN"/>
        </w:rPr>
        <w:t>商务要求</w:t>
      </w:r>
    </w:p>
    <w:p w14:paraId="45EB2539">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1.项目名称：</w:t>
      </w:r>
      <w:r>
        <w:rPr>
          <w:rFonts w:hint="eastAsia" w:ascii="宋体" w:hAnsi="宋体" w:cs="宋体"/>
          <w:color w:val="auto"/>
          <w:sz w:val="24"/>
          <w:highlight w:val="none"/>
          <w:lang w:eastAsia="zh-CN"/>
        </w:rPr>
        <w:t>孝义市市场监督管理局2026年电梯监督抽检项目</w:t>
      </w:r>
    </w:p>
    <w:p w14:paraId="5E24F1D6">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300000元</w:t>
      </w:r>
    </w:p>
    <w:p w14:paraId="212288BD">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3.最高限价：300000元</w:t>
      </w:r>
    </w:p>
    <w:p w14:paraId="6525E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合同履行期限：合同订立之日起，至</w:t>
      </w:r>
      <w:r>
        <w:rPr>
          <w:rFonts w:hint="eastAsia" w:ascii="宋体" w:hAnsi="宋体" w:cs="宋体"/>
          <w:color w:val="auto"/>
          <w:sz w:val="24"/>
          <w:highlight w:val="none"/>
          <w:lang w:eastAsia="zh-CN"/>
        </w:rPr>
        <w:t>2026年</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日</w:t>
      </w:r>
    </w:p>
    <w:p w14:paraId="32DF0F0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5.服务标准</w:t>
      </w:r>
      <w:r>
        <w:rPr>
          <w:rFonts w:hint="eastAsia" w:ascii="宋体" w:hAnsi="宋体" w:cs="宋体"/>
          <w:color w:val="auto"/>
          <w:sz w:val="24"/>
          <w:highlight w:val="none"/>
        </w:rPr>
        <w:t>：符合国家相关标准、行业标准、地方标准等标准规范</w:t>
      </w:r>
    </w:p>
    <w:p w14:paraId="4E8ECF4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6.服务</w:t>
      </w:r>
      <w:r>
        <w:rPr>
          <w:rFonts w:hint="eastAsia" w:ascii="宋体" w:hAnsi="宋体" w:cs="宋体"/>
          <w:color w:val="auto"/>
          <w:sz w:val="24"/>
          <w:highlight w:val="none"/>
        </w:rPr>
        <w:t>地点：孝义市辖区范围</w:t>
      </w:r>
    </w:p>
    <w:p w14:paraId="4F2A6FA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付款方式：供应商履约完毕经采购方验收合格后30日内，一次性支付全部服务费。</w:t>
      </w:r>
    </w:p>
    <w:p w14:paraId="02DFD5C2">
      <w:pPr>
        <w:adjustRightInd w:val="0"/>
        <w:snapToGrid w:val="0"/>
        <w:spacing w:line="500" w:lineRule="exact"/>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rPr>
        <w:t>二、</w:t>
      </w:r>
      <w:r>
        <w:rPr>
          <w:rFonts w:hint="eastAsia" w:ascii="宋体" w:hAnsi="宋体" w:cs="宋体"/>
          <w:b/>
          <w:color w:val="auto"/>
          <w:kern w:val="0"/>
          <w:sz w:val="24"/>
          <w:highlight w:val="none"/>
          <w:lang w:val="en-US" w:eastAsia="zh-CN"/>
        </w:rPr>
        <w:t>采购需求</w:t>
      </w:r>
      <w:bookmarkStart w:id="110" w:name="_GoBack"/>
      <w:bookmarkEnd w:id="110"/>
    </w:p>
    <w:p w14:paraId="0A8439B0">
      <w:pPr>
        <w:adjustRightInd w:val="0"/>
        <w:snapToGrid w:val="0"/>
        <w:spacing w:line="500" w:lineRule="exact"/>
        <w:ind w:firstLine="482" w:firstLineChars="200"/>
        <w:rPr>
          <w:rFonts w:hint="default"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（一）项目概况</w:t>
      </w:r>
    </w:p>
    <w:p w14:paraId="2067ABBB">
      <w:pPr>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项目概况：为了加强对特种设备安全的监督管理，预防电梯安全事故，确保全市电梯的安全运行，根据《中华人民共和国特种设备安全法》、《吕梁市电梯安全使用条例》的要求，结合我市实际情况，按照TSG T7001-2023《电梯监督检验和定期检验规则》、TSG T7008-2023《电梯自行检测规则》、TSG T5002—2017《电梯维护保养规则》等相关技术规范，需对孝义市辖区内的25个使用单位150台电梯维护保养质量和电梯安全性能监督抽查，并对电梯维护保养质量和电梯安全性能监督抽查的结果按每台电梯依法依规出具相应报告。</w:t>
      </w:r>
    </w:p>
    <w:p w14:paraId="3E0E602E">
      <w:pPr>
        <w:numPr>
          <w:ilvl w:val="0"/>
          <w:numId w:val="2"/>
        </w:numPr>
        <w:adjustRightInd w:val="0"/>
        <w:snapToGrid w:val="0"/>
        <w:spacing w:line="500" w:lineRule="exact"/>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技术参数要求</w:t>
      </w:r>
    </w:p>
    <w:p w14:paraId="00E8B011">
      <w:pPr>
        <w:snapToGrid w:val="0"/>
        <w:spacing w:line="560" w:lineRule="exact"/>
        <w:ind w:firstLine="482" w:firstLineChars="200"/>
        <w:contextualSpacing/>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电梯</w:t>
      </w:r>
      <w:r>
        <w:rPr>
          <w:rFonts w:hint="eastAsia" w:asciiTheme="minorEastAsia" w:hAnsiTheme="minorEastAsia" w:eastAsiaTheme="minorEastAsia" w:cstheme="minorEastAsia"/>
          <w:b/>
          <w:bCs/>
          <w:sz w:val="24"/>
          <w:szCs w:val="24"/>
          <w:lang w:val="en-US" w:eastAsia="zh-CN"/>
        </w:rPr>
        <w:t>检测质量</w:t>
      </w:r>
      <w:r>
        <w:rPr>
          <w:rFonts w:hint="eastAsia" w:asciiTheme="minorEastAsia" w:hAnsiTheme="minorEastAsia" w:eastAsiaTheme="minorEastAsia" w:cstheme="minorEastAsia"/>
          <w:b/>
          <w:bCs/>
          <w:sz w:val="24"/>
          <w:szCs w:val="24"/>
        </w:rPr>
        <w:t>抽查项目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扶梯</w:t>
      </w:r>
      <w:r>
        <w:rPr>
          <w:rFonts w:hint="eastAsia" w:asciiTheme="minorEastAsia" w:hAnsiTheme="minorEastAsia" w:eastAsiaTheme="minorEastAsia" w:cstheme="minorEastAsia"/>
          <w:b/>
          <w:bCs/>
          <w:sz w:val="24"/>
          <w:szCs w:val="24"/>
          <w:lang w:eastAsia="zh-CN"/>
        </w:rPr>
        <w:t>）</w:t>
      </w:r>
    </w:p>
    <w:tbl>
      <w:tblPr>
        <w:tblStyle w:val="27"/>
        <w:tblW w:w="102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874"/>
        <w:gridCol w:w="6740"/>
        <w:gridCol w:w="855"/>
      </w:tblGrid>
      <w:tr w14:paraId="29CFA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796"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0848CDF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614"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4931C1E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855"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3E427FD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备注</w:t>
            </w:r>
          </w:p>
        </w:tc>
      </w:tr>
      <w:tr w14:paraId="57083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79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7378F3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p>
        </w:tc>
        <w:tc>
          <w:tcPr>
            <w:tcW w:w="1874"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3A5C2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使用资料</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5461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color w:val="000000"/>
                <w:spacing w:val="-8"/>
                <w:sz w:val="24"/>
                <w:szCs w:val="24"/>
              </w:rPr>
              <w:t>(1)使用登记</w:t>
            </w:r>
            <w:r>
              <w:rPr>
                <w:rFonts w:hint="eastAsia" w:asciiTheme="minorEastAsia" w:hAnsiTheme="minorEastAsia" w:eastAsiaTheme="minorEastAsia" w:cstheme="minorEastAsia"/>
                <w:bCs/>
                <w:color w:val="000000"/>
                <w:spacing w:val="-8"/>
                <w:sz w:val="24"/>
                <w:szCs w:val="24"/>
                <w:lang w:val="en-US" w:eastAsia="zh-CN"/>
              </w:rPr>
              <w:t>内容应当与实物相符</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6656C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0B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79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D85BA0F">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79DFA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740" w:type="dxa"/>
            <w:tcBorders>
              <w:top w:val="single" w:color="5B5B5B" w:sz="8" w:space="0"/>
              <w:left w:val="single" w:color="5B5B5B" w:sz="8" w:space="0"/>
              <w:right w:val="single" w:color="5B5B5B" w:sz="8" w:space="0"/>
            </w:tcBorders>
            <w:shd w:val="clear" w:color="auto" w:fill="FEFEFE"/>
            <w:noWrap w:val="0"/>
            <w:vAlign w:val="center"/>
          </w:tcPr>
          <w:p w14:paraId="59B5ED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val="en-US" w:eastAsia="zh-CN"/>
              </w:rPr>
              <w:t>提供近一次的检验检测报告、故障记录</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8D70F2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67AB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79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1A6C004">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1DA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DBA5F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rPr>
              <w:t>)特种设备作业人员</w:t>
            </w:r>
            <w:r>
              <w:rPr>
                <w:rFonts w:hint="eastAsia" w:asciiTheme="minorEastAsia" w:hAnsiTheme="minorEastAsia" w:eastAsiaTheme="minorEastAsia" w:cstheme="minorEastAsia"/>
                <w:bCs/>
                <w:color w:val="000000"/>
                <w:sz w:val="24"/>
                <w:szCs w:val="24"/>
                <w:lang w:val="en-US" w:eastAsia="zh-CN"/>
              </w:rPr>
              <w:t>应持证上岗</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8809F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08E8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76BFD69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1B46D7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驱动与转向站</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CF7F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（1）转动部件防护装置</w:t>
            </w:r>
          </w:p>
          <w:p w14:paraId="15DBC5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转动部件防护装置应当有效</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8B76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3D95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57C1DBCB">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594FB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right w:val="single" w:color="5B5B5B" w:sz="8" w:space="0"/>
            </w:tcBorders>
            <w:shd w:val="clear" w:color="auto" w:fill="FEFEFE"/>
            <w:noWrap w:val="0"/>
            <w:vAlign w:val="center"/>
          </w:tcPr>
          <w:p w14:paraId="602DDD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（2）主开关</w:t>
            </w:r>
          </w:p>
          <w:p w14:paraId="292BFE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主开关应当不切断电源插座和照明电路的电源</w:t>
            </w:r>
          </w:p>
        </w:tc>
        <w:tc>
          <w:tcPr>
            <w:tcW w:w="855" w:type="dxa"/>
            <w:tcBorders>
              <w:top w:val="single" w:color="5B5B5B" w:sz="8" w:space="0"/>
              <w:left w:val="single" w:color="5B5B5B" w:sz="8" w:space="0"/>
              <w:right w:val="single" w:color="5B5B5B" w:sz="8" w:space="0"/>
            </w:tcBorders>
            <w:shd w:val="clear" w:color="auto" w:fill="FEFEFE"/>
            <w:noWrap w:val="0"/>
            <w:vAlign w:val="center"/>
          </w:tcPr>
          <w:p w14:paraId="2EE9196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019B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6014651A">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3ACCC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right w:val="single" w:color="5B5B5B" w:sz="8" w:space="0"/>
            </w:tcBorders>
            <w:shd w:val="clear" w:color="auto" w:fill="FEFEFE"/>
            <w:noWrap w:val="0"/>
            <w:vAlign w:val="center"/>
          </w:tcPr>
          <w:p w14:paraId="719E7E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w:t>
            </w:r>
            <w:r>
              <w:rPr>
                <w:rFonts w:hint="eastAsia" w:asciiTheme="minorEastAsia" w:hAnsiTheme="minorEastAsia" w:eastAsiaTheme="minorEastAsia" w:cstheme="minorEastAsia"/>
                <w:bCs/>
                <w:snapToGrid w:val="0"/>
                <w:color w:val="000000"/>
                <w:kern w:val="0"/>
                <w:sz w:val="24"/>
                <w:szCs w:val="24"/>
                <w:lang w:val="en-US" w:eastAsia="zh-CN"/>
              </w:rPr>
              <w:t>3</w:t>
            </w:r>
            <w:r>
              <w:rPr>
                <w:rFonts w:hint="eastAsia" w:asciiTheme="minorEastAsia" w:hAnsiTheme="minorEastAsia" w:eastAsiaTheme="minorEastAsia" w:cstheme="minorEastAsia"/>
                <w:bCs/>
                <w:snapToGrid w:val="0"/>
                <w:color w:val="000000"/>
                <w:kern w:val="0"/>
                <w:sz w:val="24"/>
                <w:szCs w:val="24"/>
                <w:lang w:eastAsia="zh-CN"/>
              </w:rPr>
              <w:t>）驱动与转向站停止开关</w:t>
            </w:r>
          </w:p>
          <w:p w14:paraId="68CB01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停止开关应当功能正常，开、关位置标记清晰</w:t>
            </w:r>
          </w:p>
        </w:tc>
        <w:tc>
          <w:tcPr>
            <w:tcW w:w="855" w:type="dxa"/>
            <w:tcBorders>
              <w:top w:val="single" w:color="5B5B5B" w:sz="8" w:space="0"/>
              <w:left w:val="single" w:color="5B5B5B" w:sz="8" w:space="0"/>
              <w:right w:val="single" w:color="5B5B5B" w:sz="8" w:space="0"/>
            </w:tcBorders>
            <w:shd w:val="clear" w:color="auto" w:fill="FEFEFE"/>
            <w:noWrap w:val="0"/>
            <w:vAlign w:val="center"/>
          </w:tcPr>
          <w:p w14:paraId="6A3B6DF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7672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9"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346D4FBA">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77780E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right w:val="single" w:color="5B5B5B" w:sz="8" w:space="0"/>
            </w:tcBorders>
            <w:shd w:val="clear" w:color="auto" w:fill="FEFEFE"/>
            <w:noWrap w:val="0"/>
            <w:vAlign w:val="center"/>
          </w:tcPr>
          <w:p w14:paraId="5763FF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w:t>
            </w:r>
            <w:r>
              <w:rPr>
                <w:rFonts w:hint="eastAsia" w:asciiTheme="minorEastAsia" w:hAnsiTheme="minorEastAsia" w:eastAsiaTheme="minorEastAsia" w:cstheme="minorEastAsia"/>
                <w:bCs/>
                <w:snapToGrid w:val="0"/>
                <w:color w:val="000000"/>
                <w:kern w:val="0"/>
                <w:sz w:val="24"/>
                <w:szCs w:val="24"/>
                <w:lang w:val="en-US" w:eastAsia="zh-CN"/>
              </w:rPr>
              <w:t>4</w:t>
            </w:r>
            <w:r>
              <w:rPr>
                <w:rFonts w:hint="eastAsia" w:asciiTheme="minorEastAsia" w:hAnsiTheme="minorEastAsia" w:eastAsiaTheme="minorEastAsia" w:cstheme="minorEastAsia"/>
                <w:bCs/>
                <w:snapToGrid w:val="0"/>
                <w:color w:val="000000"/>
                <w:kern w:val="0"/>
                <w:sz w:val="24"/>
                <w:szCs w:val="24"/>
                <w:lang w:eastAsia="zh-CN"/>
              </w:rPr>
              <w:t>）接地</w:t>
            </w:r>
          </w:p>
          <w:p w14:paraId="527DE3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电气设备及线管、线槽的外露可以导电部分应当与保护导体可靠连接</w:t>
            </w:r>
          </w:p>
        </w:tc>
        <w:tc>
          <w:tcPr>
            <w:tcW w:w="855" w:type="dxa"/>
            <w:tcBorders>
              <w:top w:val="single" w:color="5B5B5B" w:sz="8" w:space="0"/>
              <w:left w:val="single" w:color="5B5B5B" w:sz="8" w:space="0"/>
              <w:right w:val="single" w:color="5B5B5B" w:sz="8" w:space="0"/>
            </w:tcBorders>
            <w:shd w:val="clear" w:color="auto" w:fill="FEFEFE"/>
            <w:noWrap w:val="0"/>
            <w:vAlign w:val="center"/>
          </w:tcPr>
          <w:p w14:paraId="3E4FFF8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6DF7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153079E3">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16484D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right w:val="single" w:color="5B5B5B" w:sz="8" w:space="0"/>
            </w:tcBorders>
            <w:shd w:val="clear" w:color="auto" w:fill="FEFEFE"/>
            <w:noWrap w:val="0"/>
            <w:vAlign w:val="center"/>
          </w:tcPr>
          <w:p w14:paraId="14D9A5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w:t>
            </w:r>
            <w:r>
              <w:rPr>
                <w:rFonts w:hint="eastAsia" w:asciiTheme="minorEastAsia" w:hAnsiTheme="minorEastAsia" w:eastAsiaTheme="minorEastAsia" w:cstheme="minorEastAsia"/>
                <w:bCs/>
                <w:snapToGrid w:val="0"/>
                <w:color w:val="000000"/>
                <w:kern w:val="0"/>
                <w:sz w:val="24"/>
                <w:szCs w:val="24"/>
                <w:lang w:val="en-US" w:eastAsia="zh-CN"/>
              </w:rPr>
              <w:t>5</w:t>
            </w:r>
            <w:r>
              <w:rPr>
                <w:rFonts w:hint="eastAsia" w:asciiTheme="minorEastAsia" w:hAnsiTheme="minorEastAsia" w:eastAsiaTheme="minorEastAsia" w:cstheme="minorEastAsia"/>
                <w:bCs/>
                <w:snapToGrid w:val="0"/>
                <w:color w:val="000000"/>
                <w:kern w:val="0"/>
                <w:sz w:val="24"/>
                <w:szCs w:val="24"/>
                <w:lang w:eastAsia="zh-CN"/>
              </w:rPr>
              <w:t>）手动盘车装置</w:t>
            </w:r>
          </w:p>
          <w:p w14:paraId="133ECA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eastAsia="zh-CN"/>
              </w:rPr>
              <w:t>应当符合以下要求:</w:t>
            </w:r>
          </w:p>
          <w:p w14:paraId="23F9DA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val="en-US" w:eastAsia="zh-CN"/>
              </w:rPr>
              <w:t>①</w:t>
            </w:r>
            <w:r>
              <w:rPr>
                <w:rFonts w:hint="eastAsia" w:asciiTheme="minorEastAsia" w:hAnsiTheme="minorEastAsia" w:eastAsiaTheme="minorEastAsia" w:cstheme="minorEastAsia"/>
                <w:bCs/>
                <w:snapToGrid w:val="0"/>
                <w:color w:val="000000"/>
                <w:kern w:val="0"/>
                <w:sz w:val="24"/>
                <w:szCs w:val="24"/>
                <w:lang w:eastAsia="zh-CN"/>
              </w:rPr>
              <w:t>最迟在可拆卸手动盘车装置装上受检设备驱动主机时，电气安全装置动作；</w:t>
            </w:r>
          </w:p>
          <w:p w14:paraId="485920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eastAsia="zh-CN"/>
              </w:rPr>
            </w:pPr>
            <w:r>
              <w:rPr>
                <w:rFonts w:hint="eastAsia" w:asciiTheme="minorEastAsia" w:hAnsiTheme="minorEastAsia" w:eastAsiaTheme="minorEastAsia" w:cstheme="minorEastAsia"/>
                <w:bCs/>
                <w:snapToGrid w:val="0"/>
                <w:color w:val="000000"/>
                <w:kern w:val="0"/>
                <w:sz w:val="24"/>
                <w:szCs w:val="24"/>
                <w:lang w:val="en-US" w:eastAsia="zh-CN"/>
              </w:rPr>
              <w:t>②</w:t>
            </w:r>
            <w:r>
              <w:rPr>
                <w:rFonts w:hint="eastAsia" w:asciiTheme="minorEastAsia" w:hAnsiTheme="minorEastAsia" w:eastAsiaTheme="minorEastAsia" w:cstheme="minorEastAsia"/>
                <w:bCs/>
                <w:snapToGrid w:val="0"/>
                <w:color w:val="000000"/>
                <w:kern w:val="0"/>
                <w:sz w:val="24"/>
                <w:szCs w:val="24"/>
                <w:lang w:eastAsia="zh-CN"/>
              </w:rPr>
              <w:t>手动盘车装置的操作说明和运行方向标记清晰。</w:t>
            </w:r>
          </w:p>
        </w:tc>
        <w:tc>
          <w:tcPr>
            <w:tcW w:w="855" w:type="dxa"/>
            <w:tcBorders>
              <w:top w:val="single" w:color="5B5B5B" w:sz="8" w:space="0"/>
              <w:left w:val="single" w:color="5B5B5B" w:sz="8" w:space="0"/>
              <w:right w:val="single" w:color="5B5B5B" w:sz="8" w:space="0"/>
            </w:tcBorders>
            <w:shd w:val="clear" w:color="auto" w:fill="FEFEFE"/>
            <w:noWrap w:val="0"/>
            <w:vAlign w:val="center"/>
          </w:tcPr>
          <w:p w14:paraId="6ED480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0F4E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5FCF68A9">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3</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29C00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出入口和相邻区域</w:t>
            </w: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2D1935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（1）周边照明</w:t>
            </w:r>
          </w:p>
          <w:p w14:paraId="55EF5AC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受检设备的周边尤其是梳齿板的附近应当有足够的照明；在楼层板平面的梳齿与踏面相交线位置测得的照度应当不小于501x</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C719E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42D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025BC767">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185D21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74CE11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（2）出入口</w:t>
            </w:r>
          </w:p>
          <w:p w14:paraId="38B096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应当符合以下要求:</w:t>
            </w:r>
          </w:p>
          <w:p w14:paraId="3D020B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①在受检设备的出入口有充分畅通的区域，其宽度不小于扶手带外缘距离加上每边各80mm，其纵深尺寸从扶手装置端部算起至少为2.50m；当该区域的宽度不小于扶手带外缘之间距离的2倍加上每边各80mm 时，其纵深尺寸允许减少至 2m；</w:t>
            </w:r>
          </w:p>
          <w:p w14:paraId="7D9464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②受检设备出入口附近设置的阻止人员进入危险区域的固定阻挡装置牢固可靠；在危险区域内，由建筑结构形成的固定护拦应当至少高出扶手带 100mm,并且位于扶手带外缘的 80mm至120mm 之间。</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FA24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F726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6F2DE667">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57E34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2D6130F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（3）防护挡板*</w:t>
            </w:r>
          </w:p>
          <w:p w14:paraId="7FE2E3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在受检设备与楼板交叉处以及交叉设置的设备之间设置的垂直固定封闭防护挡板应当无锐利边缘，并且位于扶手带上方，高度不小于 0.30m,延伸至扶手带外缘下至少25mm</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EBDAC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734A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284D32D1">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E394F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7A25AB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（4）障碍物与扶手带外缘的距离</w:t>
            </w:r>
          </w:p>
          <w:p w14:paraId="1A320F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障碍物与扶手带外缘之间的水平距离应当不小于80mm,与扶手带下缘的垂直距离不小于25mm</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DCB0F4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9FD1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1DCF176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0FBCE6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053AE6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（5）梳齿</w:t>
            </w:r>
          </w:p>
          <w:p w14:paraId="676DC54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梳齿板梳齿应当完好，没有缺损</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C6D776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F8A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58516DD8">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3A5D85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68027F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（6）梳齿啮合深度</w:t>
            </w:r>
          </w:p>
          <w:p w14:paraId="4A2A2A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梳齿板梳齿与踏面齿槽的啮合深度应当至少为4mm,间隙不超过4mm</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826F7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08A5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20FE16F3">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1D77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01EF51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（7）紧急停止开关*</w:t>
            </w:r>
          </w:p>
          <w:p w14:paraId="73FC82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受检设备出入口附近设置的紧急停止开关以及附加紧急停止开关应当功能正常。紧急停止开关标记应当清晰，对于位于扶手装置高度的 1/2 以下的紧急停止开关，还应当在扶手装置 1/2 高度以上的醒目位置张贴直径至少为 80mm的红底白字“急停”指示标记，箭头指向紧急停止开关</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BAC247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63F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0EABDD6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494BEF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p>
        </w:tc>
        <w:tc>
          <w:tcPr>
            <w:tcW w:w="6740" w:type="dxa"/>
            <w:tcBorders>
              <w:left w:val="single" w:color="5B5B5B" w:sz="8" w:space="0"/>
              <w:bottom w:val="single" w:color="5B5B5B" w:sz="8" w:space="0"/>
              <w:right w:val="single" w:color="5B5B5B" w:sz="8" w:space="0"/>
            </w:tcBorders>
            <w:shd w:val="clear" w:color="auto" w:fill="FEFEFE"/>
            <w:noWrap w:val="0"/>
            <w:vAlign w:val="center"/>
          </w:tcPr>
          <w:p w14:paraId="77B0AF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（8）楼层板防倾覆、翻转措施</w:t>
            </w:r>
          </w:p>
          <w:p w14:paraId="1E4793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楼层板防倾覆、翻转措施应当有效可靠</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FCB74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DB4C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777B800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4</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27E9A3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扶手装置和围裙板</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A0BB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(1)扶手带</w:t>
            </w:r>
          </w:p>
          <w:p w14:paraId="1A31D3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扶手带开口处与导轨或者扶手支架之间的距离应当不大于8mm</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5EB9FA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C7E2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3D89FF30">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4BB8D1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1B018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(2)防爬装置*</w:t>
            </w:r>
          </w:p>
          <w:p w14:paraId="745C64A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装设在外盖板上的防爬装置应当位于地平面上方(1000土 50)mm,其高度至少与扶手带表面齐平，下部与外盖板相交，平行于外盖板方向上的延伸长度不小于1000mm，并且在此长度范围内无踩脚处</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3EC138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5C17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4264E30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43BABA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D4BE0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(3)阻挡装置*</w:t>
            </w:r>
          </w:p>
          <w:p w14:paraId="10B528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在受检设备上、下端部装设的阻挡装置应当能够防止人员进入外盖板区域。该装置应当延伸到高度距离扶手带下缘25mm至150mm处。</w:t>
            </w:r>
          </w:p>
          <w:p w14:paraId="1DCF71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注l:当受检设备与墙相邻，并且外盖板的宽度大于 125mm，或者当受检设备为相邻平行布置，并且共用外盖板的宽度大于 125mm 时，应当装设上述装置。</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5FDE8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0976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6F1E26F8">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254AF2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999B9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(4)防滑行装置*</w:t>
            </w:r>
          </w:p>
          <w:p w14:paraId="6CF563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扶手盖板上装设的防滑行装置应当包含固定在扶手盖板上的部件，与扶手带的距离不小于100mm,并且防滑行装置之间的间隔距离不大于1800mm，高度不小于20mm。该装置应当无锐角或者锐边。</w:t>
            </w:r>
          </w:p>
          <w:p w14:paraId="4285E7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lang w:val="en-US"/>
              </w:rPr>
              <w:t>注2:当自动扶梯或者倾斜式自动人行道和相邻的墙之间装有接近扶手带高度的扶手盖板,并且建筑物(墙)和扶手带中心线之间的距离大于 300mm时，或者相自动扶梯或者倾斜式自动人行道的扶手带中心线之间的距离大于400mm时，应当装设上述装置。</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6D63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15AE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15352EB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04639C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F008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eastAsia="zh-CN"/>
              </w:rPr>
              <w:t>（5）</w:t>
            </w:r>
            <w:r>
              <w:rPr>
                <w:rFonts w:hint="eastAsia" w:asciiTheme="minorEastAsia" w:hAnsiTheme="minorEastAsia" w:eastAsiaTheme="minorEastAsia" w:cstheme="minorEastAsia"/>
                <w:bCs/>
                <w:snapToGrid w:val="0"/>
                <w:color w:val="000000"/>
                <w:kern w:val="0"/>
                <w:sz w:val="24"/>
                <w:szCs w:val="24"/>
                <w:lang w:val="en-US"/>
              </w:rPr>
              <w:t>扶手装置</w:t>
            </w:r>
          </w:p>
          <w:p w14:paraId="731583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朝向梯级、踏板或者胶带一侧扶手装置部分应当光滑、平齐。其压条或者镶条的装设方向与运行方向不一致时，其凸出高度应当不大于 3mm,坚固并且具有圆角或者倒角的边缘。围裙板与护壁板之间的连接处的结构应当没有产生勾绊的危险</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F323F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36B8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1C7647D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2BDA05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52BE6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eastAsia="zh-CN"/>
              </w:rPr>
              <w:t>（6）</w:t>
            </w:r>
            <w:r>
              <w:rPr>
                <w:rFonts w:hint="eastAsia" w:asciiTheme="minorEastAsia" w:hAnsiTheme="minorEastAsia" w:eastAsiaTheme="minorEastAsia" w:cstheme="minorEastAsia"/>
                <w:bCs/>
                <w:snapToGrid w:val="0"/>
                <w:color w:val="000000"/>
                <w:kern w:val="0"/>
                <w:sz w:val="24"/>
                <w:szCs w:val="24"/>
                <w:lang w:val="en-US"/>
              </w:rPr>
              <w:t>梯级、踏板或者胶带与围裙板的间隙</w:t>
            </w:r>
          </w:p>
          <w:p w14:paraId="411652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应当符合以下要求:</w:t>
            </w:r>
          </w:p>
          <w:p w14:paraId="7EEEFD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(1)任何一侧的水平间隙不大于 4mm;</w:t>
            </w:r>
          </w:p>
          <w:p w14:paraId="084E1A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(2)两侧对称位置处的间隙总和不大于 7mm;</w:t>
            </w:r>
          </w:p>
          <w:p w14:paraId="3EDD2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(3)当自动人行道的围裙板设置在踏板或者胶带之上时，踏板表面与围裙板下端间的垂直间隙不大于 4mm;踏板或者胶带产生横向移动时，踏板或者胶带的侧边与围裙板垂直投影间不产生间隙</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BA6356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C738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3562728C">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53A800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C344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eastAsia="zh-CN"/>
              </w:rPr>
              <w:t>（7）</w:t>
            </w:r>
            <w:r>
              <w:rPr>
                <w:rFonts w:hint="eastAsia" w:asciiTheme="minorEastAsia" w:hAnsiTheme="minorEastAsia" w:eastAsiaTheme="minorEastAsia" w:cstheme="minorEastAsia"/>
                <w:bCs/>
                <w:snapToGrid w:val="0"/>
                <w:color w:val="000000"/>
                <w:kern w:val="0"/>
                <w:sz w:val="24"/>
                <w:szCs w:val="24"/>
                <w:lang w:val="en-US"/>
              </w:rPr>
              <w:t>围裙板防夹装置</w:t>
            </w:r>
          </w:p>
          <w:p w14:paraId="74F6C2A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应当固定牢固，没有缺损</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4AE6C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E75D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7993289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5</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3EC7E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监测装置和电气安全装置或者功能</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1C6981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（1）扶手带入口保护*</w:t>
            </w:r>
          </w:p>
          <w:p w14:paraId="4DBED0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扶手带入口夹入异物时，受检设备应当自动停止运行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45BBF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8571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0A534DF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3D949A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F9ECB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（2）梳齿板保护*</w:t>
            </w:r>
          </w:p>
          <w:p w14:paraId="12E0AE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梯级、踏板或者胶带进入梳齿板处有异物卡入，并且梳齿与梯级或者踏板不能正常啮合，导致梳齿板与梯级或者踏板发生碰撞时，受检设备应当自动停止运行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2479F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003B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21549127">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27DA0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55BDE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（3）超速保护*</w:t>
            </w:r>
          </w:p>
          <w:p w14:paraId="2C32EC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受检设备应当在速度超过名义速度的1.2 倍之前自动停止运行。采用速度限制装置时，该装置应当在速度超过名义速度的1.2 倍之前切断电源</w:t>
            </w:r>
          </w:p>
          <w:p w14:paraId="327590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注3:受检设备的设计能够防止超速时，可以不设置上述功能</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E0DB0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DAC8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35CF5004">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6B620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B0EE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（4）非操纵逆转保护*</w:t>
            </w:r>
          </w:p>
          <w:p w14:paraId="72F987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梯级、踏板或者胶带改变规定运行方向时，受检设备应当自动停止运行</w:t>
            </w:r>
          </w:p>
          <w:p w14:paraId="778D8B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注4:自动扶梯或者倾斜角不小于6 的倾斜式自动人行道应当具有上述功能。</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EBB410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3765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0AA828FB">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1A4E43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572C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（5）梯级、踏板或者胶带的驱动元件保护*</w:t>
            </w:r>
          </w:p>
          <w:p w14:paraId="71214E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直接驱动梯级、踏板或者胶带的元件断裂或者过分伸长时，受检设备应当自动停止运行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681C6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1979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7F9B4E7F">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57039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57F8E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（6）驱动装置与转向装置之间的距离伸长或者缩短保护*</w:t>
            </w:r>
          </w:p>
          <w:p w14:paraId="7A6A31A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驱动装置与转向装置之间的距离发生过分伸长或者缩短时，受检设备应当自动停止运行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459593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9F57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25EECC8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38C288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33E1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（7）梯级或者踏板的下陷保护*</w:t>
            </w:r>
          </w:p>
          <w:p w14:paraId="69C496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梯级或者踏板的任何部分下陷导致不再与梳齿啮合时，受检设备应当自动停止运行，并且下陷的梯级或者踏板不会到达梳齿相交线</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25B55E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7D8E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4146A4D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7A9930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A20C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（8）梯级或者踏板的缺失保护*</w:t>
            </w:r>
          </w:p>
          <w:p w14:paraId="1B72A6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在由梯级或者踏板缺失而导致的缺口从梳齿板位置出现之前，受检设备应当自动停止运行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F68A8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B198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7DA1DFAC">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B2727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E0C0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（9）扶手带速度偏离保护*</w:t>
            </w:r>
          </w:p>
          <w:p w14:paraId="6BD3B0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当扶手带速度与梯级(踏板、胶带)实际速度偏差最大超过15%,并且持续时间达到 5s~15s 时，受检设备应当自动停止运行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79071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4801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199A6CED">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071A0A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BC07EA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（10）多台连续并且无中间出口的设备停止保护*</w:t>
            </w:r>
          </w:p>
          <w:p w14:paraId="12454C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对于多台连续并且无中间出口或者中间出口被建筑出口阻挡的受检设备其中任意一台停止运行时其他各台应当同时停止</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BAC8D3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F824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389F837F">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7FBE0D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8842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（11）检修盖板和楼层板电气安全装置*</w:t>
            </w:r>
          </w:p>
          <w:p w14:paraId="4A1B47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移除任何一块检修盖板或者楼层板时，或者移除某一块检修盖板或者楼层板时 (对于机械结构保证只能先移除某一块检修盖板或者楼层板的)电气安全装置应当动作</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306C05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867E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09EF1FF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D82B2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F5F6E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（12）工作制动器松开监控*</w:t>
            </w:r>
          </w:p>
          <w:p w14:paraId="62D4D5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受检设备启动后工作制动器未松开时，驱动主机应当停止运行</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93CBCD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6257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452"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5BDB31E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1FDE8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6DC50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（13）附加制动器动作监控*</w:t>
            </w:r>
          </w:p>
          <w:p w14:paraId="4618BA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附加制动器在动作开始时，应当强制切断控制电路</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1CB90D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0E70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2FCB91F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6</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54F419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检修控制</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6F342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（1）检修停止开关</w:t>
            </w:r>
          </w:p>
          <w:p w14:paraId="1037E0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eastAsia="zh-CN"/>
              </w:rPr>
              <w:t>每个检修控制装置上的停止开关均应当动作有效，开关转换位置标记清晰</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671C3E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A199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74CE9F93">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15D6D0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04998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（2）检修运行方向指示标记</w:t>
            </w:r>
          </w:p>
          <w:p w14:paraId="09C3C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检修控制装置上的运行方向指示标记应当清晰</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22E83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E913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3CF53500">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52300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ECA8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（3）检修运行时应当有效的电气安全装置检修运行时，电气安全装置(5.7,5.8,5.9,5.10、5.11和 5.12所述除外)应当有效</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0478AB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A0F1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0A26EDC5">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7</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27FEC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自动启动设备的特殊要求</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FE7C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（1）自动启动</w:t>
            </w:r>
          </w:p>
          <w:p w14:paraId="5D4C5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对于由使用者的进入而自动启动或者加速的受检设备，应当在使用者到达梳齿与踏面相交线之前已经启动</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FABC2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B8CD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578EB575">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4C98A0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195F4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（2）运行时间保持</w:t>
            </w:r>
          </w:p>
          <w:p w14:paraId="49F947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对于由使用者的进入而自动启动的受检设备，当使用者从预定运行方向进入后，应当经过足够的时间(至少为预期输送时间再加上 10s)才能自动停止运行。当使用者从预定运行方向相反的方向进入时，应当仍按照预先确定的方向启动，运行时间不少于 10s</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B9984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6091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20AB7675">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297452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0D8CB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（3）运行方向标识</w:t>
            </w:r>
          </w:p>
          <w:p w14:paraId="585D68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对于由使用者进入而自动启动的受检设备，其运行方向标识和状态应当清晰可见</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0AE988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CF94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2C95C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8</w:t>
            </w:r>
          </w:p>
        </w:tc>
        <w:tc>
          <w:tcPr>
            <w:tcW w:w="187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4B036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标志</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6E8AD0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使用须知</w:t>
            </w:r>
          </w:p>
          <w:p w14:paraId="7804DC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在受检设备出入口处设置的使用须知应当清晰，内容符合要求</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CFE03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76B2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restart"/>
            <w:tcBorders>
              <w:top w:val="single" w:color="5B5B5B" w:sz="8" w:space="0"/>
              <w:left w:val="single" w:color="5B5B5B" w:sz="8" w:space="0"/>
              <w:right w:val="single" w:color="5B5B5B" w:sz="8" w:space="0"/>
            </w:tcBorders>
            <w:shd w:val="clear" w:color="auto" w:fill="FEFEFE"/>
            <w:noWrap w:val="0"/>
            <w:vAlign w:val="center"/>
          </w:tcPr>
          <w:p w14:paraId="3C56308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9</w:t>
            </w:r>
          </w:p>
        </w:tc>
        <w:tc>
          <w:tcPr>
            <w:tcW w:w="1874" w:type="dxa"/>
            <w:vMerge w:val="restart"/>
            <w:tcBorders>
              <w:top w:val="single" w:color="5B5B5B" w:sz="8" w:space="0"/>
              <w:left w:val="single" w:color="5B5B5B" w:sz="8" w:space="0"/>
              <w:right w:val="single" w:color="5B5B5B" w:sz="8" w:space="0"/>
            </w:tcBorders>
            <w:shd w:val="clear" w:color="auto" w:fill="FEFEFE"/>
            <w:noWrap w:val="0"/>
            <w:vAlign w:val="center"/>
          </w:tcPr>
          <w:p w14:paraId="20C864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运行检查</w:t>
            </w: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FF80A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（1）运行情况</w:t>
            </w:r>
          </w:p>
          <w:p w14:paraId="3EED8A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受检设备应当运行平稳，无异常碰擦、干涉、松动、抖动和声响</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DDB2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A6E9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290EFDD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495711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3B94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（2）扶手带运行速度偏差*</w:t>
            </w:r>
          </w:p>
          <w:p w14:paraId="3921CA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扶手带的运行速度相对于梯级、踏板或者胶带实际速度的偏差应当在0~+2%之间</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2D218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AAAB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69ECD02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2FA3E4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2B969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（3）自动扶梯的制停距离*</w:t>
            </w:r>
          </w:p>
          <w:p w14:paraId="2B6465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制停距离应当符合要求</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CF0A0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B8F5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right w:val="single" w:color="5B5B5B" w:sz="8" w:space="0"/>
            </w:tcBorders>
            <w:shd w:val="clear" w:color="auto" w:fill="FEFEFE"/>
            <w:noWrap w:val="0"/>
            <w:vAlign w:val="center"/>
          </w:tcPr>
          <w:p w14:paraId="008175C6">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right w:val="single" w:color="5B5B5B" w:sz="8" w:space="0"/>
            </w:tcBorders>
            <w:shd w:val="clear" w:color="auto" w:fill="FEFEFE"/>
            <w:noWrap w:val="0"/>
            <w:vAlign w:val="center"/>
          </w:tcPr>
          <w:p w14:paraId="6C4C23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CB11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（4）自动人行道的制停距离*</w:t>
            </w:r>
          </w:p>
          <w:p w14:paraId="0465EE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制停距离应当符合要求</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CB9AA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FF5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6" w:type="dxa"/>
            <w:vMerge w:val="continue"/>
            <w:tcBorders>
              <w:left w:val="single" w:color="5B5B5B" w:sz="8" w:space="0"/>
              <w:bottom w:val="single" w:color="5B5B5B" w:sz="8" w:space="0"/>
              <w:right w:val="single" w:color="5B5B5B" w:sz="8" w:space="0"/>
            </w:tcBorders>
            <w:shd w:val="clear" w:color="auto" w:fill="FEFEFE"/>
            <w:noWrap w:val="0"/>
            <w:vAlign w:val="center"/>
          </w:tcPr>
          <w:p w14:paraId="781932C0">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Theme="minorEastAsia" w:hAnsiTheme="minorEastAsia" w:eastAsiaTheme="minorEastAsia" w:cstheme="minorEastAsia"/>
                <w:bCs/>
                <w:color w:val="000000"/>
                <w:sz w:val="24"/>
                <w:szCs w:val="24"/>
              </w:rPr>
            </w:pPr>
          </w:p>
        </w:tc>
        <w:tc>
          <w:tcPr>
            <w:tcW w:w="1874" w:type="dxa"/>
            <w:vMerge w:val="continue"/>
            <w:tcBorders>
              <w:left w:val="single" w:color="5B5B5B" w:sz="8" w:space="0"/>
              <w:bottom w:val="single" w:color="5B5B5B" w:sz="8" w:space="0"/>
              <w:right w:val="single" w:color="5B5B5B" w:sz="8" w:space="0"/>
            </w:tcBorders>
            <w:shd w:val="clear" w:color="auto" w:fill="FEFEFE"/>
            <w:noWrap w:val="0"/>
            <w:vAlign w:val="center"/>
          </w:tcPr>
          <w:p w14:paraId="4D517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74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6EDC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（5）附加制动器的功能*</w:t>
            </w:r>
          </w:p>
          <w:p w14:paraId="49ECC5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受检设备空载下行时触发附加制动器，附加制动器应当动作，使受检设备制停</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497D6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D35F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79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E1AC981">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center"/>
              <w:textAlignment w:val="auto"/>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10</w:t>
            </w:r>
          </w:p>
        </w:tc>
        <w:tc>
          <w:tcPr>
            <w:tcW w:w="8614" w:type="dxa"/>
            <w:gridSpan w:val="2"/>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948E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其他影响电梯运行的项目：</w:t>
            </w:r>
          </w:p>
        </w:tc>
        <w:tc>
          <w:tcPr>
            <w:tcW w:w="855"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502D79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bl>
    <w:p w14:paraId="367AAE56">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电梯</w:t>
      </w:r>
      <w:r>
        <w:rPr>
          <w:rFonts w:hint="eastAsia" w:asciiTheme="minorEastAsia" w:hAnsiTheme="minorEastAsia" w:eastAsiaTheme="minorEastAsia" w:cstheme="minorEastAsia"/>
          <w:b/>
          <w:bCs/>
          <w:sz w:val="24"/>
          <w:szCs w:val="24"/>
          <w:lang w:val="en-US" w:eastAsia="zh-CN"/>
        </w:rPr>
        <w:t>检测质量</w:t>
      </w:r>
      <w:r>
        <w:rPr>
          <w:rFonts w:hint="eastAsia" w:asciiTheme="minorEastAsia" w:hAnsiTheme="minorEastAsia" w:eastAsiaTheme="minorEastAsia" w:cstheme="minorEastAsia"/>
          <w:b/>
          <w:bCs/>
          <w:sz w:val="24"/>
          <w:szCs w:val="24"/>
        </w:rPr>
        <w:t>抽查项目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曳引）</w:t>
      </w:r>
    </w:p>
    <w:p w14:paraId="20253AFC">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27"/>
        <w:tblW w:w="101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
        <w:gridCol w:w="1786"/>
        <w:gridCol w:w="6653"/>
        <w:gridCol w:w="814"/>
      </w:tblGrid>
      <w:tr w14:paraId="211A1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878"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5367781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439"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5967B51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814"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5DD639F2">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备注</w:t>
            </w:r>
          </w:p>
        </w:tc>
      </w:tr>
      <w:tr w14:paraId="6F0B6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A2332F4">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9BE60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使用资料</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89C09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color w:val="000000"/>
                <w:spacing w:val="-8"/>
                <w:sz w:val="24"/>
                <w:szCs w:val="24"/>
              </w:rPr>
              <w:t>(1)使用登记</w:t>
            </w:r>
            <w:r>
              <w:rPr>
                <w:rFonts w:hint="eastAsia" w:asciiTheme="minorEastAsia" w:hAnsiTheme="minorEastAsia" w:eastAsiaTheme="minorEastAsia" w:cstheme="minorEastAsia"/>
                <w:bCs/>
                <w:color w:val="000000"/>
                <w:spacing w:val="-8"/>
                <w:sz w:val="24"/>
                <w:szCs w:val="24"/>
                <w:lang w:val="en-US" w:eastAsia="zh-CN"/>
              </w:rPr>
              <w:t>内容应当与实物相符</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04AC9F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478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F4AFEE">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AD22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right w:val="single" w:color="5B5B5B" w:sz="8" w:space="0"/>
            </w:tcBorders>
            <w:shd w:val="clear" w:color="auto" w:fill="FEFEFE"/>
            <w:noWrap w:val="0"/>
            <w:vAlign w:val="center"/>
          </w:tcPr>
          <w:p w14:paraId="45C15A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val="en-US" w:eastAsia="zh-CN"/>
              </w:rPr>
              <w:t>提供近一次的检验检测报告、故障记录</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E8C9E7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BDD9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714D667">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F789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B94234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rPr>
              <w:t>)特种设备作业人员</w:t>
            </w:r>
            <w:r>
              <w:rPr>
                <w:rFonts w:hint="eastAsia" w:asciiTheme="minorEastAsia" w:hAnsiTheme="minorEastAsia" w:eastAsiaTheme="minorEastAsia" w:cstheme="minorEastAsia"/>
                <w:bCs/>
                <w:color w:val="000000"/>
                <w:sz w:val="24"/>
                <w:szCs w:val="24"/>
                <w:lang w:val="en-US" w:eastAsia="zh-CN"/>
              </w:rPr>
              <w:t>应持证上岗</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635AC9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3E78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30FA6D4">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300D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通道与通道门</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79123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（1）机房（机器设备间）通道及其照明</w:t>
            </w:r>
          </w:p>
          <w:p w14:paraId="66CF13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①在任何情况下均能够安全、方便和无阻碍地使用通往机房(机器设备间)的通道；</w:t>
            </w:r>
          </w:p>
          <w:p w14:paraId="07D64E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②通道的电气照明功能正常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99267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B79A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52432DB">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66D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right w:val="single" w:color="5B5B5B" w:sz="8" w:space="0"/>
            </w:tcBorders>
            <w:shd w:val="clear" w:color="auto" w:fill="FEFEFE"/>
            <w:noWrap w:val="0"/>
            <w:vAlign w:val="center"/>
          </w:tcPr>
          <w:p w14:paraId="2DE09B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（2）机房通道门应当符合以下要求：</w:t>
            </w:r>
          </w:p>
          <w:p w14:paraId="1EAA61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①机房通道门完好，能够可靠锁紧，并且从机房内不用钥匙即可打开；</w:t>
            </w:r>
          </w:p>
          <w:p w14:paraId="137D3C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②门外侧警示标识清晰</w:t>
            </w:r>
          </w:p>
        </w:tc>
        <w:tc>
          <w:tcPr>
            <w:tcW w:w="814" w:type="dxa"/>
            <w:tcBorders>
              <w:top w:val="single" w:color="5B5B5B" w:sz="8" w:space="0"/>
              <w:left w:val="single" w:color="5B5B5B" w:sz="8" w:space="0"/>
              <w:right w:val="single" w:color="5B5B5B" w:sz="8" w:space="0"/>
            </w:tcBorders>
            <w:shd w:val="clear" w:color="auto" w:fill="FEFEFE"/>
            <w:noWrap w:val="0"/>
            <w:vAlign w:val="center"/>
          </w:tcPr>
          <w:p w14:paraId="6CBDFF6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4489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9EA19A6">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1FB7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lang w:val="en-US" w:eastAsia="zh-CN"/>
              </w:rPr>
              <w:t>主开关</w:t>
            </w:r>
          </w:p>
        </w:tc>
        <w:tc>
          <w:tcPr>
            <w:tcW w:w="6653" w:type="dxa"/>
            <w:tcBorders>
              <w:left w:val="single" w:color="5B5B5B" w:sz="8" w:space="0"/>
              <w:bottom w:val="single" w:color="5B5B5B" w:sz="8" w:space="0"/>
              <w:right w:val="single" w:color="5B5B5B" w:sz="8" w:space="0"/>
            </w:tcBorders>
            <w:shd w:val="clear" w:color="auto" w:fill="FEFEFE"/>
            <w:noWrap w:val="0"/>
            <w:vAlign w:val="center"/>
          </w:tcPr>
          <w:p w14:paraId="221C2C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主开关不得切断轿厢照明和通风、机房（机器设备间）照明和电源插座、轿顶与底坑的电源插座、电梯井道照明、报警装置的供电电路</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BA2E2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7689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B41863E">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70080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驱动主机</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1A55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(1)驱动主机工作状态</w:t>
            </w:r>
          </w:p>
          <w:p w14:paraId="53E05B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驱动主机工作时应当没有异常噪声和振动</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4A02C5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F864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7F1B79">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1F35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88D02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(2)曳引轮绳槽</w:t>
            </w:r>
          </w:p>
          <w:p w14:paraId="5EFC72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曳引轮轮槽应当没有缺损或者不正常磨损</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9EA723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6A7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99F3C6F">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9EFE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85640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(3)制动装置*</w:t>
            </w:r>
          </w:p>
          <w:p w14:paraId="3816B4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①制动器应当动作灵活；</w:t>
            </w:r>
          </w:p>
          <w:p w14:paraId="2EB1C3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②制动时制动闸瓦(制动钳)紧密、均匀地贴合在制动轮(制动盘)上，电梯运行时制动闸瓦(制动钳)与制动轮(制动盘)不发生摩擦；</w:t>
            </w:r>
          </w:p>
          <w:p w14:paraId="1CB990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rPr>
            </w:pPr>
            <w:r>
              <w:rPr>
                <w:rFonts w:hint="eastAsia" w:asciiTheme="minorEastAsia" w:hAnsiTheme="minorEastAsia" w:eastAsiaTheme="minorEastAsia" w:cstheme="minorEastAsia"/>
                <w:bCs/>
                <w:snapToGrid w:val="0"/>
                <w:color w:val="000000"/>
                <w:kern w:val="0"/>
                <w:sz w:val="24"/>
                <w:szCs w:val="24"/>
                <w:lang w:val="en-US"/>
              </w:rPr>
              <w:t>③制动闸瓦 (制动钳)以及制动轮(制动盘)工作面上没有油污</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2C2C2A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A5C0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262582F">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733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428EE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(4)手动紧急操作装置*</w:t>
            </w:r>
          </w:p>
          <w:p w14:paraId="156FA9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①最迟在可拆卸盘车手轮装上电梯驱动主机时，电气安全装置动作；</w:t>
            </w:r>
          </w:p>
          <w:p w14:paraId="370024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②轿厢运行方向标记清晰；</w:t>
            </w:r>
          </w:p>
          <w:p w14:paraId="0034E6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③能够通过操纵手动松闸装置松开制动器，并且需要以一个持续力保持其松开状态</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9C868F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3AB8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DEC24F">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3590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控制柜、紧急操作和动态测试装置</w:t>
            </w:r>
          </w:p>
          <w:p w14:paraId="4D811E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3B8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(1)断相、错相保护</w:t>
            </w:r>
          </w:p>
          <w:p w14:paraId="242B61A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断相、错相保护功能应当有效</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99BA53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241F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475CCF5">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7AB32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04D53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(2)紧急电动运行*</w:t>
            </w:r>
          </w:p>
          <w:p w14:paraId="6CF6CD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①轿厢运行方向标记清晰；</w:t>
            </w:r>
          </w:p>
          <w:p w14:paraId="71A1C8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②紧急电动运行功能正常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09BA5A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19DE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19E0E11">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2A82D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B3ED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(3)紧急操作和动态测试装置*</w:t>
            </w:r>
          </w:p>
          <w:p w14:paraId="40A288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①在任何情况下均能够安全、方便和无阻碍地从井道外接近和操作该装置；</w:t>
            </w:r>
          </w:p>
          <w:p w14:paraId="4A96C6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②进行相应操作时，能够观察到轿厢的运动方向、速度以及是否位于开锁区域；</w:t>
            </w:r>
          </w:p>
          <w:p w14:paraId="7E0980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③该装置上设置的停止装置或者主开关功能正常；</w:t>
            </w:r>
          </w:p>
          <w:p w14:paraId="1D513F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④紧急操作和各项动态测试功能正常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7B7841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7F12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D4BDAAA">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A48F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34B1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（4）层门和轿门旁路装置</w:t>
            </w:r>
          </w:p>
          <w:p w14:paraId="3BCE53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应当符合以下要求：</w:t>
            </w:r>
          </w:p>
          <w:p w14:paraId="67CA89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①旁路装置标记清晰；</w:t>
            </w:r>
          </w:p>
          <w:p w14:paraId="3CBA24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②旁路时轿厢只能在检修或者紧急电动运行状态下运行，并且运行期间有听觉信号和闪烁灯光；</w:t>
            </w:r>
          </w:p>
          <w:p w14:paraId="1E3993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③证实轿门处于关闭位置的独立监控信号工作正常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7DF879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5A4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D40672">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F6A41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FFD0F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（5）门回路检测*</w:t>
            </w:r>
          </w:p>
          <w:p w14:paraId="18058B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当轿厢在开锁区域内、轿门开启并且层门门锁释放时，应当对检査轿门关闭位置 的电气安全装置(或者轿门电气安全装置构成的电路)、检査层门门锁锁紧位置的电气 安全装置(或者层门电气安全装置构成的电路)和轿门监控信号进行监测，一旦监测到 上述装置或者电路的故障，应当防止电梯的正常运行</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63FA3E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A4B8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B047A8">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1F99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70FB9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（6）制动器机械部件动作状态监测*</w:t>
            </w:r>
          </w:p>
          <w:p w14:paraId="50A402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当监测到制动器机械部件动作异常时，应当防止电梯的正常启动</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5440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2F2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0B037492">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49E6EE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限速器（*）</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3F2B02">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①限速器电气安全装置功能正常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050B2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F66C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3B1FD0E8">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4B7183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3A4701">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rPr>
              <w:t>②限速器各调节部位封记完好，运转时无碰擦、卡阻、转动不灵活等现象，动作正常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DC6FB0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A057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78082C76">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61E92E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6144D68">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③限速器动作速度符合要求</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91C97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0ADA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64E59591">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2314B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D0D976D">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④限速器轮槽与限速器钢丝绳清洁，无严重油腻</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4A799E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7E0D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BFC8ECB">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786" w:type="dxa"/>
            <w:tcBorders>
              <w:top w:val="single" w:color="5B5B5B" w:sz="8" w:space="0"/>
              <w:left w:val="single" w:color="5B5B5B" w:sz="8" w:space="0"/>
              <w:bottom w:val="single" w:color="5B5B5B" w:sz="8" w:space="0"/>
              <w:right w:val="single" w:color="auto" w:sz="4" w:space="0"/>
            </w:tcBorders>
            <w:shd w:val="clear" w:color="auto" w:fill="FEFEFE"/>
            <w:noWrap w:val="0"/>
            <w:vAlign w:val="center"/>
          </w:tcPr>
          <w:p w14:paraId="58B50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接地</w:t>
            </w:r>
          </w:p>
        </w:tc>
        <w:tc>
          <w:tcPr>
            <w:tcW w:w="6653" w:type="dxa"/>
            <w:tcBorders>
              <w:top w:val="single" w:color="5B5B5B" w:sz="8" w:space="0"/>
              <w:left w:val="single" w:color="auto" w:sz="4" w:space="0"/>
              <w:bottom w:val="single" w:color="5B5B5B" w:sz="8" w:space="0"/>
              <w:right w:val="single" w:color="5B5B5B" w:sz="8" w:space="0"/>
            </w:tcBorders>
            <w:shd w:val="clear" w:color="auto" w:fill="FEFEFE"/>
            <w:noWrap w:val="0"/>
            <w:vAlign w:val="center"/>
          </w:tcPr>
          <w:p w14:paraId="74A6C9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电气设备及线管、线槽的外露可以导电部分应当与保护导体可靠连接</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4E8F4F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E1A7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764526">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18D7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rPr>
              <w:t>井道安全门</w:t>
            </w:r>
            <w:r>
              <w:rPr>
                <w:rFonts w:hint="eastAsia" w:asciiTheme="minorEastAsia" w:hAnsiTheme="minorEastAsia" w:eastAsiaTheme="minorEastAsia" w:cstheme="minorEastAsia"/>
                <w:bCs/>
                <w:color w:val="000000"/>
                <w:sz w:val="24"/>
                <w:szCs w:val="24"/>
                <w:lang w:val="en-US" w:eastAsia="zh-CN"/>
              </w:rPr>
              <w:t>与</w:t>
            </w:r>
            <w:r>
              <w:rPr>
                <w:rFonts w:hint="eastAsia" w:asciiTheme="minorEastAsia" w:hAnsiTheme="minorEastAsia" w:eastAsiaTheme="minorEastAsia" w:cstheme="minorEastAsia"/>
                <w:bCs/>
                <w:color w:val="000000"/>
                <w:sz w:val="24"/>
                <w:szCs w:val="24"/>
              </w:rPr>
              <w:t>井道检修门</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24171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bCs/>
                <w:snapToGrid w:val="0"/>
                <w:color w:val="000000"/>
                <w:sz w:val="24"/>
                <w:szCs w:val="24"/>
                <w:lang w:val="en-US" w:eastAsia="zh-CN"/>
              </w:rPr>
            </w:pPr>
            <w:r>
              <w:rPr>
                <w:rFonts w:hint="eastAsia" w:asciiTheme="minorEastAsia" w:hAnsiTheme="minorEastAsia" w:eastAsiaTheme="minorEastAsia" w:cstheme="minorEastAsia"/>
                <w:bCs/>
                <w:snapToGrid w:val="0"/>
                <w:color w:val="000000"/>
                <w:sz w:val="24"/>
                <w:szCs w:val="24"/>
                <w:lang w:val="en-US" w:eastAsia="zh-CN"/>
              </w:rPr>
              <w:t>(1)井道安全门和检修门完好，能够可靠锁紧；门开启后不用钥匙能够将其关闭和锁住，门锁住后不用钥匙能够从井道内将门打开；</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42CED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A214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09821AD">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CB54E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FA87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(2)验证门关闭状态的电气安全装置功能正常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0EE6A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20C1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8252145">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3BD2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轿厢与井道壁距离（*）</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B9FF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轿厢与面对轿厢入口的井道壁的间距应当不大于0. 15m,对于局部高度不大于 0. 50m或者采用垂直滑动门的载货电梯，该间距可以增加到0.20m。</w:t>
            </w:r>
          </w:p>
          <w:p w14:paraId="5063DC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注：轿厢装有锁紧装置并且门只能在开锁区域内打开时，上述间距不受限制。</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247008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623A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D2D113">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9E0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sz w:val="24"/>
                <w:szCs w:val="24"/>
              </w:rPr>
              <w:t>极限开关</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A5731D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对于曳引和强制驱动电梯，极限开关应当在轿厢或者对重接触缓冲器前起作用，并且在缓冲器被压缩期间保持其动作状态</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DDEAD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25FE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7B8C6D">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A637B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井道照明</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02D9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井道电气照明应当功能正常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82AE2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AE0B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753D75A7">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56121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sz w:val="24"/>
                <w:szCs w:val="24"/>
                <w:lang w:val="en-US" w:eastAsia="zh-CN"/>
              </w:rPr>
              <w:t>底坑地面及停止装置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77B0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（1）底坑地面</w:t>
            </w:r>
          </w:p>
          <w:p w14:paraId="2E14FA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底坑地面应当平整、清洁，无积水、渗水或者漏水</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E1B1D7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7FC9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75ED80E0">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1DB480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8781CB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（2）底坑停止装置</w:t>
            </w:r>
          </w:p>
          <w:p w14:paraId="22A93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人员进入底坑时和位于底坑地面上时均应当能够方便地操作停止装置；停止装置应当功能正常，标记清晰</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C6F08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10D4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1F94CC6">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F183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限速器绳电气安全装置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530C4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当限速器绳断裂或者过分伸长时，电气安全装置应当动作</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563FC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3C30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7FB25CB">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BA20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缓冲器</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5A8A7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(1)缓冲器固定和完好情况*</w:t>
            </w:r>
          </w:p>
          <w:p w14:paraId="5747A4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缓冲器应当固定可靠、无明显倾斜，并且无断裂、塑性变形、剥落、破损等现象</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2CF21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2E98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352018">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F7A74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F618E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(2)耗能型缓冲器液位和电气安全装置*</w:t>
            </w:r>
          </w:p>
          <w:p w14:paraId="53F0B6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耗能型缓冲器液位应当正确，验证柱塞复位的电气安全装置功能正常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09D0FD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0275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832B00">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B7A0E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DEE50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（3）对重越程距离标识</w:t>
            </w:r>
          </w:p>
          <w:p w14:paraId="1B45D4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对重缓冲器附近设置的对重越程距离标识应当清晰</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478ED9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9CC6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99A0843">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FBA6A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3663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（4）对重越程距离</w:t>
            </w:r>
          </w:p>
          <w:p w14:paraId="0A2F37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当轿厢位于顶层端站平层位置时，对重装置撞板与其缓冲器顶面间的距离应当不超过对重越程距离标识上标注的最大允许值</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F1BF29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581A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8CDB05F">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60E9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轿厢照明和通风</w:t>
            </w:r>
          </w:p>
        </w:tc>
        <w:tc>
          <w:tcPr>
            <w:tcW w:w="6653" w:type="dxa"/>
            <w:tcBorders>
              <w:top w:val="single" w:color="5B5B5B" w:sz="8" w:space="0"/>
              <w:left w:val="single" w:color="5B5B5B" w:sz="8" w:space="0"/>
              <w:right w:val="single" w:color="5B5B5B" w:sz="8" w:space="0"/>
            </w:tcBorders>
            <w:shd w:val="clear" w:color="auto" w:fill="FEFEFE"/>
            <w:noWrap w:val="0"/>
            <w:vAlign w:val="center"/>
          </w:tcPr>
          <w:p w14:paraId="76956E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轿厢照明和通风应当功能正常</w:t>
            </w:r>
          </w:p>
        </w:tc>
        <w:tc>
          <w:tcPr>
            <w:tcW w:w="814" w:type="dxa"/>
            <w:tcBorders>
              <w:top w:val="single" w:color="5B5B5B" w:sz="8" w:space="0"/>
              <w:left w:val="single" w:color="5B5B5B" w:sz="8" w:space="0"/>
              <w:right w:val="single" w:color="5B5B5B" w:sz="8" w:space="0"/>
            </w:tcBorders>
            <w:shd w:val="clear" w:color="auto" w:fill="FEFEFE"/>
            <w:noWrap w:val="0"/>
            <w:vAlign w:val="center"/>
          </w:tcPr>
          <w:p w14:paraId="2683DD8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3BC7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41CB4A">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701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轿顶检修控制装置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A4683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(1)轿厢运行方向标记清晰</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6133C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FF90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6113D8B2">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7875A0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D886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(2)检修控制装置上的停止装置功能正常，标记清晰</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DE13A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307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18AFEC">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8A9F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4D1A8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(3)检修运行功能正常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F8ADE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B20C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EF4B53A">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8E57A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轿顶停止装置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EE583D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轿顶上设置的停止装置应当功能正常，标记清晰</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49C64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21C4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3796D7">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8B9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轿厢安全窗(门)</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16B4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轿厢设有安全窗(门)时，验证其锁紧状态的电气安全装置应当功能正常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DA7A32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5A88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0E298236">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2EB561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对重(平衡重)块</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4995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(1)对重(平衡重)块可靠固定</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37AA8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2243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37226DCE">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2E871A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6D02D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(2)对重(平衡重)块的数量或者总高度与标注情况一致</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3CCA2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A7BE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2F8289">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786" w:type="dxa"/>
            <w:vMerge w:val="restart"/>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354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spacing w:val="-20"/>
                <w:sz w:val="24"/>
                <w:szCs w:val="24"/>
              </w:rPr>
            </w:pPr>
            <w:r>
              <w:rPr>
                <w:rFonts w:hint="eastAsia" w:asciiTheme="minorEastAsia" w:hAnsiTheme="minorEastAsia" w:eastAsiaTheme="minorEastAsia" w:cstheme="minorEastAsia"/>
                <w:bCs/>
                <w:color w:val="000000"/>
                <w:spacing w:val="-20"/>
                <w:sz w:val="24"/>
                <w:szCs w:val="24"/>
              </w:rPr>
              <w:t>紧急照明和报警装置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6500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(1)轿内紧急照明*</w:t>
            </w:r>
          </w:p>
          <w:p w14:paraId="74BF98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轿内紧急照明应当功能正常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6AFFA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BFD7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16AB50">
            <w:pPr>
              <w:pStyle w:val="62"/>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B6225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75A61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(2)报警装置*</w:t>
            </w:r>
          </w:p>
          <w:p w14:paraId="7EB679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报警装置应当能够与救援服务持续联系</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10559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C9C9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0AB4473">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0F9F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轿厢超载保护装置*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A450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轿厢超载保护装置应当功能正常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F418F9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5BF9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FB063D2">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8802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地坎护脚板</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3D319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轿厢地坎护脚板应当固定可靠，其垂直部分的高度不小于0.75m，宽度不小于层站入口宽度</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CC4F19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2214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3878BFD7">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6DE82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悬挂装置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587AB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（1）悬挂装置磨损、断丝、变形等情况</w:t>
            </w:r>
          </w:p>
          <w:p w14:paraId="649948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悬挂钢丝绳应当没有笼状畸变、绳股挤出、扭结、部分压扁或者弯折，直径小于其公称直径的90%，严重锈蚀或者铁锈填满绳股间隙，以及一个捻距内出现的断丝数不大于规定值，其他类型悬挂装置的磨损、变形等应当不超过制造单位设定的报废指标</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B7EED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83B2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67ADCD73">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306549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09756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（2）悬挂装置端部固定</w:t>
            </w:r>
          </w:p>
          <w:p w14:paraId="5D8C9B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悬挂钢丝绳绳端固定应当可靠，弹簧、螺母、开口销或者压板等连接部件无松动、缺损。</w:t>
            </w:r>
          </w:p>
          <w:p w14:paraId="65210D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其他类型悬挂装置的端部固定应当符合制造单位的规定</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1B1D3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99F6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778FFCBC">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4FF7EF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35289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（3）悬挂装置松弛保护*</w:t>
            </w:r>
          </w:p>
          <w:p w14:paraId="3A7366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对于轿厢悬挂在两根悬挂装置上的电梯，当其中一根悬挂装置发生异常相对伸长时，电气安全装置应当动作</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4E5E5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5DE9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716E0328">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39B7EC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补偿装置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8CFDC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（1）补偿装置磨损、断丝、变形等情况</w:t>
            </w:r>
          </w:p>
          <w:p w14:paraId="5A2565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补偿钢丝绳应当符合第</w:t>
            </w:r>
            <w:r>
              <w:rPr>
                <w:rFonts w:hint="eastAsia" w:asciiTheme="minorEastAsia" w:hAnsiTheme="minorEastAsia" w:eastAsiaTheme="minorEastAsia" w:cstheme="minorEastAsia"/>
                <w:bCs/>
                <w:color w:val="000000"/>
                <w:sz w:val="24"/>
                <w:szCs w:val="24"/>
                <w:lang w:val="en-US" w:eastAsia="zh-CN"/>
              </w:rPr>
              <w:t>23</w:t>
            </w:r>
            <w:r>
              <w:rPr>
                <w:rFonts w:hint="eastAsia" w:asciiTheme="minorEastAsia" w:hAnsiTheme="minorEastAsia" w:eastAsiaTheme="minorEastAsia" w:cstheme="minorEastAsia"/>
                <w:bCs/>
                <w:color w:val="000000"/>
                <w:sz w:val="24"/>
                <w:szCs w:val="24"/>
              </w:rPr>
              <w:t>条中有关悬挂钢丝绳的规定，其他类型悬挂装置的磨损、变形等应当不超过制造单位设定的报废值</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EB7453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363F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0ED6726E">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12268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55FA1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（2）补偿装置端部固定</w:t>
            </w:r>
          </w:p>
          <w:p w14:paraId="22A859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补偿装置的端部固定应当可靠</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6BD20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C527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6477D0E1">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02D14A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BFA0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（3）补偿装置电气安全装置</w:t>
            </w:r>
          </w:p>
          <w:p w14:paraId="4C7AC8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检查补偿绳最小张紧位置的电气安全装置、检查防跳装置的电气安全装置应当功能正常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A7C52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CB40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76F06EE">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5725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旋转部件防护</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4D970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旋转部件的防护装置应当齐全完好、固定可靠，与运动部件不碰擦</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D6288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C1F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6F527ED1">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7BBBEB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轿门与层门间隙</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6C60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(1)门扇之间及门扇与立柱、门楣和地坎之间的间隙，对于乘客电梯不大于6mm；对于载货电梯不大于10mm</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4AD9F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D8F1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625EAB41">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2289F0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5F3C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(2)在水平移动门和折叠门主动门扇的开启方向，以150N 的力施加在一个最不利的点，第(1)项所述的间隙允许增大，但对于旁开门不大于30mm，对于中分门其总和不大于45mm</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AA8EEE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28AE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CF0BA8E">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9E6BF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防止门夹人的保护装置*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68648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当人员通过动力驱动的自动水平滑动层门入口，被正在关闭的门扇撞击或者将被撞击时，保护装置应当自动使门重新开启</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C473B8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4EDC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05B4ED98">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3BFD09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门的运行和导向</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56BD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(1)轿门和层门的运行（*）</w:t>
            </w:r>
          </w:p>
          <w:p w14:paraId="77CB56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层门和轿门正常运行时不应当出现脱轨、机械卡阻或者在行程终端时错位</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62918D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82E7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570C8E89">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1C3A28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FD6F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(2)层门应急导向装置或者保持装置（*）</w:t>
            </w:r>
          </w:p>
          <w:p w14:paraId="3B3892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层门导向装置失效时，层门应急导向装置或者保持装置应当使层门保持在原有位置</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56B0B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1116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120823">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8367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自动关闭层门装*</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28DE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在轿门驱动层门的情况下，当轿厢在开锁区域之外时，自动关闭层门装置应当使开启的层门关闭；对于釆用重块的自动关闭装置，其防止重块坠落的措施应当有效</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1143FF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BC46ECD">
        <w:tblPrEx>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7056B6">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18128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紧急开锁装置*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0311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每个层门均应当能够被符合要求的钥匙从外面开启。紧急开锁后，在层门闭合时门锁装置不应当保持在开锁位置</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B71DB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E3C0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restart"/>
            <w:tcBorders>
              <w:top w:val="single" w:color="5B5B5B" w:sz="8" w:space="0"/>
              <w:left w:val="single" w:color="5B5B5B" w:sz="8" w:space="0"/>
              <w:right w:val="single" w:color="5B5B5B" w:sz="8" w:space="0"/>
            </w:tcBorders>
            <w:shd w:val="clear" w:color="auto" w:fill="FEFEFE"/>
            <w:noWrap w:val="0"/>
            <w:vAlign w:val="center"/>
          </w:tcPr>
          <w:p w14:paraId="694D47CE">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31</w:t>
            </w:r>
          </w:p>
        </w:tc>
        <w:tc>
          <w:tcPr>
            <w:tcW w:w="1786" w:type="dxa"/>
            <w:vMerge w:val="restart"/>
            <w:tcBorders>
              <w:top w:val="single" w:color="5B5B5B" w:sz="8" w:space="0"/>
              <w:left w:val="single" w:color="5B5B5B" w:sz="8" w:space="0"/>
              <w:right w:val="single" w:color="5B5B5B" w:sz="8" w:space="0"/>
            </w:tcBorders>
            <w:shd w:val="clear" w:color="auto" w:fill="FEFEFE"/>
            <w:noWrap w:val="0"/>
            <w:vAlign w:val="center"/>
          </w:tcPr>
          <w:p w14:paraId="6AAAC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门的锁紧与闭合</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6148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(1)层门的锁紧*</w:t>
            </w:r>
          </w:p>
          <w:p w14:paraId="19B05A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①锁紧动作由重力、永久磁铁或者弹簧来产生和保持，即使永久磁铁或者弹簧失效，重力亦不能导致开锁；</w:t>
            </w:r>
          </w:p>
          <w:p w14:paraId="6A9E87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②轿厢在锁紧元件啮合不小于7mm时才能启动；</w:t>
            </w:r>
          </w:p>
          <w:p w14:paraId="77DF02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③检査层门锁紧状态的电气安全装置功能正常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199E14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2A18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0DEE19E2">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175836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6A937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(2)轿门的锁紧*</w:t>
            </w:r>
          </w:p>
          <w:p w14:paraId="3BDDDF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轿门釆用锁紧装置时，该装置应当符合要求</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E722B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5444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right w:val="single" w:color="5B5B5B" w:sz="8" w:space="0"/>
            </w:tcBorders>
            <w:shd w:val="clear" w:color="auto" w:fill="FEFEFE"/>
            <w:noWrap w:val="0"/>
            <w:vAlign w:val="center"/>
          </w:tcPr>
          <w:p w14:paraId="61138DB1">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right w:val="single" w:color="5B5B5B" w:sz="8" w:space="0"/>
            </w:tcBorders>
            <w:shd w:val="clear" w:color="auto" w:fill="FEFEFE"/>
            <w:noWrap w:val="0"/>
            <w:vAlign w:val="center"/>
          </w:tcPr>
          <w:p w14:paraId="55B150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7429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(3)层门的闭合*</w:t>
            </w:r>
          </w:p>
          <w:p w14:paraId="5E6A97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检查层门闭合状态的电气安全装置应当功能正常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098BE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BD37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vMerge w:val="continue"/>
            <w:tcBorders>
              <w:left w:val="single" w:color="5B5B5B" w:sz="8" w:space="0"/>
              <w:bottom w:val="single" w:color="5B5B5B" w:sz="8" w:space="0"/>
              <w:right w:val="single" w:color="5B5B5B" w:sz="8" w:space="0"/>
            </w:tcBorders>
            <w:shd w:val="clear" w:color="auto" w:fill="FEFEFE"/>
            <w:noWrap w:val="0"/>
            <w:vAlign w:val="center"/>
          </w:tcPr>
          <w:p w14:paraId="6F503E37">
            <w:pPr>
              <w:pStyle w:val="62"/>
              <w:keepNext w:val="0"/>
              <w:keepLines w:val="0"/>
              <w:pageBreakBefore w:val="0"/>
              <w:widowControl w:val="0"/>
              <w:kinsoku/>
              <w:wordWrap/>
              <w:overflowPunct/>
              <w:topLinePunct w:val="0"/>
              <w:autoSpaceDE/>
              <w:autoSpaceDN/>
              <w:bidi w:val="0"/>
              <w:adjustRightInd w:val="0"/>
              <w:snapToGrid w:val="0"/>
              <w:spacing w:line="280" w:lineRule="exact"/>
              <w:ind w:firstLineChars="0"/>
              <w:jc w:val="center"/>
              <w:textAlignment w:val="auto"/>
              <w:rPr>
                <w:rFonts w:hint="eastAsia" w:ascii="宋体" w:hAnsi="宋体" w:eastAsia="宋体" w:cs="宋体"/>
                <w:bCs/>
                <w:color w:val="000000"/>
                <w:sz w:val="24"/>
                <w:szCs w:val="24"/>
              </w:rPr>
            </w:pPr>
          </w:p>
        </w:tc>
        <w:tc>
          <w:tcPr>
            <w:tcW w:w="1786" w:type="dxa"/>
            <w:vMerge w:val="continue"/>
            <w:tcBorders>
              <w:left w:val="single" w:color="5B5B5B" w:sz="8" w:space="0"/>
              <w:bottom w:val="single" w:color="5B5B5B" w:sz="8" w:space="0"/>
              <w:right w:val="single" w:color="5B5B5B" w:sz="8" w:space="0"/>
            </w:tcBorders>
            <w:shd w:val="clear" w:color="auto" w:fill="FEFEFE"/>
            <w:noWrap w:val="0"/>
            <w:vAlign w:val="center"/>
          </w:tcPr>
          <w:p w14:paraId="733B28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945AC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(4)轿门的闭合*</w:t>
            </w:r>
          </w:p>
          <w:p w14:paraId="4FF485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检查轿门闭合状态的电气安全装置应当功能正常</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932B3A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1737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D568FB">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32</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B49A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轿门开门限制装置*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7FCA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当轿厢停在开锁区域外时，轿门开门限制装置应当能够防止轿厢内的人员打开轿门离开轿厢</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E94D8D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F49D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24BE928">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33</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92A98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门刀、门锁滚轮与地坎间隙</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123495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轿门门刀与层门地坎、层门锁滚轮与轿厢地坎的间隙应当不小于5mm；电梯运行时应当无互相碰擦</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E96B7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CFEF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F19E4FC">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34</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538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轿厢上行超速保护装置*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0CDC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以轿厢空载、检修速度上行的工况进行试验，轿厢上行超速保护装置应当动作可靠</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7314D7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4C4E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C0C5769">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35</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191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轿厢意外移动保护装置*</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EC117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试验工况和结果应当符合监督检验的相应要求</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79843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312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A6D65C">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36</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8EACD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轿厢限速器—安全钳联动试验*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9E5B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以轿厢空载、检修速度下行工况进行，轿厢限速器—安全钳应当动作可靠</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59ECB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70C1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05A3E7D">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37</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7EE9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对重(平衡重)限速器—安全钳试验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94B8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以轿厢空载、检修速度上行的工况进行试验，对重(平衡重)限速器—安全钳应当动作可靠</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329D2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E907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7D20FF">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136D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运行试验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A4F5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以轿厢空载、正常运行速度上下运行的工况进行试验，呼梯、楼层显示等信号系统应当功能有效、指示正确、动作无误，轿厢平层良好，无异常现象发生；对于设有IC 卡系统的电梯，乘客无需通过IC 卡系统即可到达建筑物的出口层，并且在电梯退出正常服务时，自动退出IC 卡功能</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0204A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3D51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68E58B5">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39</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18032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应急救援试验*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E19D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(1)机房内或紧急操作和动态测试装置上设置的应急救援程序清晰、明显；</w:t>
            </w:r>
          </w:p>
          <w:p w14:paraId="14F144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(2)建筑物内的救援通道保持通畅，相关人员能够安全、方便和无阻碍地；抵达实施紧急操作的位置和电梯所服务的每个层站的层门处；</w:t>
            </w:r>
          </w:p>
          <w:p w14:paraId="03D0CA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(3)在各种载荷工况下，按照第(1)项所述的应急救援程序实施操作，能够安全、及时地解救被困人员</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FA7550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67C8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A8CB68">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CBCDF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空载曳引试验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5A7D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试验工况和结果应当符合监督检验的相应要求</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AADE13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1ABD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6E8E4FC">
            <w:pPr>
              <w:keepNext w:val="0"/>
              <w:keepLines w:val="0"/>
              <w:widowControl/>
              <w:suppressLineNumbers w:val="0"/>
              <w:jc w:val="center"/>
              <w:textAlignment w:val="center"/>
              <w:rPr>
                <w:rFonts w:hint="eastAsia" w:ascii="宋体" w:hAnsi="宋体" w:eastAsia="宋体" w:cs="宋体"/>
                <w:bCs/>
                <w:color w:val="000000"/>
                <w:sz w:val="24"/>
                <w:szCs w:val="24"/>
              </w:rPr>
            </w:pPr>
            <w:r>
              <w:rPr>
                <w:rFonts w:hint="eastAsia" w:ascii="宋体" w:hAnsi="宋体" w:eastAsia="宋体" w:cs="宋体"/>
                <w:i w:val="0"/>
                <w:iCs w:val="0"/>
                <w:color w:val="000000"/>
                <w:kern w:val="0"/>
                <w:sz w:val="24"/>
                <w:szCs w:val="24"/>
                <w:u w:val="none"/>
                <w:lang w:val="en-US" w:eastAsia="zh-CN" w:bidi="ar"/>
              </w:rPr>
              <w:t>41</w:t>
            </w:r>
          </w:p>
        </w:tc>
        <w:tc>
          <w:tcPr>
            <w:tcW w:w="17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58B6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上行制动工况曳引试验*</w:t>
            </w:r>
          </w:p>
        </w:tc>
        <w:tc>
          <w:tcPr>
            <w:tcW w:w="66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DB312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试验工况和结果应当符合监督检验的相应要求</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6FAD8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2B8C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2" w:hRule="atLeast"/>
          <w:jc w:val="center"/>
        </w:trPr>
        <w:tc>
          <w:tcPr>
            <w:tcW w:w="87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D250D86">
            <w:pPr>
              <w:keepNext w:val="0"/>
              <w:keepLines w:val="0"/>
              <w:widowControl/>
              <w:suppressLineNumbers w:val="0"/>
              <w:jc w:val="center"/>
              <w:textAlignment w:val="center"/>
              <w:rPr>
                <w:rFonts w:hint="default" w:ascii="宋体" w:hAnsi="宋体" w:eastAsia="宋体" w:cs="宋体"/>
                <w:bCs/>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42</w:t>
            </w:r>
          </w:p>
        </w:tc>
        <w:tc>
          <w:tcPr>
            <w:tcW w:w="8439" w:type="dxa"/>
            <w:gridSpan w:val="2"/>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BE2D4D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其他影响电梯运行的项目：</w:t>
            </w:r>
          </w:p>
        </w:tc>
        <w:tc>
          <w:tcPr>
            <w:tcW w:w="81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A161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bl>
    <w:p w14:paraId="5DAD3415">
      <w:pPr>
        <w:adjustRightInd w:val="0"/>
        <w:snapToGrid w:val="0"/>
        <w:jc w:val="center"/>
        <w:rPr>
          <w:rFonts w:hint="eastAsia" w:asciiTheme="minorEastAsia" w:hAnsiTheme="minorEastAsia" w:eastAsiaTheme="minorEastAsia" w:cstheme="minorEastAsia"/>
          <w:sz w:val="24"/>
          <w:szCs w:val="24"/>
        </w:rPr>
      </w:pPr>
    </w:p>
    <w:p w14:paraId="45052168">
      <w:pPr>
        <w:adjustRightInd w:val="0"/>
        <w:snapToGrid w:val="0"/>
        <w:jc w:val="center"/>
        <w:rPr>
          <w:rFonts w:hint="eastAsia" w:asciiTheme="minorEastAsia" w:hAnsiTheme="minorEastAsia" w:eastAsiaTheme="minorEastAsia" w:cstheme="minorEastAsia"/>
          <w:sz w:val="24"/>
          <w:szCs w:val="24"/>
        </w:rPr>
      </w:pPr>
    </w:p>
    <w:p w14:paraId="3B1F1CED">
      <w:pPr>
        <w:adjustRightInd w:val="0"/>
        <w:snapToGrid w:val="0"/>
        <w:jc w:val="center"/>
        <w:rPr>
          <w:rFonts w:hint="eastAsia" w:asciiTheme="minorEastAsia" w:hAnsiTheme="minorEastAsia" w:eastAsiaTheme="minorEastAsia" w:cstheme="minorEastAsia"/>
          <w:sz w:val="24"/>
          <w:szCs w:val="24"/>
        </w:rPr>
      </w:pPr>
    </w:p>
    <w:p w14:paraId="111525F4">
      <w:pPr>
        <w:adjustRightInd w:val="0"/>
        <w:snapToGrid w:val="0"/>
        <w:jc w:val="center"/>
        <w:rPr>
          <w:rFonts w:hint="eastAsia" w:asciiTheme="minorEastAsia" w:hAnsiTheme="minorEastAsia" w:eastAsiaTheme="minorEastAsia" w:cstheme="minorEastAsia"/>
          <w:sz w:val="24"/>
          <w:szCs w:val="24"/>
        </w:rPr>
      </w:pPr>
    </w:p>
    <w:p w14:paraId="0BF0909E">
      <w:pPr>
        <w:adjustRightInd w:val="0"/>
        <w:snapToGrid w:val="0"/>
        <w:jc w:val="center"/>
        <w:rPr>
          <w:rFonts w:hint="eastAsia" w:asciiTheme="minorEastAsia" w:hAnsiTheme="minorEastAsia" w:eastAsiaTheme="minorEastAsia" w:cstheme="minorEastAsia"/>
          <w:sz w:val="24"/>
          <w:szCs w:val="24"/>
        </w:rPr>
      </w:pPr>
    </w:p>
    <w:p w14:paraId="712DA0B0">
      <w:pPr>
        <w:adjustRightInd w:val="0"/>
        <w:snapToGrid w:val="0"/>
        <w:jc w:val="center"/>
        <w:rPr>
          <w:rFonts w:hint="eastAsia" w:asciiTheme="minorEastAsia" w:hAnsiTheme="minorEastAsia" w:eastAsiaTheme="minorEastAsia" w:cstheme="minorEastAsia"/>
          <w:sz w:val="24"/>
          <w:szCs w:val="24"/>
        </w:rPr>
      </w:pPr>
    </w:p>
    <w:p w14:paraId="22D7E247">
      <w:pPr>
        <w:adjustRightInd w:val="0"/>
        <w:snapToGrid w:val="0"/>
        <w:jc w:val="center"/>
        <w:rPr>
          <w:rFonts w:hint="eastAsia" w:asciiTheme="minorEastAsia" w:hAnsiTheme="minorEastAsia" w:eastAsiaTheme="minorEastAsia" w:cstheme="minorEastAsia"/>
          <w:sz w:val="24"/>
          <w:szCs w:val="24"/>
        </w:rPr>
      </w:pPr>
    </w:p>
    <w:p w14:paraId="613E0691">
      <w:pPr>
        <w:adjustRightInd w:val="0"/>
        <w:snapToGrid w:val="0"/>
        <w:jc w:val="center"/>
        <w:rPr>
          <w:rFonts w:hint="eastAsia" w:asciiTheme="minorEastAsia" w:hAnsiTheme="minorEastAsia" w:eastAsiaTheme="minorEastAsia" w:cstheme="minorEastAsia"/>
          <w:sz w:val="24"/>
          <w:szCs w:val="24"/>
        </w:rPr>
      </w:pPr>
    </w:p>
    <w:p w14:paraId="1CC7E155">
      <w:pPr>
        <w:adjustRightInd w:val="0"/>
        <w:snapToGrid w:val="0"/>
        <w:jc w:val="center"/>
        <w:rPr>
          <w:rFonts w:hint="eastAsia" w:asciiTheme="minorEastAsia" w:hAnsiTheme="minorEastAsia" w:eastAsiaTheme="minorEastAsia" w:cstheme="minorEastAsia"/>
          <w:sz w:val="24"/>
          <w:szCs w:val="24"/>
        </w:rPr>
      </w:pPr>
    </w:p>
    <w:p w14:paraId="3EF37A9F">
      <w:pPr>
        <w:adjustRightInd w:val="0"/>
        <w:snapToGrid w:val="0"/>
        <w:jc w:val="center"/>
        <w:rPr>
          <w:rFonts w:hint="eastAsia" w:asciiTheme="minorEastAsia" w:hAnsiTheme="minorEastAsia" w:eastAsiaTheme="minorEastAsia" w:cstheme="minorEastAsia"/>
          <w:sz w:val="24"/>
          <w:szCs w:val="24"/>
        </w:rPr>
      </w:pPr>
    </w:p>
    <w:p w14:paraId="6E8F9B4E">
      <w:pPr>
        <w:adjustRightInd w:val="0"/>
        <w:snapToGrid w:val="0"/>
        <w:jc w:val="center"/>
        <w:rPr>
          <w:rFonts w:hint="eastAsia" w:asciiTheme="minorEastAsia" w:hAnsiTheme="minorEastAsia" w:eastAsiaTheme="minorEastAsia" w:cstheme="minorEastAsia"/>
          <w:sz w:val="24"/>
          <w:szCs w:val="24"/>
        </w:rPr>
      </w:pPr>
    </w:p>
    <w:p w14:paraId="64F7AD00">
      <w:pPr>
        <w:adjustRightInd w:val="0"/>
        <w:snapToGrid w:val="0"/>
        <w:jc w:val="center"/>
        <w:rPr>
          <w:rFonts w:hint="eastAsia" w:asciiTheme="minorEastAsia" w:hAnsiTheme="minorEastAsia" w:eastAsiaTheme="minorEastAsia" w:cstheme="minorEastAsia"/>
          <w:sz w:val="24"/>
          <w:szCs w:val="24"/>
        </w:rPr>
      </w:pPr>
    </w:p>
    <w:p w14:paraId="0B967233">
      <w:pPr>
        <w:adjustRightInd w:val="0"/>
        <w:snapToGrid w:val="0"/>
        <w:jc w:val="center"/>
        <w:rPr>
          <w:rFonts w:hint="eastAsia" w:asciiTheme="minorEastAsia" w:hAnsiTheme="minorEastAsia" w:eastAsiaTheme="minorEastAsia" w:cstheme="minorEastAsia"/>
          <w:sz w:val="24"/>
          <w:szCs w:val="24"/>
        </w:rPr>
      </w:pPr>
    </w:p>
    <w:p w14:paraId="618A4840">
      <w:pPr>
        <w:adjustRightInd w:val="0"/>
        <w:snapToGrid w:val="0"/>
        <w:jc w:val="center"/>
        <w:rPr>
          <w:rFonts w:hint="eastAsia" w:asciiTheme="minorEastAsia" w:hAnsiTheme="minorEastAsia" w:eastAsiaTheme="minorEastAsia" w:cstheme="minorEastAsia"/>
          <w:sz w:val="24"/>
          <w:szCs w:val="24"/>
        </w:rPr>
      </w:pPr>
    </w:p>
    <w:p w14:paraId="6F1A5C3E">
      <w:pPr>
        <w:adjustRightInd w:val="0"/>
        <w:snapToGrid w:val="0"/>
        <w:jc w:val="center"/>
        <w:rPr>
          <w:rFonts w:hint="eastAsia" w:asciiTheme="minorEastAsia" w:hAnsiTheme="minorEastAsia" w:eastAsiaTheme="minorEastAsia" w:cstheme="minorEastAsia"/>
          <w:sz w:val="24"/>
          <w:szCs w:val="24"/>
        </w:rPr>
      </w:pPr>
    </w:p>
    <w:p w14:paraId="4208EF3C">
      <w:pPr>
        <w:adjustRightInd w:val="0"/>
        <w:snapToGrid w:val="0"/>
        <w:jc w:val="center"/>
        <w:rPr>
          <w:rFonts w:hint="eastAsia" w:asciiTheme="minorEastAsia" w:hAnsiTheme="minorEastAsia" w:eastAsiaTheme="minorEastAsia" w:cstheme="minorEastAsia"/>
          <w:sz w:val="24"/>
          <w:szCs w:val="24"/>
        </w:rPr>
      </w:pPr>
    </w:p>
    <w:p w14:paraId="25FEF255">
      <w:pPr>
        <w:adjustRightInd w:val="0"/>
        <w:snapToGrid w:val="0"/>
        <w:jc w:val="center"/>
        <w:rPr>
          <w:rFonts w:hint="eastAsia" w:asciiTheme="minorEastAsia" w:hAnsiTheme="minorEastAsia" w:eastAsiaTheme="minorEastAsia" w:cstheme="minorEastAsia"/>
          <w:sz w:val="24"/>
          <w:szCs w:val="24"/>
        </w:rPr>
      </w:pPr>
    </w:p>
    <w:p w14:paraId="45AEC1F5">
      <w:pPr>
        <w:adjustRightInd w:val="0"/>
        <w:snapToGrid w:val="0"/>
        <w:jc w:val="center"/>
        <w:rPr>
          <w:rFonts w:hint="eastAsia" w:asciiTheme="minorEastAsia" w:hAnsiTheme="minorEastAsia" w:eastAsiaTheme="minorEastAsia" w:cstheme="minorEastAsia"/>
          <w:sz w:val="24"/>
          <w:szCs w:val="24"/>
        </w:rPr>
      </w:pPr>
    </w:p>
    <w:p w14:paraId="2A14D905">
      <w:pPr>
        <w:adjustRightInd w:val="0"/>
        <w:snapToGrid w:val="0"/>
        <w:jc w:val="center"/>
        <w:rPr>
          <w:rFonts w:hint="eastAsia" w:asciiTheme="minorEastAsia" w:hAnsiTheme="minorEastAsia" w:eastAsiaTheme="minorEastAsia" w:cstheme="minorEastAsia"/>
          <w:sz w:val="24"/>
          <w:szCs w:val="24"/>
        </w:rPr>
      </w:pPr>
    </w:p>
    <w:p w14:paraId="452BD073">
      <w:pPr>
        <w:adjustRightInd w:val="0"/>
        <w:snapToGrid w:val="0"/>
        <w:jc w:val="center"/>
        <w:rPr>
          <w:rFonts w:hint="eastAsia" w:asciiTheme="minorEastAsia" w:hAnsiTheme="minorEastAsia" w:eastAsiaTheme="minorEastAsia" w:cstheme="minorEastAsia"/>
          <w:sz w:val="24"/>
          <w:szCs w:val="24"/>
        </w:rPr>
      </w:pPr>
    </w:p>
    <w:p w14:paraId="7A352D8F">
      <w:pPr>
        <w:adjustRightInd w:val="0"/>
        <w:snapToGrid w:val="0"/>
        <w:jc w:val="center"/>
        <w:rPr>
          <w:rFonts w:hint="eastAsia" w:asciiTheme="minorEastAsia" w:hAnsiTheme="minorEastAsia" w:eastAsiaTheme="minorEastAsia" w:cstheme="minorEastAsia"/>
          <w:sz w:val="24"/>
          <w:szCs w:val="24"/>
        </w:rPr>
      </w:pPr>
    </w:p>
    <w:p w14:paraId="3DBC8EC6">
      <w:pPr>
        <w:adjustRightInd w:val="0"/>
        <w:snapToGrid w:val="0"/>
        <w:jc w:val="center"/>
        <w:rPr>
          <w:rFonts w:hint="eastAsia" w:asciiTheme="minorEastAsia" w:hAnsiTheme="minorEastAsia" w:eastAsiaTheme="minorEastAsia" w:cstheme="minorEastAsia"/>
          <w:sz w:val="24"/>
          <w:szCs w:val="24"/>
        </w:rPr>
      </w:pPr>
    </w:p>
    <w:p w14:paraId="11D14641">
      <w:pPr>
        <w:snapToGrid w:val="0"/>
        <w:spacing w:line="560" w:lineRule="exact"/>
        <w:contextualSpacing/>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电梯</w:t>
      </w:r>
      <w:r>
        <w:rPr>
          <w:rFonts w:hint="eastAsia" w:asciiTheme="minorEastAsia" w:hAnsiTheme="minorEastAsia" w:eastAsiaTheme="minorEastAsia" w:cstheme="minorEastAsia"/>
          <w:b/>
          <w:bCs/>
          <w:sz w:val="24"/>
          <w:szCs w:val="24"/>
          <w:lang w:val="en-US" w:eastAsia="zh-CN"/>
        </w:rPr>
        <w:t>使用单位管理</w:t>
      </w:r>
      <w:r>
        <w:rPr>
          <w:rFonts w:hint="eastAsia" w:asciiTheme="minorEastAsia" w:hAnsiTheme="minorEastAsia" w:eastAsiaTheme="minorEastAsia" w:cstheme="minorEastAsia"/>
          <w:b/>
          <w:bCs/>
          <w:sz w:val="24"/>
          <w:szCs w:val="24"/>
        </w:rPr>
        <w:t>抽查项目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扶梯</w:t>
      </w:r>
      <w:r>
        <w:rPr>
          <w:rFonts w:hint="eastAsia" w:asciiTheme="minorEastAsia" w:hAnsiTheme="minorEastAsia" w:eastAsiaTheme="minorEastAsia" w:cstheme="minorEastAsia"/>
          <w:b/>
          <w:bCs/>
          <w:sz w:val="24"/>
          <w:szCs w:val="24"/>
          <w:lang w:eastAsia="zh-CN"/>
        </w:rPr>
        <w:t>）</w:t>
      </w:r>
    </w:p>
    <w:p w14:paraId="74B414E4">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27"/>
        <w:tblW w:w="101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056"/>
        <w:gridCol w:w="6203"/>
        <w:gridCol w:w="858"/>
      </w:tblGrid>
      <w:tr w14:paraId="5A14F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986"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57E7B70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259"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3426C7A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858"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40B63B4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备注</w:t>
            </w:r>
          </w:p>
        </w:tc>
      </w:tr>
      <w:tr w14:paraId="168D8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1AC409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60B7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使用登记</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56779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snapToGrid w:val="0"/>
                <w:color w:val="000000"/>
                <w:spacing w:val="-8"/>
                <w:kern w:val="0"/>
                <w:sz w:val="24"/>
                <w:szCs w:val="24"/>
                <w:lang w:val="en-US" w:eastAsia="zh-CN"/>
              </w:rPr>
              <w:t>使用登记资料与实物相符</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41F07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0496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8E8439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8D26A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安全管理机构设置和电梯安全总监、安全员的任命</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CEDECA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按规定设置安全管理机构、任命电梯安全总监和电梯安全员</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038E19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0484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74442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3</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46DDA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设备档案</w:t>
            </w:r>
          </w:p>
        </w:tc>
        <w:tc>
          <w:tcPr>
            <w:tcW w:w="6203" w:type="dxa"/>
            <w:tcBorders>
              <w:left w:val="single" w:color="5B5B5B" w:sz="8" w:space="0"/>
              <w:bottom w:val="single" w:color="5B5B5B" w:sz="8" w:space="0"/>
              <w:right w:val="single" w:color="5B5B5B" w:sz="8" w:space="0"/>
            </w:tcBorders>
            <w:shd w:val="clear" w:color="auto" w:fill="FEFEFE"/>
            <w:noWrap w:val="0"/>
            <w:vAlign w:val="center"/>
          </w:tcPr>
          <w:p w14:paraId="0C23EB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制造资料、安装资料、改造和重大修理资料保存完整</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8BDA7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CB8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79F892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4</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197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管理制度</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381D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使用单位应建立电梯使用和运营安全管理制度，包括事故与故障的应急措施和救援预案、电梯钥匙使用管理制度等</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F6CD73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8EB8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8F81A8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5</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CE31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日常检查与使用状况记录</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8F7EA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近1年的日常检查与使用状况记录</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B4D875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2D7E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right w:val="single" w:color="5B5B5B" w:sz="8" w:space="0"/>
            </w:tcBorders>
            <w:shd w:val="clear" w:color="auto" w:fill="FEFEFE"/>
            <w:noWrap w:val="0"/>
            <w:vAlign w:val="center"/>
          </w:tcPr>
          <w:p w14:paraId="465C3E1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6</w:t>
            </w:r>
          </w:p>
        </w:tc>
        <w:tc>
          <w:tcPr>
            <w:tcW w:w="2056" w:type="dxa"/>
            <w:tcBorders>
              <w:top w:val="single" w:color="5B5B5B" w:sz="8" w:space="0"/>
              <w:left w:val="single" w:color="5B5B5B" w:sz="8" w:space="0"/>
              <w:right w:val="single" w:color="5B5B5B" w:sz="8" w:space="0"/>
            </w:tcBorders>
            <w:shd w:val="clear" w:color="auto" w:fill="FEFEFE"/>
            <w:noWrap w:val="0"/>
            <w:vAlign w:val="center"/>
          </w:tcPr>
          <w:p w14:paraId="25BC82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应急救援演习记录</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EA918AD">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近1年的应急救援演习记录</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896A1A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6745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349D15">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7</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85CC6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检验报告</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DA4D94">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Theme="minorEastAsia" w:hAnsiTheme="minorEastAsia" w:eastAsiaTheme="minorEastAsia" w:cstheme="minorEastAsia"/>
                <w:bCs/>
                <w:snapToGrid w:val="0"/>
                <w:color w:val="000000"/>
                <w:sz w:val="24"/>
                <w:szCs w:val="24"/>
                <w:lang w:val="en-US" w:eastAsia="zh-CN"/>
              </w:rPr>
            </w:pPr>
            <w:r>
              <w:rPr>
                <w:rFonts w:hint="eastAsia" w:asciiTheme="minorEastAsia" w:hAnsiTheme="minorEastAsia" w:eastAsiaTheme="minorEastAsia" w:cstheme="minorEastAsia"/>
                <w:bCs/>
                <w:snapToGrid w:val="0"/>
                <w:color w:val="000000"/>
                <w:sz w:val="24"/>
                <w:szCs w:val="24"/>
                <w:lang w:val="en-US" w:eastAsia="zh-CN"/>
              </w:rPr>
              <w:t>最近1次的电梯定期检验报告和电梯监督检验报告</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DEAE0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06A4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E2ECCA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8</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5B9D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人员培训</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1DA99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使用单位的安全管理员应组织开展特种设备安全教育和技能培训</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DE005F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5590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1A557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9</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456D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电梯标识张贴</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CEC48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电梯应张贴电梯使用标识、安全注意事项、警示标志等</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67077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4F4D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766E4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10</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463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紧急停止开关</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1C132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自动扶梯和自动人行道急停开关有效，且有清晰的永久性标识</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83544D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89BA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B100E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11</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7B493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防夹装置</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627FBB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自动扶梯围裙板上的防夹装置完整</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63157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6F31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92C863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12</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636D6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梳齿板</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F9DD3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自动扶梯和自动人行道出入口处梳齿板完好</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233919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62CB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806B1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center"/>
              <w:textAlignment w:val="auto"/>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13</w:t>
            </w:r>
          </w:p>
        </w:tc>
        <w:tc>
          <w:tcPr>
            <w:tcW w:w="20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A6227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防护挡板</w:t>
            </w:r>
          </w:p>
        </w:tc>
        <w:tc>
          <w:tcPr>
            <w:tcW w:w="620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7109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在与楼板交叉处以及各交叉设置的自动扶梯或者自动人行道之间，按要求装设防护挡板(扶手带外缘与任何障碍物之间距离大于等于400mm的除外)</w:t>
            </w:r>
          </w:p>
        </w:tc>
        <w:tc>
          <w:tcPr>
            <w:tcW w:w="858"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4C59C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bl>
    <w:p w14:paraId="7A0AD1E4">
      <w:pPr>
        <w:rPr>
          <w:rFonts w:hint="eastAsia" w:asciiTheme="minorEastAsia" w:hAnsiTheme="minorEastAsia" w:eastAsiaTheme="minorEastAsia" w:cstheme="minorEastAsia"/>
          <w:sz w:val="24"/>
          <w:szCs w:val="24"/>
        </w:rPr>
      </w:pPr>
    </w:p>
    <w:p w14:paraId="75708C07">
      <w:pPr>
        <w:rPr>
          <w:rFonts w:hint="eastAsia" w:asciiTheme="minorEastAsia" w:hAnsiTheme="minorEastAsia" w:eastAsiaTheme="minorEastAsia" w:cstheme="minorEastAsia"/>
          <w:sz w:val="24"/>
          <w:szCs w:val="24"/>
        </w:rPr>
      </w:pPr>
    </w:p>
    <w:p w14:paraId="17C0BA23">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1017D78E">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p>
    <w:p w14:paraId="20463FEB">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电梯使用单位管理抽查项目（曳引）</w:t>
      </w:r>
    </w:p>
    <w:p w14:paraId="4FCF6AA5">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27"/>
        <w:tblW w:w="102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6"/>
        <w:gridCol w:w="1822"/>
        <w:gridCol w:w="6206"/>
        <w:gridCol w:w="1037"/>
      </w:tblGrid>
      <w:tr w14:paraId="6B8A6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4B5B1D5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028"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7984968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1037"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5C60129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备注</w:t>
            </w:r>
          </w:p>
        </w:tc>
      </w:tr>
      <w:tr w14:paraId="1A9DD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5EA9C3">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5E9D9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使用登记</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D0C263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snapToGrid w:val="0"/>
                <w:color w:val="000000"/>
                <w:spacing w:val="-8"/>
                <w:kern w:val="0"/>
                <w:sz w:val="24"/>
                <w:szCs w:val="24"/>
                <w:lang w:val="en-US" w:eastAsia="zh-CN"/>
              </w:rPr>
              <w:t>使用登记资料与实物相符</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6524CA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343B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CB043CF">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54780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安全管理机构设置和电梯安全总监、安全员的任命</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DF6E9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按规定设置安全管理机构、任命电梯安全总监和电梯安全员</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4849DF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E544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AC452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3</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72CFFF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设备档案</w:t>
            </w:r>
          </w:p>
        </w:tc>
        <w:tc>
          <w:tcPr>
            <w:tcW w:w="6206" w:type="dxa"/>
            <w:tcBorders>
              <w:left w:val="single" w:color="5B5B5B" w:sz="8" w:space="0"/>
              <w:bottom w:val="single" w:color="5B5B5B" w:sz="8" w:space="0"/>
              <w:right w:val="single" w:color="5B5B5B" w:sz="8" w:space="0"/>
            </w:tcBorders>
            <w:shd w:val="clear" w:color="auto" w:fill="FEFEFE"/>
            <w:noWrap w:val="0"/>
            <w:vAlign w:val="center"/>
          </w:tcPr>
          <w:p w14:paraId="6EEA5DD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制造资料、安装资料、改造和重大修理资料保存完整</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79E65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E1FA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D207705">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4</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AF558C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管理制度</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56C9E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使用单位应建立电梯使用和运营安全管理制度，包括事故与故障的应急措施和救援预案、电梯钥匙使用管理制度等</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FF1B8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CF3C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391E05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5</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621A57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日常检查与使用状况记录</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46D3B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近1年的日常检查与使用状况记录</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B9967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E040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right w:val="single" w:color="5B5B5B" w:sz="8" w:space="0"/>
            </w:tcBorders>
            <w:shd w:val="clear" w:color="auto" w:fill="FEFEFE"/>
            <w:noWrap w:val="0"/>
            <w:vAlign w:val="center"/>
          </w:tcPr>
          <w:p w14:paraId="435F8B87">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6</w:t>
            </w:r>
          </w:p>
        </w:tc>
        <w:tc>
          <w:tcPr>
            <w:tcW w:w="1822" w:type="dxa"/>
            <w:tcBorders>
              <w:top w:val="single" w:color="5B5B5B" w:sz="8" w:space="0"/>
              <w:left w:val="single" w:color="5B5B5B" w:sz="8" w:space="0"/>
              <w:right w:val="single" w:color="5B5B5B" w:sz="8" w:space="0"/>
            </w:tcBorders>
            <w:shd w:val="clear" w:color="auto" w:fill="FEFEFE"/>
            <w:noWrap w:val="0"/>
            <w:vAlign w:val="center"/>
          </w:tcPr>
          <w:p w14:paraId="17367B4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应急救援演习记录</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CD153F">
            <w:pPr>
              <w:keepNext w:val="0"/>
              <w:keepLines w:val="0"/>
              <w:pageBreakBefore w:val="0"/>
              <w:widowControl w:val="0"/>
              <w:kinsoku/>
              <w:wordWrap/>
              <w:overflowPunct/>
              <w:topLinePunct w:val="0"/>
              <w:autoSpaceDE/>
              <w:autoSpaceDN/>
              <w:bidi w:val="0"/>
              <w:spacing w:line="280" w:lineRule="exac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近1年的应急救援演习记录</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E1094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ABD0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27178FD">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kern w:val="2"/>
                <w:sz w:val="24"/>
                <w:szCs w:val="24"/>
                <w:lang w:val="en-US" w:eastAsia="zh-CN" w:bidi="ar-SA"/>
              </w:rPr>
              <w:t>7</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1FF8C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napToGrid w:val="0"/>
                <w:color w:val="000000"/>
                <w:kern w:val="0"/>
                <w:sz w:val="24"/>
                <w:szCs w:val="24"/>
                <w:lang w:val="en-US" w:eastAsia="zh-CN"/>
              </w:rPr>
            </w:pPr>
            <w:r>
              <w:rPr>
                <w:rFonts w:hint="eastAsia" w:asciiTheme="minorEastAsia" w:hAnsiTheme="minorEastAsia" w:eastAsiaTheme="minorEastAsia" w:cstheme="minorEastAsia"/>
                <w:bCs/>
                <w:color w:val="000000"/>
                <w:sz w:val="24"/>
                <w:szCs w:val="24"/>
                <w:lang w:val="en-US" w:eastAsia="zh-CN"/>
              </w:rPr>
              <w:t>检验报告</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1F53C68">
            <w:pPr>
              <w:pStyle w:val="12"/>
              <w:keepNext w:val="0"/>
              <w:keepLines w:val="0"/>
              <w:pageBreakBefore w:val="0"/>
              <w:widowControl w:val="0"/>
              <w:kinsoku/>
              <w:wordWrap/>
              <w:overflowPunct/>
              <w:topLinePunct w:val="0"/>
              <w:autoSpaceDE/>
              <w:autoSpaceDN/>
              <w:bidi w:val="0"/>
              <w:adjustRightInd w:val="0"/>
              <w:snapToGrid w:val="0"/>
              <w:spacing w:after="0" w:line="280" w:lineRule="exact"/>
              <w:ind w:left="0" w:leftChars="0" w:firstLine="0" w:firstLineChars="0"/>
              <w:jc w:val="both"/>
              <w:textAlignment w:val="auto"/>
              <w:rPr>
                <w:rFonts w:hint="eastAsia" w:asciiTheme="minorEastAsia" w:hAnsiTheme="minorEastAsia" w:eastAsiaTheme="minorEastAsia" w:cstheme="minorEastAsia"/>
                <w:b/>
                <w:bCs w:val="0"/>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sz w:val="24"/>
                <w:szCs w:val="24"/>
                <w:lang w:val="en-US" w:eastAsia="zh-CN"/>
              </w:rPr>
              <w:t>最近1次的电梯定期检验报告和电梯监督检验报告</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34C18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272A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CF844F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8</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9DD52E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kern w:val="0"/>
                <w:sz w:val="24"/>
                <w:szCs w:val="24"/>
              </w:rPr>
              <w:t>人员培训</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1273E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snapToGrid w:val="0"/>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使用单位的安全管理员应组织开展特种设备安全教育和技能培训</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F51D7B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6105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B76E03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9</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CFD87B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电梯标识张贴</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B18A3A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在电梯轿厢内应张贴电梯使用标识、安全注意事项、警示标志等</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977F8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4A59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17CD2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10</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5CD56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机房环境</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EABD0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机房防风、防雨措施（包括门、窗等），机房温度等</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2CE18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4168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E424263">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11</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606584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紧急报警装置</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C6BAD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电梯轿厢内设置的紧急报警装置有效，联系畅通</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56991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FBF8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91ED4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12</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274D43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防夹保护装置</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398C0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轿厢门防夹保护装置有效</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90DA60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80F4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5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F13E98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13</w:t>
            </w:r>
          </w:p>
        </w:tc>
        <w:tc>
          <w:tcPr>
            <w:tcW w:w="1822"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CDA5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显示信号系统</w:t>
            </w:r>
          </w:p>
        </w:tc>
        <w:tc>
          <w:tcPr>
            <w:tcW w:w="6206"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02AB0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抽查呼梯、选层、楼层指示等显示信号系统功能有效，指示正确</w:t>
            </w:r>
          </w:p>
        </w:tc>
        <w:tc>
          <w:tcPr>
            <w:tcW w:w="103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20A97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bl>
    <w:p w14:paraId="41B916C2">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646A9D21">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p>
    <w:p w14:paraId="083DFE67">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p>
    <w:p w14:paraId="106D9238">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电梯维保质量抽查项目（扶梯）</w:t>
      </w:r>
    </w:p>
    <w:p w14:paraId="2ADCF6A4">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27"/>
        <w:tblW w:w="9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7"/>
        <w:gridCol w:w="2054"/>
        <w:gridCol w:w="6067"/>
        <w:gridCol w:w="901"/>
      </w:tblGrid>
      <w:tr w14:paraId="27329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977"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697D10C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121"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1C3F85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901"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0FD156F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备注</w:t>
            </w:r>
          </w:p>
        </w:tc>
      </w:tr>
      <w:tr w14:paraId="58EBF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ED61C1">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FB82B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rPr>
              <w:t>保养合同</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1120A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rPr>
              <w:t>日常维护保养合同</w:t>
            </w:r>
            <w:r>
              <w:rPr>
                <w:rFonts w:hint="eastAsia" w:asciiTheme="minorEastAsia" w:hAnsiTheme="minorEastAsia" w:eastAsiaTheme="minorEastAsia" w:cstheme="minorEastAsia"/>
                <w:bCs/>
                <w:color w:val="000000"/>
                <w:kern w:val="0"/>
                <w:sz w:val="24"/>
                <w:szCs w:val="24"/>
                <w:lang w:val="en-US" w:eastAsia="zh-CN"/>
              </w:rPr>
              <w:t>有效</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1C602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402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CC3CAC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FE7D96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rPr>
              <w:t>维保记录</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D9F412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rPr>
              <w:t>近1年的电梯维保记录</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54E314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C734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B23A94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3</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7616F2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设备运行状况</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056724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snapToGrid w:val="0"/>
                <w:color w:val="000000"/>
                <w:spacing w:val="-8"/>
                <w:kern w:val="0"/>
                <w:sz w:val="24"/>
                <w:szCs w:val="24"/>
                <w:lang w:val="en-US" w:eastAsia="zh-CN"/>
              </w:rPr>
              <w:t>正常，没有异响和抖动</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98730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E209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7DE01AF">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4</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5901E3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主驱动链</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0B0E84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运转正常，电气安全保护装置动作有效（如有）</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647D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3C57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E81F7F">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5</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2FC7A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制动器状态监测开关</w:t>
            </w:r>
          </w:p>
        </w:tc>
        <w:tc>
          <w:tcPr>
            <w:tcW w:w="6067" w:type="dxa"/>
            <w:tcBorders>
              <w:left w:val="single" w:color="5B5B5B" w:sz="8" w:space="0"/>
              <w:bottom w:val="single" w:color="5B5B5B" w:sz="8" w:space="0"/>
              <w:right w:val="single" w:color="5B5B5B" w:sz="8" w:space="0"/>
            </w:tcBorders>
            <w:shd w:val="clear" w:color="auto" w:fill="FEFEFE"/>
            <w:noWrap w:val="0"/>
            <w:vAlign w:val="center"/>
          </w:tcPr>
          <w:p w14:paraId="6856126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工作正常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CCF653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974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DB4C5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6</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76A56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检修控制装置</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B2D437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工作正常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8BD30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E2C8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DC353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7</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15742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梳齿板开关</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D8A92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有效触发，工作正常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34AD64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8D02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right w:val="single" w:color="5B5B5B" w:sz="8" w:space="0"/>
            </w:tcBorders>
            <w:shd w:val="clear" w:color="auto" w:fill="FEFEFE"/>
            <w:noWrap w:val="0"/>
            <w:vAlign w:val="center"/>
          </w:tcPr>
          <w:p w14:paraId="3DE8B88F">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8</w:t>
            </w:r>
          </w:p>
        </w:tc>
        <w:tc>
          <w:tcPr>
            <w:tcW w:w="2054" w:type="dxa"/>
            <w:tcBorders>
              <w:top w:val="single" w:color="5B5B5B" w:sz="8" w:space="0"/>
              <w:left w:val="single" w:color="5B5B5B" w:sz="8" w:space="0"/>
              <w:right w:val="single" w:color="5B5B5B" w:sz="8" w:space="0"/>
            </w:tcBorders>
            <w:shd w:val="clear" w:color="auto" w:fill="FEFEFE"/>
            <w:noWrap w:val="0"/>
            <w:vAlign w:val="center"/>
          </w:tcPr>
          <w:p w14:paraId="32C9764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梳齿板梳齿与踏板面齿槽、导向胶带</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C1BE73">
            <w:pPr>
              <w:keepNext w:val="0"/>
              <w:keepLines w:val="0"/>
              <w:pageBreakBefore w:val="0"/>
              <w:widowControl w:val="0"/>
              <w:kinsoku/>
              <w:wordWrap/>
              <w:overflowPunct/>
              <w:topLinePunct w:val="0"/>
              <w:autoSpaceDE/>
              <w:autoSpaceDN/>
              <w:bidi w:val="0"/>
              <w:spacing w:line="280" w:lineRule="exac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梳齿板、齿槽等完好无损</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53FDA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4288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7D42AAA">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9</w:t>
            </w:r>
          </w:p>
        </w:tc>
        <w:tc>
          <w:tcPr>
            <w:tcW w:w="2054" w:type="dxa"/>
            <w:tcBorders>
              <w:top w:val="single" w:color="5B5B5B" w:sz="8" w:space="0"/>
              <w:left w:val="single" w:color="5B5B5B" w:sz="8" w:space="0"/>
              <w:bottom w:val="single" w:color="5B5B5B" w:sz="8" w:space="0"/>
              <w:right w:val="single" w:color="auto" w:sz="4" w:space="0"/>
            </w:tcBorders>
            <w:shd w:val="clear" w:color="auto" w:fill="FEFEFE"/>
            <w:noWrap w:val="0"/>
            <w:vAlign w:val="center"/>
          </w:tcPr>
          <w:p w14:paraId="7486699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检修盖板和楼层板</w:t>
            </w:r>
          </w:p>
        </w:tc>
        <w:tc>
          <w:tcPr>
            <w:tcW w:w="6067" w:type="dxa"/>
            <w:tcBorders>
              <w:top w:val="single" w:color="5B5B5B" w:sz="8" w:space="0"/>
              <w:left w:val="single" w:color="auto" w:sz="4" w:space="0"/>
              <w:bottom w:val="single" w:color="5B5B5B" w:sz="8" w:space="0"/>
              <w:right w:val="single" w:color="5B5B5B" w:sz="8" w:space="0"/>
            </w:tcBorders>
            <w:shd w:val="clear" w:color="auto" w:fill="FEFEFE"/>
            <w:noWrap w:val="0"/>
            <w:vAlign w:val="center"/>
          </w:tcPr>
          <w:p w14:paraId="4311E18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防倾覆或者翻转措施和监控装置有效、可靠</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6E7B1D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FFD0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BFB6FC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10</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9E925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防护挡板</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A0E368">
            <w:pPr>
              <w:pStyle w:val="12"/>
              <w:keepNext w:val="0"/>
              <w:keepLines w:val="0"/>
              <w:pageBreakBefore w:val="0"/>
              <w:widowControl w:val="0"/>
              <w:kinsoku/>
              <w:wordWrap/>
              <w:overflowPunct/>
              <w:topLinePunct w:val="0"/>
              <w:autoSpaceDE/>
              <w:autoSpaceDN/>
              <w:bidi w:val="0"/>
              <w:adjustRightInd w:val="0"/>
              <w:snapToGrid w:val="0"/>
              <w:spacing w:after="0" w:line="280" w:lineRule="exact"/>
              <w:ind w:left="0" w:leftChars="0" w:firstLine="0" w:firstLineChars="0"/>
              <w:textAlignment w:val="auto"/>
              <w:rPr>
                <w:rFonts w:hint="eastAsia" w:asciiTheme="minorEastAsia" w:hAnsiTheme="minorEastAsia" w:eastAsiaTheme="minorEastAsia" w:cstheme="minorEastAsia"/>
                <w:bCs/>
                <w:snapToGrid w:val="0"/>
                <w:color w:val="000000"/>
                <w:sz w:val="24"/>
                <w:szCs w:val="24"/>
                <w:lang w:val="en-US" w:eastAsia="zh-CN"/>
              </w:rPr>
            </w:pPr>
            <w:r>
              <w:rPr>
                <w:rFonts w:hint="eastAsia" w:asciiTheme="minorEastAsia" w:hAnsiTheme="minorEastAsia" w:eastAsiaTheme="minorEastAsia" w:cstheme="minorEastAsia"/>
                <w:bCs/>
                <w:snapToGrid w:val="0"/>
                <w:color w:val="000000"/>
                <w:sz w:val="24"/>
                <w:szCs w:val="24"/>
                <w:lang w:val="en-US" w:eastAsia="zh-CN"/>
              </w:rPr>
              <w:t>有效，无破损</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3066AC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9962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8CB51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11</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0DC9CC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梯级、踏板与围裙板</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7A4F1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任一侧的水平间隙及两侧间隙之和符合标准值</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943A7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9298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13047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12</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743249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扶手带入口处保护开关</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BD152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动作灵活可靠</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F1011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33D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B176E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13</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68D8E3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上下出入口和扶梯之间保护栏杆</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0FE49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设置符合要求，牢固可靠</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715E70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B1D1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A4DCE7">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14</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E9F95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出入口安全警示标志</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41045F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齐全，醒目</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54BF21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615B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D9D981">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15</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FF207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分离机房、各驱动和转向站</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25C6B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清洁，无杂物</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DDD7F1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BDA7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6E558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16</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F91BFB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紧急停止开关</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8146F0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工作正常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996A5E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AF59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B8A510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17</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3B3AB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急停开关</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859E7E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i w:val="0"/>
                <w:iCs w:val="0"/>
                <w:caps w:val="0"/>
                <w:spacing w:val="8"/>
                <w:sz w:val="24"/>
                <w:szCs w:val="24"/>
                <w:shd w:val="clear" w:color="auto" w:fill="FFFFFF"/>
              </w:rPr>
              <w:t>工作正常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6FE75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D73C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ACDD3F1">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18</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12AED7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扶手带的运行速度</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4870B0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相对于梯级、踏板或者胶带的速度允差为0～＋2％</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71CBFB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8732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93EB8F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19</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86F6E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梯级链张紧装置</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03180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工作正常、开关位置正确，动作正常</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9ABFCD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AC06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C9CBA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20</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B1B0A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空载向下运行制动距离</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BF70A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符合标准值</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CAB73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BFBA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3AC86C">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21</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CD4102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制动器机械装置</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E4D38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i w:val="0"/>
                <w:iCs w:val="0"/>
                <w:caps w:val="0"/>
                <w:spacing w:val="8"/>
                <w:sz w:val="24"/>
                <w:szCs w:val="24"/>
                <w:shd w:val="clear" w:color="auto" w:fill="FFFFFF"/>
              </w:rPr>
              <w:t>润滑，工作有效</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4576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6BA9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86B2C6">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22</w:t>
            </w:r>
          </w:p>
        </w:tc>
        <w:tc>
          <w:tcPr>
            <w:tcW w:w="2054"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5CC931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到达现场时间</w:t>
            </w:r>
          </w:p>
        </w:tc>
        <w:tc>
          <w:tcPr>
            <w:tcW w:w="606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293FE9">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维保人员在接到抽查电话后应在法律法规安全技术规范规定的时限内到达抽查现场</w:t>
            </w:r>
          </w:p>
        </w:tc>
        <w:tc>
          <w:tcPr>
            <w:tcW w:w="901"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2E608B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8B71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02" w:hRule="atLeast"/>
          <w:jc w:val="center"/>
        </w:trPr>
        <w:tc>
          <w:tcPr>
            <w:tcW w:w="97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55D9C1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center"/>
              <w:textAlignment w:val="auto"/>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23</w:t>
            </w:r>
          </w:p>
        </w:tc>
        <w:tc>
          <w:tcPr>
            <w:tcW w:w="9022" w:type="dxa"/>
            <w:gridSpan w:val="3"/>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E144FC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kern w:val="0"/>
                <w:sz w:val="24"/>
                <w:szCs w:val="24"/>
              </w:rPr>
              <w:t>其它严重事故隐患等问题</w:t>
            </w:r>
            <w:r>
              <w:rPr>
                <w:rFonts w:hint="eastAsia" w:asciiTheme="minorEastAsia" w:hAnsiTheme="minorEastAsia" w:eastAsiaTheme="minorEastAsia" w:cstheme="minorEastAsia"/>
                <w:bCs/>
                <w:color w:val="000000"/>
                <w:kern w:val="0"/>
                <w:sz w:val="24"/>
                <w:szCs w:val="24"/>
                <w:lang w:eastAsia="zh-CN"/>
              </w:rPr>
              <w:t>：</w:t>
            </w:r>
          </w:p>
        </w:tc>
      </w:tr>
    </w:tbl>
    <w:p w14:paraId="320675A4">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122BB54A">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3484C391">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08F61E0B">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6B742F65">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48188C3E">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305E3FD9">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3D28DFA8">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40662EDC">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44B935EE">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0CE22D83">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32DC7F46">
      <w:pPr>
        <w:adjustRightInd w:val="0"/>
        <w:snapToGrid w:val="0"/>
        <w:jc w:val="center"/>
        <w:rPr>
          <w:rFonts w:hint="eastAsia" w:asciiTheme="minorEastAsia" w:hAnsiTheme="minorEastAsia" w:eastAsiaTheme="minorEastAsia" w:cstheme="minorEastAsia"/>
          <w:sz w:val="24"/>
          <w:szCs w:val="24"/>
        </w:rPr>
      </w:pPr>
    </w:p>
    <w:p w14:paraId="1566AD9B">
      <w:pPr>
        <w:adjustRightInd w:val="0"/>
        <w:snapToGrid w:val="0"/>
        <w:jc w:val="center"/>
        <w:rPr>
          <w:rFonts w:hint="eastAsia" w:asciiTheme="minorEastAsia" w:hAnsiTheme="minorEastAsia" w:eastAsiaTheme="minorEastAsia" w:cstheme="minorEastAsia"/>
          <w:sz w:val="24"/>
          <w:szCs w:val="24"/>
        </w:rPr>
      </w:pPr>
    </w:p>
    <w:p w14:paraId="75BADB6E">
      <w:pPr>
        <w:adjustRightInd w:val="0"/>
        <w:snapToGrid w:val="0"/>
        <w:jc w:val="center"/>
        <w:rPr>
          <w:rFonts w:hint="eastAsia" w:asciiTheme="minorEastAsia" w:hAnsiTheme="minorEastAsia" w:eastAsiaTheme="minorEastAsia" w:cstheme="minorEastAsia"/>
          <w:sz w:val="24"/>
          <w:szCs w:val="24"/>
        </w:rPr>
      </w:pPr>
    </w:p>
    <w:p w14:paraId="297D9C14">
      <w:pPr>
        <w:snapToGrid w:val="0"/>
        <w:spacing w:line="560" w:lineRule="exact"/>
        <w:contextualSpacing/>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电梯维保质量抽查项目（曳引）</w:t>
      </w:r>
    </w:p>
    <w:p w14:paraId="37CAC99D">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27"/>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3"/>
        <w:gridCol w:w="2443"/>
        <w:gridCol w:w="5307"/>
        <w:gridCol w:w="1300"/>
      </w:tblGrid>
      <w:tr w14:paraId="2B637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953"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4FC40A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7750" w:type="dxa"/>
            <w:gridSpan w:val="2"/>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7B128E1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抽查项目及其内容</w:t>
            </w:r>
          </w:p>
        </w:tc>
        <w:tc>
          <w:tcPr>
            <w:tcW w:w="1300" w:type="dxa"/>
            <w:tcBorders>
              <w:top w:val="single" w:color="5B5B5B" w:sz="8" w:space="0"/>
              <w:left w:val="single" w:color="5B5B5B" w:sz="8" w:space="0"/>
              <w:bottom w:val="single" w:color="5B5B5B" w:sz="8" w:space="0"/>
              <w:right w:val="single" w:color="5B5B5B" w:sz="8" w:space="0"/>
            </w:tcBorders>
            <w:shd w:val="clear" w:color="auto" w:fill="DCDCDC"/>
            <w:noWrap w:val="0"/>
            <w:vAlign w:val="center"/>
          </w:tcPr>
          <w:p w14:paraId="360B121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备注</w:t>
            </w:r>
          </w:p>
        </w:tc>
      </w:tr>
      <w:tr w14:paraId="19A05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0C7B9B">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55DAB0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保养合同</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AB783F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rPr>
              <w:t>日常维护保养合同</w:t>
            </w:r>
            <w:r>
              <w:rPr>
                <w:rFonts w:hint="eastAsia" w:asciiTheme="minorEastAsia" w:hAnsiTheme="minorEastAsia" w:eastAsiaTheme="minorEastAsia" w:cstheme="minorEastAsia"/>
                <w:bCs/>
                <w:color w:val="000000"/>
                <w:kern w:val="0"/>
                <w:sz w:val="24"/>
                <w:szCs w:val="24"/>
                <w:lang w:val="en-US" w:eastAsia="zh-CN"/>
              </w:rPr>
              <w:t>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F57997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BC81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2AFC33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B15396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lang w:val="en-US" w:eastAsia="zh-CN"/>
              </w:rPr>
              <w:t>维保记录</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26E966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近1年的电梯维保记录</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B4E7F9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66E7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F383B21">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3</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41B3A0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制动器</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B30C2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snapToGrid w:val="0"/>
                <w:color w:val="000000"/>
                <w:spacing w:val="-8"/>
                <w:kern w:val="0"/>
                <w:sz w:val="24"/>
                <w:szCs w:val="24"/>
                <w:lang w:val="en-US" w:eastAsia="zh-CN"/>
              </w:rPr>
            </w:pPr>
            <w:r>
              <w:rPr>
                <w:rFonts w:hint="eastAsia" w:asciiTheme="minorEastAsia" w:hAnsiTheme="minorEastAsia" w:eastAsiaTheme="minorEastAsia" w:cstheme="minorEastAsia"/>
                <w:bCs/>
                <w:snapToGrid w:val="0"/>
                <w:color w:val="000000"/>
                <w:spacing w:val="-8"/>
                <w:kern w:val="0"/>
                <w:sz w:val="24"/>
                <w:szCs w:val="24"/>
                <w:lang w:val="en-US" w:eastAsia="zh-CN"/>
              </w:rPr>
              <w:t>工作正常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4E3ED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2033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AF048C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4</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7E8F21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限速器各销轴部位</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BBEAC0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润滑，转动灵活；电气开关正常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44A312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4FE2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70CD55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5</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1816FE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限速器电气装置</w:t>
            </w:r>
          </w:p>
        </w:tc>
        <w:tc>
          <w:tcPr>
            <w:tcW w:w="5307" w:type="dxa"/>
            <w:tcBorders>
              <w:left w:val="single" w:color="5B5B5B" w:sz="8" w:space="0"/>
              <w:bottom w:val="single" w:color="5B5B5B" w:sz="8" w:space="0"/>
              <w:right w:val="single" w:color="5B5B5B" w:sz="8" w:space="0"/>
            </w:tcBorders>
            <w:shd w:val="clear" w:color="auto" w:fill="FEFEFE"/>
            <w:noWrap w:val="0"/>
            <w:vAlign w:val="center"/>
          </w:tcPr>
          <w:p w14:paraId="76BBD0F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工作正常、电气安全装置功能有效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BFF018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E2D5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B3FC95">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6</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ECD7BD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限速器安全钳联动试验</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2A5CC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有效制停轿厢</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E1DDB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9302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EBEF167">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7</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676B98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曳引轮槽</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0F21FA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曳引轮轮槽不得有缺损或者不正常磨损</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374B4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1E20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953" w:type="dxa"/>
            <w:tcBorders>
              <w:top w:val="single" w:color="5B5B5B" w:sz="8" w:space="0"/>
              <w:left w:val="single" w:color="5B5B5B" w:sz="8" w:space="0"/>
              <w:right w:val="single" w:color="5B5B5B" w:sz="8" w:space="0"/>
            </w:tcBorders>
            <w:shd w:val="clear" w:color="auto" w:fill="FEFEFE"/>
            <w:noWrap w:val="0"/>
            <w:vAlign w:val="center"/>
          </w:tcPr>
          <w:p w14:paraId="0FAEB9C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8</w:t>
            </w:r>
          </w:p>
        </w:tc>
        <w:tc>
          <w:tcPr>
            <w:tcW w:w="2443" w:type="dxa"/>
            <w:tcBorders>
              <w:top w:val="single" w:color="5B5B5B" w:sz="8" w:space="0"/>
              <w:left w:val="single" w:color="5B5B5B" w:sz="8" w:space="0"/>
              <w:right w:val="single" w:color="5B5B5B" w:sz="8" w:space="0"/>
            </w:tcBorders>
            <w:shd w:val="clear" w:color="auto" w:fill="FEFEFE"/>
            <w:noWrap w:val="0"/>
            <w:vAlign w:val="center"/>
          </w:tcPr>
          <w:p w14:paraId="38E7080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000000"/>
                <w:kern w:val="0"/>
                <w:sz w:val="24"/>
                <w:szCs w:val="24"/>
              </w:rPr>
              <w:t>悬挂装置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698550">
            <w:pPr>
              <w:keepNext w:val="0"/>
              <w:keepLines w:val="0"/>
              <w:pageBreakBefore w:val="0"/>
              <w:widowControl w:val="0"/>
              <w:kinsoku/>
              <w:wordWrap/>
              <w:overflowPunct/>
              <w:topLinePunct w:val="0"/>
              <w:autoSpaceDE/>
              <w:autoSpaceDN/>
              <w:bidi w:val="0"/>
              <w:spacing w:line="280" w:lineRule="exac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悬挂装置正常，磨损符合相关要求</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FA345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A16C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EB94AA">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9</w:t>
            </w:r>
          </w:p>
        </w:tc>
        <w:tc>
          <w:tcPr>
            <w:tcW w:w="2443" w:type="dxa"/>
            <w:tcBorders>
              <w:top w:val="single" w:color="5B5B5B" w:sz="8" w:space="0"/>
              <w:left w:val="single" w:color="5B5B5B" w:sz="8" w:space="0"/>
              <w:bottom w:val="single" w:color="5B5B5B" w:sz="8" w:space="0"/>
              <w:right w:val="single" w:color="auto" w:sz="4" w:space="0"/>
            </w:tcBorders>
            <w:shd w:val="clear" w:color="auto" w:fill="FEFEFE"/>
            <w:noWrap w:val="0"/>
            <w:vAlign w:val="center"/>
          </w:tcPr>
          <w:p w14:paraId="315031B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轿内报警装置、对讲系统</w:t>
            </w:r>
          </w:p>
        </w:tc>
        <w:tc>
          <w:tcPr>
            <w:tcW w:w="5307" w:type="dxa"/>
            <w:tcBorders>
              <w:top w:val="single" w:color="5B5B5B" w:sz="8" w:space="0"/>
              <w:left w:val="single" w:color="auto" w:sz="4" w:space="0"/>
              <w:bottom w:val="single" w:color="5B5B5B" w:sz="8" w:space="0"/>
              <w:right w:val="single" w:color="5B5B5B" w:sz="8" w:space="0"/>
            </w:tcBorders>
            <w:shd w:val="clear" w:color="auto" w:fill="FEFEFE"/>
            <w:noWrap w:val="0"/>
            <w:vAlign w:val="center"/>
          </w:tcPr>
          <w:p w14:paraId="0B3A32A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inorEastAsia" w:hAnsiTheme="minorEastAsia" w:eastAsiaTheme="minorEastAsia" w:cstheme="minorEastAsia"/>
                <w:bCs/>
                <w:snapToGrid w:val="0"/>
                <w:color w:val="000000"/>
                <w:kern w:val="0"/>
                <w:sz w:val="24"/>
                <w:szCs w:val="24"/>
                <w:lang w:val="en-US" w:eastAsia="zh-CN"/>
              </w:rPr>
            </w:pPr>
            <w:r>
              <w:rPr>
                <w:rFonts w:hint="eastAsia" w:asciiTheme="minorEastAsia" w:hAnsiTheme="minorEastAsia" w:eastAsiaTheme="minorEastAsia" w:cstheme="minorEastAsia"/>
                <w:bCs/>
                <w:snapToGrid w:val="0"/>
                <w:color w:val="000000"/>
                <w:kern w:val="0"/>
                <w:sz w:val="24"/>
                <w:szCs w:val="24"/>
                <w:lang w:val="en-US" w:eastAsia="zh-CN"/>
              </w:rPr>
              <w:t>标识明显、工作正常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B25DF3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81F8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60FF61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10</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18E19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轿门防撞击保护装置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1DCB31">
            <w:pPr>
              <w:pStyle w:val="12"/>
              <w:keepNext w:val="0"/>
              <w:keepLines w:val="0"/>
              <w:pageBreakBefore w:val="0"/>
              <w:widowControl w:val="0"/>
              <w:kinsoku/>
              <w:wordWrap/>
              <w:overflowPunct/>
              <w:topLinePunct w:val="0"/>
              <w:autoSpaceDE/>
              <w:autoSpaceDN/>
              <w:bidi w:val="0"/>
              <w:adjustRightInd w:val="0"/>
              <w:snapToGrid w:val="0"/>
              <w:spacing w:line="280" w:lineRule="exact"/>
              <w:ind w:firstLine="0"/>
              <w:textAlignment w:val="auto"/>
              <w:rPr>
                <w:rFonts w:hint="eastAsia" w:asciiTheme="minorEastAsia" w:hAnsiTheme="minorEastAsia" w:eastAsiaTheme="minorEastAsia" w:cstheme="minorEastAsia"/>
                <w:bCs/>
                <w:snapToGrid w:val="0"/>
                <w:color w:val="000000"/>
                <w:sz w:val="24"/>
                <w:szCs w:val="24"/>
                <w:lang w:val="en-US" w:eastAsia="zh-CN"/>
              </w:rPr>
            </w:pPr>
            <w:r>
              <w:rPr>
                <w:rFonts w:hint="eastAsia" w:asciiTheme="minorEastAsia" w:hAnsiTheme="minorEastAsia" w:eastAsiaTheme="minorEastAsia" w:cstheme="minorEastAsia"/>
                <w:bCs/>
                <w:snapToGrid w:val="0"/>
                <w:color w:val="000000"/>
                <w:sz w:val="24"/>
                <w:szCs w:val="24"/>
                <w:lang w:val="en-US" w:eastAsia="zh-CN"/>
              </w:rPr>
              <w:t>功能正常有效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0AC93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7D6B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73616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11</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2A4EED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轿门开门限制装置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E02FFA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设备齐全、工作正常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4DB4C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0655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A286AB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12</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F550EE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层门自动关门装置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9DB7C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7A9E3C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3B09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E54BD4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13</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82BDAA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层门锁紧元件啮合长度</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68958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不小于7mm</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F9C02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23401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E0FA65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14</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3750D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验证层门、轿门关闭的电气安全装置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BE7D46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清洁,触点接触良好，电气安全装置功能有效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3DC8FA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E37C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C79926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15</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6AFC56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轿顶检修开关、急停开关</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067D4A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易于接近、标识清晰、功能正常有效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AF1A40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D655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0E32985">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16</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850DF7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对重/平衡重块及其压板</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0A92FC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对重/平衡重块无松动，压板紧固</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E33DA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7DCE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FF44B12">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17</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C3A2A8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安全钳电气装置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25F947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i w:val="0"/>
                <w:iCs w:val="0"/>
                <w:caps w:val="0"/>
                <w:spacing w:val="8"/>
                <w:sz w:val="24"/>
                <w:szCs w:val="24"/>
                <w:shd w:val="clear" w:color="auto" w:fill="FFFFFF"/>
              </w:rPr>
              <w:t>工作正常、电气安全装置功能有效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6E3C16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C8AA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A701DAA">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18</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58F21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上下极限开关</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6152B4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i w:val="0"/>
                <w:iCs w:val="0"/>
                <w:caps w:val="0"/>
                <w:spacing w:val="8"/>
                <w:sz w:val="24"/>
                <w:szCs w:val="24"/>
                <w:shd w:val="clear" w:color="auto" w:fill="FFFFFF"/>
              </w:rPr>
              <w:t>运作正常、有效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AE9E4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32ED2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D0833D3">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19</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BCD6C6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底坑环境</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8B367E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清洁，无渗水、积水，照明正常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6E259B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1FB95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EDAAA1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20</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7A1ACA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底坑急停开关</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2D57EB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标识明显、工作正常</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D856E0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48BC3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9240D3D">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21</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4092B8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缓冲器状态</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9B71D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缓冲器完好，固定可靠</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C9FB0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872B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F794F5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22</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AC2339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耗能型缓冲器</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462F53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电气安全装置功能有效，油位正常，柱塞无锈蚀</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BB372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C69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40A09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23</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7236B1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限速器张紧轮装置和电气安全装置</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D89A6A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工作正常、电气安全装置功能有效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5458F0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7841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3718A5E">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24</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77A64A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层站召唤、层楼显示</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C95EA2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齐全、有效</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D30377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5DDF5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E10692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25</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9136D8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主机、轿顶、轿厢架、轿门及其附件</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1C74C8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无严重老化、腐蚀或生锈情况，安装螺栓紧固</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89ADC8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36E1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27AD4B7">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26</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323AEC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乘运质量、噪声</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27C4BF2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电梯运行无不正常震动、噪音在范围内</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38877E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7A435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5E838F18">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27</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713E7A2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应急救援</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8ECBB7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困人情况下维保人员应按照救援方法放出被困人员</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D1266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68BF7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05324DB4">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440" w:leftChars="0" w:hanging="440" w:firstLineChars="0"/>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28</w:t>
            </w:r>
          </w:p>
        </w:tc>
        <w:tc>
          <w:tcPr>
            <w:tcW w:w="244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63D20ED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到达现场时间</w:t>
            </w:r>
          </w:p>
        </w:tc>
        <w:tc>
          <w:tcPr>
            <w:tcW w:w="5307"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491AF37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维保人员在接到抽查电话后应在法律法规安全技术规范规定的时限内到达抽查现场</w:t>
            </w:r>
          </w:p>
        </w:tc>
        <w:tc>
          <w:tcPr>
            <w:tcW w:w="1300"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0C78B8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Cs/>
                <w:color w:val="000000"/>
                <w:sz w:val="24"/>
                <w:szCs w:val="24"/>
              </w:rPr>
            </w:pPr>
          </w:p>
        </w:tc>
      </w:tr>
      <w:tr w14:paraId="0CF61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502" w:hRule="atLeast"/>
          <w:jc w:val="center"/>
        </w:trPr>
        <w:tc>
          <w:tcPr>
            <w:tcW w:w="953" w:type="dxa"/>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10964260">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center"/>
              <w:textAlignment w:val="auto"/>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29</w:t>
            </w:r>
          </w:p>
        </w:tc>
        <w:tc>
          <w:tcPr>
            <w:tcW w:w="9050" w:type="dxa"/>
            <w:gridSpan w:val="3"/>
            <w:tcBorders>
              <w:top w:val="single" w:color="5B5B5B" w:sz="8" w:space="0"/>
              <w:left w:val="single" w:color="5B5B5B" w:sz="8" w:space="0"/>
              <w:bottom w:val="single" w:color="5B5B5B" w:sz="8" w:space="0"/>
              <w:right w:val="single" w:color="5B5B5B" w:sz="8" w:space="0"/>
            </w:tcBorders>
            <w:shd w:val="clear" w:color="auto" w:fill="FEFEFE"/>
            <w:noWrap w:val="0"/>
            <w:vAlign w:val="center"/>
          </w:tcPr>
          <w:p w14:paraId="3E24BE9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kern w:val="0"/>
                <w:sz w:val="24"/>
                <w:szCs w:val="24"/>
              </w:rPr>
              <w:t>其它严重事故隐患等问题</w:t>
            </w:r>
            <w:r>
              <w:rPr>
                <w:rFonts w:hint="eastAsia" w:asciiTheme="minorEastAsia" w:hAnsiTheme="minorEastAsia" w:eastAsiaTheme="minorEastAsia" w:cstheme="minorEastAsia"/>
                <w:bCs/>
                <w:color w:val="000000"/>
                <w:kern w:val="0"/>
                <w:sz w:val="24"/>
                <w:szCs w:val="24"/>
                <w:lang w:eastAsia="zh-CN"/>
              </w:rPr>
              <w:t>：</w:t>
            </w:r>
          </w:p>
        </w:tc>
      </w:tr>
    </w:tbl>
    <w:p w14:paraId="1EE7FD6C">
      <w:pPr>
        <w:snapToGrid w:val="0"/>
        <w:spacing w:line="560" w:lineRule="exact"/>
        <w:ind w:firstLine="480" w:firstLineChars="200"/>
        <w:contextualSpacing/>
        <w:rPr>
          <w:rFonts w:hint="eastAsia" w:asciiTheme="minorEastAsia" w:hAnsiTheme="minorEastAsia" w:eastAsiaTheme="minorEastAsia" w:cstheme="minorEastAsia"/>
          <w:sz w:val="24"/>
          <w:szCs w:val="24"/>
        </w:rPr>
      </w:pPr>
    </w:p>
    <w:p w14:paraId="7A32B5A1">
      <w:pPr>
        <w:numPr>
          <w:ilvl w:val="0"/>
          <w:numId w:val="0"/>
        </w:numPr>
        <w:adjustRightInd w:val="0"/>
        <w:snapToGrid w:val="0"/>
        <w:spacing w:line="500" w:lineRule="exact"/>
        <w:rPr>
          <w:rFonts w:hint="default" w:ascii="宋体" w:hAnsi="宋体" w:eastAsia="宋体" w:cs="宋体"/>
          <w:b/>
          <w:color w:val="auto"/>
          <w:kern w:val="0"/>
          <w:sz w:val="24"/>
          <w:highlight w:val="none"/>
          <w:lang w:val="en-US" w:eastAsia="zh-CN"/>
        </w:rPr>
      </w:pPr>
    </w:p>
    <w:p w14:paraId="58640EF7">
      <w:pPr>
        <w:snapToGrid w:val="0"/>
        <w:spacing w:line="560" w:lineRule="exact"/>
        <w:contextualSpacing/>
        <w:rPr>
          <w:rFonts w:hint="eastAsia" w:ascii="宋体" w:hAnsi="宋体" w:cs="宋体"/>
          <w:b/>
          <w:bCs/>
          <w:sz w:val="30"/>
          <w:szCs w:val="30"/>
          <w:lang w:val="en-US" w:eastAsia="zh-CN"/>
        </w:rPr>
      </w:pPr>
      <w:bookmarkStart w:id="100" w:name="_Toc19603"/>
    </w:p>
    <w:p w14:paraId="521669FD">
      <w:pPr>
        <w:snapToGrid w:val="0"/>
        <w:spacing w:line="560" w:lineRule="exact"/>
        <w:contextualSpacing/>
        <w:rPr>
          <w:rFonts w:hint="eastAsia" w:ascii="宋体" w:hAnsi="宋体" w:cs="宋体"/>
          <w:b/>
          <w:bCs/>
          <w:sz w:val="30"/>
          <w:szCs w:val="30"/>
          <w:lang w:val="en-US" w:eastAsia="zh-CN"/>
        </w:rPr>
      </w:pPr>
    </w:p>
    <w:p w14:paraId="29220FD4">
      <w:pPr>
        <w:adjustRightInd w:val="0"/>
        <w:snapToGrid w:val="0"/>
        <w:spacing w:line="50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三、其他要求</w:t>
      </w:r>
    </w:p>
    <w:p w14:paraId="1FC7B142">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（一）监督抽查项目完成后按每台电梯出具抽查结果报告，抽查报告中抽查结论按如下方式作出判定：</w:t>
      </w:r>
    </w:p>
    <w:p w14:paraId="2BFD7ED8">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1、××电梯监督抽查项目全部符合相应标准要求的，抽查结论为：“经抽查，所抽查项目符合标准要求”；合格率100%。   </w:t>
      </w:r>
    </w:p>
    <w:p w14:paraId="473FD8FA">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2、××电梯监督抽查项目有不符合相应标准要求的，抽查结论为：“经抽查，</w:t>
      </w:r>
    </w:p>
    <w:p w14:paraId="031A7F81">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（1）电梯维保质量抽查中，××项目不符合TGS ××××-××××《××》标准要求，合格率  %，</w:t>
      </w:r>
    </w:p>
    <w:p w14:paraId="4E8BFF61">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不合格率  %”。</w:t>
      </w:r>
    </w:p>
    <w:p w14:paraId="7031E762">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（2）电梯使用单位管理抽查中，××项目不符合TGS ××××-××××《××》标准要求，合格率  %，不合格率  %”。</w:t>
      </w:r>
    </w:p>
    <w:p w14:paraId="5B95E42F">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（3）电梯检测质量抽查中，××项目不符合TGS ××××-××××《××》标准要求，合格率  %，不合格率  %”。</w:t>
      </w:r>
    </w:p>
    <w:p w14:paraId="2182C37D">
      <w:pPr>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（二）监督抽查项目必须按照国家、行业要求执行。</w:t>
      </w:r>
    </w:p>
    <w:p w14:paraId="61604317">
      <w:pPr>
        <w:spacing w:line="360" w:lineRule="auto"/>
        <w:ind w:firstLine="480" w:firstLineChars="200"/>
        <w:jc w:val="left"/>
        <w:rPr>
          <w:rFonts w:hint="eastAsia" w:ascii="宋体" w:hAnsi="宋体" w:eastAsia="宋体" w:cs="宋体"/>
          <w:color w:val="auto"/>
          <w:sz w:val="24"/>
          <w:highlight w:val="none"/>
          <w:lang w:val="en-US" w:eastAsia="zh-CN"/>
        </w:rPr>
      </w:pPr>
    </w:p>
    <w:p w14:paraId="4D4C931F">
      <w:pPr>
        <w:pStyle w:val="2"/>
        <w:bidi w:val="0"/>
        <w:spacing w:before="0" w:after="0" w:afterAutospacing="0" w:line="240" w:lineRule="auto"/>
        <w:jc w:val="center"/>
        <w:rPr>
          <w:rFonts w:hint="eastAsia"/>
        </w:rPr>
      </w:pPr>
    </w:p>
    <w:p w14:paraId="048BE249">
      <w:pPr>
        <w:pStyle w:val="2"/>
        <w:bidi w:val="0"/>
        <w:spacing w:before="0" w:after="0" w:afterAutospacing="0" w:line="240" w:lineRule="auto"/>
        <w:jc w:val="center"/>
        <w:rPr>
          <w:rFonts w:hint="eastAsia"/>
        </w:rPr>
      </w:pPr>
    </w:p>
    <w:p w14:paraId="6FD4BFDC">
      <w:pPr>
        <w:pStyle w:val="2"/>
        <w:bidi w:val="0"/>
        <w:spacing w:before="0" w:after="0" w:afterAutospacing="0" w:line="240" w:lineRule="auto"/>
        <w:jc w:val="center"/>
        <w:rPr>
          <w:rFonts w:hint="eastAsia"/>
        </w:rPr>
      </w:pPr>
    </w:p>
    <w:p w14:paraId="233E1E20">
      <w:pPr>
        <w:pStyle w:val="2"/>
        <w:bidi w:val="0"/>
        <w:spacing w:before="0" w:after="0" w:afterAutospacing="0" w:line="240" w:lineRule="auto"/>
        <w:jc w:val="center"/>
        <w:rPr>
          <w:rFonts w:hint="eastAsia"/>
        </w:rPr>
      </w:pPr>
    </w:p>
    <w:p w14:paraId="0730548A">
      <w:pPr>
        <w:rPr>
          <w:rFonts w:hint="eastAsia"/>
        </w:rPr>
      </w:pPr>
    </w:p>
    <w:p w14:paraId="080083B4">
      <w:pPr>
        <w:rPr>
          <w:rFonts w:hint="eastAsia"/>
        </w:rPr>
      </w:pPr>
    </w:p>
    <w:p w14:paraId="378EBD69">
      <w:pPr>
        <w:rPr>
          <w:rFonts w:hint="eastAsia"/>
        </w:rPr>
      </w:pPr>
    </w:p>
    <w:p w14:paraId="6C920349">
      <w:pPr>
        <w:rPr>
          <w:rFonts w:hint="eastAsia"/>
        </w:rPr>
      </w:pPr>
    </w:p>
    <w:p w14:paraId="715E963A">
      <w:pPr>
        <w:rPr>
          <w:rFonts w:hint="eastAsia"/>
        </w:rPr>
      </w:pPr>
    </w:p>
    <w:p w14:paraId="1712ADF5">
      <w:pPr>
        <w:rPr>
          <w:rFonts w:hint="eastAsia"/>
        </w:rPr>
      </w:pPr>
    </w:p>
    <w:p w14:paraId="41608D9C">
      <w:pPr>
        <w:pStyle w:val="2"/>
        <w:numPr>
          <w:ilvl w:val="0"/>
          <w:numId w:val="0"/>
        </w:numPr>
        <w:bidi w:val="0"/>
        <w:spacing w:before="0" w:after="0" w:afterAutospacing="0" w:line="240" w:lineRule="auto"/>
        <w:jc w:val="center"/>
        <w:rPr>
          <w:rFonts w:hint="eastAsia" w:ascii="Times New Roman" w:hAnsi="Times New Roman" w:eastAsia="宋体" w:cs="Times New Roman"/>
          <w:b/>
          <w:bCs/>
          <w:kern w:val="44"/>
          <w:sz w:val="30"/>
          <w:szCs w:val="44"/>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A217D4E">
      <w:pPr>
        <w:pStyle w:val="2"/>
        <w:numPr>
          <w:ilvl w:val="0"/>
          <w:numId w:val="0"/>
        </w:numPr>
        <w:bidi w:val="0"/>
        <w:spacing w:before="0" w:after="0" w:afterAutospacing="0" w:line="240" w:lineRule="auto"/>
        <w:jc w:val="center"/>
        <w:rPr>
          <w:rFonts w:hint="eastAsia"/>
          <w:sz w:val="28"/>
          <w:szCs w:val="40"/>
        </w:rPr>
      </w:pPr>
      <w:r>
        <w:rPr>
          <w:rFonts w:hint="eastAsia" w:ascii="Times New Roman" w:hAnsi="Times New Roman" w:eastAsia="宋体" w:cs="Times New Roman"/>
          <w:b/>
          <w:bCs/>
          <w:kern w:val="44"/>
          <w:sz w:val="28"/>
          <w:szCs w:val="40"/>
          <w:lang w:val="en-US" w:eastAsia="zh-CN" w:bidi="ar-SA"/>
        </w:rPr>
        <w:t>第六部分</w:t>
      </w:r>
      <w:r>
        <w:rPr>
          <w:rFonts w:hint="eastAsia"/>
          <w:sz w:val="28"/>
          <w:szCs w:val="40"/>
        </w:rPr>
        <w:t xml:space="preserve">  </w:t>
      </w:r>
      <w:r>
        <w:rPr>
          <w:rFonts w:hint="eastAsia"/>
          <w:sz w:val="28"/>
          <w:szCs w:val="40"/>
          <w:lang w:val="en-US" w:eastAsia="zh-CN"/>
        </w:rPr>
        <w:t>合同原则</w:t>
      </w:r>
    </w:p>
    <w:p w14:paraId="3499E505">
      <w:pPr>
        <w:pStyle w:val="2"/>
        <w:numPr>
          <w:ilvl w:val="0"/>
          <w:numId w:val="0"/>
        </w:numPr>
        <w:bidi w:val="0"/>
        <w:spacing w:before="0" w:after="0" w:afterAutospacing="0" w:line="240" w:lineRule="auto"/>
        <w:jc w:val="center"/>
        <w:rPr>
          <w:rFonts w:hint="eastAsia"/>
          <w:sz w:val="24"/>
          <w:szCs w:val="36"/>
        </w:rPr>
      </w:pPr>
    </w:p>
    <w:p w14:paraId="0B75E4C3">
      <w:pPr>
        <w:pStyle w:val="2"/>
        <w:numPr>
          <w:ilvl w:val="0"/>
          <w:numId w:val="0"/>
        </w:numPr>
        <w:bidi w:val="0"/>
        <w:spacing w:before="0" w:after="0" w:afterAutospacing="0" w:line="240" w:lineRule="auto"/>
        <w:jc w:val="center"/>
        <w:rPr>
          <w:sz w:val="24"/>
          <w:szCs w:val="36"/>
        </w:rPr>
      </w:pPr>
      <w:r>
        <w:rPr>
          <w:rFonts w:hint="eastAsia"/>
          <w:sz w:val="24"/>
          <w:szCs w:val="36"/>
        </w:rPr>
        <w:t>政府采购合同（范本）</w:t>
      </w:r>
      <w:bookmarkEnd w:id="100"/>
    </w:p>
    <w:p w14:paraId="1A6FE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甲方(购买主体):</w:t>
      </w:r>
      <w:bookmarkStart w:id="101" w:name="PO_9325_CC001purchaserName"/>
      <w:r>
        <w:rPr>
          <w:rFonts w:hint="eastAsia" w:ascii="宋体" w:hAnsi="宋体" w:eastAsia="宋体" w:cs="宋体"/>
          <w:sz w:val="24"/>
          <w:szCs w:val="24"/>
          <w:highlight w:val="none"/>
          <w:lang w:eastAsia="zh-CN"/>
        </w:rPr>
        <w:t>孝义市市场监督管理局</w:t>
      </w:r>
      <w:bookmarkEnd w:id="101"/>
    </w:p>
    <w:p w14:paraId="468249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bookmarkStart w:id="102" w:name="PO_9325_CC001purchaserArea"/>
      <w:r>
        <w:rPr>
          <w:rFonts w:hint="eastAsia" w:ascii="宋体" w:hAnsi="宋体" w:eastAsia="宋体" w:cs="宋体"/>
          <w:sz w:val="24"/>
          <w:szCs w:val="24"/>
          <w:highlight w:val="none"/>
          <w:lang w:eastAsia="zh-CN"/>
        </w:rPr>
        <w:t>孝义市府前街425号</w:t>
      </w:r>
      <w:bookmarkEnd w:id="102"/>
    </w:p>
    <w:p w14:paraId="031527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乙方(承接主体):</w:t>
      </w:r>
      <w:r>
        <w:rPr>
          <w:rFonts w:hint="eastAsia" w:ascii="宋体" w:hAnsi="宋体" w:eastAsia="宋体" w:cs="宋体"/>
          <w:sz w:val="24"/>
          <w:szCs w:val="24"/>
          <w:highlight w:val="none"/>
          <w:lang w:val="en-US" w:eastAsia="zh-CN"/>
        </w:rPr>
        <w:t xml:space="preserve"> </w:t>
      </w:r>
    </w:p>
    <w:p w14:paraId="5A2B7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 xml:space="preserve"> </w:t>
      </w:r>
    </w:p>
    <w:p w14:paraId="0BAF9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等相关规定，为保证政府购买服务实效，明确双方的权利义务，甲乙双方在平等、自愿、协商一致的基础上,现就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(项目名称)达成如下合同,以兹共同遵守:</w:t>
      </w:r>
    </w:p>
    <w:p w14:paraId="164D106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项目名称及内容</w:t>
      </w:r>
    </w:p>
    <w:p w14:paraId="2F920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(一)项目名称:</w:t>
      </w:r>
      <w:r>
        <w:rPr>
          <w:rFonts w:hint="eastAsia" w:ascii="宋体" w:hAnsi="宋体" w:eastAsia="宋体" w:cs="宋体"/>
          <w:sz w:val="24"/>
          <w:szCs w:val="24"/>
          <w:highlight w:val="none"/>
          <w:lang w:val="en-US" w:eastAsia="zh-CN"/>
        </w:rPr>
        <w:t xml:space="preserve"> </w:t>
      </w:r>
    </w:p>
    <w:p w14:paraId="27BB3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(二)项目内容:</w:t>
      </w:r>
    </w:p>
    <w:p w14:paraId="44ABB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二、服务项目及要求</w:t>
      </w:r>
    </w:p>
    <w:p w14:paraId="0FC64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(一)服务对象:</w:t>
      </w:r>
    </w:p>
    <w:p w14:paraId="57664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(二)合同期限:自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日止。</w:t>
      </w:r>
    </w:p>
    <w:p w14:paraId="2D007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(三)服务时间:自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日止。</w:t>
      </w:r>
    </w:p>
    <w:p w14:paraId="1A968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(四)服务数量:</w:t>
      </w:r>
    </w:p>
    <w:p w14:paraId="2DE18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(五)服务标准:</w:t>
      </w:r>
    </w:p>
    <w:p w14:paraId="10776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(六)提供服务的地点:</w:t>
      </w:r>
      <w:r>
        <w:rPr>
          <w:rFonts w:hint="eastAsia" w:ascii="宋体" w:hAnsi="宋体" w:eastAsia="宋体" w:cs="宋体"/>
          <w:sz w:val="24"/>
          <w:szCs w:val="24"/>
          <w:highlight w:val="none"/>
          <w:lang w:eastAsia="zh-CN"/>
        </w:rPr>
        <w:t>孝义市辖区范围。</w:t>
      </w:r>
    </w:p>
    <w:p w14:paraId="36253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(七)提供服务的形式:</w:t>
      </w:r>
    </w:p>
    <w:p w14:paraId="5C372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三、合同金额</w:t>
      </w:r>
    </w:p>
    <w:p w14:paraId="1E308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本合同服务费总金额为人民币(大写):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p>
    <w:p w14:paraId="0AA1E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四、付款方式</w:t>
      </w:r>
    </w:p>
    <w:p w14:paraId="09E0B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(一)甲乙双方协商一致,采取以下第(</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)种付款方式:</w:t>
      </w:r>
    </w:p>
    <w:p w14:paraId="07133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1.一次性付款:</w:t>
      </w:r>
    </w:p>
    <w:p w14:paraId="494CD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乙方履约完毕经甲方验收合格后</w:t>
      </w:r>
      <w:r>
        <w:rPr>
          <w:rFonts w:hint="eastAsia" w:ascii="宋体" w:hAnsi="宋体" w:eastAsia="宋体" w:cs="宋体"/>
          <w:sz w:val="24"/>
          <w:szCs w:val="24"/>
          <w:highlight w:val="none"/>
          <w:u w:val="single"/>
          <w:lang w:val="en-US" w:eastAsia="zh-CN"/>
        </w:rPr>
        <w:t xml:space="preserve"> 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日内，一次性支付全部服务费。</w:t>
      </w:r>
    </w:p>
    <w:p w14:paraId="1D7C1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2.分期支付:</w:t>
      </w:r>
    </w:p>
    <w:p w14:paraId="08625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(1)按年/按季度/按月支付等额的服务费;</w:t>
      </w:r>
    </w:p>
    <w:p w14:paraId="082E4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(2)合同签订后</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日内,甲方向乙方支付</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元(或合同总额的</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%);在交成果后</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日内,支付服务费总额的</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rPr>
        <w:t>%;</w:t>
      </w:r>
    </w:p>
    <w:p w14:paraId="6E23F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(3)按进度支付服务费;</w:t>
      </w:r>
    </w:p>
    <w:p w14:paraId="07771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(本条款内容可根据政府购买服务内容予以细化)</w:t>
      </w:r>
    </w:p>
    <w:p w14:paraId="4F71E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(二)支付方式:</w:t>
      </w:r>
    </w:p>
    <w:p w14:paraId="2D465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1.支付方式:银行转账。</w:t>
      </w:r>
    </w:p>
    <w:p w14:paraId="658C8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2.乙方账户信息如下:</w:t>
      </w:r>
    </w:p>
    <w:p w14:paraId="04187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收款人名称:</w:t>
      </w:r>
      <w:r>
        <w:rPr>
          <w:rFonts w:hint="eastAsia" w:ascii="宋体" w:hAnsi="宋体" w:eastAsia="宋体" w:cs="宋体"/>
          <w:sz w:val="24"/>
          <w:szCs w:val="24"/>
          <w:highlight w:val="none"/>
          <w:lang w:val="en-US" w:eastAsia="zh-CN"/>
        </w:rPr>
        <w:t xml:space="preserve"> </w:t>
      </w:r>
    </w:p>
    <w:p w14:paraId="59BE8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en-US" w:eastAsia="zh-CN"/>
        </w:rPr>
        <w:t xml:space="preserve"> </w:t>
      </w:r>
    </w:p>
    <w:p w14:paraId="26C7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行号：</w:t>
      </w:r>
      <w:r>
        <w:rPr>
          <w:rFonts w:hint="eastAsia" w:ascii="宋体" w:hAnsi="宋体" w:eastAsia="宋体" w:cs="宋体"/>
          <w:sz w:val="24"/>
          <w:szCs w:val="24"/>
          <w:highlight w:val="none"/>
          <w:lang w:val="en-US" w:eastAsia="zh-CN"/>
        </w:rPr>
        <w:t xml:space="preserve"> </w:t>
      </w:r>
    </w:p>
    <w:p w14:paraId="2BB40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五、绩效评价</w:t>
      </w:r>
    </w:p>
    <w:p w14:paraId="06A7F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(一)服务质量绩效目标(总体目标)</w:t>
      </w:r>
      <w:r>
        <w:rPr>
          <w:rFonts w:hint="eastAsia" w:ascii="宋体" w:hAnsi="宋体" w:eastAsia="宋体" w:cs="宋体"/>
          <w:sz w:val="24"/>
          <w:szCs w:val="24"/>
          <w:highlight w:val="none"/>
          <w:lang w:eastAsia="zh-CN"/>
        </w:rPr>
        <w:t>：符合国家相关标准、行业标准、地方标准等标准规范。</w:t>
      </w:r>
    </w:p>
    <w:p w14:paraId="26142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(二)服务质量评价指标</w:t>
      </w:r>
    </w:p>
    <w:p w14:paraId="28D93AC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1.数量指标(具体指标)</w:t>
      </w:r>
      <w:r>
        <w:rPr>
          <w:rFonts w:hint="eastAsia" w:ascii="宋体" w:hAnsi="宋体" w:eastAsia="宋体" w:cs="宋体"/>
          <w:sz w:val="24"/>
          <w:szCs w:val="24"/>
          <w:highlight w:val="none"/>
          <w:lang w:eastAsia="zh-CN"/>
        </w:rPr>
        <w:t>：</w:t>
      </w:r>
    </w:p>
    <w:p w14:paraId="1E390F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2.质量指标(具体指标)</w:t>
      </w:r>
      <w:r>
        <w:rPr>
          <w:rFonts w:hint="eastAsia" w:ascii="宋体" w:hAnsi="宋体" w:eastAsia="宋体" w:cs="宋体"/>
          <w:sz w:val="24"/>
          <w:szCs w:val="24"/>
          <w:highlight w:val="none"/>
          <w:lang w:eastAsia="zh-CN"/>
        </w:rPr>
        <w:t>：符合国家相关标准、行业标准、地方标准等标准规范。</w:t>
      </w:r>
    </w:p>
    <w:p w14:paraId="6A7C1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3.时效指标(具体指标)</w:t>
      </w:r>
      <w:r>
        <w:rPr>
          <w:rFonts w:hint="eastAsia" w:ascii="宋体" w:hAnsi="宋体" w:eastAsia="宋体" w:cs="宋体"/>
          <w:sz w:val="24"/>
          <w:szCs w:val="24"/>
          <w:highlight w:val="none"/>
          <w:lang w:eastAsia="zh-CN"/>
        </w:rPr>
        <w:t>：</w:t>
      </w:r>
    </w:p>
    <w:p w14:paraId="25B7B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4.成本指标(具体指标)</w:t>
      </w:r>
      <w:r>
        <w:rPr>
          <w:rFonts w:hint="eastAsia" w:ascii="宋体" w:hAnsi="宋体" w:eastAsia="宋体" w:cs="宋体"/>
          <w:sz w:val="24"/>
          <w:szCs w:val="24"/>
          <w:highlight w:val="none"/>
          <w:lang w:eastAsia="zh-CN"/>
        </w:rPr>
        <w:t>：项目总体成本控制在</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以内。</w:t>
      </w:r>
    </w:p>
    <w:p w14:paraId="26963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5.满意度指标(具体指标)</w:t>
      </w:r>
      <w:r>
        <w:rPr>
          <w:rFonts w:hint="eastAsia" w:ascii="宋体" w:hAnsi="宋体" w:eastAsia="宋体" w:cs="宋体"/>
          <w:sz w:val="24"/>
          <w:szCs w:val="24"/>
          <w:highlight w:val="none"/>
          <w:lang w:eastAsia="zh-CN"/>
        </w:rPr>
        <w:t>：</w:t>
      </w:r>
    </w:p>
    <w:p w14:paraId="7B168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六、项目验收</w:t>
      </w:r>
    </w:p>
    <w:p w14:paraId="2F3AD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(一)验收内容</w:t>
      </w:r>
      <w:r>
        <w:rPr>
          <w:rFonts w:hint="eastAsia" w:ascii="宋体" w:hAnsi="宋体" w:eastAsia="宋体" w:cs="宋体"/>
          <w:sz w:val="24"/>
          <w:szCs w:val="24"/>
          <w:highlight w:val="none"/>
          <w:lang w:eastAsia="zh-CN"/>
        </w:rPr>
        <w:t>：合同约定期限内完成规定批次的抽检工作，及时出具</w:t>
      </w:r>
      <w:r>
        <w:rPr>
          <w:rFonts w:hint="eastAsia" w:ascii="宋体" w:hAnsi="宋体" w:eastAsia="宋体" w:cs="宋体"/>
          <w:sz w:val="24"/>
          <w:szCs w:val="24"/>
          <w:highlight w:val="none"/>
          <w:lang w:val="en-US" w:eastAsia="zh-CN"/>
        </w:rPr>
        <w:t>有法定效力的检验检测报告</w:t>
      </w:r>
    </w:p>
    <w:p w14:paraId="34FE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(二)结果应用</w:t>
      </w:r>
      <w:r>
        <w:rPr>
          <w:rFonts w:hint="eastAsia" w:ascii="宋体" w:hAnsi="宋体" w:eastAsia="宋体" w:cs="宋体"/>
          <w:sz w:val="24"/>
          <w:szCs w:val="24"/>
          <w:highlight w:val="none"/>
          <w:lang w:eastAsia="zh-CN"/>
        </w:rPr>
        <w:t>：根据出具的检验报告，针对合格</w:t>
      </w:r>
      <w:r>
        <w:rPr>
          <w:rFonts w:hint="eastAsia" w:ascii="宋体" w:hAnsi="宋体" w:eastAsia="宋体" w:cs="宋体"/>
          <w:color w:val="000000"/>
          <w:sz w:val="24"/>
          <w:szCs w:val="24"/>
          <w:lang w:val="en-US" w:eastAsia="zh-CN"/>
        </w:rPr>
        <w:t>电梯</w:t>
      </w:r>
      <w:r>
        <w:rPr>
          <w:rFonts w:hint="eastAsia" w:ascii="宋体" w:hAnsi="宋体" w:eastAsia="宋体" w:cs="宋体"/>
          <w:sz w:val="24"/>
          <w:szCs w:val="24"/>
          <w:highlight w:val="none"/>
          <w:lang w:eastAsia="zh-CN"/>
        </w:rPr>
        <w:t>继续保持监管。针对不合格</w:t>
      </w:r>
      <w:r>
        <w:rPr>
          <w:rFonts w:hint="eastAsia" w:ascii="宋体" w:hAnsi="宋体" w:eastAsia="宋体" w:cs="宋体"/>
          <w:color w:val="000000"/>
          <w:sz w:val="24"/>
          <w:szCs w:val="24"/>
          <w:lang w:val="en-US" w:eastAsia="zh-CN"/>
        </w:rPr>
        <w:t>电梯</w:t>
      </w:r>
      <w:r>
        <w:rPr>
          <w:rFonts w:hint="eastAsia" w:ascii="宋体" w:hAnsi="宋体" w:eastAsia="宋体" w:cs="宋体"/>
          <w:sz w:val="24"/>
          <w:szCs w:val="24"/>
          <w:highlight w:val="none"/>
          <w:lang w:eastAsia="zh-CN"/>
        </w:rPr>
        <w:t>，依据相关法律条款，进行立案调查并处罚。</w:t>
      </w:r>
    </w:p>
    <w:p w14:paraId="5940E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七、甲乙双方权责 </w:t>
      </w:r>
    </w:p>
    <w:p w14:paraId="242E8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（一）甲方权利和义务</w:t>
      </w:r>
    </w:p>
    <w:p w14:paraId="0B115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1、甲方有权获取乙方提供的专业化服务；</w:t>
      </w:r>
    </w:p>
    <w:p w14:paraId="0A050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2、甲方保证服务期间，对乙方工作给予支持，提供采购需求必须的基础工作条件；</w:t>
      </w:r>
    </w:p>
    <w:p w14:paraId="45BC2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3、按合同要求及时向乙方支付服务费。不得以机构变动、人员更替、政策调整等为由延迟付款，不得将采购文件和合同中未规定的义务作为向供应商付款的条件。</w:t>
      </w:r>
    </w:p>
    <w:p w14:paraId="4466A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（二）乙方权利和义务</w:t>
      </w:r>
    </w:p>
    <w:p w14:paraId="0910D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1、乙方有权要求甲方提供为完成本次服务所需的相关材料和相关信息。</w:t>
      </w:r>
    </w:p>
    <w:p w14:paraId="725ED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2、按照合同约定收取服务费。</w:t>
      </w:r>
    </w:p>
    <w:p w14:paraId="483AF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28086A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369D5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1E45E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6、乙方不得擅自转让其应履行的合同义务。</w:t>
      </w:r>
    </w:p>
    <w:p w14:paraId="5FE1A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八、合同的变更、终止和解除</w:t>
      </w:r>
    </w:p>
    <w:p w14:paraId="1E3C8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(一)本合同未尽事宜，经双方协商可签订补充协议，补充协议与本合同具有同等法律效力,约定不同的，以补充协议为准。</w:t>
      </w:r>
    </w:p>
    <w:p w14:paraId="38D23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(二)因发生不可抗力等原因导致本合同无法履行或无继续履行的必要的,双方可协商解除合同且互不承担违约责任。除上述约定外,任何一方不得擅自解除本合同。</w:t>
      </w:r>
    </w:p>
    <w:p w14:paraId="13F5E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(三)(合同存在附条件生效的条款)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669C0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(四)(其他需要约定的事项)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1A9A13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九、知识产权</w:t>
      </w:r>
    </w:p>
    <w:p w14:paraId="18978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(一)乙方保证甲方在使用成交服务时,不承担任何涉及知识产权法律诉讼的责任。</w:t>
      </w:r>
    </w:p>
    <w:p w14:paraId="170A4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3437C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1D2FEF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十、违约责任</w:t>
      </w:r>
    </w:p>
    <w:p w14:paraId="35688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6C479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1E2FE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十一、保密条款</w:t>
      </w:r>
    </w:p>
    <w:p w14:paraId="6BBFF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175CB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(一)未经甲方书面同意,不得将上述信息、资料披露给任何第三人;</w:t>
      </w:r>
    </w:p>
    <w:p w14:paraId="347E5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(二)不得将上述信息、资料用于本合同以外的其他目的;</w:t>
      </w:r>
    </w:p>
    <w:p w14:paraId="0AEF2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(三)在本合同终止或解除后或按甲方要求,及时将上述信息、资料返还甲方,或按甲方要求作适当处理。</w:t>
      </w:r>
    </w:p>
    <w:p w14:paraId="2FBBD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(四)本合同项下的保密义务约定至相关信息、资料正式向社会公开之日或甲方书面解除乙方本合同项下保密义务之日起终止。</w:t>
      </w:r>
    </w:p>
    <w:p w14:paraId="5F6A5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(五)本条约定在本合同终止后仍然继续有效，且不受合同解除、终止或无效的影响。</w:t>
      </w:r>
    </w:p>
    <w:p w14:paraId="7EC38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(六)(其他需要约定的事项)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524D7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十二、不可抗力</w:t>
      </w:r>
    </w:p>
    <w:p w14:paraId="606D4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(一)当发生不可抗力事件而导致其中一方不能履行合同时，应依据不可抗力对其造成的影响部分或全部免除责任,但因迟延履行后发生不可抗力的除外;</w:t>
      </w:r>
    </w:p>
    <w:p w14:paraId="4B608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(二)任何一方由于不可抗力不能履行合同的应及时通知对方并采取有效措施防止损失扩大。遭受不可抗力的一方应在事件发生后</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日内向对方提供该不可抗力事件的详细情况,在取得有关机构的不可抗力证明或双方谅解确认后，允许延期履行或修订合同。</w:t>
      </w:r>
    </w:p>
    <w:p w14:paraId="2BD60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(三)因不可抗力导致双方均发生损失的,双方各自承担损失;不可抗力结束后,经甲乙双方协商确认合同仍有继续履行的必要的，双方均应积极履行合同。</w:t>
      </w:r>
    </w:p>
    <w:p w14:paraId="5DED6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(四)(其他需要约定的事项)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6F662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十三、争议解决</w:t>
      </w:r>
    </w:p>
    <w:p w14:paraId="02850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(一)当履行本合同发生争议时，双方应友好协商解决。无法协商达成一致的，任何一方均可向人民法院提起诉讼。</w:t>
      </w:r>
    </w:p>
    <w:p w14:paraId="5F17F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03000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十四、其他</w:t>
      </w:r>
    </w:p>
    <w:p w14:paraId="31A11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(一)本合同中的保密条款、知识产权条款、争议解决条款长期有效,不随本合同的终止、无效、被撤销而失效。</w:t>
      </w:r>
    </w:p>
    <w:p w14:paraId="296FA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(二)本合同所有附件及政府采购文件均为合同的有效组成部分,与本合同具有同等法律效力。</w:t>
      </w:r>
    </w:p>
    <w:p w14:paraId="517F0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(三)本合同自甲乙双方法人代表或其授权代表签字盖章后生效。</w:t>
      </w:r>
    </w:p>
    <w:p w14:paraId="25BA8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(四)本合同一式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份,其中,甲方执</w:t>
      </w:r>
      <w:r>
        <w:rPr>
          <w:rFonts w:hint="eastAsia" w:ascii="宋体" w:hAnsi="宋体" w:eastAsia="宋体" w:cs="宋体"/>
          <w:sz w:val="24"/>
          <w:szCs w:val="24"/>
          <w:highlight w:val="none"/>
          <w:u w:val="single"/>
          <w:lang w:val="en-US" w:eastAsia="zh-CN"/>
        </w:rPr>
        <w:t xml:space="preserve"> 贰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lang w:val="en-US" w:eastAsia="zh-CN"/>
        </w:rPr>
        <w:t xml:space="preserve"> 壹 </w:t>
      </w:r>
      <w:r>
        <w:rPr>
          <w:rFonts w:hint="eastAsia" w:ascii="宋体" w:hAnsi="宋体" w:eastAsia="宋体" w:cs="宋体"/>
          <w:sz w:val="24"/>
          <w:szCs w:val="24"/>
          <w:highlight w:val="none"/>
        </w:rPr>
        <w:t>份。</w:t>
      </w:r>
    </w:p>
    <w:p w14:paraId="6F0D4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具有同等法律效力。</w:t>
      </w:r>
    </w:p>
    <w:p w14:paraId="19AA8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(五)(其他需要约定的事项)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w:t>
      </w:r>
    </w:p>
    <w:p w14:paraId="238BF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十五、合同附件(若有附件应注明,并注明附件名称)</w:t>
      </w:r>
    </w:p>
    <w:p w14:paraId="13A81C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FDBAC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甲方(公章):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乙方(公章):</w:t>
      </w:r>
      <w:r>
        <w:rPr>
          <w:rFonts w:hint="eastAsia" w:ascii="宋体" w:hAnsi="宋体" w:eastAsia="宋体" w:cs="宋体"/>
          <w:sz w:val="24"/>
          <w:szCs w:val="24"/>
          <w:highlight w:val="none"/>
        </w:rPr>
        <w:tab/>
      </w:r>
    </w:p>
    <w:p w14:paraId="7F193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val="en-US" w:eastAsia="zh-CN"/>
        </w:rPr>
        <w:t xml:space="preserve"> </w:t>
      </w:r>
    </w:p>
    <w:p w14:paraId="2DC726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rPr>
        <w:tab/>
      </w:r>
    </w:p>
    <w:p w14:paraId="379A5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p>
    <w:p w14:paraId="386B6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签约日期: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180CEE12">
      <w:pPr>
        <w:jc w:val="center"/>
        <w:rPr>
          <w:rFonts w:hint="eastAsia" w:ascii="宋体" w:hAnsi="宋体" w:eastAsia="宋体" w:cs="宋体"/>
          <w:b/>
          <w:bCs/>
          <w:color w:val="000000"/>
          <w:sz w:val="24"/>
          <w:szCs w:val="24"/>
        </w:rPr>
      </w:pPr>
    </w:p>
    <w:p w14:paraId="6450AB62">
      <w:pPr>
        <w:jc w:val="both"/>
        <w:outlineLvl w:val="0"/>
        <w:rPr>
          <w:rFonts w:hint="eastAsia" w:ascii="宋体" w:hAnsi="宋体" w:eastAsia="宋体" w:cs="宋体"/>
          <w:b/>
          <w:bCs/>
          <w:color w:val="000000"/>
          <w:sz w:val="24"/>
          <w:szCs w:val="24"/>
        </w:rPr>
      </w:pPr>
      <w:bookmarkStart w:id="103" w:name="_Toc5226"/>
    </w:p>
    <w:bookmarkEnd w:id="103"/>
    <w:p w14:paraId="22FBF6D1">
      <w:pPr>
        <w:spacing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4352FD37">
      <w:pPr>
        <w:pStyle w:val="2"/>
        <w:bidi w:val="0"/>
        <w:spacing w:after="0" w:afterAutospacing="0"/>
        <w:rPr>
          <w:sz w:val="28"/>
          <w:szCs w:val="28"/>
        </w:rPr>
      </w:pPr>
      <w:bookmarkStart w:id="104" w:name="_Toc22594"/>
      <w:r>
        <w:rPr>
          <w:rFonts w:hint="eastAsia"/>
          <w:sz w:val="28"/>
          <w:szCs w:val="28"/>
        </w:rPr>
        <w:t>第七部分  响应文件格式</w:t>
      </w:r>
      <w:bookmarkEnd w:id="104"/>
    </w:p>
    <w:p w14:paraId="073A73DA">
      <w:pPr>
        <w:snapToGrid w:val="0"/>
        <w:spacing w:beforeAutospacing="0" w:line="360" w:lineRule="auto"/>
        <w:jc w:val="left"/>
        <w:rPr>
          <w:rFonts w:ascii="宋体" w:hAnsi="宋体" w:cs="宋体"/>
          <w:color w:val="auto"/>
          <w:kern w:val="0"/>
          <w:sz w:val="28"/>
          <w:highlight w:val="none"/>
        </w:rPr>
      </w:pPr>
    </w:p>
    <w:p w14:paraId="541F651D">
      <w:pPr>
        <w:tabs>
          <w:tab w:val="left" w:pos="-737"/>
        </w:tabs>
        <w:snapToGrid w:val="0"/>
        <w:spacing w:line="360" w:lineRule="auto"/>
        <w:ind w:firstLine="180"/>
        <w:jc w:val="left"/>
        <w:rPr>
          <w:rFonts w:ascii="宋体" w:hAnsi="宋体" w:cs="宋体"/>
          <w:color w:val="auto"/>
          <w:kern w:val="0"/>
          <w:sz w:val="24"/>
          <w:highlight w:val="none"/>
        </w:rPr>
      </w:pPr>
      <w:r>
        <w:rPr>
          <w:rFonts w:hint="eastAsia" w:ascii="宋体" w:hAnsi="宋体" w:cs="宋体"/>
          <w:b/>
          <w:color w:val="auto"/>
          <w:kern w:val="0"/>
          <w:sz w:val="24"/>
          <w:highlight w:val="none"/>
        </w:rPr>
        <w:t>一、供应商提交响应文件须知</w:t>
      </w:r>
    </w:p>
    <w:p w14:paraId="1D12B321">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102087E6">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2．所附表格中要求回答的全部问题和信息都必须正面回答。</w:t>
      </w:r>
    </w:p>
    <w:p w14:paraId="21A7796A">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3．本声明的签字人应保证全部声明和问题的回答是真实的和准确的。</w:t>
      </w:r>
    </w:p>
    <w:p w14:paraId="7487B2AC">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rPr>
        <w:t>小组将对供应商提交的资料并根据自己的判断，判定供应商履行合同的合格性及能力。</w:t>
      </w:r>
    </w:p>
    <w:p w14:paraId="52A07497">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5．供应商提交的材料将被妥善保存，但不退还。</w:t>
      </w:r>
    </w:p>
    <w:p w14:paraId="30BB10CE">
      <w:pPr>
        <w:tabs>
          <w:tab w:val="left" w:pos="0"/>
        </w:tabs>
        <w:snapToGrid w:val="0"/>
        <w:spacing w:line="360" w:lineRule="auto"/>
        <w:ind w:firstLine="624"/>
        <w:jc w:val="left"/>
        <w:rPr>
          <w:rFonts w:ascii="宋体" w:hAnsi="宋体" w:cs="宋体"/>
          <w:color w:val="auto"/>
          <w:kern w:val="0"/>
          <w:sz w:val="24"/>
          <w:highlight w:val="none"/>
        </w:rPr>
      </w:pPr>
      <w:r>
        <w:rPr>
          <w:rFonts w:hint="eastAsia" w:ascii="宋体" w:hAnsi="宋体" w:cs="宋体"/>
          <w:color w:val="auto"/>
          <w:kern w:val="0"/>
          <w:sz w:val="24"/>
          <w:highlight w:val="none"/>
        </w:rPr>
        <w:t>6．全部文件应按供应商须知中规定的语言和要求提交。</w:t>
      </w:r>
    </w:p>
    <w:p w14:paraId="7F2B358C">
      <w:pPr>
        <w:snapToGrid w:val="0"/>
        <w:spacing w:line="360" w:lineRule="auto"/>
        <w:rPr>
          <w:rFonts w:ascii="宋体" w:hAnsi="宋体" w:cs="宋体"/>
          <w:color w:val="auto"/>
          <w:kern w:val="0"/>
          <w:sz w:val="28"/>
          <w:szCs w:val="28"/>
          <w:highlight w:val="none"/>
        </w:rPr>
      </w:pPr>
    </w:p>
    <w:p w14:paraId="23CEA054">
      <w:pPr>
        <w:ind w:right="-13" w:rightChars="-6"/>
        <w:rPr>
          <w:rFonts w:ascii="宋体" w:hAnsi="宋体" w:cs="宋体"/>
          <w:b/>
          <w:bCs/>
          <w:color w:val="auto"/>
          <w:kern w:val="0"/>
          <w:sz w:val="32"/>
          <w:szCs w:val="32"/>
          <w:highlight w:val="none"/>
        </w:rPr>
      </w:pPr>
    </w:p>
    <w:p w14:paraId="39EB4DA3">
      <w:pPr>
        <w:ind w:right="-13" w:rightChars="-6"/>
        <w:rPr>
          <w:rFonts w:ascii="宋体" w:hAnsi="宋体" w:cs="宋体"/>
          <w:b/>
          <w:bCs/>
          <w:color w:val="auto"/>
          <w:kern w:val="0"/>
          <w:sz w:val="32"/>
          <w:szCs w:val="32"/>
          <w:highlight w:val="none"/>
        </w:rPr>
      </w:pPr>
    </w:p>
    <w:p w14:paraId="2BE516C2">
      <w:pPr>
        <w:ind w:right="-13" w:rightChars="-6"/>
        <w:rPr>
          <w:rFonts w:ascii="宋体" w:hAnsi="宋体" w:cs="宋体"/>
          <w:b/>
          <w:bCs/>
          <w:color w:val="auto"/>
          <w:kern w:val="0"/>
          <w:sz w:val="32"/>
          <w:szCs w:val="32"/>
          <w:highlight w:val="none"/>
        </w:rPr>
      </w:pPr>
    </w:p>
    <w:p w14:paraId="3A094151">
      <w:pPr>
        <w:ind w:right="-13" w:rightChars="-6"/>
        <w:rPr>
          <w:rFonts w:ascii="宋体" w:hAnsi="宋体" w:cs="宋体"/>
          <w:b/>
          <w:bCs/>
          <w:color w:val="auto"/>
          <w:kern w:val="0"/>
          <w:sz w:val="32"/>
          <w:szCs w:val="32"/>
          <w:highlight w:val="none"/>
        </w:rPr>
      </w:pPr>
    </w:p>
    <w:p w14:paraId="340E6AFC">
      <w:pPr>
        <w:ind w:right="-13" w:rightChars="-6"/>
        <w:rPr>
          <w:rFonts w:ascii="宋体" w:hAnsi="宋体" w:cs="宋体"/>
          <w:b/>
          <w:bCs/>
          <w:color w:val="auto"/>
          <w:kern w:val="0"/>
          <w:sz w:val="32"/>
          <w:szCs w:val="32"/>
          <w:highlight w:val="none"/>
        </w:rPr>
      </w:pPr>
    </w:p>
    <w:p w14:paraId="210776E6">
      <w:pPr>
        <w:ind w:right="-13" w:rightChars="-6"/>
        <w:rPr>
          <w:rFonts w:ascii="宋体" w:hAnsi="宋体" w:cs="宋体"/>
          <w:b/>
          <w:bCs/>
          <w:color w:val="auto"/>
          <w:kern w:val="0"/>
          <w:sz w:val="32"/>
          <w:szCs w:val="32"/>
          <w:highlight w:val="none"/>
        </w:rPr>
      </w:pPr>
    </w:p>
    <w:p w14:paraId="6FC95E22">
      <w:pPr>
        <w:ind w:right="-13" w:rightChars="-6"/>
        <w:rPr>
          <w:rFonts w:ascii="宋体" w:hAnsi="宋体" w:cs="宋体"/>
          <w:b/>
          <w:bCs/>
          <w:color w:val="auto"/>
          <w:kern w:val="0"/>
          <w:sz w:val="32"/>
          <w:szCs w:val="32"/>
          <w:highlight w:val="none"/>
        </w:rPr>
      </w:pPr>
    </w:p>
    <w:p w14:paraId="54B64AF6">
      <w:pPr>
        <w:ind w:right="-13" w:rightChars="-6"/>
        <w:rPr>
          <w:rFonts w:ascii="宋体" w:hAnsi="宋体" w:cs="宋体"/>
          <w:b/>
          <w:bCs/>
          <w:color w:val="auto"/>
          <w:kern w:val="0"/>
          <w:sz w:val="32"/>
          <w:szCs w:val="32"/>
          <w:highlight w:val="none"/>
        </w:rPr>
      </w:pPr>
    </w:p>
    <w:p w14:paraId="45AB014E">
      <w:pPr>
        <w:ind w:right="-13" w:rightChars="-6"/>
        <w:rPr>
          <w:rFonts w:ascii="宋体" w:hAnsi="宋体" w:cs="宋体"/>
          <w:b/>
          <w:bCs/>
          <w:color w:val="auto"/>
          <w:kern w:val="0"/>
          <w:sz w:val="32"/>
          <w:szCs w:val="32"/>
          <w:highlight w:val="none"/>
        </w:rPr>
      </w:pPr>
    </w:p>
    <w:p w14:paraId="0C455136">
      <w:pPr>
        <w:pStyle w:val="23"/>
        <w:rPr>
          <w:rFonts w:ascii="宋体" w:hAnsi="宋体" w:cs="宋体"/>
          <w:color w:val="auto"/>
          <w:highlight w:val="none"/>
        </w:rPr>
      </w:pPr>
    </w:p>
    <w:p w14:paraId="369DA1E9">
      <w:pPr>
        <w:ind w:right="-13" w:rightChars="-6"/>
        <w:rPr>
          <w:rFonts w:ascii="宋体" w:hAnsi="宋体" w:cs="宋体"/>
          <w:b/>
          <w:bCs/>
          <w:color w:val="auto"/>
          <w:kern w:val="0"/>
          <w:sz w:val="32"/>
          <w:szCs w:val="32"/>
          <w:highlight w:val="none"/>
        </w:rPr>
      </w:pPr>
    </w:p>
    <w:p w14:paraId="55BB9840">
      <w:pPr>
        <w:pStyle w:val="13"/>
        <w:rPr>
          <w:rFonts w:hAnsi="宋体" w:cs="宋体"/>
          <w:color w:val="auto"/>
          <w:sz w:val="28"/>
          <w:highlight w:val="none"/>
        </w:rPr>
      </w:pPr>
    </w:p>
    <w:p w14:paraId="56E85963">
      <w:pPr>
        <w:rPr>
          <w:rFonts w:ascii="宋体" w:hAnsi="宋体" w:cs="宋体"/>
          <w:color w:val="auto"/>
          <w:kern w:val="0"/>
          <w:sz w:val="28"/>
          <w:highlight w:val="none"/>
        </w:rPr>
      </w:pPr>
      <w:r>
        <w:rPr>
          <w:rFonts w:hint="eastAsia" w:ascii="宋体" w:hAnsi="宋体" w:cs="宋体"/>
          <w:color w:val="auto"/>
          <w:kern w:val="0"/>
          <w:sz w:val="28"/>
          <w:highlight w:val="none"/>
        </w:rPr>
        <w:br w:type="page"/>
      </w:r>
    </w:p>
    <w:p w14:paraId="42A10549">
      <w:pPr>
        <w:tabs>
          <w:tab w:val="left" w:pos="4000"/>
        </w:tabs>
        <w:snapToGrid w:val="0"/>
        <w:spacing w:line="360" w:lineRule="auto"/>
        <w:jc w:val="left"/>
        <w:rPr>
          <w:rFonts w:ascii="宋体" w:hAnsi="宋体" w:cs="宋体"/>
          <w:color w:val="auto"/>
          <w:kern w:val="0"/>
          <w:sz w:val="28"/>
          <w:highlight w:val="none"/>
        </w:rPr>
      </w:pPr>
      <w:r>
        <w:rPr>
          <w:rFonts w:hint="eastAsia" w:ascii="宋体" w:hAnsi="宋体" w:cs="宋体"/>
          <w:color w:val="auto"/>
          <w:kern w:val="0"/>
          <w:sz w:val="28"/>
          <w:highlight w:val="none"/>
        </w:rPr>
        <w:t>响应文件封面格式</w:t>
      </w:r>
    </w:p>
    <w:p w14:paraId="50BE6C41">
      <w:pPr>
        <w:snapToGrid w:val="0"/>
        <w:spacing w:line="360" w:lineRule="auto"/>
        <w:jc w:val="right"/>
        <w:rPr>
          <w:rFonts w:ascii="宋体" w:hAnsi="宋体" w:cs="宋体"/>
          <w:color w:val="auto"/>
          <w:kern w:val="0"/>
          <w:sz w:val="28"/>
          <w:szCs w:val="32"/>
          <w:highlight w:val="none"/>
        </w:rPr>
      </w:pPr>
    </w:p>
    <w:p w14:paraId="01A8A07F">
      <w:pPr>
        <w:snapToGrid w:val="0"/>
        <w:spacing w:line="360" w:lineRule="auto"/>
        <w:jc w:val="right"/>
        <w:rPr>
          <w:rFonts w:ascii="宋体" w:hAnsi="宋体" w:cs="宋体"/>
          <w:color w:val="auto"/>
          <w:kern w:val="0"/>
          <w:sz w:val="28"/>
          <w:szCs w:val="32"/>
          <w:highlight w:val="none"/>
        </w:rPr>
      </w:pPr>
    </w:p>
    <w:p w14:paraId="07E35589">
      <w:pPr>
        <w:pStyle w:val="5"/>
        <w:outlineLvl w:val="9"/>
        <w:rPr>
          <w:rFonts w:ascii="宋体" w:hAnsi="宋体" w:eastAsia="宋体" w:cs="宋体"/>
          <w:color w:val="auto"/>
          <w:kern w:val="0"/>
          <w:szCs w:val="32"/>
          <w:highlight w:val="none"/>
        </w:rPr>
      </w:pPr>
    </w:p>
    <w:p w14:paraId="460FDE39">
      <w:pPr>
        <w:rPr>
          <w:rFonts w:ascii="宋体" w:hAnsi="宋体" w:cs="宋体"/>
          <w:color w:val="auto"/>
          <w:highlight w:val="none"/>
        </w:rPr>
      </w:pPr>
    </w:p>
    <w:p w14:paraId="29973493">
      <w:pPr>
        <w:snapToGrid w:val="0"/>
        <w:spacing w:line="360" w:lineRule="auto"/>
        <w:jc w:val="center"/>
        <w:rPr>
          <w:rFonts w:ascii="宋体" w:hAnsi="宋体" w:cs="宋体"/>
          <w:b/>
          <w:color w:val="auto"/>
          <w:kern w:val="0"/>
          <w:sz w:val="72"/>
          <w:szCs w:val="72"/>
          <w:highlight w:val="none"/>
        </w:rPr>
      </w:pPr>
      <w:r>
        <w:rPr>
          <w:rFonts w:hint="eastAsia" w:ascii="宋体" w:hAnsi="宋体" w:cs="宋体"/>
          <w:b/>
          <w:color w:val="auto"/>
          <w:kern w:val="0"/>
          <w:sz w:val="72"/>
          <w:szCs w:val="72"/>
          <w:highlight w:val="none"/>
        </w:rPr>
        <w:t>响  应  文  件</w:t>
      </w:r>
    </w:p>
    <w:p w14:paraId="7AF7D613">
      <w:pPr>
        <w:snapToGrid w:val="0"/>
        <w:spacing w:line="360" w:lineRule="auto"/>
        <w:jc w:val="center"/>
        <w:rPr>
          <w:rFonts w:ascii="宋体" w:hAnsi="宋体" w:cs="宋体"/>
          <w:b/>
          <w:color w:val="auto"/>
          <w:kern w:val="0"/>
          <w:sz w:val="44"/>
          <w:szCs w:val="44"/>
          <w:highlight w:val="none"/>
        </w:rPr>
      </w:pPr>
    </w:p>
    <w:p w14:paraId="75F5298C">
      <w:pPr>
        <w:snapToGrid w:val="0"/>
        <w:spacing w:line="360" w:lineRule="auto"/>
        <w:ind w:firstLine="560" w:firstLineChars="200"/>
        <w:jc w:val="left"/>
        <w:rPr>
          <w:rFonts w:ascii="宋体" w:hAnsi="宋体" w:cs="宋体"/>
          <w:color w:val="auto"/>
          <w:kern w:val="0"/>
          <w:sz w:val="28"/>
          <w:szCs w:val="30"/>
          <w:highlight w:val="none"/>
        </w:rPr>
      </w:pPr>
    </w:p>
    <w:p w14:paraId="72563C83">
      <w:pPr>
        <w:snapToGrid w:val="0"/>
        <w:spacing w:line="360" w:lineRule="auto"/>
        <w:ind w:firstLine="560" w:firstLineChars="200"/>
        <w:jc w:val="left"/>
        <w:rPr>
          <w:rFonts w:ascii="宋体" w:hAnsi="宋体" w:cs="宋体"/>
          <w:color w:val="auto"/>
          <w:kern w:val="0"/>
          <w:sz w:val="28"/>
          <w:szCs w:val="30"/>
          <w:highlight w:val="none"/>
        </w:rPr>
      </w:pPr>
      <w:r>
        <w:rPr>
          <w:rFonts w:hint="eastAsia" w:ascii="宋体" w:hAnsi="宋体" w:cs="宋体"/>
          <w:color w:val="auto"/>
          <w:kern w:val="0"/>
          <w:sz w:val="28"/>
          <w:szCs w:val="30"/>
          <w:highlight w:val="none"/>
        </w:rPr>
        <w:t>项目名称：</w:t>
      </w:r>
    </w:p>
    <w:p w14:paraId="5A4456C0">
      <w:pPr>
        <w:snapToGrid w:val="0"/>
        <w:spacing w:line="360" w:lineRule="auto"/>
        <w:ind w:firstLine="560" w:firstLineChars="200"/>
        <w:jc w:val="left"/>
        <w:rPr>
          <w:rFonts w:ascii="宋体" w:hAnsi="宋体" w:cs="宋体"/>
          <w:color w:val="auto"/>
          <w:kern w:val="0"/>
          <w:sz w:val="28"/>
          <w:szCs w:val="30"/>
          <w:highlight w:val="none"/>
        </w:rPr>
      </w:pPr>
      <w:r>
        <w:rPr>
          <w:rFonts w:hint="eastAsia" w:ascii="宋体" w:hAnsi="宋体" w:cs="宋体"/>
          <w:color w:val="auto"/>
          <w:kern w:val="0"/>
          <w:sz w:val="28"/>
          <w:szCs w:val="30"/>
          <w:highlight w:val="none"/>
        </w:rPr>
        <w:t>项目编号：</w:t>
      </w:r>
    </w:p>
    <w:p w14:paraId="799A2A73">
      <w:pPr>
        <w:snapToGrid w:val="0"/>
        <w:spacing w:line="360" w:lineRule="auto"/>
        <w:jc w:val="center"/>
        <w:rPr>
          <w:rFonts w:ascii="宋体" w:hAnsi="宋体" w:cs="宋体"/>
          <w:color w:val="auto"/>
          <w:kern w:val="0"/>
          <w:sz w:val="28"/>
          <w:szCs w:val="30"/>
          <w:highlight w:val="none"/>
        </w:rPr>
      </w:pPr>
    </w:p>
    <w:p w14:paraId="48FC07F3">
      <w:pPr>
        <w:pStyle w:val="23"/>
        <w:rPr>
          <w:rFonts w:ascii="宋体" w:hAnsi="宋体" w:cs="宋体"/>
          <w:color w:val="auto"/>
          <w:highlight w:val="none"/>
        </w:rPr>
      </w:pPr>
    </w:p>
    <w:p w14:paraId="7A8C9411">
      <w:pPr>
        <w:pStyle w:val="23"/>
        <w:rPr>
          <w:rFonts w:ascii="宋体" w:hAnsi="宋体" w:cs="宋体"/>
          <w:color w:val="auto"/>
          <w:highlight w:val="none"/>
        </w:rPr>
      </w:pPr>
    </w:p>
    <w:p w14:paraId="5A6FB045">
      <w:pPr>
        <w:snapToGrid w:val="0"/>
        <w:spacing w:line="360" w:lineRule="auto"/>
        <w:jc w:val="center"/>
        <w:rPr>
          <w:rFonts w:ascii="宋体" w:hAnsi="宋体" w:cs="宋体"/>
          <w:b/>
          <w:color w:val="auto"/>
          <w:kern w:val="0"/>
          <w:sz w:val="28"/>
          <w:szCs w:val="44"/>
          <w:highlight w:val="none"/>
        </w:rPr>
      </w:pPr>
    </w:p>
    <w:p w14:paraId="19082030">
      <w:pPr>
        <w:snapToGrid w:val="0"/>
        <w:spacing w:line="360" w:lineRule="auto"/>
        <w:jc w:val="left"/>
        <w:rPr>
          <w:rFonts w:ascii="宋体" w:hAnsi="宋体" w:cs="宋体"/>
          <w:color w:val="auto"/>
          <w:kern w:val="0"/>
          <w:sz w:val="28"/>
          <w:highlight w:val="none"/>
        </w:rPr>
      </w:pPr>
    </w:p>
    <w:p w14:paraId="13085D43">
      <w:pPr>
        <w:snapToGrid w:val="0"/>
        <w:spacing w:line="360" w:lineRule="auto"/>
        <w:jc w:val="left"/>
        <w:rPr>
          <w:rFonts w:ascii="宋体" w:hAnsi="宋体" w:cs="宋体"/>
          <w:color w:val="auto"/>
          <w:kern w:val="0"/>
          <w:sz w:val="28"/>
          <w:highlight w:val="none"/>
        </w:rPr>
      </w:pPr>
    </w:p>
    <w:p w14:paraId="79ADF6BA">
      <w:pPr>
        <w:snapToGrid w:val="0"/>
        <w:spacing w:line="360" w:lineRule="auto"/>
        <w:jc w:val="left"/>
        <w:rPr>
          <w:rFonts w:ascii="宋体" w:hAnsi="宋体" w:cs="宋体"/>
          <w:color w:val="auto"/>
          <w:kern w:val="0"/>
          <w:sz w:val="28"/>
          <w:highlight w:val="none"/>
        </w:rPr>
      </w:pPr>
    </w:p>
    <w:p w14:paraId="5E00419A">
      <w:pPr>
        <w:snapToGrid w:val="0"/>
        <w:spacing w:line="360" w:lineRule="auto"/>
        <w:rPr>
          <w:rFonts w:ascii="宋体" w:hAnsi="宋体" w:cs="宋体"/>
          <w:color w:val="auto"/>
          <w:kern w:val="0"/>
          <w:sz w:val="30"/>
          <w:szCs w:val="30"/>
          <w:highlight w:val="none"/>
          <w:u w:val="single"/>
        </w:rPr>
      </w:pPr>
      <w:r>
        <w:rPr>
          <w:rFonts w:hint="eastAsia" w:ascii="宋体" w:hAnsi="宋体" w:cs="宋体"/>
          <w:color w:val="auto"/>
          <w:kern w:val="0"/>
          <w:sz w:val="28"/>
          <w:szCs w:val="32"/>
          <w:highlight w:val="none"/>
        </w:rPr>
        <w:t xml:space="preserve">           </w:t>
      </w:r>
      <w:r>
        <w:rPr>
          <w:rFonts w:hint="eastAsia" w:ascii="宋体" w:hAnsi="宋体" w:cs="宋体"/>
          <w:color w:val="auto"/>
          <w:kern w:val="0"/>
          <w:sz w:val="30"/>
          <w:szCs w:val="30"/>
          <w:highlight w:val="none"/>
        </w:rPr>
        <w:t xml:space="preserve">供应商全称： </w:t>
      </w:r>
      <w:r>
        <w:rPr>
          <w:rFonts w:hint="eastAsia" w:ascii="宋体" w:hAnsi="宋体" w:cs="宋体"/>
          <w:color w:val="auto"/>
          <w:kern w:val="0"/>
          <w:sz w:val="30"/>
          <w:szCs w:val="30"/>
          <w:highlight w:val="none"/>
          <w:u w:val="single"/>
        </w:rPr>
        <w:t xml:space="preserve">               </w:t>
      </w:r>
      <w:r>
        <w:rPr>
          <w:rFonts w:hint="eastAsia" w:ascii="宋体" w:hAnsi="宋体" w:cs="宋体"/>
          <w:color w:val="auto"/>
          <w:kern w:val="0"/>
          <w:sz w:val="30"/>
          <w:szCs w:val="30"/>
          <w:highlight w:val="none"/>
        </w:rPr>
        <w:t>（盖章）</w:t>
      </w:r>
    </w:p>
    <w:p w14:paraId="0164B81C">
      <w:pPr>
        <w:snapToGrid w:val="0"/>
        <w:spacing w:line="360" w:lineRule="auto"/>
        <w:rPr>
          <w:rFonts w:ascii="宋体" w:hAnsi="宋体" w:cs="宋体"/>
          <w:color w:val="auto"/>
          <w:kern w:val="0"/>
          <w:sz w:val="30"/>
          <w:szCs w:val="30"/>
          <w:highlight w:val="none"/>
          <w:u w:val="single"/>
        </w:rPr>
      </w:pPr>
      <w:r>
        <w:rPr>
          <w:rFonts w:hint="eastAsia" w:ascii="宋体" w:hAnsi="宋体" w:cs="宋体"/>
          <w:color w:val="auto"/>
          <w:kern w:val="0"/>
          <w:sz w:val="30"/>
          <w:szCs w:val="30"/>
          <w:highlight w:val="none"/>
        </w:rPr>
        <w:t>法定代表人或</w:t>
      </w:r>
      <w:r>
        <w:rPr>
          <w:rFonts w:hint="eastAsia" w:ascii="宋体" w:hAnsi="宋体" w:eastAsia="宋体" w:cs="宋体"/>
          <w:color w:val="auto"/>
          <w:kern w:val="0"/>
          <w:sz w:val="30"/>
          <w:szCs w:val="30"/>
          <w:highlight w:val="none"/>
          <w:lang w:val="en-US" w:eastAsia="zh-CN" w:bidi="ar-SA"/>
        </w:rPr>
        <w:t>委托代理人</w:t>
      </w:r>
      <w:r>
        <w:rPr>
          <w:rFonts w:hint="eastAsia" w:ascii="宋体" w:hAnsi="宋体" w:cs="宋体"/>
          <w:color w:val="auto"/>
          <w:kern w:val="0"/>
          <w:sz w:val="30"/>
          <w:szCs w:val="30"/>
          <w:highlight w:val="none"/>
        </w:rPr>
        <w:t>：</w:t>
      </w:r>
      <w:r>
        <w:rPr>
          <w:rFonts w:hint="eastAsia" w:ascii="宋体" w:hAnsi="宋体" w:cs="宋体"/>
          <w:color w:val="auto"/>
          <w:kern w:val="0"/>
          <w:sz w:val="30"/>
          <w:szCs w:val="30"/>
          <w:highlight w:val="none"/>
          <w:u w:val="single"/>
        </w:rPr>
        <w:t xml:space="preserve">              </w:t>
      </w:r>
      <w:r>
        <w:rPr>
          <w:rFonts w:hint="eastAsia" w:ascii="宋体" w:hAnsi="宋体" w:cs="宋体"/>
          <w:color w:val="auto"/>
          <w:kern w:val="0"/>
          <w:sz w:val="30"/>
          <w:szCs w:val="30"/>
          <w:highlight w:val="none"/>
          <w:u w:val="single"/>
          <w:lang w:val="en-US" w:eastAsia="zh-CN"/>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kern w:val="0"/>
          <w:sz w:val="30"/>
          <w:szCs w:val="30"/>
          <w:highlight w:val="none"/>
        </w:rPr>
        <w:t>（</w:t>
      </w:r>
      <w:r>
        <w:rPr>
          <w:rFonts w:hint="eastAsia" w:ascii="宋体" w:hAnsi="宋体" w:cs="宋体"/>
          <w:color w:val="auto"/>
          <w:kern w:val="0"/>
          <w:sz w:val="30"/>
          <w:szCs w:val="30"/>
          <w:highlight w:val="none"/>
          <w:lang w:val="en-US" w:eastAsia="zh-CN"/>
        </w:rPr>
        <w:t>签字或盖</w:t>
      </w:r>
      <w:r>
        <w:rPr>
          <w:rFonts w:hint="eastAsia" w:ascii="宋体" w:hAnsi="宋体" w:cs="宋体"/>
          <w:color w:val="auto"/>
          <w:kern w:val="0"/>
          <w:sz w:val="30"/>
          <w:szCs w:val="30"/>
          <w:highlight w:val="none"/>
        </w:rPr>
        <w:t>章）</w:t>
      </w:r>
    </w:p>
    <w:p w14:paraId="170C7E39">
      <w:pPr>
        <w:snapToGrid w:val="0"/>
        <w:spacing w:line="360" w:lineRule="auto"/>
        <w:rPr>
          <w:rFonts w:ascii="宋体" w:hAnsi="宋体" w:cs="宋体"/>
          <w:color w:val="auto"/>
          <w:kern w:val="0"/>
          <w:sz w:val="30"/>
          <w:szCs w:val="30"/>
          <w:highlight w:val="none"/>
          <w:u w:val="single"/>
        </w:rPr>
      </w:pPr>
    </w:p>
    <w:p w14:paraId="73707D2F">
      <w:pPr>
        <w:pStyle w:val="23"/>
        <w:rPr>
          <w:rFonts w:ascii="宋体" w:hAnsi="宋体" w:cs="宋体"/>
          <w:color w:val="auto"/>
          <w:sz w:val="30"/>
          <w:szCs w:val="30"/>
          <w:highlight w:val="none"/>
          <w:u w:val="single"/>
        </w:rPr>
      </w:pPr>
    </w:p>
    <w:p w14:paraId="008C79E9">
      <w:pPr>
        <w:snapToGrid w:val="0"/>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年   月   日</w:t>
      </w:r>
    </w:p>
    <w:p w14:paraId="69B1BB25">
      <w:pPr>
        <w:spacing w:line="360" w:lineRule="auto"/>
        <w:rPr>
          <w:rFonts w:ascii="宋体" w:hAnsi="宋体" w:cs="宋体"/>
          <w:bCs/>
          <w:color w:val="auto"/>
          <w:sz w:val="24"/>
          <w:highlight w:val="none"/>
        </w:rPr>
      </w:pPr>
    </w:p>
    <w:bookmarkEnd w:id="1"/>
    <w:bookmarkEnd w:id="3"/>
    <w:p w14:paraId="1E6C965D">
      <w:pPr>
        <w:widowControl/>
        <w:snapToGrid w:val="0"/>
        <w:spacing w:line="300" w:lineRule="auto"/>
        <w:ind w:firstLine="964" w:firstLineChars="200"/>
        <w:jc w:val="center"/>
        <w:rPr>
          <w:rFonts w:ascii="宋体" w:hAnsi="宋体" w:cs="宋体"/>
          <w:b/>
          <w:bCs/>
          <w:color w:val="auto"/>
          <w:kern w:val="0"/>
          <w:sz w:val="48"/>
          <w:szCs w:val="4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387A77C">
      <w:pPr>
        <w:snapToGrid w:val="0"/>
        <w:spacing w:line="360" w:lineRule="auto"/>
        <w:jc w:val="left"/>
        <w:rPr>
          <w:rFonts w:ascii="宋体" w:hAnsi="宋体" w:cs="宋体"/>
          <w:b/>
          <w:color w:val="auto"/>
          <w:kern w:val="0"/>
          <w:sz w:val="36"/>
          <w:szCs w:val="36"/>
          <w:highlight w:val="none"/>
        </w:rPr>
      </w:pPr>
      <w:r>
        <w:rPr>
          <w:rFonts w:hint="eastAsia" w:ascii="宋体" w:hAnsi="宋体" w:cs="宋体"/>
          <w:bCs/>
          <w:color w:val="auto"/>
          <w:kern w:val="0"/>
          <w:sz w:val="28"/>
          <w:szCs w:val="28"/>
          <w:highlight w:val="none"/>
        </w:rPr>
        <w:t>目录格式</w:t>
      </w:r>
    </w:p>
    <w:p w14:paraId="22A9FB13">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092904D0">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资格证明文件</w:t>
      </w:r>
    </w:p>
    <w:p w14:paraId="04A94BEB">
      <w:pPr>
        <w:pStyle w:val="13"/>
        <w:snapToGrid w:val="0"/>
        <w:spacing w:line="440" w:lineRule="exact"/>
        <w:ind w:left="480"/>
        <w:rPr>
          <w:rFonts w:hAnsi="宋体" w:cs="宋体"/>
          <w:color w:val="auto"/>
          <w:sz w:val="24"/>
          <w:szCs w:val="24"/>
          <w:highlight w:val="none"/>
        </w:rPr>
      </w:pPr>
      <w:r>
        <w:rPr>
          <w:rFonts w:hint="eastAsia" w:hAnsi="宋体" w:cs="宋体"/>
          <w:color w:val="auto"/>
          <w:sz w:val="24"/>
          <w:szCs w:val="24"/>
          <w:highlight w:val="none"/>
        </w:rPr>
        <w:t>1.政府采购供应商信用承诺函………………………………………………………………</w:t>
      </w:r>
    </w:p>
    <w:p w14:paraId="032BB584">
      <w:pPr>
        <w:pStyle w:val="13"/>
        <w:snapToGrid w:val="0"/>
        <w:spacing w:line="440" w:lineRule="exact"/>
        <w:ind w:left="480"/>
        <w:rPr>
          <w:rFonts w:ascii="宋体" w:hAnsi="宋体" w:cs="宋体"/>
          <w:color w:val="auto"/>
          <w:sz w:val="24"/>
          <w:highlight w:val="none"/>
        </w:rPr>
      </w:pPr>
      <w:r>
        <w:rPr>
          <w:rFonts w:hint="eastAsia" w:hAnsi="宋体" w:cs="宋体"/>
          <w:color w:val="auto"/>
          <w:sz w:val="24"/>
          <w:szCs w:val="24"/>
          <w:highlight w:val="none"/>
        </w:rPr>
        <w:t>2.基本账户开户许可证或基本存款账户信息及磋商保证金的缴纳凭证</w:t>
      </w:r>
      <w:r>
        <w:rPr>
          <w:rFonts w:hint="eastAsia" w:ascii="宋体" w:hAnsi="宋体" w:cs="宋体"/>
          <w:color w:val="auto"/>
          <w:sz w:val="24"/>
          <w:highlight w:val="none"/>
        </w:rPr>
        <w:t>…………………</w:t>
      </w:r>
    </w:p>
    <w:p w14:paraId="42C08CFA">
      <w:pPr>
        <w:snapToGrid w:val="0"/>
        <w:spacing w:line="44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Times New Roman" w:hAnsi="Times New Roman" w:eastAsia="宋体" w:cs="Times New Roman"/>
          <w:b w:val="0"/>
          <w:bCs/>
          <w:color w:val="auto"/>
          <w:kern w:val="0"/>
          <w:sz w:val="24"/>
          <w:szCs w:val="21"/>
          <w:highlight w:val="none"/>
          <w:lang w:val="en-US" w:eastAsia="zh-CN" w:bidi="ar-SA"/>
        </w:rPr>
        <w:t>供应商认为需提供的其他资格证明材料</w:t>
      </w:r>
      <w:r>
        <w:rPr>
          <w:rFonts w:hint="eastAsia" w:ascii="宋体" w:hAnsi="宋体" w:cs="宋体"/>
          <w:color w:val="auto"/>
          <w:sz w:val="24"/>
          <w:highlight w:val="none"/>
        </w:rPr>
        <w:t>…………………………………………………</w:t>
      </w:r>
    </w:p>
    <w:p w14:paraId="2EC3E122">
      <w:pPr>
        <w:pStyle w:val="26"/>
        <w:ind w:firstLine="0"/>
        <w:rPr>
          <w:color w:val="auto"/>
          <w:highlight w:val="none"/>
        </w:rPr>
      </w:pPr>
    </w:p>
    <w:p w14:paraId="43E4C29F">
      <w:pPr>
        <w:spacing w:line="4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商务、技术文件</w:t>
      </w:r>
    </w:p>
    <w:p w14:paraId="08155773">
      <w:pPr>
        <w:pStyle w:val="13"/>
        <w:snapToGrid w:val="0"/>
        <w:spacing w:line="360" w:lineRule="auto"/>
        <w:ind w:firstLine="480" w:firstLineChars="200"/>
        <w:jc w:val="left"/>
        <w:rPr>
          <w:rFonts w:hAnsi="宋体" w:cs="宋体"/>
          <w:color w:val="auto"/>
          <w:sz w:val="24"/>
          <w:szCs w:val="24"/>
          <w:highlight w:val="none"/>
        </w:rPr>
      </w:pPr>
    </w:p>
    <w:p w14:paraId="7C463028">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法定代表人（负责人）身份证明书………………………………………</w:t>
      </w:r>
      <w:r>
        <w:rPr>
          <w:rFonts w:hint="eastAsia" w:ascii="宋体" w:hAnsi="宋体" w:cs="宋体"/>
          <w:color w:val="auto"/>
          <w:sz w:val="24"/>
          <w:highlight w:val="none"/>
        </w:rPr>
        <w:t>………………</w:t>
      </w:r>
    </w:p>
    <w:p w14:paraId="3C1F94D9">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法定代表人（负责人）授权委托书………………………………………</w:t>
      </w:r>
      <w:r>
        <w:rPr>
          <w:rFonts w:hint="eastAsia" w:ascii="宋体" w:hAnsi="宋体" w:cs="宋体"/>
          <w:color w:val="auto"/>
          <w:sz w:val="24"/>
          <w:highlight w:val="none"/>
        </w:rPr>
        <w:t>………………</w:t>
      </w:r>
    </w:p>
    <w:p w14:paraId="7E740D80">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val="en-US" w:eastAsia="zh-CN"/>
        </w:rPr>
        <w:t>.</w:t>
      </w:r>
      <w:r>
        <w:rPr>
          <w:rFonts w:hint="eastAsia" w:hAnsi="宋体" w:cs="宋体"/>
          <w:color w:val="auto"/>
          <w:sz w:val="24"/>
          <w:szCs w:val="24"/>
          <w:highlight w:val="none"/>
          <w:lang w:eastAsia="zh-CN"/>
        </w:rPr>
        <w:t>响应函</w:t>
      </w:r>
      <w:r>
        <w:rPr>
          <w:rFonts w:hint="eastAsia" w:hAnsi="宋体" w:cs="宋体"/>
          <w:color w:val="auto"/>
          <w:sz w:val="24"/>
          <w:szCs w:val="24"/>
          <w:highlight w:val="none"/>
        </w:rPr>
        <w:t>………………………………………………………………………</w:t>
      </w:r>
      <w:r>
        <w:rPr>
          <w:rFonts w:hint="eastAsia" w:ascii="宋体" w:hAnsi="宋体" w:cs="宋体"/>
          <w:color w:val="auto"/>
          <w:sz w:val="24"/>
          <w:highlight w:val="none"/>
        </w:rPr>
        <w:t>………………</w:t>
      </w:r>
    </w:p>
    <w:p w14:paraId="4C62769E">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报价一览表及报价明细表…………………………………………………</w:t>
      </w:r>
      <w:r>
        <w:rPr>
          <w:rFonts w:hint="eastAsia" w:ascii="宋体" w:hAnsi="宋体" w:cs="宋体"/>
          <w:color w:val="auto"/>
          <w:sz w:val="24"/>
          <w:highlight w:val="none"/>
        </w:rPr>
        <w:t>………………</w:t>
      </w:r>
    </w:p>
    <w:p w14:paraId="650EBD26">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商务技术规范响应及偏离表………………………………………………</w:t>
      </w:r>
      <w:r>
        <w:rPr>
          <w:rFonts w:hint="eastAsia" w:ascii="宋体" w:hAnsi="宋体" w:cs="宋体"/>
          <w:color w:val="auto"/>
          <w:sz w:val="24"/>
          <w:highlight w:val="none"/>
        </w:rPr>
        <w:t>………………</w:t>
      </w:r>
    </w:p>
    <w:p w14:paraId="21E74A9D">
      <w:pPr>
        <w:pStyle w:val="13"/>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服务方案……………………………………………………………………</w:t>
      </w:r>
      <w:r>
        <w:rPr>
          <w:rFonts w:hint="eastAsia" w:ascii="宋体" w:hAnsi="宋体" w:cs="宋体"/>
          <w:color w:val="auto"/>
          <w:sz w:val="24"/>
          <w:highlight w:val="none"/>
        </w:rPr>
        <w:t>………………</w:t>
      </w:r>
    </w:p>
    <w:p w14:paraId="734BD39A">
      <w:pPr>
        <w:pStyle w:val="13"/>
        <w:snapToGrid w:val="0"/>
        <w:spacing w:line="360" w:lineRule="auto"/>
        <w:ind w:firstLine="480" w:firstLineChars="200"/>
        <w:jc w:val="left"/>
        <w:rPr>
          <w:rFonts w:hint="eastAsia" w:ascii="宋体" w:hAnsi="宋体" w:cs="宋体"/>
          <w:color w:val="auto"/>
          <w:sz w:val="24"/>
          <w:highlight w:val="non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.近三年同类项目案例及相关证明资料……………………………………</w:t>
      </w:r>
      <w:r>
        <w:rPr>
          <w:rFonts w:hint="eastAsia" w:ascii="宋体" w:hAnsi="宋体" w:cs="宋体"/>
          <w:color w:val="auto"/>
          <w:sz w:val="24"/>
          <w:highlight w:val="none"/>
        </w:rPr>
        <w:t>………………</w:t>
      </w:r>
    </w:p>
    <w:p w14:paraId="77C86ABD">
      <w:pPr>
        <w:pStyle w:val="13"/>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.供应商认为需要提供的其他商务、技术材料……………………………………………</w:t>
      </w:r>
    </w:p>
    <w:p w14:paraId="1991B83C">
      <w:pPr>
        <w:pStyle w:val="13"/>
        <w:snapToGrid w:val="0"/>
        <w:spacing w:line="360" w:lineRule="auto"/>
        <w:ind w:firstLine="480" w:firstLineChars="200"/>
        <w:jc w:val="left"/>
        <w:rPr>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政策性要求</w:t>
      </w:r>
      <w:r>
        <w:rPr>
          <w:rFonts w:hint="eastAsia" w:ascii="宋体" w:hAnsi="宋体" w:eastAsia="宋体" w:cs="宋体"/>
          <w:color w:val="auto"/>
          <w:sz w:val="24"/>
          <w:highlight w:val="none"/>
        </w:rPr>
        <w:t>…………………………………………………………………………………</w:t>
      </w:r>
    </w:p>
    <w:p w14:paraId="60EFB5EA">
      <w:pPr>
        <w:keepLines/>
        <w:snapToGrid w:val="0"/>
        <w:spacing w:line="360" w:lineRule="auto"/>
        <w:jc w:val="center"/>
        <w:rPr>
          <w:rFonts w:ascii="宋体" w:hAnsi="宋体" w:cs="宋体"/>
          <w:b/>
          <w:color w:val="auto"/>
          <w:kern w:val="0"/>
          <w:sz w:val="36"/>
          <w:szCs w:val="36"/>
          <w:highlight w:val="none"/>
        </w:rPr>
      </w:pPr>
      <w:bookmarkStart w:id="105" w:name="_Toc83213521"/>
    </w:p>
    <w:p w14:paraId="30478297">
      <w:pPr>
        <w:keepLines/>
        <w:snapToGrid w:val="0"/>
        <w:spacing w:line="360" w:lineRule="auto"/>
        <w:jc w:val="center"/>
        <w:rPr>
          <w:rFonts w:ascii="宋体" w:hAnsi="宋体" w:cs="宋体"/>
          <w:b/>
          <w:color w:val="auto"/>
          <w:kern w:val="0"/>
          <w:sz w:val="36"/>
          <w:szCs w:val="36"/>
          <w:highlight w:val="none"/>
        </w:rPr>
      </w:pPr>
    </w:p>
    <w:p w14:paraId="64C5CC76">
      <w:pPr>
        <w:keepLines/>
        <w:snapToGrid w:val="0"/>
        <w:spacing w:line="360" w:lineRule="auto"/>
        <w:jc w:val="center"/>
        <w:rPr>
          <w:rFonts w:ascii="宋体" w:hAnsi="宋体" w:cs="宋体"/>
          <w:b/>
          <w:color w:val="auto"/>
          <w:kern w:val="0"/>
          <w:sz w:val="36"/>
          <w:szCs w:val="36"/>
          <w:highlight w:val="none"/>
        </w:rPr>
      </w:pPr>
    </w:p>
    <w:p w14:paraId="42C726D5">
      <w:pPr>
        <w:keepLines/>
        <w:snapToGrid w:val="0"/>
        <w:spacing w:line="360" w:lineRule="auto"/>
        <w:jc w:val="center"/>
        <w:rPr>
          <w:rFonts w:ascii="宋体" w:hAnsi="宋体" w:cs="宋体"/>
          <w:b/>
          <w:color w:val="auto"/>
          <w:kern w:val="0"/>
          <w:sz w:val="36"/>
          <w:szCs w:val="36"/>
          <w:highlight w:val="none"/>
        </w:rPr>
      </w:pPr>
    </w:p>
    <w:p w14:paraId="685A453C">
      <w:pPr>
        <w:keepLines/>
        <w:snapToGrid w:val="0"/>
        <w:spacing w:line="360" w:lineRule="auto"/>
        <w:jc w:val="center"/>
        <w:rPr>
          <w:rFonts w:ascii="宋体" w:hAnsi="宋体" w:cs="宋体"/>
          <w:b/>
          <w:color w:val="auto"/>
          <w:kern w:val="0"/>
          <w:sz w:val="36"/>
          <w:szCs w:val="36"/>
          <w:highlight w:val="none"/>
        </w:rPr>
      </w:pPr>
    </w:p>
    <w:p w14:paraId="095C758D">
      <w:pPr>
        <w:keepLines/>
        <w:snapToGrid w:val="0"/>
        <w:spacing w:line="360" w:lineRule="auto"/>
        <w:jc w:val="center"/>
        <w:rPr>
          <w:rFonts w:ascii="宋体" w:hAnsi="宋体" w:cs="宋体"/>
          <w:b/>
          <w:color w:val="auto"/>
          <w:kern w:val="0"/>
          <w:sz w:val="36"/>
          <w:szCs w:val="36"/>
          <w:highlight w:val="none"/>
        </w:rPr>
      </w:pPr>
    </w:p>
    <w:p w14:paraId="30578ABF">
      <w:pPr>
        <w:keepLines/>
        <w:snapToGrid w:val="0"/>
        <w:spacing w:line="360" w:lineRule="auto"/>
        <w:jc w:val="center"/>
        <w:rPr>
          <w:rFonts w:ascii="宋体" w:hAnsi="宋体" w:cs="宋体"/>
          <w:b/>
          <w:color w:val="auto"/>
          <w:kern w:val="0"/>
          <w:sz w:val="36"/>
          <w:szCs w:val="36"/>
          <w:highlight w:val="none"/>
        </w:rPr>
      </w:pPr>
    </w:p>
    <w:p w14:paraId="2EBBDEDD">
      <w:pPr>
        <w:keepLines/>
        <w:snapToGrid w:val="0"/>
        <w:spacing w:line="360" w:lineRule="auto"/>
        <w:jc w:val="center"/>
        <w:rPr>
          <w:rFonts w:ascii="宋体" w:hAnsi="宋体" w:cs="宋体"/>
          <w:b/>
          <w:color w:val="auto"/>
          <w:kern w:val="0"/>
          <w:sz w:val="36"/>
          <w:szCs w:val="36"/>
          <w:highlight w:val="none"/>
        </w:rPr>
      </w:pPr>
    </w:p>
    <w:p w14:paraId="77F47305">
      <w:pPr>
        <w:keepLines/>
        <w:snapToGrid w:val="0"/>
        <w:spacing w:line="360" w:lineRule="auto"/>
        <w:jc w:val="center"/>
        <w:rPr>
          <w:rFonts w:ascii="宋体" w:hAnsi="宋体" w:cs="宋体"/>
          <w:b/>
          <w:color w:val="auto"/>
          <w:kern w:val="0"/>
          <w:sz w:val="36"/>
          <w:szCs w:val="36"/>
          <w:highlight w:val="none"/>
        </w:rPr>
      </w:pPr>
      <w:r>
        <w:rPr>
          <w:rFonts w:hint="eastAsia" w:ascii="宋体" w:hAnsi="宋体" w:cs="宋体"/>
          <w:b/>
          <w:bCs/>
          <w:color w:val="auto"/>
          <w:kern w:val="0"/>
          <w:sz w:val="48"/>
          <w:szCs w:val="48"/>
          <w:highlight w:val="none"/>
        </w:rPr>
        <w:t>资格证明文件</w:t>
      </w:r>
    </w:p>
    <w:p w14:paraId="41499574">
      <w:pPr>
        <w:overflowPunct w:val="0"/>
        <w:spacing w:line="360" w:lineRule="auto"/>
        <w:outlineLvl w:val="9"/>
        <w:rPr>
          <w:b/>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5"/>
    <w:p w14:paraId="6322892D">
      <w:pPr>
        <w:spacing w:line="360" w:lineRule="auto"/>
        <w:jc w:val="center"/>
        <w:rPr>
          <w:rFonts w:hint="eastAsia" w:ascii="宋体" w:hAnsi="宋体" w:cs="宋体"/>
          <w:b/>
          <w:color w:val="auto"/>
          <w:sz w:val="28"/>
          <w:szCs w:val="28"/>
          <w:highlight w:val="none"/>
        </w:rPr>
      </w:pP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rPr>
        <w:t>政府采购供应商信用承诺函</w:t>
      </w:r>
    </w:p>
    <w:p w14:paraId="17D2112E">
      <w:pPr>
        <w:pStyle w:val="26"/>
        <w:spacing w:line="360" w:lineRule="auto"/>
        <w:ind w:left="0" w:leftChars="0" w:firstLine="0" w:firstLineChars="0"/>
        <w:rPr>
          <w:rFonts w:hint="eastAsia" w:ascii="宋体" w:hAnsi="宋体" w:cs="宋体"/>
          <w:b w:val="0"/>
          <w:bCs/>
          <w:color w:val="auto"/>
          <w:sz w:val="24"/>
          <w:szCs w:val="24"/>
          <w:highlight w:val="none"/>
          <w:u w:val="none"/>
          <w:lang w:val="en-US" w:eastAsia="zh-CN"/>
        </w:rPr>
      </w:pPr>
    </w:p>
    <w:p w14:paraId="20AB03D6">
      <w:pPr>
        <w:pStyle w:val="26"/>
        <w:spacing w:line="360" w:lineRule="auto"/>
        <w:ind w:left="0" w:leftChars="0" w:firstLine="0" w:firstLineChars="0"/>
        <w:rPr>
          <w:rFonts w:hint="eastAsia" w:ascii="宋体" w:hAnsi="宋体" w:cs="宋体"/>
          <w:color w:val="auto"/>
          <w:kern w:val="0"/>
          <w:sz w:val="24"/>
          <w:szCs w:val="24"/>
          <w:highlight w:val="none"/>
        </w:rPr>
      </w:pPr>
      <w:r>
        <w:rPr>
          <w:rFonts w:hint="eastAsia" w:ascii="宋体" w:hAnsi="宋体" w:cs="宋体"/>
          <w:b w:val="0"/>
          <w:bCs/>
          <w:color w:val="auto"/>
          <w:sz w:val="24"/>
          <w:szCs w:val="24"/>
          <w:highlight w:val="none"/>
          <w:u w:val="none"/>
          <w:lang w:val="en-US" w:eastAsia="zh-CN"/>
        </w:rPr>
        <w:t>致：</w:t>
      </w:r>
      <w:r>
        <w:rPr>
          <w:rFonts w:hint="eastAsia" w:ascii="宋体" w:hAnsi="宋体" w:cs="宋体"/>
          <w:b/>
          <w:color w:val="auto"/>
          <w:sz w:val="24"/>
          <w:szCs w:val="24"/>
          <w:highlight w:val="none"/>
          <w:u w:val="single"/>
        </w:rPr>
        <w:t xml:space="preserve">      </w:t>
      </w:r>
      <w:r>
        <w:rPr>
          <w:rFonts w:hint="eastAsia" w:ascii="宋体" w:hAnsi="宋体" w:cs="宋体"/>
          <w:b w:val="0"/>
          <w:bCs/>
          <w:color w:val="auto"/>
          <w:sz w:val="24"/>
          <w:szCs w:val="24"/>
          <w:highlight w:val="none"/>
          <w:u w:val="single"/>
          <w:lang w:eastAsia="zh-CN"/>
        </w:rPr>
        <w:t>（</w:t>
      </w:r>
      <w:r>
        <w:rPr>
          <w:rFonts w:hint="eastAsia" w:ascii="宋体" w:hAnsi="宋体" w:cs="宋体"/>
          <w:b w:val="0"/>
          <w:bCs/>
          <w:color w:val="auto"/>
          <w:sz w:val="24"/>
          <w:szCs w:val="24"/>
          <w:highlight w:val="none"/>
          <w:u w:val="single"/>
          <w:lang w:val="en-US" w:eastAsia="zh-CN"/>
        </w:rPr>
        <w:t>采购人名称</w:t>
      </w:r>
      <w:r>
        <w:rPr>
          <w:rFonts w:hint="eastAsia" w:ascii="宋体" w:hAnsi="宋体" w:cs="宋体"/>
          <w:b w:val="0"/>
          <w:bCs/>
          <w:color w:val="auto"/>
          <w:sz w:val="24"/>
          <w:szCs w:val="24"/>
          <w:highlight w:val="none"/>
          <w:u w:val="single"/>
          <w:lang w:eastAsia="zh-CN"/>
        </w:rPr>
        <w:t>）</w:t>
      </w:r>
      <w:r>
        <w:rPr>
          <w:rFonts w:hint="eastAsia" w:ascii="宋体" w:hAnsi="宋体" w:cs="宋体"/>
          <w:b/>
          <w:color w:val="auto"/>
          <w:sz w:val="24"/>
          <w:szCs w:val="24"/>
          <w:highlight w:val="none"/>
          <w:u w:val="single"/>
        </w:rPr>
        <w:t xml:space="preserve">     </w:t>
      </w:r>
    </w:p>
    <w:p w14:paraId="6BA984A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供应商名称（自然人姓名）：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54274C5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统一社会信用代码（身份证号码）：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3347771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联系地址和电话：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3851E70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我单位（本人）自愿参加</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的政府采购活动，</w:t>
      </w:r>
      <w:r>
        <w:rPr>
          <w:rFonts w:hint="eastAsia" w:ascii="宋体" w:hAnsi="宋体" w:cs="宋体"/>
          <w:color w:val="auto"/>
          <w:kern w:val="0"/>
          <w:sz w:val="24"/>
          <w:szCs w:val="24"/>
          <w:highlight w:val="none"/>
        </w:rPr>
        <w:t>为维护</w:t>
      </w:r>
      <w:r>
        <w:rPr>
          <w:rFonts w:hint="eastAsia" w:ascii="宋体" w:hAnsi="宋体" w:cs="宋体"/>
          <w:color w:val="auto"/>
          <w:kern w:val="0"/>
          <w:sz w:val="24"/>
          <w:szCs w:val="24"/>
          <w:highlight w:val="none"/>
          <w:lang w:val="en-US" w:eastAsia="zh-CN"/>
        </w:rPr>
        <w:t>政府采购市场秩序，遵循公开透明、公平竞争、公正原则和诚实信用原则</w:t>
      </w:r>
      <w:r>
        <w:rPr>
          <w:rFonts w:hint="eastAsia" w:ascii="宋体" w:hAnsi="宋体" w:cs="宋体"/>
          <w:color w:val="auto"/>
          <w:kern w:val="0"/>
          <w:sz w:val="24"/>
          <w:szCs w:val="24"/>
          <w:highlight w:val="none"/>
        </w:rPr>
        <w:t>，本单位</w:t>
      </w:r>
      <w:r>
        <w:rPr>
          <w:rFonts w:hint="eastAsia" w:ascii="宋体" w:hAnsi="宋体" w:cs="宋体"/>
          <w:color w:val="auto"/>
          <w:kern w:val="0"/>
          <w:sz w:val="24"/>
          <w:szCs w:val="24"/>
          <w:highlight w:val="none"/>
          <w:lang w:val="en-US" w:eastAsia="zh-CN"/>
        </w:rPr>
        <w:t>/个人</w:t>
      </w:r>
      <w:r>
        <w:rPr>
          <w:rFonts w:hint="eastAsia" w:ascii="宋体" w:hAnsi="宋体" w:cs="宋体"/>
          <w:color w:val="auto"/>
          <w:kern w:val="0"/>
          <w:sz w:val="24"/>
          <w:szCs w:val="24"/>
          <w:highlight w:val="none"/>
        </w:rPr>
        <w:t>自愿作出以下承诺：</w:t>
      </w:r>
    </w:p>
    <w:p w14:paraId="7781D0D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1、承诺本单位/本人严格遵守国家法律、法规和规章，全面履行应尽的责任和义务，全面做到履约守信；</w:t>
      </w:r>
    </w:p>
    <w:p w14:paraId="3FCDADA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2、承诺本单位/本人具有独立承担民事责任的能力；</w:t>
      </w:r>
    </w:p>
    <w:p w14:paraId="2880E9D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3、承诺本单位/本人具有良好的商业信誉和健全的财务会计制度；</w:t>
      </w:r>
    </w:p>
    <w:p w14:paraId="17C8A6F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4、承诺本单位/本人具有履行合同所必需的设备和专业技术能力；</w:t>
      </w:r>
    </w:p>
    <w:p w14:paraId="47EC399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5、承诺本单位/本人有依法缴纳税收和社会保障资金的良好记录；</w:t>
      </w:r>
    </w:p>
    <w:p w14:paraId="0D22D9B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6、承诺本单位/本人参加政府采购活动前三年内，在经营活动中没有重大违法记录；</w:t>
      </w:r>
    </w:p>
    <w:p w14:paraId="04C0003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7、承诺本单位/本人具有法律、行政法规规定的其他条件；</w:t>
      </w:r>
    </w:p>
    <w:p w14:paraId="680F99E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8、承诺本单位/本人提供的所有响应资料均合法、真实、有效，无任何伪造、篡改、</w:t>
      </w:r>
      <w:r>
        <w:rPr>
          <w:rFonts w:hint="eastAsia" w:ascii="宋体" w:hAnsi="宋体" w:cs="宋体"/>
          <w:color w:val="auto"/>
          <w:kern w:val="0"/>
          <w:sz w:val="24"/>
          <w:szCs w:val="24"/>
          <w:highlight w:val="none"/>
          <w:lang w:eastAsia="zh-CN"/>
        </w:rPr>
        <w:t>虚假成分</w:t>
      </w:r>
      <w:r>
        <w:rPr>
          <w:rFonts w:hint="eastAsia" w:ascii="宋体" w:hAnsi="宋体" w:cs="宋体"/>
          <w:color w:val="auto"/>
          <w:kern w:val="0"/>
          <w:sz w:val="24"/>
          <w:szCs w:val="24"/>
          <w:highlight w:val="none"/>
        </w:rPr>
        <w:t>，并对所提供资料的真实性负责；</w:t>
      </w:r>
    </w:p>
    <w:p w14:paraId="3E1232A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、承诺本单位/本人若违背承诺约定，愿意依法承担相应的法律责任，并同意将不良行为在信用中国或中国政府采购网公示。</w:t>
      </w:r>
    </w:p>
    <w:p w14:paraId="62916BB5">
      <w:pPr>
        <w:spacing w:line="360" w:lineRule="auto"/>
        <w:ind w:firstLine="480" w:firstLineChars="200"/>
        <w:rPr>
          <w:rFonts w:hint="eastAsia" w:ascii="宋体" w:hAnsi="宋体" w:cs="宋体"/>
          <w:color w:val="auto"/>
          <w:kern w:val="0"/>
          <w:sz w:val="24"/>
          <w:szCs w:val="24"/>
          <w:highlight w:val="none"/>
        </w:rPr>
      </w:pPr>
    </w:p>
    <w:p w14:paraId="13881AAC">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盖</w:t>
      </w:r>
      <w:r>
        <w:rPr>
          <w:rFonts w:hint="eastAsia" w:ascii="宋体" w:hAnsi="宋体" w:cs="宋体"/>
          <w:color w:val="auto"/>
          <w:sz w:val="24"/>
          <w:szCs w:val="24"/>
          <w:highlight w:val="none"/>
        </w:rPr>
        <w:t>章）</w:t>
      </w:r>
    </w:p>
    <w:p w14:paraId="38D80858">
      <w:pPr>
        <w:adjustRightInd w:val="0"/>
        <w:snapToGrid w:val="0"/>
        <w:spacing w:line="360" w:lineRule="auto"/>
        <w:jc w:val="left"/>
        <w:rPr>
          <w:rFonts w:hint="eastAsia" w:ascii="宋体" w:hAnsi="宋体" w:cs="宋体"/>
          <w:color w:val="auto"/>
          <w:sz w:val="24"/>
          <w:szCs w:val="24"/>
          <w:highlight w:val="none"/>
        </w:rPr>
      </w:pPr>
    </w:p>
    <w:p w14:paraId="6F6A0FB1">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w:t>
      </w:r>
      <w:r>
        <w:rPr>
          <w:rFonts w:hint="eastAsia" w:ascii="宋体" w:hAnsi="宋体" w:cs="宋体"/>
          <w:color w:val="auto"/>
          <w:sz w:val="24"/>
          <w:highlight w:val="none"/>
        </w:rPr>
        <w:t>委托代理人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none"/>
          <w:lang w:val="en-US" w:eastAsia="zh-CN" w:bidi="ar-SA"/>
        </w:rPr>
        <w:t>（签字或盖章）</w:t>
      </w:r>
    </w:p>
    <w:p w14:paraId="11BE9E7E">
      <w:pPr>
        <w:widowControl/>
        <w:tabs>
          <w:tab w:val="left" w:pos="4000"/>
        </w:tabs>
        <w:snapToGrid w:val="0"/>
        <w:spacing w:line="480" w:lineRule="auto"/>
        <w:jc w:val="left"/>
        <w:rPr>
          <w:rFonts w:hint="eastAsia" w:ascii="宋体" w:hAnsi="宋体" w:cs="宋体"/>
          <w:color w:val="auto"/>
          <w:kern w:val="0"/>
          <w:sz w:val="24"/>
          <w:highlight w:val="none"/>
        </w:rPr>
      </w:pPr>
    </w:p>
    <w:p w14:paraId="4F2F4B35">
      <w:pPr>
        <w:widowControl/>
        <w:tabs>
          <w:tab w:val="left" w:pos="4000"/>
        </w:tabs>
        <w:snapToGrid w:val="0"/>
        <w:spacing w:line="480" w:lineRule="auto"/>
        <w:jc w:val="left"/>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19704C2">
      <w:pPr>
        <w:widowControl/>
        <w:snapToGrid w:val="0"/>
        <w:spacing w:line="300" w:lineRule="auto"/>
        <w:jc w:val="both"/>
        <w:rPr>
          <w:rFonts w:ascii="宋体" w:hAnsi="宋体" w:cs="宋体"/>
          <w:b/>
          <w:bCs/>
          <w:color w:val="auto"/>
          <w:kern w:val="0"/>
          <w:sz w:val="48"/>
          <w:szCs w:val="4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351A1D5">
      <w:pPr>
        <w:widowControl/>
        <w:spacing w:line="360" w:lineRule="auto"/>
        <w:jc w:val="left"/>
        <w:rPr>
          <w:rFonts w:hint="eastAsia"/>
          <w:b w:val="0"/>
          <w:bCs/>
          <w:color w:val="auto"/>
          <w:kern w:val="0"/>
          <w:sz w:val="24"/>
          <w:szCs w:val="21"/>
          <w:highlight w:val="none"/>
        </w:rPr>
      </w:pPr>
      <w:r>
        <w:rPr>
          <w:rFonts w:hint="eastAsia"/>
          <w:b w:val="0"/>
          <w:bCs/>
          <w:color w:val="auto"/>
          <w:kern w:val="0"/>
          <w:sz w:val="24"/>
          <w:highlight w:val="none"/>
          <w:lang w:val="en-US" w:eastAsia="zh-CN"/>
        </w:rPr>
        <w:t>二</w:t>
      </w:r>
      <w:r>
        <w:rPr>
          <w:rFonts w:hint="eastAsia"/>
          <w:b w:val="0"/>
          <w:bCs/>
          <w:color w:val="auto"/>
          <w:kern w:val="0"/>
          <w:sz w:val="24"/>
          <w:highlight w:val="none"/>
        </w:rPr>
        <w:t>、</w:t>
      </w:r>
      <w:r>
        <w:rPr>
          <w:rFonts w:hint="eastAsia"/>
          <w:b w:val="0"/>
          <w:bCs/>
          <w:color w:val="auto"/>
          <w:kern w:val="0"/>
          <w:sz w:val="24"/>
          <w:szCs w:val="21"/>
          <w:highlight w:val="none"/>
        </w:rPr>
        <w:t>基本账户开户许可证或基本存款账户信息及</w:t>
      </w:r>
      <w:r>
        <w:rPr>
          <w:rFonts w:hint="eastAsia"/>
          <w:b w:val="0"/>
          <w:bCs/>
          <w:color w:val="auto"/>
          <w:kern w:val="0"/>
          <w:sz w:val="24"/>
          <w:szCs w:val="21"/>
          <w:highlight w:val="none"/>
          <w:lang w:val="en-US" w:eastAsia="zh-CN"/>
        </w:rPr>
        <w:t>磋商</w:t>
      </w:r>
      <w:r>
        <w:rPr>
          <w:rFonts w:hint="eastAsia"/>
          <w:b w:val="0"/>
          <w:bCs/>
          <w:color w:val="auto"/>
          <w:kern w:val="0"/>
          <w:sz w:val="24"/>
          <w:szCs w:val="21"/>
          <w:highlight w:val="none"/>
        </w:rPr>
        <w:t>保证金的缴纳凭证（</w:t>
      </w:r>
      <w:r>
        <w:rPr>
          <w:rFonts w:hint="eastAsia" w:ascii="宋体" w:hAnsi="宋体" w:eastAsia="宋体" w:cs="宋体"/>
          <w:color w:val="auto"/>
          <w:sz w:val="24"/>
          <w:szCs w:val="24"/>
          <w:highlight w:val="none"/>
          <w:lang w:val="en-US" w:eastAsia="zh-CN"/>
        </w:rPr>
        <w:t>扫描件或影印件须加盖供应商公章</w:t>
      </w:r>
      <w:r>
        <w:rPr>
          <w:rFonts w:hint="eastAsia"/>
          <w:b w:val="0"/>
          <w:bCs/>
          <w:color w:val="auto"/>
          <w:kern w:val="0"/>
          <w:sz w:val="24"/>
          <w:szCs w:val="21"/>
          <w:highlight w:val="none"/>
        </w:rPr>
        <w:t>）；</w:t>
      </w:r>
    </w:p>
    <w:p w14:paraId="7FF0D00A">
      <w:pPr>
        <w:pStyle w:val="2"/>
        <w:outlineLvl w:val="9"/>
        <w:rPr>
          <w:color w:val="auto"/>
          <w:highlight w:val="none"/>
        </w:rPr>
      </w:pPr>
    </w:p>
    <w:p w14:paraId="31ACAFDC">
      <w:pPr>
        <w:rPr>
          <w:color w:val="auto"/>
          <w:highlight w:val="none"/>
        </w:rPr>
      </w:pPr>
    </w:p>
    <w:p w14:paraId="5D5C42A2">
      <w:pPr>
        <w:rPr>
          <w:color w:val="auto"/>
          <w:highlight w:val="none"/>
        </w:rPr>
      </w:pPr>
    </w:p>
    <w:p w14:paraId="2A113EFB">
      <w:pPr>
        <w:rPr>
          <w:color w:val="auto"/>
          <w:highlight w:val="none"/>
        </w:rPr>
      </w:pPr>
    </w:p>
    <w:p w14:paraId="0C7DF8A6">
      <w:pPr>
        <w:rPr>
          <w:color w:val="auto"/>
          <w:highlight w:val="none"/>
        </w:rPr>
      </w:pPr>
    </w:p>
    <w:p w14:paraId="5DCF02E7">
      <w:pPr>
        <w:rPr>
          <w:color w:val="auto"/>
          <w:highlight w:val="none"/>
        </w:rPr>
      </w:pPr>
    </w:p>
    <w:p w14:paraId="741B8A65">
      <w:pPr>
        <w:rPr>
          <w:color w:val="auto"/>
          <w:highlight w:val="none"/>
        </w:rPr>
      </w:pPr>
    </w:p>
    <w:p w14:paraId="21AC976E">
      <w:pPr>
        <w:rPr>
          <w:color w:val="auto"/>
          <w:highlight w:val="none"/>
        </w:rPr>
      </w:pPr>
    </w:p>
    <w:p w14:paraId="26AAC576">
      <w:pPr>
        <w:rPr>
          <w:color w:val="auto"/>
          <w:highlight w:val="none"/>
        </w:rPr>
      </w:pPr>
    </w:p>
    <w:p w14:paraId="555B1CC4">
      <w:pPr>
        <w:rPr>
          <w:color w:val="auto"/>
          <w:highlight w:val="none"/>
        </w:rPr>
      </w:pPr>
    </w:p>
    <w:p w14:paraId="7CA8B506">
      <w:pPr>
        <w:rPr>
          <w:rFonts w:hint="eastAsia" w:ascii="Times New Roman" w:hAnsi="Times New Roman" w:eastAsia="宋体" w:cs="Times New Roman"/>
          <w:b w:val="0"/>
          <w:bCs/>
          <w:color w:val="auto"/>
          <w:kern w:val="0"/>
          <w:sz w:val="24"/>
          <w:szCs w:val="21"/>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olor w:val="auto"/>
          <w:highlight w:val="none"/>
          <w:lang w:val="en-US" w:eastAsia="zh-CN"/>
        </w:rPr>
        <w:t>三、</w:t>
      </w:r>
      <w:r>
        <w:rPr>
          <w:rFonts w:hint="eastAsia" w:ascii="Times New Roman" w:hAnsi="Times New Roman" w:eastAsia="宋体" w:cs="Times New Roman"/>
          <w:b w:val="0"/>
          <w:bCs/>
          <w:color w:val="auto"/>
          <w:kern w:val="0"/>
          <w:sz w:val="24"/>
          <w:szCs w:val="21"/>
          <w:highlight w:val="none"/>
          <w:lang w:val="en-US" w:eastAsia="zh-CN" w:bidi="ar-SA"/>
        </w:rPr>
        <w:t>供应商认为需提供的其他资格证明材料</w:t>
      </w:r>
    </w:p>
    <w:p w14:paraId="0FAE3ED0">
      <w:pPr>
        <w:widowControl/>
        <w:snapToGrid w:val="0"/>
        <w:spacing w:line="300" w:lineRule="auto"/>
        <w:jc w:val="center"/>
        <w:rPr>
          <w:rFonts w:ascii="宋体" w:hAnsi="宋体" w:cs="宋体"/>
          <w:b/>
          <w:bCs/>
          <w:color w:val="auto"/>
          <w:kern w:val="0"/>
          <w:sz w:val="48"/>
          <w:szCs w:val="48"/>
          <w:highlight w:val="none"/>
        </w:rPr>
      </w:pPr>
    </w:p>
    <w:p w14:paraId="74DF9FD9">
      <w:pPr>
        <w:widowControl/>
        <w:snapToGrid w:val="0"/>
        <w:spacing w:line="300" w:lineRule="auto"/>
        <w:jc w:val="center"/>
        <w:rPr>
          <w:rFonts w:ascii="宋体" w:hAnsi="宋体" w:cs="宋体"/>
          <w:b/>
          <w:bCs/>
          <w:color w:val="auto"/>
          <w:kern w:val="0"/>
          <w:sz w:val="48"/>
          <w:szCs w:val="48"/>
          <w:highlight w:val="none"/>
        </w:rPr>
      </w:pPr>
    </w:p>
    <w:p w14:paraId="5CD003AB">
      <w:pPr>
        <w:widowControl/>
        <w:snapToGrid w:val="0"/>
        <w:spacing w:line="300" w:lineRule="auto"/>
        <w:jc w:val="center"/>
        <w:rPr>
          <w:rFonts w:ascii="宋体" w:hAnsi="宋体" w:cs="宋体"/>
          <w:b/>
          <w:bCs/>
          <w:color w:val="auto"/>
          <w:kern w:val="0"/>
          <w:sz w:val="48"/>
          <w:szCs w:val="48"/>
          <w:highlight w:val="none"/>
        </w:rPr>
      </w:pPr>
    </w:p>
    <w:p w14:paraId="7455CABF">
      <w:pPr>
        <w:widowControl/>
        <w:snapToGrid w:val="0"/>
        <w:spacing w:line="300" w:lineRule="auto"/>
        <w:jc w:val="center"/>
        <w:rPr>
          <w:rFonts w:ascii="宋体" w:hAnsi="宋体" w:cs="宋体"/>
          <w:b/>
          <w:bCs/>
          <w:color w:val="auto"/>
          <w:kern w:val="0"/>
          <w:sz w:val="48"/>
          <w:szCs w:val="48"/>
          <w:highlight w:val="none"/>
        </w:rPr>
      </w:pPr>
    </w:p>
    <w:p w14:paraId="427B23B0">
      <w:pPr>
        <w:widowControl/>
        <w:snapToGrid w:val="0"/>
        <w:spacing w:line="300" w:lineRule="auto"/>
        <w:jc w:val="center"/>
        <w:rPr>
          <w:rFonts w:ascii="宋体" w:hAnsi="宋体" w:cs="宋体"/>
          <w:b/>
          <w:bCs/>
          <w:color w:val="auto"/>
          <w:kern w:val="0"/>
          <w:sz w:val="48"/>
          <w:szCs w:val="48"/>
          <w:highlight w:val="none"/>
        </w:rPr>
      </w:pPr>
    </w:p>
    <w:p w14:paraId="2F43C1B5">
      <w:pPr>
        <w:widowControl/>
        <w:snapToGrid w:val="0"/>
        <w:spacing w:line="300" w:lineRule="auto"/>
        <w:jc w:val="center"/>
        <w:rPr>
          <w:rFonts w:ascii="宋体" w:hAnsi="宋体" w:cs="宋体"/>
          <w:b/>
          <w:bCs/>
          <w:color w:val="auto"/>
          <w:kern w:val="0"/>
          <w:sz w:val="48"/>
          <w:szCs w:val="48"/>
          <w:highlight w:val="none"/>
        </w:rPr>
      </w:pPr>
    </w:p>
    <w:p w14:paraId="2F547EE5">
      <w:pPr>
        <w:widowControl/>
        <w:snapToGrid w:val="0"/>
        <w:spacing w:line="300" w:lineRule="auto"/>
        <w:jc w:val="center"/>
        <w:rPr>
          <w:rFonts w:hint="eastAsia" w:ascii="宋体" w:hAnsi="宋体" w:cs="宋体"/>
          <w:b/>
          <w:bCs/>
          <w:color w:val="auto"/>
          <w:kern w:val="0"/>
          <w:sz w:val="48"/>
          <w:szCs w:val="48"/>
          <w:highlight w:val="none"/>
        </w:rPr>
      </w:pPr>
    </w:p>
    <w:p w14:paraId="4015696A">
      <w:pPr>
        <w:widowControl/>
        <w:snapToGrid w:val="0"/>
        <w:spacing w:line="300" w:lineRule="auto"/>
        <w:jc w:val="center"/>
        <w:rPr>
          <w:rFonts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商务、技术文件</w:t>
      </w:r>
    </w:p>
    <w:p w14:paraId="4C2DA68F">
      <w:pPr>
        <w:widowControl/>
        <w:snapToGrid w:val="0"/>
        <w:spacing w:line="300" w:lineRule="auto"/>
        <w:ind w:firstLine="420" w:firstLineChars="200"/>
        <w:jc w:val="left"/>
        <w:rPr>
          <w:rFonts w:ascii="宋体" w:hAnsi="宋体" w:cs="宋体"/>
          <w:color w:val="auto"/>
          <w:kern w:val="0"/>
          <w:szCs w:val="21"/>
          <w:highlight w:val="none"/>
        </w:rPr>
      </w:pPr>
    </w:p>
    <w:p w14:paraId="26846F88">
      <w:pPr>
        <w:widowControl/>
        <w:snapToGrid w:val="0"/>
        <w:spacing w:line="300" w:lineRule="auto"/>
        <w:ind w:firstLine="420" w:firstLineChars="200"/>
        <w:jc w:val="left"/>
        <w:rPr>
          <w:rFonts w:ascii="宋体" w:hAnsi="宋体" w:cs="宋体"/>
          <w:color w:val="auto"/>
          <w:kern w:val="0"/>
          <w:szCs w:val="21"/>
          <w:highlight w:val="none"/>
        </w:rPr>
      </w:pPr>
    </w:p>
    <w:p w14:paraId="5E9DAA61">
      <w:pPr>
        <w:widowControl/>
        <w:snapToGrid w:val="0"/>
        <w:spacing w:line="300" w:lineRule="auto"/>
        <w:ind w:firstLine="420" w:firstLineChars="200"/>
        <w:jc w:val="left"/>
        <w:rPr>
          <w:rFonts w:ascii="宋体" w:hAnsi="宋体" w:cs="宋体"/>
          <w:color w:val="auto"/>
          <w:kern w:val="0"/>
          <w:szCs w:val="21"/>
          <w:highlight w:val="none"/>
        </w:rPr>
      </w:pPr>
    </w:p>
    <w:p w14:paraId="787341F5">
      <w:pPr>
        <w:widowControl/>
        <w:snapToGrid w:val="0"/>
        <w:spacing w:line="300" w:lineRule="auto"/>
        <w:ind w:firstLine="420" w:firstLineChars="200"/>
        <w:jc w:val="left"/>
        <w:rPr>
          <w:rFonts w:ascii="宋体" w:hAnsi="宋体" w:cs="宋体"/>
          <w:color w:val="auto"/>
          <w:kern w:val="0"/>
          <w:szCs w:val="21"/>
          <w:highlight w:val="none"/>
        </w:rPr>
      </w:pPr>
    </w:p>
    <w:p w14:paraId="7667ECE4">
      <w:pPr>
        <w:widowControl/>
        <w:snapToGrid w:val="0"/>
        <w:spacing w:line="300" w:lineRule="auto"/>
        <w:ind w:firstLine="420" w:firstLineChars="200"/>
        <w:jc w:val="left"/>
        <w:rPr>
          <w:rFonts w:ascii="宋体" w:hAnsi="宋体" w:cs="宋体"/>
          <w:color w:val="auto"/>
          <w:kern w:val="0"/>
          <w:szCs w:val="21"/>
          <w:highlight w:val="none"/>
        </w:rPr>
      </w:pPr>
    </w:p>
    <w:p w14:paraId="7539189B">
      <w:pPr>
        <w:widowControl/>
        <w:snapToGrid w:val="0"/>
        <w:spacing w:line="300" w:lineRule="auto"/>
        <w:ind w:firstLine="420" w:firstLineChars="200"/>
        <w:jc w:val="left"/>
        <w:rPr>
          <w:rFonts w:ascii="宋体" w:hAnsi="宋体" w:cs="宋体"/>
          <w:color w:val="auto"/>
          <w:kern w:val="0"/>
          <w:szCs w:val="21"/>
          <w:highlight w:val="none"/>
        </w:rPr>
      </w:pPr>
    </w:p>
    <w:p w14:paraId="19C1CF39">
      <w:pPr>
        <w:widowControl/>
        <w:snapToGrid w:val="0"/>
        <w:spacing w:line="300" w:lineRule="auto"/>
        <w:ind w:firstLine="420" w:firstLineChars="200"/>
        <w:jc w:val="left"/>
        <w:rPr>
          <w:rFonts w:ascii="宋体" w:hAnsi="宋体" w:cs="宋体"/>
          <w:color w:val="auto"/>
          <w:kern w:val="0"/>
          <w:szCs w:val="21"/>
          <w:highlight w:val="none"/>
        </w:rPr>
      </w:pPr>
    </w:p>
    <w:p w14:paraId="0FACFB9E">
      <w:pPr>
        <w:widowControl/>
        <w:snapToGrid w:val="0"/>
        <w:spacing w:line="300" w:lineRule="auto"/>
        <w:ind w:firstLine="420" w:firstLineChars="200"/>
        <w:jc w:val="left"/>
        <w:rPr>
          <w:rFonts w:ascii="宋体" w:hAnsi="宋体" w:cs="宋体"/>
          <w:color w:val="auto"/>
          <w:kern w:val="0"/>
          <w:szCs w:val="21"/>
          <w:highlight w:val="none"/>
        </w:rPr>
      </w:pPr>
    </w:p>
    <w:p w14:paraId="6E10DD00">
      <w:pPr>
        <w:widowControl/>
        <w:snapToGrid w:val="0"/>
        <w:spacing w:line="300" w:lineRule="auto"/>
        <w:ind w:firstLine="420" w:firstLineChars="200"/>
        <w:jc w:val="left"/>
        <w:rPr>
          <w:rFonts w:ascii="宋体" w:hAnsi="宋体" w:cs="宋体"/>
          <w:color w:val="auto"/>
          <w:kern w:val="0"/>
          <w:szCs w:val="21"/>
          <w:highlight w:val="none"/>
        </w:rPr>
      </w:pPr>
    </w:p>
    <w:p w14:paraId="3E60722A">
      <w:pPr>
        <w:widowControl/>
        <w:snapToGrid w:val="0"/>
        <w:spacing w:line="300" w:lineRule="auto"/>
        <w:ind w:firstLine="420" w:firstLineChars="200"/>
        <w:jc w:val="left"/>
        <w:rPr>
          <w:rFonts w:ascii="宋体" w:hAnsi="宋体" w:cs="宋体"/>
          <w:color w:val="auto"/>
          <w:kern w:val="0"/>
          <w:szCs w:val="21"/>
          <w:highlight w:val="none"/>
        </w:rPr>
      </w:pPr>
    </w:p>
    <w:p w14:paraId="77F45C84">
      <w:pPr>
        <w:widowControl/>
        <w:snapToGrid w:val="0"/>
        <w:spacing w:line="300" w:lineRule="auto"/>
        <w:ind w:firstLine="420" w:firstLineChars="200"/>
        <w:jc w:val="left"/>
        <w:rPr>
          <w:rFonts w:ascii="宋体" w:hAnsi="宋体" w:cs="宋体"/>
          <w:color w:val="auto"/>
          <w:kern w:val="0"/>
          <w:szCs w:val="21"/>
          <w:highlight w:val="none"/>
        </w:rPr>
      </w:pPr>
    </w:p>
    <w:p w14:paraId="41392130">
      <w:pPr>
        <w:widowControl/>
        <w:snapToGrid w:val="0"/>
        <w:spacing w:line="300" w:lineRule="auto"/>
        <w:ind w:firstLine="420" w:firstLineChars="200"/>
        <w:jc w:val="left"/>
        <w:rPr>
          <w:rFonts w:ascii="宋体" w:hAnsi="宋体" w:cs="宋体"/>
          <w:color w:val="auto"/>
          <w:kern w:val="0"/>
          <w:szCs w:val="21"/>
          <w:highlight w:val="none"/>
        </w:rPr>
      </w:pPr>
    </w:p>
    <w:p w14:paraId="2A90B6AE">
      <w:pPr>
        <w:widowControl/>
        <w:snapToGrid w:val="0"/>
        <w:spacing w:line="300" w:lineRule="auto"/>
        <w:ind w:firstLine="420" w:firstLineChars="200"/>
        <w:jc w:val="left"/>
        <w:rPr>
          <w:rFonts w:ascii="宋体" w:hAnsi="宋体" w:cs="宋体"/>
          <w:color w:val="auto"/>
          <w:kern w:val="0"/>
          <w:szCs w:val="21"/>
          <w:highlight w:val="none"/>
        </w:rPr>
      </w:pPr>
    </w:p>
    <w:p w14:paraId="4ABF168D">
      <w:pPr>
        <w:widowControl/>
        <w:snapToGrid w:val="0"/>
        <w:spacing w:line="300" w:lineRule="auto"/>
        <w:ind w:firstLine="420" w:firstLineChars="200"/>
        <w:jc w:val="left"/>
        <w:rPr>
          <w:rFonts w:ascii="宋体" w:hAnsi="宋体" w:cs="宋体"/>
          <w:color w:val="auto"/>
          <w:kern w:val="0"/>
          <w:szCs w:val="21"/>
          <w:highlight w:val="none"/>
        </w:rPr>
      </w:pPr>
    </w:p>
    <w:p w14:paraId="79A39F53">
      <w:pPr>
        <w:widowControl/>
        <w:snapToGrid w:val="0"/>
        <w:spacing w:line="300" w:lineRule="auto"/>
        <w:ind w:firstLine="420" w:firstLineChars="200"/>
        <w:jc w:val="left"/>
        <w:rPr>
          <w:rFonts w:ascii="宋体" w:hAnsi="宋体" w:cs="宋体"/>
          <w:color w:val="auto"/>
          <w:kern w:val="0"/>
          <w:szCs w:val="21"/>
          <w:highlight w:val="none"/>
        </w:rPr>
      </w:pPr>
    </w:p>
    <w:p w14:paraId="6F29C6E0">
      <w:pPr>
        <w:widowControl/>
        <w:snapToGrid w:val="0"/>
        <w:spacing w:line="300" w:lineRule="auto"/>
        <w:ind w:firstLine="420" w:firstLineChars="200"/>
        <w:jc w:val="left"/>
        <w:rPr>
          <w:rFonts w:ascii="宋体" w:hAnsi="宋体" w:cs="宋体"/>
          <w:color w:val="auto"/>
          <w:kern w:val="0"/>
          <w:szCs w:val="21"/>
          <w:highlight w:val="none"/>
        </w:rPr>
      </w:pPr>
    </w:p>
    <w:p w14:paraId="133FC77A">
      <w:pPr>
        <w:widowControl/>
        <w:snapToGrid w:val="0"/>
        <w:spacing w:line="300" w:lineRule="auto"/>
        <w:ind w:firstLine="420" w:firstLineChars="200"/>
        <w:jc w:val="left"/>
        <w:rPr>
          <w:rFonts w:ascii="宋体" w:hAnsi="宋体" w:cs="宋体"/>
          <w:color w:val="auto"/>
          <w:kern w:val="0"/>
          <w:szCs w:val="21"/>
          <w:highlight w:val="none"/>
        </w:rPr>
      </w:pPr>
    </w:p>
    <w:p w14:paraId="61B20591">
      <w:pPr>
        <w:widowControl/>
        <w:snapToGrid w:val="0"/>
        <w:spacing w:line="300" w:lineRule="auto"/>
        <w:ind w:firstLine="420" w:firstLineChars="200"/>
        <w:jc w:val="left"/>
        <w:rPr>
          <w:rFonts w:ascii="宋体" w:hAnsi="宋体" w:cs="宋体"/>
          <w:color w:val="auto"/>
          <w:kern w:val="0"/>
          <w:szCs w:val="21"/>
          <w:highlight w:val="none"/>
        </w:rPr>
      </w:pPr>
    </w:p>
    <w:p w14:paraId="385893E1">
      <w:pPr>
        <w:widowControl/>
        <w:snapToGrid w:val="0"/>
        <w:spacing w:line="300" w:lineRule="auto"/>
        <w:ind w:firstLine="420" w:firstLineChars="200"/>
        <w:jc w:val="left"/>
        <w:rPr>
          <w:rFonts w:ascii="宋体" w:hAnsi="宋体" w:cs="宋体"/>
          <w:color w:val="auto"/>
          <w:kern w:val="0"/>
          <w:szCs w:val="21"/>
          <w:highlight w:val="none"/>
        </w:rPr>
      </w:pPr>
    </w:p>
    <w:p w14:paraId="5926933D">
      <w:pPr>
        <w:widowControl/>
        <w:snapToGrid w:val="0"/>
        <w:spacing w:line="300" w:lineRule="auto"/>
        <w:jc w:val="left"/>
        <w:rPr>
          <w:rFonts w:ascii="宋体" w:hAnsi="宋体" w:cs="宋体"/>
          <w:color w:val="auto"/>
          <w:kern w:val="0"/>
          <w:szCs w:val="21"/>
          <w:highlight w:val="none"/>
        </w:rPr>
      </w:pPr>
    </w:p>
    <w:p w14:paraId="2CF6FCE5">
      <w:pPr>
        <w:pStyle w:val="7"/>
        <w:ind w:firstLine="400"/>
        <w:rPr>
          <w:color w:val="auto"/>
          <w:highlight w:val="none"/>
        </w:rPr>
      </w:pPr>
    </w:p>
    <w:p w14:paraId="22A279B6">
      <w:pPr>
        <w:widowControl/>
        <w:snapToGrid w:val="0"/>
        <w:spacing w:line="300" w:lineRule="auto"/>
        <w:jc w:val="left"/>
        <w:rPr>
          <w:rFonts w:ascii="宋体" w:hAnsi="宋体" w:cs="宋体"/>
          <w:color w:val="auto"/>
          <w:kern w:val="0"/>
          <w:szCs w:val="21"/>
          <w:highlight w:val="none"/>
        </w:rPr>
      </w:pPr>
    </w:p>
    <w:p w14:paraId="0E7ADF91">
      <w:pPr>
        <w:tabs>
          <w:tab w:val="left" w:pos="567"/>
        </w:tabs>
        <w:snapToGrid w:val="0"/>
        <w:spacing w:line="360" w:lineRule="auto"/>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一、法定代表人（负责人）身份证明书格式</w:t>
      </w:r>
    </w:p>
    <w:p w14:paraId="7F109255">
      <w:pPr>
        <w:snapToGrid w:val="0"/>
        <w:spacing w:line="360" w:lineRule="auto"/>
        <w:jc w:val="both"/>
        <w:rPr>
          <w:rFonts w:hint="eastAsia" w:ascii="宋体" w:hAnsi="宋体" w:cs="宋体"/>
          <w:b/>
          <w:color w:val="auto"/>
          <w:kern w:val="0"/>
          <w:sz w:val="28"/>
          <w:szCs w:val="28"/>
          <w:highlight w:val="none"/>
        </w:rPr>
      </w:pPr>
    </w:p>
    <w:p w14:paraId="0E4F0A1E">
      <w:pPr>
        <w:snapToGrid w:val="0"/>
        <w:spacing w:line="360" w:lineRule="auto"/>
        <w:ind w:left="562" w:hanging="562" w:hangingChars="20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法定代表人（负责人）身份证明书 </w:t>
      </w:r>
    </w:p>
    <w:p w14:paraId="33D1D98A">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w:t>
      </w:r>
    </w:p>
    <w:p w14:paraId="41846C1C">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w:t>
      </w:r>
    </w:p>
    <w:p w14:paraId="1FD2940E">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址：</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w:t>
      </w:r>
    </w:p>
    <w:p w14:paraId="6F3C934F">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14:paraId="766FC52D">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r>
        <w:rPr>
          <w:rFonts w:hint="eastAsia" w:asciiTheme="minorEastAsia" w:hAnsiTheme="minorEastAsia" w:eastAsiaTheme="minorEastAsia" w:cstheme="minorEastAsia"/>
          <w:color w:val="auto"/>
          <w:sz w:val="24"/>
          <w:highlight w:val="none"/>
          <w:u w:val="single"/>
        </w:rPr>
        <w:t>　　　　　　</w:t>
      </w:r>
    </w:p>
    <w:p w14:paraId="4A27AA28">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名：</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 xml:space="preserve">     性</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别：</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w:t>
      </w:r>
    </w:p>
    <w:p w14:paraId="7DF8AA5B">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年    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 xml:space="preserve">     职</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务：</w:t>
      </w:r>
      <w:r>
        <w:rPr>
          <w:rFonts w:hint="eastAsia" w:asciiTheme="minorEastAsia" w:hAnsiTheme="minorEastAsia" w:eastAsiaTheme="minorEastAsia" w:cstheme="minorEastAsia"/>
          <w:color w:val="auto"/>
          <w:sz w:val="24"/>
          <w:highlight w:val="none"/>
          <w:u w:val="single"/>
        </w:rPr>
        <w:t>　　　　　　</w:t>
      </w:r>
    </w:p>
    <w:p w14:paraId="798BF019">
      <w:pPr>
        <w:pageBreakBefore w:val="0"/>
        <w:kinsoku/>
        <w:overflowPunct w:val="0"/>
        <w:bidi w:val="0"/>
        <w:spacing w:beforeLines="0" w:afterLines="0"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名称）的法定代表人（负责人）。</w:t>
      </w:r>
    </w:p>
    <w:p w14:paraId="20D34BDB">
      <w:pPr>
        <w:widowControl/>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68CFD157">
      <w:pPr>
        <w:widowControl/>
        <w:snapToGrid w:val="0"/>
        <w:spacing w:line="360" w:lineRule="auto"/>
        <w:ind w:firstLine="960" w:firstLineChars="4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特此证明。</w:t>
      </w:r>
    </w:p>
    <w:p w14:paraId="3242DC0E">
      <w:pPr>
        <w:widowControl/>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5CD313F">
      <w:pPr>
        <w:widowControl/>
        <w:tabs>
          <w:tab w:val="left" w:pos="4000"/>
        </w:tabs>
        <w:snapToGrid w:val="0"/>
        <w:spacing w:line="480" w:lineRule="auto"/>
        <w:ind w:firstLine="2880" w:firstLineChars="1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（盖章）</w:t>
      </w:r>
    </w:p>
    <w:p w14:paraId="0F1F4D60">
      <w:pPr>
        <w:widowControl/>
        <w:tabs>
          <w:tab w:val="left" w:pos="4000"/>
        </w:tabs>
        <w:snapToGrid w:val="0"/>
        <w:spacing w:line="480" w:lineRule="auto"/>
        <w:ind w:firstLine="2880" w:firstLineChars="1200"/>
        <w:jc w:val="left"/>
        <w:rPr>
          <w:rFonts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r>
        <w:rPr>
          <w:rFonts w:hint="eastAsia" w:ascii="宋体" w:hAnsi="宋体" w:eastAsia="宋体" w:cs="宋体"/>
          <w:color w:val="auto"/>
          <w:kern w:val="2"/>
          <w:sz w:val="24"/>
          <w:szCs w:val="24"/>
          <w:highlight w:val="none"/>
          <w:u w:val="none"/>
          <w:lang w:val="en-US" w:eastAsia="zh-CN" w:bidi="ar-SA"/>
        </w:rPr>
        <w:t>（签字或盖章）</w:t>
      </w:r>
    </w:p>
    <w:p w14:paraId="3BB1D19B">
      <w:pPr>
        <w:widowControl/>
        <w:tabs>
          <w:tab w:val="left" w:pos="4000"/>
        </w:tabs>
        <w:snapToGrid w:val="0"/>
        <w:spacing w:line="480" w:lineRule="auto"/>
        <w:ind w:firstLine="2880" w:firstLineChars="1200"/>
        <w:jc w:val="left"/>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60079A8">
      <w:pPr>
        <w:spacing w:line="360" w:lineRule="auto"/>
        <w:rPr>
          <w:rFonts w:ascii="宋体" w:hAnsi="宋体" w:cs="宋体"/>
          <w:color w:val="auto"/>
          <w:sz w:val="24"/>
          <w:highlight w:val="none"/>
        </w:rPr>
      </w:pPr>
      <w:r>
        <w:rPr>
          <w:rFonts w:hint="eastAsia" w:ascii="宋体" w:hAnsi="宋体" w:cs="宋体"/>
          <w:color w:val="auto"/>
          <w:kern w:val="0"/>
          <w:sz w:val="24"/>
          <w:highlight w:val="none"/>
        </w:rPr>
        <w:t>附法定代表人第二代身份证正反面复印件。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75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615" w:type="dxa"/>
          </w:tcPr>
          <w:p w14:paraId="10E9BDEA">
            <w:pPr>
              <w:spacing w:line="360" w:lineRule="auto"/>
              <w:rPr>
                <w:rFonts w:ascii="宋体" w:hAnsi="宋体" w:cs="宋体"/>
                <w:color w:val="auto"/>
                <w:sz w:val="24"/>
                <w:highlight w:val="none"/>
              </w:rPr>
            </w:pPr>
          </w:p>
        </w:tc>
        <w:tc>
          <w:tcPr>
            <w:tcW w:w="4615" w:type="dxa"/>
          </w:tcPr>
          <w:p w14:paraId="778D379B">
            <w:pPr>
              <w:spacing w:line="360" w:lineRule="auto"/>
              <w:rPr>
                <w:rFonts w:ascii="宋体" w:hAnsi="宋体" w:cs="宋体"/>
                <w:color w:val="auto"/>
                <w:sz w:val="24"/>
                <w:highlight w:val="none"/>
              </w:rPr>
            </w:pPr>
          </w:p>
        </w:tc>
      </w:tr>
    </w:tbl>
    <w:p w14:paraId="6E400054">
      <w:pPr>
        <w:widowControl/>
        <w:snapToGrid w:val="0"/>
        <w:spacing w:line="300" w:lineRule="auto"/>
        <w:jc w:val="left"/>
        <w:rPr>
          <w:rFonts w:ascii="宋体" w:hAnsi="宋体" w:cs="宋体"/>
          <w:color w:val="auto"/>
          <w:kern w:val="0"/>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006466A">
      <w:pPr>
        <w:tabs>
          <w:tab w:val="left" w:pos="567"/>
        </w:tabs>
        <w:snapToGrid w:val="0"/>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二、法定代表人（负责人）授权委托书格式</w:t>
      </w:r>
    </w:p>
    <w:p w14:paraId="424D079B">
      <w:pPr>
        <w:rPr>
          <w:color w:val="auto"/>
          <w:highlight w:val="none"/>
        </w:rPr>
      </w:pPr>
    </w:p>
    <w:p w14:paraId="3FD8A1C1">
      <w:pPr>
        <w:snapToGrid w:val="0"/>
        <w:spacing w:line="360" w:lineRule="auto"/>
        <w:ind w:left="562" w:hanging="562" w:hangingChars="20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法定代表人（负责人）授权委托书</w:t>
      </w:r>
    </w:p>
    <w:p w14:paraId="155C7F2D">
      <w:pPr>
        <w:widowControl/>
        <w:snapToGrid w:val="0"/>
        <w:spacing w:line="360" w:lineRule="auto"/>
        <w:jc w:val="left"/>
        <w:rPr>
          <w:rFonts w:ascii="宋体" w:hAnsi="宋体" w:cs="宋体"/>
          <w:color w:val="auto"/>
          <w:kern w:val="0"/>
          <w:sz w:val="28"/>
          <w:szCs w:val="21"/>
          <w:highlight w:val="none"/>
        </w:rPr>
      </w:pPr>
    </w:p>
    <w:p w14:paraId="09D645A7">
      <w:pPr>
        <w:widowControl/>
        <w:snapToGrid w:val="0"/>
        <w:spacing w:line="520" w:lineRule="exact"/>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  采购代理机构名称   </w:t>
      </w:r>
      <w:r>
        <w:rPr>
          <w:rFonts w:hint="eastAsia" w:ascii="宋体" w:hAnsi="宋体" w:cs="宋体"/>
          <w:color w:val="auto"/>
          <w:kern w:val="0"/>
          <w:sz w:val="24"/>
          <w:highlight w:val="none"/>
        </w:rPr>
        <w:t>：</w:t>
      </w:r>
    </w:p>
    <w:p w14:paraId="28DA3DDF">
      <w:pPr>
        <w:widowControl/>
        <w:snapToGrid w:val="0"/>
        <w:spacing w:line="52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本授权书声明：注册于</w:t>
      </w:r>
      <w:r>
        <w:rPr>
          <w:rFonts w:hint="eastAsia" w:ascii="宋体" w:hAnsi="宋体" w:cs="宋体"/>
          <w:color w:val="auto"/>
          <w:kern w:val="0"/>
          <w:sz w:val="24"/>
          <w:highlight w:val="none"/>
          <w:u w:val="single"/>
        </w:rPr>
        <w:t xml:space="preserve">             （供应商住址）</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 xml:space="preserve">               （供应商名称）</w:t>
      </w: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（法定代表人姓名、职务）</w:t>
      </w:r>
      <w:r>
        <w:rPr>
          <w:rFonts w:hint="eastAsia" w:ascii="宋体" w:hAnsi="宋体" w:cs="宋体"/>
          <w:color w:val="auto"/>
          <w:kern w:val="0"/>
          <w:sz w:val="24"/>
          <w:highlight w:val="none"/>
        </w:rPr>
        <w:t>代表本公司授权</w:t>
      </w:r>
      <w:r>
        <w:rPr>
          <w:rFonts w:hint="eastAsia" w:ascii="宋体" w:hAnsi="宋体" w:cs="宋体"/>
          <w:color w:val="auto"/>
          <w:kern w:val="0"/>
          <w:sz w:val="24"/>
          <w:highlight w:val="none"/>
          <w:u w:val="single"/>
        </w:rPr>
        <w:t xml:space="preserve">     （被授权人姓名、职务）</w:t>
      </w:r>
      <w:r>
        <w:rPr>
          <w:rFonts w:hint="eastAsia" w:ascii="宋体" w:hAnsi="宋体" w:cs="宋体"/>
          <w:color w:val="auto"/>
          <w:kern w:val="0"/>
          <w:sz w:val="24"/>
          <w:highlight w:val="none"/>
        </w:rPr>
        <w:t>为本公司的合法代理人，就贵方组织的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 xml:space="preserve"> 项目</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，以本公司名义处理一切与之有关的事务。</w:t>
      </w:r>
    </w:p>
    <w:p w14:paraId="0A846B58">
      <w:pPr>
        <w:widowControl/>
        <w:snapToGrid w:val="0"/>
        <w:spacing w:line="52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本授权书于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日起生效。</w:t>
      </w:r>
    </w:p>
    <w:p w14:paraId="11929261">
      <w:pPr>
        <w:widowControl/>
        <w:snapToGrid w:val="0"/>
        <w:spacing w:line="520" w:lineRule="exact"/>
        <w:ind w:firstLine="480"/>
        <w:jc w:val="left"/>
        <w:rPr>
          <w:rFonts w:ascii="宋体" w:hAnsi="宋体" w:cs="宋体"/>
          <w:color w:val="auto"/>
          <w:highlight w:val="none"/>
        </w:rPr>
      </w:pPr>
      <w:r>
        <w:rPr>
          <w:rFonts w:hint="eastAsia" w:ascii="宋体" w:hAnsi="宋体" w:cs="宋体"/>
          <w:color w:val="auto"/>
          <w:kern w:val="0"/>
          <w:sz w:val="24"/>
          <w:highlight w:val="none"/>
        </w:rPr>
        <w:t>特此声明</w:t>
      </w:r>
    </w:p>
    <w:p w14:paraId="4471728E">
      <w:pPr>
        <w:widowControl/>
        <w:snapToGrid w:val="0"/>
        <w:spacing w:line="360" w:lineRule="auto"/>
        <w:rPr>
          <w:rFonts w:ascii="宋体" w:hAnsi="宋体" w:cs="宋体"/>
          <w:color w:val="auto"/>
          <w:kern w:val="0"/>
          <w:sz w:val="24"/>
          <w:highlight w:val="none"/>
        </w:rPr>
      </w:pPr>
    </w:p>
    <w:p w14:paraId="39197A86">
      <w:pPr>
        <w:widowControl/>
        <w:snapToGrid w:val="0"/>
        <w:spacing w:line="480" w:lineRule="auto"/>
        <w:ind w:firstLine="4164" w:firstLineChars="1735"/>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（盖章）</w:t>
      </w:r>
    </w:p>
    <w:p w14:paraId="19D98F95">
      <w:pPr>
        <w:widowControl/>
        <w:snapToGrid w:val="0"/>
        <w:spacing w:line="48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eastAsia="宋体" w:cs="宋体"/>
          <w:color w:val="auto"/>
          <w:kern w:val="2"/>
          <w:sz w:val="24"/>
          <w:szCs w:val="24"/>
          <w:highlight w:val="none"/>
          <w:u w:val="none"/>
          <w:lang w:val="en-US" w:eastAsia="zh-CN" w:bidi="ar-SA"/>
        </w:rPr>
        <w:t>（签字或盖章）</w:t>
      </w:r>
    </w:p>
    <w:p w14:paraId="10ED08DB">
      <w:pPr>
        <w:widowControl/>
        <w:snapToGrid w:val="0"/>
        <w:spacing w:line="48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委托代理人</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eastAsia="宋体" w:cs="宋体"/>
          <w:color w:val="auto"/>
          <w:kern w:val="2"/>
          <w:sz w:val="24"/>
          <w:szCs w:val="24"/>
          <w:highlight w:val="none"/>
          <w:u w:val="none"/>
          <w:lang w:val="en-US" w:eastAsia="zh-CN" w:bidi="ar-SA"/>
        </w:rPr>
        <w:t>（签字或盖章）</w:t>
      </w:r>
      <w:r>
        <w:rPr>
          <w:rFonts w:hint="eastAsia" w:ascii="宋体" w:hAnsi="宋体" w:cs="宋体"/>
          <w:color w:val="auto"/>
          <w:kern w:val="0"/>
          <w:sz w:val="24"/>
          <w:highlight w:val="none"/>
        </w:rPr>
        <w:t xml:space="preserve">                                              </w:t>
      </w:r>
    </w:p>
    <w:p w14:paraId="0D699970">
      <w:pPr>
        <w:widowControl/>
        <w:tabs>
          <w:tab w:val="left" w:pos="730"/>
        </w:tabs>
        <w:snapToGrid w:val="0"/>
        <w:spacing w:line="360" w:lineRule="auto"/>
        <w:rPr>
          <w:rFonts w:ascii="宋体" w:hAnsi="宋体" w:cs="宋体"/>
          <w:color w:val="auto"/>
          <w:kern w:val="0"/>
          <w:sz w:val="24"/>
          <w:highlight w:val="none"/>
        </w:rPr>
      </w:pPr>
    </w:p>
    <w:p w14:paraId="4B3984E5">
      <w:pPr>
        <w:widowControl/>
        <w:tabs>
          <w:tab w:val="left" w:pos="730"/>
        </w:tabs>
        <w:snapToGrid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附被授权人第二代身份证正反面复印件。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9F9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615" w:type="dxa"/>
          </w:tcPr>
          <w:p w14:paraId="636A22EE">
            <w:pPr>
              <w:spacing w:line="360" w:lineRule="auto"/>
              <w:rPr>
                <w:rFonts w:ascii="宋体" w:hAnsi="宋体" w:cs="宋体"/>
                <w:color w:val="auto"/>
                <w:sz w:val="24"/>
                <w:highlight w:val="none"/>
              </w:rPr>
            </w:pPr>
          </w:p>
        </w:tc>
        <w:tc>
          <w:tcPr>
            <w:tcW w:w="4615" w:type="dxa"/>
          </w:tcPr>
          <w:p w14:paraId="4723D658">
            <w:pPr>
              <w:spacing w:line="360" w:lineRule="auto"/>
              <w:rPr>
                <w:rFonts w:ascii="宋体" w:hAnsi="宋体" w:cs="宋体"/>
                <w:color w:val="auto"/>
                <w:sz w:val="24"/>
                <w:highlight w:val="none"/>
              </w:rPr>
            </w:pPr>
          </w:p>
        </w:tc>
      </w:tr>
    </w:tbl>
    <w:p w14:paraId="4BCDE4B9">
      <w:pPr>
        <w:widowControl/>
        <w:snapToGrid w:val="0"/>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注：1. 除可填报项目外，对本法定代表人授权委托书的任何修改将被视为未实质性响应报价，从而导致该报价被拒绝； </w:t>
      </w:r>
    </w:p>
    <w:p w14:paraId="2021F733">
      <w:pPr>
        <w:widowControl/>
        <w:snapToGrid w:val="0"/>
        <w:spacing w:line="300" w:lineRule="auto"/>
        <w:ind w:firstLine="482" w:firstLineChars="200"/>
        <w:jc w:val="left"/>
        <w:rPr>
          <w:rFonts w:ascii="宋体" w:hAnsi="宋体" w:cs="宋体"/>
          <w:color w:val="auto"/>
          <w:kern w:val="0"/>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s="宋体"/>
          <w:b/>
          <w:color w:val="auto"/>
          <w:kern w:val="0"/>
          <w:sz w:val="24"/>
          <w:highlight w:val="none"/>
        </w:rPr>
        <w:t>2. 若供应商代表为法定代表人的可不提供。</w:t>
      </w:r>
    </w:p>
    <w:p w14:paraId="0A69D13C">
      <w:pPr>
        <w:widowControl/>
        <w:snapToGrid w:val="0"/>
        <w:spacing w:line="300" w:lineRule="auto"/>
        <w:jc w:val="left"/>
        <w:rPr>
          <w:rFonts w:ascii="宋体" w:hAnsi="宋体" w:cs="宋体"/>
          <w:b/>
          <w:bCs/>
          <w:color w:val="auto"/>
          <w:kern w:val="0"/>
          <w:sz w:val="24"/>
          <w:highlight w:val="none"/>
        </w:rPr>
      </w:pPr>
      <w:r>
        <w:rPr>
          <w:rFonts w:hint="eastAsia" w:ascii="宋体" w:hAnsi="宋体" w:eastAsia="宋体" w:cs="宋体"/>
          <w:b/>
          <w:color w:val="auto"/>
          <w:kern w:val="0"/>
          <w:sz w:val="28"/>
          <w:szCs w:val="28"/>
          <w:highlight w:val="none"/>
        </w:rPr>
        <w:t>三、</w:t>
      </w:r>
      <w:r>
        <w:rPr>
          <w:rFonts w:hint="eastAsia" w:ascii="宋体" w:hAnsi="宋体" w:eastAsia="宋体" w:cs="宋体"/>
          <w:b/>
          <w:color w:val="auto"/>
          <w:kern w:val="0"/>
          <w:sz w:val="28"/>
          <w:szCs w:val="28"/>
          <w:highlight w:val="none"/>
          <w:lang w:eastAsia="zh-CN"/>
        </w:rPr>
        <w:t>响应函</w:t>
      </w:r>
      <w:r>
        <w:rPr>
          <w:rFonts w:hint="eastAsia" w:ascii="宋体" w:hAnsi="宋体" w:eastAsia="宋体" w:cs="宋体"/>
          <w:b/>
          <w:color w:val="auto"/>
          <w:kern w:val="0"/>
          <w:sz w:val="28"/>
          <w:szCs w:val="28"/>
          <w:highlight w:val="none"/>
        </w:rPr>
        <w:t>（格式）</w:t>
      </w:r>
    </w:p>
    <w:p w14:paraId="0787B43D">
      <w:pPr>
        <w:tabs>
          <w:tab w:val="left" w:pos="567"/>
        </w:tabs>
        <w:snapToGrid w:val="0"/>
        <w:spacing w:line="360" w:lineRule="auto"/>
        <w:jc w:val="center"/>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eastAsia="zh-CN"/>
        </w:rPr>
        <w:t>响应函</w:t>
      </w:r>
    </w:p>
    <w:p w14:paraId="0C8E9C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（采购人全称）    </w:t>
      </w:r>
      <w:r>
        <w:rPr>
          <w:rFonts w:hint="eastAsia" w:ascii="宋体" w:hAnsi="宋体" w:cs="宋体"/>
          <w:color w:val="auto"/>
          <w:sz w:val="24"/>
          <w:highlight w:val="none"/>
        </w:rPr>
        <w:t>：</w:t>
      </w:r>
    </w:p>
    <w:p w14:paraId="1AF6246B">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u w:val="single"/>
        </w:rPr>
        <w:t xml:space="preserve">                </w:t>
      </w:r>
      <w:r>
        <w:rPr>
          <w:rFonts w:hint="eastAsia"/>
          <w:color w:val="auto"/>
          <w:highlight w:val="none"/>
        </w:rPr>
        <w:t>(供应商全称)授权</w:t>
      </w:r>
      <w:r>
        <w:rPr>
          <w:rFonts w:hint="eastAsia"/>
          <w:color w:val="auto"/>
          <w:highlight w:val="none"/>
          <w:u w:val="single"/>
        </w:rPr>
        <w:t xml:space="preserve">        </w:t>
      </w:r>
      <w:r>
        <w:rPr>
          <w:rFonts w:hint="eastAsia"/>
          <w:color w:val="auto"/>
          <w:highlight w:val="none"/>
        </w:rPr>
        <w:t xml:space="preserve">(供应商代表姓名) </w:t>
      </w:r>
      <w:r>
        <w:rPr>
          <w:rFonts w:hint="eastAsia"/>
          <w:color w:val="auto"/>
          <w:highlight w:val="none"/>
          <w:u w:val="single"/>
        </w:rPr>
        <w:t xml:space="preserve">           </w:t>
      </w:r>
      <w:r>
        <w:rPr>
          <w:rFonts w:hint="eastAsia"/>
          <w:color w:val="auto"/>
          <w:highlight w:val="none"/>
        </w:rPr>
        <w:t>(职务、职称)为我方代表，参加贵方组织的</w:t>
      </w:r>
      <w:r>
        <w:rPr>
          <w:rFonts w:hint="eastAsia"/>
          <w:color w:val="auto"/>
          <w:highlight w:val="none"/>
          <w:u w:val="single"/>
        </w:rPr>
        <w:t xml:space="preserve">                   </w:t>
      </w:r>
      <w:r>
        <w:rPr>
          <w:rFonts w:hint="eastAsia"/>
          <w:color w:val="auto"/>
          <w:highlight w:val="none"/>
        </w:rPr>
        <w:t>(项目名称、项目编号)</w:t>
      </w:r>
      <w:r>
        <w:rPr>
          <w:rFonts w:hint="eastAsia"/>
          <w:color w:val="auto"/>
          <w:highlight w:val="none"/>
          <w:lang w:val="en-US" w:eastAsia="zh-CN"/>
        </w:rPr>
        <w:t>磋商</w:t>
      </w:r>
      <w:r>
        <w:rPr>
          <w:rFonts w:hint="eastAsia"/>
          <w:color w:val="auto"/>
          <w:highlight w:val="none"/>
        </w:rPr>
        <w:t>的有关活动，并对此项目进行报价，我方愿以人民币(大写)</w:t>
      </w:r>
      <w:r>
        <w:rPr>
          <w:rFonts w:hint="eastAsia"/>
          <w:color w:val="auto"/>
          <w:highlight w:val="none"/>
          <w:u w:val="single"/>
        </w:rPr>
        <w:t xml:space="preserve">         </w:t>
      </w:r>
      <w:r>
        <w:rPr>
          <w:rFonts w:hint="eastAsia"/>
          <w:color w:val="auto"/>
          <w:highlight w:val="none"/>
        </w:rPr>
        <w:t>（RMB￥</w:t>
      </w:r>
      <w:r>
        <w:rPr>
          <w:rFonts w:hint="eastAsia"/>
          <w:color w:val="auto"/>
          <w:highlight w:val="none"/>
          <w:u w:val="single"/>
        </w:rPr>
        <w:t xml:space="preserve">             </w:t>
      </w:r>
      <w:r>
        <w:rPr>
          <w:rFonts w:hint="eastAsia"/>
          <w:color w:val="auto"/>
          <w:highlight w:val="none"/>
        </w:rPr>
        <w:t>）的报价并按合同条款、商务及技术要求实施本项目，并承担任何质量保修责任。</w:t>
      </w:r>
    </w:p>
    <w:p w14:paraId="283B2524">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为此：</w:t>
      </w:r>
    </w:p>
    <w:p w14:paraId="69ADDFC5">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1、我方同意在本项目</w:t>
      </w:r>
      <w:r>
        <w:rPr>
          <w:rFonts w:hint="eastAsia"/>
          <w:color w:val="auto"/>
          <w:highlight w:val="none"/>
          <w:lang w:val="en-US" w:eastAsia="zh-CN"/>
        </w:rPr>
        <w:t>磋商</w:t>
      </w:r>
      <w:r>
        <w:rPr>
          <w:rFonts w:hint="eastAsia"/>
          <w:color w:val="auto"/>
          <w:highlight w:val="none"/>
        </w:rPr>
        <w:t>通知书中规定的</w:t>
      </w:r>
      <w:r>
        <w:rPr>
          <w:rFonts w:hint="eastAsia"/>
          <w:color w:val="auto"/>
          <w:highlight w:val="none"/>
          <w:lang w:val="en-US" w:eastAsia="zh-CN"/>
        </w:rPr>
        <w:t>磋商</w:t>
      </w:r>
      <w:r>
        <w:rPr>
          <w:rFonts w:hint="eastAsia"/>
          <w:color w:val="auto"/>
          <w:highlight w:val="none"/>
        </w:rPr>
        <w:t>日起的有效期</w:t>
      </w:r>
      <w:r>
        <w:rPr>
          <w:rFonts w:hint="eastAsia"/>
          <w:color w:val="auto"/>
          <w:highlight w:val="none"/>
          <w:u w:val="single"/>
        </w:rPr>
        <w:t xml:space="preserve">        </w:t>
      </w:r>
      <w:r>
        <w:rPr>
          <w:rFonts w:hint="eastAsia"/>
          <w:color w:val="auto"/>
          <w:highlight w:val="none"/>
        </w:rPr>
        <w:t>内（见</w:t>
      </w:r>
      <w:r>
        <w:rPr>
          <w:rFonts w:hint="eastAsia"/>
          <w:color w:val="auto"/>
          <w:highlight w:val="none"/>
          <w:lang w:val="en-US" w:eastAsia="zh-CN"/>
        </w:rPr>
        <w:t>供应商须知</w:t>
      </w:r>
      <w:r>
        <w:rPr>
          <w:rFonts w:hint="eastAsia"/>
          <w:color w:val="auto"/>
          <w:highlight w:val="none"/>
        </w:rPr>
        <w:t>前附表）遵守本报价文件中的承诺且在此期限期满之前均具有约束力。</w:t>
      </w:r>
    </w:p>
    <w:p w14:paraId="7A483F45">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2、我方承诺已经具备《中华人民共和国政府采购法》中规定的参加政府采购活动的供应商应当具备的全部条件。</w:t>
      </w:r>
    </w:p>
    <w:p w14:paraId="1F96112B">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3、提供</w:t>
      </w:r>
      <w:r>
        <w:rPr>
          <w:rFonts w:hint="eastAsia"/>
          <w:color w:val="auto"/>
          <w:highlight w:val="none"/>
          <w:lang w:val="en-US" w:eastAsia="zh-CN"/>
        </w:rPr>
        <w:t>磋商</w:t>
      </w:r>
      <w:r>
        <w:rPr>
          <w:rFonts w:hint="eastAsia"/>
          <w:color w:val="auto"/>
          <w:highlight w:val="none"/>
        </w:rPr>
        <w:t>须知规定的全部报价文件。</w:t>
      </w:r>
    </w:p>
    <w:p w14:paraId="7D4369C5">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4、按</w:t>
      </w:r>
      <w:r>
        <w:rPr>
          <w:rFonts w:hint="eastAsia"/>
          <w:color w:val="auto"/>
          <w:highlight w:val="none"/>
          <w:lang w:val="en-US" w:eastAsia="zh-CN"/>
        </w:rPr>
        <w:t>磋商</w:t>
      </w:r>
      <w:r>
        <w:rPr>
          <w:rFonts w:hint="eastAsia"/>
          <w:color w:val="auto"/>
          <w:highlight w:val="none"/>
        </w:rPr>
        <w:t>通知书要求提供和交付的货物和服务的报价详见报价一览表。</w:t>
      </w:r>
    </w:p>
    <w:p w14:paraId="6B667466">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5、我方承诺：完全理解最终报价超过采购预算金额时，报价将被拒绝。</w:t>
      </w:r>
    </w:p>
    <w:p w14:paraId="23B30EA3">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6、保证忠实地执行双方所签订的合同，并承担合同规定的责任和义务。</w:t>
      </w:r>
    </w:p>
    <w:p w14:paraId="5D1BE34A">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7、承诺完全满足和响应</w:t>
      </w:r>
      <w:r>
        <w:rPr>
          <w:rFonts w:hint="eastAsia"/>
          <w:color w:val="auto"/>
          <w:highlight w:val="none"/>
          <w:lang w:val="en-US" w:eastAsia="zh-CN"/>
        </w:rPr>
        <w:t>磋商</w:t>
      </w:r>
      <w:r>
        <w:rPr>
          <w:rFonts w:hint="eastAsia"/>
          <w:color w:val="auto"/>
          <w:highlight w:val="none"/>
        </w:rPr>
        <w:t>通知书中的各项商务和技术要求，若有偏差，已在报价文件商务条款偏离表中予以明确特别说明。</w:t>
      </w:r>
    </w:p>
    <w:p w14:paraId="00366920">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8、保证遵守</w:t>
      </w:r>
      <w:r>
        <w:rPr>
          <w:rFonts w:hint="eastAsia"/>
          <w:color w:val="auto"/>
          <w:highlight w:val="none"/>
          <w:lang w:val="en-US" w:eastAsia="zh-CN"/>
        </w:rPr>
        <w:t>磋商</w:t>
      </w:r>
      <w:r>
        <w:rPr>
          <w:rFonts w:hint="eastAsia"/>
          <w:color w:val="auto"/>
          <w:highlight w:val="none"/>
        </w:rPr>
        <w:t>通知书的规定。</w:t>
      </w:r>
    </w:p>
    <w:p w14:paraId="349BD196">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9、如果在</w:t>
      </w:r>
      <w:r>
        <w:rPr>
          <w:rFonts w:hint="eastAsia"/>
          <w:color w:val="auto"/>
          <w:highlight w:val="none"/>
          <w:lang w:val="en-US" w:eastAsia="zh-CN"/>
        </w:rPr>
        <w:t>磋商</w:t>
      </w:r>
      <w:r>
        <w:rPr>
          <w:rFonts w:hint="eastAsia"/>
          <w:color w:val="auto"/>
          <w:highlight w:val="none"/>
        </w:rPr>
        <w:t>开始之日起规定的报价有效期内撤回报价，我方的保证金可被贵方不予退还。</w:t>
      </w:r>
    </w:p>
    <w:p w14:paraId="0DCECB2F">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10、我方完全理解贵方不一定接受最低价的报价或收到的任何报价。</w:t>
      </w:r>
    </w:p>
    <w:p w14:paraId="5A526CE8">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11、我方愿意向贵方提供任何与本项报价有关的数据、情况和技术资料。若贵方需要，我方愿意提供我方做出的一切承诺的证明材料。</w:t>
      </w:r>
    </w:p>
    <w:p w14:paraId="36B60194">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12、我方已详细审核全部</w:t>
      </w:r>
      <w:r>
        <w:rPr>
          <w:rFonts w:hint="eastAsia"/>
          <w:color w:val="auto"/>
          <w:highlight w:val="none"/>
          <w:lang w:val="en-US" w:eastAsia="zh-CN"/>
        </w:rPr>
        <w:t>磋商</w:t>
      </w:r>
      <w:r>
        <w:rPr>
          <w:rFonts w:hint="eastAsia"/>
          <w:color w:val="auto"/>
          <w:highlight w:val="none"/>
        </w:rPr>
        <w:t>通知书，包括</w:t>
      </w:r>
      <w:r>
        <w:rPr>
          <w:rFonts w:hint="eastAsia"/>
          <w:color w:val="auto"/>
          <w:highlight w:val="none"/>
          <w:lang w:val="en-US" w:eastAsia="zh-CN"/>
        </w:rPr>
        <w:t>磋商</w:t>
      </w:r>
      <w:r>
        <w:rPr>
          <w:rFonts w:hint="eastAsia"/>
          <w:color w:val="auto"/>
          <w:highlight w:val="none"/>
        </w:rPr>
        <w:t>通知书修改书（如有的话）、参考资料及有关附件，确认无误。</w:t>
      </w:r>
    </w:p>
    <w:p w14:paraId="24C4AEE8">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13、我方承诺：采购人若需追加采购本项目</w:t>
      </w:r>
      <w:r>
        <w:rPr>
          <w:rFonts w:hint="eastAsia"/>
          <w:color w:val="auto"/>
          <w:highlight w:val="none"/>
          <w:lang w:val="en-US" w:eastAsia="zh-CN"/>
        </w:rPr>
        <w:t>磋商</w:t>
      </w:r>
      <w:r>
        <w:rPr>
          <w:rFonts w:hint="eastAsia"/>
          <w:color w:val="auto"/>
          <w:highlight w:val="none"/>
        </w:rPr>
        <w:t>通知书所列货物及相关服务的，在不改变合同其他实质性条款的前提下，按相同或更优惠的折扣率保证供货。</w:t>
      </w:r>
    </w:p>
    <w:p w14:paraId="5C6E21BF">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14、我方承诺接受</w:t>
      </w:r>
      <w:r>
        <w:rPr>
          <w:rFonts w:hint="eastAsia"/>
          <w:color w:val="auto"/>
          <w:highlight w:val="none"/>
          <w:lang w:val="en-US" w:eastAsia="zh-CN"/>
        </w:rPr>
        <w:t>磋商</w:t>
      </w:r>
      <w:r>
        <w:rPr>
          <w:rFonts w:hint="eastAsia"/>
          <w:color w:val="auto"/>
          <w:highlight w:val="none"/>
        </w:rPr>
        <w:t>通知书中《合同原则》的全部条款且无任何异议。</w:t>
      </w:r>
    </w:p>
    <w:p w14:paraId="73DD326E">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24E8493">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（1）提供虚假材料谋取成交的；</w:t>
      </w:r>
    </w:p>
    <w:p w14:paraId="0FC58F0F">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（2）采取不正当手段诋毁、排挤其他供应商的；</w:t>
      </w:r>
    </w:p>
    <w:p w14:paraId="625A2770">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（3）与采购人、其它供应商或者采购代理机构工作人员恶意串通的；</w:t>
      </w:r>
    </w:p>
    <w:p w14:paraId="2B53E6F6">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（4）向采购人、采购代理机构工作人员行贿或者提供其他不正当利益的；</w:t>
      </w:r>
    </w:p>
    <w:p w14:paraId="70F960FA">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（5）在采购过程中与采购人进行协商</w:t>
      </w:r>
      <w:r>
        <w:rPr>
          <w:rFonts w:hint="eastAsia"/>
          <w:color w:val="auto"/>
          <w:highlight w:val="none"/>
          <w:lang w:val="en-US" w:eastAsia="zh-CN"/>
        </w:rPr>
        <w:t>磋商</w:t>
      </w:r>
      <w:r>
        <w:rPr>
          <w:rFonts w:hint="eastAsia"/>
          <w:color w:val="auto"/>
          <w:highlight w:val="none"/>
        </w:rPr>
        <w:t>的；</w:t>
      </w:r>
    </w:p>
    <w:p w14:paraId="3FE9E8B0">
      <w:pPr>
        <w:pStyle w:val="24"/>
        <w:wordWrap/>
        <w:snapToGrid w:val="0"/>
        <w:spacing w:before="0" w:beforeAutospacing="0" w:after="0" w:afterAutospacing="0" w:line="360" w:lineRule="auto"/>
        <w:ind w:firstLine="480" w:firstLineChars="200"/>
        <w:rPr>
          <w:color w:val="auto"/>
          <w:highlight w:val="none"/>
        </w:rPr>
      </w:pPr>
      <w:r>
        <w:rPr>
          <w:rFonts w:hint="eastAsia"/>
          <w:color w:val="auto"/>
          <w:highlight w:val="none"/>
        </w:rPr>
        <w:t>（6）拒绝有关部门监督检查或提供虚假情况的。 </w:t>
      </w:r>
    </w:p>
    <w:p w14:paraId="120F6EB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所有有关本报价的一切往来联系方式为：</w:t>
      </w:r>
    </w:p>
    <w:p w14:paraId="23AEC62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ascii="宋体" w:hAnsi="宋体" w:cs="宋体"/>
          <w:color w:val="auto"/>
          <w:sz w:val="24"/>
          <w:highlight w:val="none"/>
        </w:rPr>
        <w:tab/>
      </w:r>
      <w:r>
        <w:rPr>
          <w:rFonts w:hint="eastAsia" w:ascii="宋体" w:hAnsi="宋体" w:cs="宋体"/>
          <w:color w:val="auto"/>
          <w:sz w:val="24"/>
          <w:highlight w:val="none"/>
        </w:rPr>
        <w:t xml:space="preserve">                           邮编：</w:t>
      </w:r>
      <w:r>
        <w:rPr>
          <w:rFonts w:hint="eastAsia" w:ascii="宋体" w:hAnsi="宋体" w:cs="宋体"/>
          <w:color w:val="auto"/>
          <w:sz w:val="24"/>
          <w:highlight w:val="none"/>
        </w:rPr>
        <w:tab/>
      </w:r>
    </w:p>
    <w:p w14:paraId="00578A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rPr>
        <w:tab/>
      </w:r>
      <w:r>
        <w:rPr>
          <w:rFonts w:hint="eastAsia" w:ascii="宋体" w:hAnsi="宋体" w:cs="宋体"/>
          <w:color w:val="auto"/>
          <w:sz w:val="24"/>
          <w:highlight w:val="none"/>
        </w:rPr>
        <w:t xml:space="preserve">                           传真：</w:t>
      </w:r>
    </w:p>
    <w:p w14:paraId="679FB4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供应商代表姓名：</w:t>
      </w:r>
    </w:p>
    <w:p w14:paraId="4AF49B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供应商代表联系电话：           （办公）        （移动）</w:t>
      </w:r>
    </w:p>
    <w:p w14:paraId="271204C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E-mail：</w:t>
      </w:r>
    </w:p>
    <w:p w14:paraId="220910D7">
      <w:pPr>
        <w:spacing w:line="360" w:lineRule="auto"/>
        <w:jc w:val="right"/>
        <w:rPr>
          <w:rFonts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rPr>
        <w:tab/>
      </w: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kern w:val="2"/>
          <w:sz w:val="24"/>
          <w:szCs w:val="24"/>
          <w:highlight w:val="none"/>
          <w:u w:val="none"/>
          <w:lang w:val="en-US" w:eastAsia="zh-CN" w:bidi="ar-SA"/>
        </w:rPr>
        <w:t>盖</w:t>
      </w:r>
      <w:r>
        <w:rPr>
          <w:rFonts w:hint="eastAsia" w:ascii="宋体" w:hAnsi="宋体" w:cs="宋体"/>
          <w:color w:val="auto"/>
          <w:sz w:val="24"/>
          <w:highlight w:val="none"/>
        </w:rPr>
        <w:t>章)</w:t>
      </w:r>
    </w:p>
    <w:p w14:paraId="1FA91FD0">
      <w:pPr>
        <w:spacing w:line="360" w:lineRule="auto"/>
        <w:ind w:firstLine="480" w:firstLineChars="200"/>
        <w:jc w:val="right"/>
        <w:rPr>
          <w:rFonts w:hint="eastAsia" w:ascii="宋体" w:hAnsi="宋体" w:eastAsia="宋体" w:cs="宋体"/>
          <w:color w:val="auto"/>
          <w:kern w:val="2"/>
          <w:sz w:val="24"/>
          <w:szCs w:val="24"/>
          <w:highlight w:val="none"/>
          <w:u w:val="none"/>
          <w:lang w:val="en-US" w:eastAsia="zh-CN" w:bidi="ar-SA"/>
        </w:rPr>
      </w:pPr>
      <w:r>
        <w:rPr>
          <w:rFonts w:hint="eastAsia" w:ascii="宋体" w:hAnsi="宋体" w:cs="宋体"/>
          <w:color w:val="auto"/>
          <w:sz w:val="24"/>
          <w:highlight w:val="none"/>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u w:val="none"/>
          <w:lang w:val="en-US" w:eastAsia="zh-CN" w:bidi="ar-SA"/>
        </w:rPr>
        <w:t>（签字或盖章）</w:t>
      </w:r>
    </w:p>
    <w:p w14:paraId="444E4062">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13BC560">
      <w:pPr>
        <w:widowControl/>
        <w:snapToGrid w:val="0"/>
        <w:spacing w:line="600" w:lineRule="exact"/>
        <w:ind w:firstLine="480" w:firstLineChars="200"/>
        <w:jc w:val="left"/>
        <w:rPr>
          <w:rFonts w:ascii="宋体" w:hAnsi="宋体" w:cs="宋体"/>
          <w:color w:val="auto"/>
          <w:sz w:val="24"/>
          <w:highlight w:val="none"/>
        </w:rPr>
      </w:pPr>
    </w:p>
    <w:p w14:paraId="039EFBAA">
      <w:pPr>
        <w:widowControl/>
        <w:snapToGrid w:val="0"/>
        <w:spacing w:line="6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注：除可填报项目外，对本响应函的任何修改将被视为非实质性响应报价，从而导致该报价被拒绝。</w:t>
      </w:r>
    </w:p>
    <w:p w14:paraId="7D0AE258">
      <w:pPr>
        <w:widowControl/>
        <w:snapToGrid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br w:type="page"/>
      </w:r>
      <w:bookmarkStart w:id="106" w:name="_Toc175644065"/>
      <w:bookmarkStart w:id="107" w:name="_Toc86202635"/>
    </w:p>
    <w:p w14:paraId="09869081">
      <w:pPr>
        <w:widowControl/>
        <w:snapToGrid w:val="0"/>
        <w:spacing w:line="300" w:lineRule="auto"/>
        <w:jc w:val="left"/>
        <w:rPr>
          <w:rFonts w:ascii="宋体" w:hAnsi="宋体" w:cs="宋体"/>
          <w:color w:val="auto"/>
          <w:kern w:val="0"/>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6"/>
    <w:bookmarkEnd w:id="107"/>
    <w:p w14:paraId="767CBE8B">
      <w:pPr>
        <w:tabs>
          <w:tab w:val="left" w:pos="567"/>
        </w:tabs>
        <w:snapToGrid w:val="0"/>
        <w:spacing w:line="360" w:lineRule="auto"/>
        <w:jc w:val="left"/>
        <w:rPr>
          <w:rFonts w:hint="eastAsia" w:ascii="宋体" w:hAnsi="宋体" w:eastAsia="宋体" w:cs="宋体"/>
          <w:b/>
          <w:color w:val="auto"/>
          <w:kern w:val="0"/>
          <w:sz w:val="28"/>
          <w:szCs w:val="28"/>
          <w:highlight w:val="none"/>
        </w:rPr>
      </w:pPr>
      <w:bookmarkStart w:id="108" w:name="_Toc390118024"/>
      <w:r>
        <w:rPr>
          <w:rFonts w:hint="eastAsia" w:ascii="宋体" w:hAnsi="宋体" w:eastAsia="宋体" w:cs="宋体"/>
          <w:b/>
          <w:color w:val="auto"/>
          <w:kern w:val="0"/>
          <w:sz w:val="28"/>
          <w:szCs w:val="28"/>
          <w:highlight w:val="none"/>
        </w:rPr>
        <w:t>四、报价一览表及报价明细表（格式）</w:t>
      </w:r>
    </w:p>
    <w:p w14:paraId="2BE36835">
      <w:pPr>
        <w:tabs>
          <w:tab w:val="left" w:pos="567"/>
        </w:tabs>
        <w:snapToGrid w:val="0"/>
        <w:spacing w:line="360" w:lineRule="auto"/>
        <w:jc w:val="center"/>
        <w:rPr>
          <w:rFonts w:ascii="宋体" w:hAnsi="宋体" w:cs="宋体"/>
          <w:color w:val="auto"/>
          <w:sz w:val="24"/>
          <w:highlight w:val="none"/>
        </w:rPr>
      </w:pPr>
      <w:r>
        <w:rPr>
          <w:rFonts w:hint="eastAsia" w:ascii="宋体" w:hAnsi="宋体" w:eastAsia="宋体" w:cs="宋体"/>
          <w:b/>
          <w:color w:val="auto"/>
          <w:kern w:val="0"/>
          <w:sz w:val="28"/>
          <w:szCs w:val="28"/>
          <w:highlight w:val="none"/>
        </w:rPr>
        <w:t>报价一览表</w:t>
      </w:r>
      <w:r>
        <w:rPr>
          <w:rFonts w:hint="eastAsia" w:ascii="宋体" w:hAnsi="宋体" w:cs="宋体"/>
          <w:bCs/>
          <w:color w:val="auto"/>
          <w:sz w:val="24"/>
          <w:highlight w:val="none"/>
        </w:rPr>
        <w:t xml:space="preserve">                                                           </w:t>
      </w:r>
    </w:p>
    <w:p w14:paraId="26CBB6FB">
      <w:pPr>
        <w:widowControl/>
        <w:snapToGrid w:val="0"/>
        <w:spacing w:line="300" w:lineRule="auto"/>
        <w:ind w:firstLine="480" w:firstLineChars="200"/>
        <w:rPr>
          <w:rFonts w:ascii="宋体" w:hAnsi="宋体" w:cs="宋体"/>
          <w:color w:val="auto"/>
          <w:sz w:val="24"/>
          <w:highlight w:val="none"/>
        </w:rPr>
      </w:pPr>
    </w:p>
    <w:p w14:paraId="16D50F0B">
      <w:pPr>
        <w:widowControl/>
        <w:snapToGrid w:val="0"/>
        <w:spacing w:line="30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D309A72">
      <w:pPr>
        <w:widowControl/>
        <w:snapToGrid w:val="0"/>
        <w:spacing w:line="30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0FFF46F6">
      <w:pPr>
        <w:widowControl/>
        <w:tabs>
          <w:tab w:val="left" w:pos="7980"/>
        </w:tabs>
        <w:snapToGrid w:val="0"/>
        <w:spacing w:line="300" w:lineRule="auto"/>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BB430A7">
      <w:pPr>
        <w:widowControl/>
        <w:snapToGrid w:val="0"/>
        <w:spacing w:line="300" w:lineRule="auto"/>
        <w:ind w:firstLine="480" w:firstLineChars="200"/>
        <w:rPr>
          <w:rStyle w:val="30"/>
          <w:rFonts w:ascii="宋体" w:hAnsi="宋体" w:cs="宋体"/>
          <w:color w:val="auto"/>
          <w:sz w:val="24"/>
          <w:highlight w:val="none"/>
        </w:rPr>
      </w:pPr>
      <w:r>
        <w:rPr>
          <w:rFonts w:hint="eastAsia" w:ascii="宋体" w:hAnsi="宋体" w:cs="宋体"/>
          <w:color w:val="auto"/>
          <w:sz w:val="24"/>
          <w:highlight w:val="none"/>
        </w:rPr>
        <w:t xml:space="preserve">          </w:t>
      </w:r>
      <w:r>
        <w:rPr>
          <w:rStyle w:val="30"/>
          <w:rFonts w:hint="eastAsia" w:ascii="宋体" w:hAnsi="宋体" w:cs="宋体"/>
          <w:color w:val="auto"/>
          <w:sz w:val="24"/>
          <w:highlight w:val="none"/>
        </w:rPr>
        <w:t xml:space="preserve">                                   </w:t>
      </w:r>
    </w:p>
    <w:p w14:paraId="05118946">
      <w:pPr>
        <w:widowControl/>
        <w:tabs>
          <w:tab w:val="left" w:pos="4000"/>
        </w:tabs>
        <w:snapToGrid w:val="0"/>
        <w:spacing w:line="300" w:lineRule="auto"/>
        <w:ind w:firstLine="480" w:firstLineChars="200"/>
        <w:jc w:val="right"/>
        <w:rPr>
          <w:rFonts w:ascii="宋体" w:hAnsi="宋体" w:cs="宋体"/>
          <w:color w:val="auto"/>
          <w:sz w:val="24"/>
          <w:highlight w:val="none"/>
        </w:rPr>
      </w:pPr>
      <w:r>
        <w:rPr>
          <w:rFonts w:hint="eastAsia" w:ascii="宋体" w:hAnsi="宋体" w:cs="宋体"/>
          <w:bCs/>
          <w:color w:val="auto"/>
          <w:sz w:val="24"/>
          <w:highlight w:val="none"/>
        </w:rPr>
        <w:t>货币：人民币/元</w:t>
      </w:r>
    </w:p>
    <w:tbl>
      <w:tblPr>
        <w:tblStyle w:val="27"/>
        <w:tblW w:w="928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87"/>
        <w:gridCol w:w="1705"/>
        <w:gridCol w:w="1882"/>
        <w:gridCol w:w="1603"/>
        <w:gridCol w:w="1603"/>
      </w:tblGrid>
      <w:tr w14:paraId="66004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28" w:hRule="atLeast"/>
          <w:jc w:val="center"/>
        </w:trPr>
        <w:tc>
          <w:tcPr>
            <w:tcW w:w="2487" w:type="dxa"/>
            <w:vAlign w:val="center"/>
          </w:tcPr>
          <w:p w14:paraId="76351284">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05" w:type="dxa"/>
            <w:vAlign w:val="center"/>
          </w:tcPr>
          <w:p w14:paraId="1E789E29">
            <w:pPr>
              <w:jc w:val="center"/>
              <w:rPr>
                <w:rFonts w:ascii="宋体" w:hAnsi="宋体" w:cs="宋体"/>
                <w:color w:val="auto"/>
                <w:sz w:val="24"/>
                <w:highlight w:val="none"/>
              </w:rPr>
            </w:pPr>
            <w:r>
              <w:rPr>
                <w:rFonts w:hint="eastAsia" w:ascii="宋体" w:hAnsi="宋体" w:cs="宋体"/>
                <w:color w:val="auto"/>
                <w:sz w:val="24"/>
                <w:highlight w:val="none"/>
              </w:rPr>
              <w:t>总价（元）</w:t>
            </w:r>
          </w:p>
        </w:tc>
        <w:tc>
          <w:tcPr>
            <w:tcW w:w="1882" w:type="dxa"/>
            <w:vAlign w:val="center"/>
          </w:tcPr>
          <w:p w14:paraId="3B1AFFF1">
            <w:pPr>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1603" w:type="dxa"/>
            <w:vAlign w:val="center"/>
          </w:tcPr>
          <w:p w14:paraId="133A2E9E">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质量</w:t>
            </w:r>
            <w:r>
              <w:rPr>
                <w:rFonts w:hint="eastAsia" w:ascii="宋体" w:hAnsi="宋体" w:cs="宋体"/>
                <w:color w:val="auto"/>
                <w:sz w:val="24"/>
                <w:highlight w:val="none"/>
                <w:lang w:val="en-US" w:eastAsia="zh-CN"/>
              </w:rPr>
              <w:t>要求</w:t>
            </w:r>
          </w:p>
        </w:tc>
        <w:tc>
          <w:tcPr>
            <w:tcW w:w="1603" w:type="dxa"/>
            <w:vAlign w:val="center"/>
          </w:tcPr>
          <w:p w14:paraId="66E16707">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424ABB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4" w:hRule="atLeast"/>
          <w:jc w:val="center"/>
        </w:trPr>
        <w:tc>
          <w:tcPr>
            <w:tcW w:w="2487" w:type="dxa"/>
            <w:vAlign w:val="center"/>
          </w:tcPr>
          <w:p w14:paraId="1AB22D46">
            <w:pPr>
              <w:pStyle w:val="24"/>
              <w:wordWrap/>
              <w:spacing w:before="0" w:beforeAutospacing="0" w:after="0" w:afterAutospacing="0" w:line="440" w:lineRule="exact"/>
              <w:jc w:val="center"/>
              <w:rPr>
                <w:color w:val="auto"/>
                <w:highlight w:val="none"/>
              </w:rPr>
            </w:pPr>
          </w:p>
        </w:tc>
        <w:tc>
          <w:tcPr>
            <w:tcW w:w="1705" w:type="dxa"/>
            <w:vAlign w:val="center"/>
          </w:tcPr>
          <w:p w14:paraId="3728AB9D">
            <w:pPr>
              <w:jc w:val="center"/>
              <w:rPr>
                <w:rFonts w:ascii="宋体" w:hAnsi="宋体" w:cs="宋体"/>
                <w:color w:val="auto"/>
                <w:sz w:val="24"/>
                <w:highlight w:val="none"/>
              </w:rPr>
            </w:pPr>
          </w:p>
        </w:tc>
        <w:tc>
          <w:tcPr>
            <w:tcW w:w="1882" w:type="dxa"/>
            <w:vAlign w:val="center"/>
          </w:tcPr>
          <w:p w14:paraId="14729F50">
            <w:pPr>
              <w:jc w:val="center"/>
              <w:rPr>
                <w:rFonts w:ascii="宋体" w:hAnsi="宋体" w:cs="宋体"/>
                <w:color w:val="auto"/>
                <w:sz w:val="24"/>
                <w:highlight w:val="none"/>
              </w:rPr>
            </w:pPr>
          </w:p>
        </w:tc>
        <w:tc>
          <w:tcPr>
            <w:tcW w:w="1603" w:type="dxa"/>
            <w:vAlign w:val="center"/>
          </w:tcPr>
          <w:p w14:paraId="33A7CF40">
            <w:pPr>
              <w:jc w:val="center"/>
              <w:rPr>
                <w:rFonts w:ascii="宋体" w:hAnsi="宋体" w:cs="宋体"/>
                <w:color w:val="auto"/>
                <w:sz w:val="24"/>
                <w:highlight w:val="none"/>
              </w:rPr>
            </w:pPr>
          </w:p>
        </w:tc>
        <w:tc>
          <w:tcPr>
            <w:tcW w:w="1603" w:type="dxa"/>
            <w:vAlign w:val="center"/>
          </w:tcPr>
          <w:p w14:paraId="48002B17">
            <w:pPr>
              <w:jc w:val="center"/>
              <w:rPr>
                <w:rFonts w:ascii="宋体" w:hAnsi="宋体" w:cs="宋体"/>
                <w:color w:val="auto"/>
                <w:sz w:val="24"/>
                <w:highlight w:val="none"/>
              </w:rPr>
            </w:pPr>
          </w:p>
        </w:tc>
      </w:tr>
      <w:tr w14:paraId="03239C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1" w:hRule="atLeast"/>
          <w:jc w:val="center"/>
        </w:trPr>
        <w:tc>
          <w:tcPr>
            <w:tcW w:w="2487" w:type="dxa"/>
            <w:vAlign w:val="center"/>
          </w:tcPr>
          <w:p w14:paraId="471E9D9B">
            <w:pPr>
              <w:jc w:val="center"/>
              <w:rPr>
                <w:rFonts w:ascii="宋体" w:hAnsi="宋体" w:cs="宋体"/>
                <w:color w:val="auto"/>
                <w:sz w:val="24"/>
                <w:highlight w:val="none"/>
              </w:rPr>
            </w:pPr>
            <w:r>
              <w:rPr>
                <w:rFonts w:hint="eastAsia" w:ascii="宋体" w:hAnsi="宋体" w:cs="宋体"/>
                <w:b/>
                <w:color w:val="auto"/>
                <w:sz w:val="24"/>
                <w:highlight w:val="none"/>
              </w:rPr>
              <w:t>合计</w:t>
            </w:r>
          </w:p>
        </w:tc>
        <w:tc>
          <w:tcPr>
            <w:tcW w:w="6793" w:type="dxa"/>
            <w:gridSpan w:val="4"/>
            <w:vAlign w:val="center"/>
          </w:tcPr>
          <w:p w14:paraId="1C319018">
            <w:pPr>
              <w:jc w:val="left"/>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总报价（大写）：</w:t>
            </w:r>
            <w:r>
              <w:rPr>
                <w:rFonts w:hint="eastAsia" w:ascii="宋体" w:hAnsi="宋体" w:cs="宋体"/>
                <w:b/>
                <w:color w:val="auto"/>
                <w:sz w:val="24"/>
                <w:highlight w:val="none"/>
                <w:u w:val="single"/>
                <w:lang w:val="en-US" w:eastAsia="zh-CN"/>
              </w:rPr>
              <w:t xml:space="preserve">                                   </w:t>
            </w:r>
          </w:p>
          <w:p w14:paraId="6D3DEF36">
            <w:pPr>
              <w:jc w:val="left"/>
              <w:rPr>
                <w:rFonts w:ascii="宋体" w:hAnsi="宋体" w:cs="宋体"/>
                <w:b/>
                <w:color w:val="auto"/>
                <w:sz w:val="24"/>
                <w:highlight w:val="none"/>
              </w:rPr>
            </w:pPr>
            <w:r>
              <w:rPr>
                <w:rFonts w:hint="eastAsia" w:ascii="宋体" w:hAnsi="宋体" w:cs="宋体"/>
                <w:b/>
                <w:color w:val="auto"/>
                <w:sz w:val="24"/>
                <w:highlight w:val="none"/>
              </w:rPr>
              <w:t>（小写：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rPr>
              <w:t>）</w:t>
            </w:r>
          </w:p>
        </w:tc>
      </w:tr>
      <w:tr w14:paraId="1A807E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1" w:hRule="atLeast"/>
          <w:jc w:val="center"/>
        </w:trPr>
        <w:tc>
          <w:tcPr>
            <w:tcW w:w="2487" w:type="dxa"/>
            <w:vAlign w:val="center"/>
          </w:tcPr>
          <w:p w14:paraId="1469E0FF">
            <w:pPr>
              <w:pStyle w:val="21"/>
              <w:ind w:firstLine="720" w:firstLineChars="300"/>
              <w:jc w:val="both"/>
              <w:rPr>
                <w:rFonts w:ascii="宋体" w:hAnsi="宋体"/>
                <w:b/>
                <w:color w:val="auto"/>
                <w:sz w:val="24"/>
                <w:szCs w:val="24"/>
                <w:highlight w:val="none"/>
              </w:rPr>
            </w:pPr>
            <w:r>
              <w:rPr>
                <w:rFonts w:hint="eastAsia" w:ascii="宋体" w:hAnsi="宋体"/>
                <w:color w:val="auto"/>
                <w:sz w:val="24"/>
                <w:highlight w:val="none"/>
              </w:rPr>
              <w:t>其他</w:t>
            </w:r>
          </w:p>
        </w:tc>
        <w:tc>
          <w:tcPr>
            <w:tcW w:w="6793" w:type="dxa"/>
            <w:gridSpan w:val="4"/>
            <w:vAlign w:val="center"/>
          </w:tcPr>
          <w:p w14:paraId="26814364">
            <w:pPr>
              <w:pStyle w:val="21"/>
              <w:spacing w:line="360" w:lineRule="auto"/>
              <w:jc w:val="left"/>
              <w:rPr>
                <w:rFonts w:ascii="宋体" w:hAnsi="宋体"/>
                <w:b/>
                <w:color w:val="auto"/>
                <w:sz w:val="24"/>
                <w:szCs w:val="24"/>
                <w:highlight w:val="none"/>
              </w:rPr>
            </w:pPr>
            <w:r>
              <w:rPr>
                <w:rStyle w:val="51"/>
                <w:rFonts w:hint="eastAsia" w:ascii="宋体" w:hAnsi="宋体"/>
                <w:color w:val="auto"/>
                <w:kern w:val="0"/>
                <w:sz w:val="24"/>
                <w:szCs w:val="24"/>
                <w:highlight w:val="none"/>
              </w:rPr>
              <w:t>注：</w:t>
            </w:r>
            <w:r>
              <w:rPr>
                <w:rStyle w:val="51"/>
                <w:rFonts w:hint="eastAsia" w:ascii="宋体" w:hAnsi="宋体"/>
                <w:color w:val="auto"/>
                <w:kern w:val="0"/>
                <w:sz w:val="24"/>
                <w:highlight w:val="none"/>
              </w:rPr>
              <w:t>供应商所报的价格应为本项目的服务</w:t>
            </w:r>
            <w:r>
              <w:rPr>
                <w:rStyle w:val="51"/>
                <w:rFonts w:hint="eastAsia" w:ascii="宋体" w:hAnsi="宋体"/>
                <w:color w:val="auto"/>
                <w:kern w:val="0"/>
                <w:sz w:val="24"/>
                <w:highlight w:val="none"/>
                <w:lang w:val="en-US" w:eastAsia="zh-CN"/>
              </w:rPr>
              <w:t>费</w:t>
            </w:r>
            <w:r>
              <w:rPr>
                <w:rStyle w:val="51"/>
                <w:rFonts w:hint="eastAsia" w:ascii="宋体" w:hAnsi="宋体"/>
                <w:color w:val="auto"/>
                <w:kern w:val="0"/>
                <w:sz w:val="24"/>
                <w:highlight w:val="none"/>
              </w:rPr>
              <w:t>、税金</w:t>
            </w:r>
            <w:r>
              <w:rPr>
                <w:rStyle w:val="51"/>
                <w:rFonts w:hint="eastAsia" w:ascii="宋体" w:hAnsi="宋体"/>
                <w:color w:val="auto"/>
                <w:kern w:val="0"/>
                <w:sz w:val="24"/>
                <w:highlight w:val="none"/>
                <w:lang w:eastAsia="zh-CN"/>
              </w:rPr>
              <w:t>、</w:t>
            </w:r>
            <w:r>
              <w:rPr>
                <w:rStyle w:val="51"/>
                <w:rFonts w:hint="eastAsia" w:ascii="宋体" w:hAnsi="宋体"/>
                <w:color w:val="auto"/>
                <w:kern w:val="0"/>
                <w:sz w:val="24"/>
                <w:highlight w:val="none"/>
                <w:lang w:val="en-US" w:eastAsia="zh-CN"/>
              </w:rPr>
              <w:t>管理费</w:t>
            </w:r>
            <w:r>
              <w:rPr>
                <w:rStyle w:val="51"/>
                <w:rFonts w:hint="eastAsia" w:ascii="宋体" w:hAnsi="宋体"/>
                <w:color w:val="auto"/>
                <w:kern w:val="0"/>
                <w:sz w:val="24"/>
                <w:highlight w:val="none"/>
              </w:rPr>
              <w:t>等项目实施过程中的全部费用。</w:t>
            </w:r>
          </w:p>
        </w:tc>
      </w:tr>
    </w:tbl>
    <w:p w14:paraId="5ECD34C9">
      <w:pPr>
        <w:widowControl/>
        <w:tabs>
          <w:tab w:val="left" w:pos="4000"/>
        </w:tabs>
        <w:snapToGrid w:val="0"/>
        <w:spacing w:line="300" w:lineRule="auto"/>
        <w:ind w:firstLine="480" w:firstLineChars="200"/>
        <w:rPr>
          <w:rFonts w:ascii="宋体" w:hAnsi="宋体" w:cs="宋体"/>
          <w:color w:val="auto"/>
          <w:sz w:val="24"/>
          <w:highlight w:val="none"/>
        </w:rPr>
      </w:pPr>
    </w:p>
    <w:p w14:paraId="164F2AB3">
      <w:pPr>
        <w:spacing w:line="480" w:lineRule="auto"/>
        <w:ind w:firstLine="480" w:firstLineChars="200"/>
        <w:jc w:val="right"/>
        <w:rPr>
          <w:rFonts w:ascii="宋体" w:hAnsi="宋体" w:cs="宋体"/>
          <w:color w:val="auto"/>
          <w:sz w:val="24"/>
          <w:highlight w:val="none"/>
        </w:rPr>
      </w:pPr>
    </w:p>
    <w:p w14:paraId="2AF1BFDB">
      <w:pPr>
        <w:spacing w:line="480" w:lineRule="auto"/>
        <w:ind w:firstLine="480" w:firstLineChars="200"/>
        <w:jc w:val="right"/>
        <w:rPr>
          <w:rFonts w:ascii="宋体" w:hAnsi="宋体" w:cs="宋体"/>
          <w:color w:val="auto"/>
          <w:sz w:val="24"/>
          <w:highlight w:val="none"/>
        </w:rPr>
      </w:pPr>
    </w:p>
    <w:p w14:paraId="1D691F95">
      <w:pPr>
        <w:adjustRightInd w:val="0"/>
        <w:spacing w:line="480" w:lineRule="auto"/>
        <w:ind w:firstLine="1680" w:firstLineChars="70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2821524B">
      <w:pPr>
        <w:adjustRightInd w:val="0"/>
        <w:spacing w:line="480" w:lineRule="auto"/>
        <w:ind w:firstLine="1680" w:firstLineChars="7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签字或盖章</w:t>
      </w:r>
      <w:r>
        <w:rPr>
          <w:rFonts w:hint="eastAsia" w:ascii="宋体" w:hAnsi="宋体" w:cs="宋体"/>
          <w:color w:val="auto"/>
          <w:sz w:val="24"/>
          <w:highlight w:val="none"/>
        </w:rPr>
        <w:t>）</w:t>
      </w:r>
    </w:p>
    <w:p w14:paraId="747DA9C5">
      <w:pPr>
        <w:adjustRightInd w:val="0"/>
        <w:spacing w:line="480" w:lineRule="auto"/>
        <w:ind w:firstLine="1680" w:firstLineChars="700"/>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1C3B7AC">
      <w:pPr>
        <w:widowControl/>
        <w:tabs>
          <w:tab w:val="left" w:pos="4000"/>
        </w:tabs>
        <w:snapToGrid w:val="0"/>
        <w:spacing w:line="300" w:lineRule="auto"/>
        <w:ind w:firstLine="420" w:firstLineChars="200"/>
        <w:jc w:val="center"/>
        <w:rPr>
          <w:rFonts w:ascii="宋体" w:hAnsi="宋体" w:cs="宋体"/>
          <w:color w:val="auto"/>
          <w:szCs w:val="21"/>
          <w:highlight w:val="none"/>
        </w:rPr>
      </w:pPr>
    </w:p>
    <w:p w14:paraId="37F2094F">
      <w:pPr>
        <w:tabs>
          <w:tab w:val="left" w:pos="567"/>
        </w:tabs>
        <w:snapToGrid w:val="0"/>
        <w:spacing w:line="360" w:lineRule="auto"/>
        <w:jc w:val="left"/>
        <w:rPr>
          <w:rFonts w:hint="eastAsia" w:ascii="宋体" w:hAnsi="宋体" w:eastAsia="宋体" w:cs="宋体"/>
          <w:b/>
          <w:color w:val="auto"/>
          <w:kern w:val="0"/>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CDF8BC1">
      <w:pPr>
        <w:tabs>
          <w:tab w:val="left" w:pos="567"/>
        </w:tabs>
        <w:snapToGrid w:val="0"/>
        <w:spacing w:line="360" w:lineRule="auto"/>
        <w:jc w:val="center"/>
        <w:rPr>
          <w:rFonts w:hint="default" w:ascii="宋体" w:hAnsi="宋体" w:eastAsia="宋体" w:cs="宋体"/>
          <w:b/>
          <w:color w:val="auto"/>
          <w:kern w:val="0"/>
          <w:sz w:val="28"/>
          <w:szCs w:val="28"/>
          <w:highlight w:val="none"/>
        </w:rPr>
      </w:pPr>
    </w:p>
    <w:p w14:paraId="3F591553">
      <w:pPr>
        <w:tabs>
          <w:tab w:val="left" w:pos="567"/>
        </w:tabs>
        <w:snapToGrid w:val="0"/>
        <w:spacing w:line="360" w:lineRule="auto"/>
        <w:jc w:val="center"/>
        <w:rPr>
          <w:rFonts w:hint="default" w:ascii="宋体" w:hAnsi="宋体" w:eastAsia="宋体" w:cs="宋体"/>
          <w:b/>
          <w:color w:val="auto"/>
          <w:kern w:val="0"/>
          <w:sz w:val="28"/>
          <w:szCs w:val="28"/>
          <w:highlight w:val="none"/>
        </w:rPr>
      </w:pPr>
      <w:r>
        <w:rPr>
          <w:rFonts w:hint="default" w:ascii="宋体" w:hAnsi="宋体" w:eastAsia="宋体" w:cs="宋体"/>
          <w:b/>
          <w:color w:val="auto"/>
          <w:kern w:val="0"/>
          <w:sz w:val="28"/>
          <w:szCs w:val="28"/>
          <w:highlight w:val="none"/>
        </w:rPr>
        <w:t>详细报价明细表</w:t>
      </w:r>
      <w:r>
        <w:rPr>
          <w:rFonts w:hint="default" w:ascii="宋体" w:hAnsi="宋体" w:eastAsia="宋体" w:cs="宋体"/>
          <w:b/>
          <w:color w:val="auto"/>
          <w:kern w:val="0"/>
          <w:sz w:val="28"/>
          <w:szCs w:val="28"/>
          <w:highlight w:val="none"/>
          <w:lang w:eastAsia="zh-CN"/>
        </w:rPr>
        <w:t>（格式自拟）</w:t>
      </w:r>
    </w:p>
    <w:p w14:paraId="649F8676">
      <w:pPr>
        <w:tabs>
          <w:tab w:val="left" w:pos="567"/>
        </w:tabs>
        <w:snapToGrid w:val="0"/>
        <w:spacing w:line="360" w:lineRule="auto"/>
        <w:jc w:val="left"/>
        <w:rPr>
          <w:rFonts w:hint="eastAsia" w:ascii="宋体" w:hAnsi="宋体" w:eastAsia="宋体" w:cs="宋体"/>
          <w:b/>
          <w:color w:val="auto"/>
          <w:kern w:val="0"/>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3E546D9">
      <w:pPr>
        <w:tabs>
          <w:tab w:val="left" w:pos="567"/>
        </w:tabs>
        <w:snapToGrid w:val="0"/>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五、商务技术规范响应及偏离表（格式）</w:t>
      </w:r>
    </w:p>
    <w:p w14:paraId="1FFFBEF9">
      <w:pPr>
        <w:tabs>
          <w:tab w:val="left" w:pos="567"/>
        </w:tabs>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商务技术规范响应及偏离表</w:t>
      </w:r>
    </w:p>
    <w:p w14:paraId="090B8E82">
      <w:pPr>
        <w:widowControl/>
        <w:snapToGrid w:val="0"/>
        <w:spacing w:line="360" w:lineRule="auto"/>
        <w:rPr>
          <w:rFonts w:ascii="宋体" w:hAnsi="宋体" w:cs="宋体"/>
          <w:color w:val="auto"/>
          <w:kern w:val="0"/>
          <w:sz w:val="24"/>
          <w:highlight w:val="none"/>
        </w:rPr>
      </w:pPr>
    </w:p>
    <w:p w14:paraId="5B21C12B">
      <w:pPr>
        <w:widowControl/>
        <w:snapToGrid w:val="0"/>
        <w:spacing w:line="360" w:lineRule="auto"/>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val="en-US" w:eastAsia="zh-CN"/>
        </w:rPr>
        <w:t xml:space="preserve">          </w:t>
      </w:r>
    </w:p>
    <w:p w14:paraId="55C930AB">
      <w:pPr>
        <w:widowControl/>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项目编号：</w:t>
      </w:r>
    </w:p>
    <w:tbl>
      <w:tblPr>
        <w:tblStyle w:val="27"/>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14:paraId="5C41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048AC255">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2F1EC110">
            <w:pPr>
              <w:wordWrap w:val="0"/>
              <w:topLinePunct/>
              <w:spacing w:line="4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条款内容</w:t>
            </w: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CD9E268">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采购文件</w:t>
            </w:r>
          </w:p>
          <w:p w14:paraId="3CC1E0D5">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规范要求</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0BC40A20">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w:t>
            </w:r>
          </w:p>
          <w:p w14:paraId="60431BA2">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对应规范</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6A15F59E">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2DB2A733">
            <w:pPr>
              <w:wordWrap w:val="0"/>
              <w:topLinePunct/>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3A2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355CB4C4">
            <w:pPr>
              <w:wordWrap w:val="0"/>
              <w:topLinePunct/>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728ECD2B">
            <w:pPr>
              <w:adjustRightInd w:val="0"/>
              <w:snapToGrid w:val="0"/>
              <w:spacing w:line="360" w:lineRule="auto"/>
              <w:jc w:val="center"/>
              <w:rPr>
                <w:rFonts w:hint="eastAsia" w:ascii="宋体" w:hAnsi="宋体" w:cs="宋体"/>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597B98F2">
            <w:pPr>
              <w:wordWrap w:val="0"/>
              <w:topLinePunct/>
              <w:spacing w:line="480" w:lineRule="exact"/>
              <w:jc w:val="center"/>
              <w:rPr>
                <w:rFonts w:hint="eastAsia" w:ascii="宋体" w:hAnsi="宋体" w:cs="宋体"/>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98EB748">
            <w:pPr>
              <w:wordWrap w:val="0"/>
              <w:topLinePunct/>
              <w:spacing w:line="480" w:lineRule="exact"/>
              <w:jc w:val="center"/>
              <w:rPr>
                <w:rFonts w:hint="eastAsia" w:ascii="宋体" w:hAnsi="宋体" w:cs="宋体"/>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7C88FC3F">
            <w:pPr>
              <w:wordWrap w:val="0"/>
              <w:topLinePunct/>
              <w:spacing w:line="480" w:lineRule="exact"/>
              <w:jc w:val="center"/>
              <w:rPr>
                <w:rFonts w:hint="eastAsia" w:ascii="宋体" w:hAnsi="宋体" w:cs="宋体"/>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2CFE6CDA">
            <w:pPr>
              <w:wordWrap w:val="0"/>
              <w:topLinePunct/>
              <w:spacing w:line="480" w:lineRule="exact"/>
              <w:jc w:val="center"/>
              <w:rPr>
                <w:rFonts w:hint="eastAsia" w:ascii="宋体" w:hAnsi="宋体" w:cs="宋体"/>
                <w:color w:val="auto"/>
                <w:sz w:val="24"/>
                <w:szCs w:val="24"/>
                <w:highlight w:val="none"/>
              </w:rPr>
            </w:pPr>
          </w:p>
        </w:tc>
      </w:tr>
      <w:tr w14:paraId="692F5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76E51DFC">
            <w:pPr>
              <w:widowControl/>
              <w:snapToGrid w:val="0"/>
              <w:spacing w:line="400" w:lineRule="exact"/>
              <w:jc w:val="center"/>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1FF40FDB">
            <w:pPr>
              <w:adjustRightInd w:val="0"/>
              <w:snapToGrid w:val="0"/>
              <w:spacing w:line="360" w:lineRule="auto"/>
              <w:jc w:val="center"/>
              <w:rPr>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960AB08">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4D30C413">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D42AB51">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72139379">
            <w:pPr>
              <w:widowControl/>
              <w:snapToGrid w:val="0"/>
              <w:spacing w:line="400" w:lineRule="exact"/>
              <w:jc w:val="center"/>
              <w:rPr>
                <w:color w:val="auto"/>
                <w:sz w:val="24"/>
                <w:szCs w:val="24"/>
                <w:highlight w:val="none"/>
              </w:rPr>
            </w:pPr>
          </w:p>
        </w:tc>
      </w:tr>
      <w:tr w14:paraId="59C8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3694EB94">
            <w:pPr>
              <w:widowControl/>
              <w:snapToGrid w:val="0"/>
              <w:spacing w:line="400" w:lineRule="exact"/>
              <w:jc w:val="center"/>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27BC0D01">
            <w:pPr>
              <w:adjustRightInd w:val="0"/>
              <w:snapToGrid w:val="0"/>
              <w:spacing w:line="360" w:lineRule="auto"/>
              <w:jc w:val="center"/>
              <w:rPr>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C53051A">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A651D87">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48891E9">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3A566AA2">
            <w:pPr>
              <w:widowControl/>
              <w:snapToGrid w:val="0"/>
              <w:spacing w:line="400" w:lineRule="exact"/>
              <w:jc w:val="center"/>
              <w:rPr>
                <w:color w:val="auto"/>
                <w:sz w:val="24"/>
                <w:szCs w:val="24"/>
                <w:highlight w:val="none"/>
              </w:rPr>
            </w:pPr>
          </w:p>
        </w:tc>
      </w:tr>
      <w:tr w14:paraId="05EF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14006C00">
            <w:pPr>
              <w:widowControl/>
              <w:snapToGrid w:val="0"/>
              <w:spacing w:line="400" w:lineRule="exact"/>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4D5B848A">
            <w:pPr>
              <w:adjustRightInd w:val="0"/>
              <w:snapToGrid w:val="0"/>
              <w:spacing w:line="360" w:lineRule="auto"/>
              <w:jc w:val="center"/>
              <w:rPr>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25ED66FD">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6ED0C93E">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18621252">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5D9E407">
            <w:pPr>
              <w:widowControl/>
              <w:snapToGrid w:val="0"/>
              <w:spacing w:line="400" w:lineRule="exact"/>
              <w:jc w:val="center"/>
              <w:rPr>
                <w:color w:val="auto"/>
                <w:sz w:val="24"/>
                <w:szCs w:val="24"/>
                <w:highlight w:val="none"/>
              </w:rPr>
            </w:pPr>
          </w:p>
        </w:tc>
      </w:tr>
      <w:tr w14:paraId="19C2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795081C9">
            <w:pPr>
              <w:widowControl/>
              <w:snapToGrid w:val="0"/>
              <w:spacing w:line="400" w:lineRule="exact"/>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743FF631">
            <w:pPr>
              <w:adjustRightInd w:val="0"/>
              <w:snapToGrid w:val="0"/>
              <w:spacing w:line="360" w:lineRule="auto"/>
              <w:jc w:val="center"/>
              <w:rPr>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623899D0">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B7E8FE3">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4FCEBD8">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394546B6">
            <w:pPr>
              <w:widowControl/>
              <w:snapToGrid w:val="0"/>
              <w:spacing w:line="400" w:lineRule="exact"/>
              <w:jc w:val="center"/>
              <w:rPr>
                <w:color w:val="auto"/>
                <w:sz w:val="24"/>
                <w:szCs w:val="24"/>
                <w:highlight w:val="none"/>
              </w:rPr>
            </w:pPr>
          </w:p>
        </w:tc>
      </w:tr>
      <w:tr w14:paraId="109E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69CF00C0">
            <w:pPr>
              <w:widowControl/>
              <w:snapToGrid w:val="0"/>
              <w:spacing w:line="400" w:lineRule="exact"/>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57328C2A">
            <w:pPr>
              <w:widowControl/>
              <w:snapToGrid w:val="0"/>
              <w:spacing w:line="400" w:lineRule="exact"/>
              <w:jc w:val="center"/>
              <w:rPr>
                <w:rFonts w:hint="default" w:eastAsia="宋体"/>
                <w:color w:val="auto"/>
                <w:sz w:val="24"/>
                <w:szCs w:val="24"/>
                <w:highlight w:val="none"/>
                <w:lang w:val="en-US" w:eastAsia="zh-CN"/>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BA14F11">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EBE1A0B">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B2CDBDF">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15DB7A76">
            <w:pPr>
              <w:widowControl/>
              <w:snapToGrid w:val="0"/>
              <w:spacing w:line="400" w:lineRule="exact"/>
              <w:jc w:val="center"/>
              <w:rPr>
                <w:color w:val="auto"/>
                <w:sz w:val="24"/>
                <w:szCs w:val="24"/>
                <w:highlight w:val="none"/>
              </w:rPr>
            </w:pPr>
          </w:p>
        </w:tc>
      </w:tr>
      <w:tr w14:paraId="3A3A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6D0193D6">
            <w:pPr>
              <w:widowControl/>
              <w:snapToGrid w:val="0"/>
              <w:spacing w:line="400" w:lineRule="exact"/>
              <w:jc w:val="center"/>
              <w:rPr>
                <w:color w:val="auto"/>
                <w:sz w:val="24"/>
                <w:szCs w:val="24"/>
                <w:highlight w:val="none"/>
              </w:rPr>
            </w:pP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74C6A403">
            <w:pPr>
              <w:widowControl/>
              <w:snapToGrid w:val="0"/>
              <w:spacing w:line="400" w:lineRule="exact"/>
              <w:jc w:val="center"/>
              <w:rPr>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0D04FFE2">
            <w:pPr>
              <w:widowControl/>
              <w:snapToGrid w:val="0"/>
              <w:spacing w:line="400" w:lineRule="exact"/>
              <w:jc w:val="center"/>
              <w:rPr>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509F750A">
            <w:pPr>
              <w:widowControl/>
              <w:snapToGrid w:val="0"/>
              <w:spacing w:line="400" w:lineRule="exact"/>
              <w:jc w:val="center"/>
              <w:rPr>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CBB170D">
            <w:pPr>
              <w:widowControl/>
              <w:snapToGrid w:val="0"/>
              <w:spacing w:line="400" w:lineRule="exact"/>
              <w:jc w:val="center"/>
              <w:rPr>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42DF3039">
            <w:pPr>
              <w:widowControl/>
              <w:snapToGrid w:val="0"/>
              <w:spacing w:line="400" w:lineRule="exact"/>
              <w:jc w:val="center"/>
              <w:rPr>
                <w:color w:val="auto"/>
                <w:sz w:val="24"/>
                <w:szCs w:val="24"/>
                <w:highlight w:val="none"/>
              </w:rPr>
            </w:pPr>
          </w:p>
        </w:tc>
      </w:tr>
    </w:tbl>
    <w:p w14:paraId="084A652A">
      <w:pPr>
        <w:widowControl/>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注：1、根据第五部分“商务技术要求”进行填列。</w:t>
      </w:r>
    </w:p>
    <w:p w14:paraId="38A9177C">
      <w:pPr>
        <w:widowControl/>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2、响应情况内容较多时可在表格中标明响应内容所在页码。</w:t>
      </w:r>
    </w:p>
    <w:p w14:paraId="2B62BDD6">
      <w:pPr>
        <w:pStyle w:val="23"/>
        <w:rPr>
          <w:rFonts w:ascii="宋体" w:hAnsi="宋体" w:cs="宋体"/>
          <w:b/>
          <w:color w:val="auto"/>
          <w:sz w:val="24"/>
          <w:szCs w:val="24"/>
          <w:highlight w:val="none"/>
        </w:rPr>
      </w:pPr>
    </w:p>
    <w:p w14:paraId="28348676">
      <w:pPr>
        <w:pStyle w:val="23"/>
        <w:rPr>
          <w:rFonts w:ascii="宋体" w:hAnsi="宋体" w:cs="宋体"/>
          <w:b/>
          <w:color w:val="auto"/>
          <w:sz w:val="24"/>
          <w:szCs w:val="24"/>
          <w:highlight w:val="none"/>
        </w:rPr>
      </w:pPr>
    </w:p>
    <w:p w14:paraId="7675F197">
      <w:pPr>
        <w:pStyle w:val="23"/>
        <w:rPr>
          <w:rFonts w:ascii="宋体" w:hAnsi="宋体" w:cs="宋体"/>
          <w:b/>
          <w:color w:val="auto"/>
          <w:sz w:val="24"/>
          <w:szCs w:val="24"/>
          <w:highlight w:val="none"/>
        </w:rPr>
      </w:pPr>
    </w:p>
    <w:p w14:paraId="3FE05275">
      <w:pPr>
        <w:adjustRightInd w:val="0"/>
        <w:spacing w:line="48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778939F0">
      <w:pPr>
        <w:adjustRightInd w:val="0"/>
        <w:spacing w:line="48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签字或盖章</w:t>
      </w:r>
      <w:r>
        <w:rPr>
          <w:rFonts w:hint="eastAsia" w:ascii="宋体" w:hAnsi="宋体" w:cs="宋体"/>
          <w:color w:val="auto"/>
          <w:sz w:val="24"/>
          <w:highlight w:val="none"/>
        </w:rPr>
        <w:t>）</w:t>
      </w:r>
    </w:p>
    <w:p w14:paraId="7C665945">
      <w:pPr>
        <w:adjustRightInd w:val="0"/>
        <w:spacing w:line="480" w:lineRule="auto"/>
        <w:ind w:firstLine="1920" w:firstLineChars="800"/>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37657F">
      <w:pPr>
        <w:tabs>
          <w:tab w:val="left" w:pos="567"/>
        </w:tabs>
        <w:snapToGrid w:val="0"/>
        <w:spacing w:line="360" w:lineRule="auto"/>
        <w:jc w:val="left"/>
        <w:rPr>
          <w:rFonts w:hint="eastAsia" w:ascii="宋体" w:hAnsi="宋体" w:eastAsia="宋体" w:cs="宋体"/>
          <w:b/>
          <w:color w:val="auto"/>
          <w:kern w:val="0"/>
          <w:sz w:val="28"/>
          <w:szCs w:val="28"/>
          <w:highlight w:val="none"/>
        </w:rPr>
      </w:pPr>
    </w:p>
    <w:p w14:paraId="737441E2">
      <w:pPr>
        <w:tabs>
          <w:tab w:val="left" w:pos="567"/>
        </w:tabs>
        <w:snapToGrid w:val="0"/>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六、服务方案</w:t>
      </w:r>
    </w:p>
    <w:p w14:paraId="6958CEBA">
      <w:pPr>
        <w:pStyle w:val="23"/>
        <w:rPr>
          <w:rFonts w:hint="eastAsia" w:ascii="宋体" w:hAnsi="宋体" w:cs="宋体"/>
          <w:b/>
          <w:color w:val="auto"/>
          <w:sz w:val="24"/>
          <w:highlight w:val="none"/>
          <w:lang w:val="en-US" w:eastAsia="zh-CN"/>
        </w:rPr>
      </w:pPr>
    </w:p>
    <w:p w14:paraId="67C301F9">
      <w:pPr>
        <w:pStyle w:val="23"/>
        <w:rPr>
          <w:rFonts w:hint="eastAsia" w:ascii="宋体" w:hAnsi="宋体" w:cs="宋体"/>
          <w:b/>
          <w:color w:val="auto"/>
          <w:sz w:val="24"/>
          <w:highlight w:val="none"/>
          <w:lang w:val="en-US" w:eastAsia="zh-CN"/>
        </w:rPr>
      </w:pPr>
    </w:p>
    <w:p w14:paraId="5D4BC0D9">
      <w:pPr>
        <w:pStyle w:val="23"/>
        <w:rPr>
          <w:rFonts w:hint="eastAsia" w:ascii="宋体" w:hAnsi="宋体" w:cs="宋体"/>
          <w:b/>
          <w:color w:val="auto"/>
          <w:sz w:val="24"/>
          <w:highlight w:val="none"/>
          <w:lang w:val="en-US" w:eastAsia="zh-CN"/>
        </w:rPr>
      </w:pPr>
    </w:p>
    <w:p w14:paraId="087E441C">
      <w:pPr>
        <w:pStyle w:val="23"/>
        <w:rPr>
          <w:rFonts w:hint="eastAsia" w:ascii="宋体" w:hAnsi="宋体" w:cs="宋体"/>
          <w:b/>
          <w:color w:val="auto"/>
          <w:sz w:val="24"/>
          <w:highlight w:val="none"/>
          <w:lang w:val="en-US" w:eastAsia="zh-CN"/>
        </w:rPr>
      </w:pPr>
    </w:p>
    <w:p w14:paraId="2A2665D0">
      <w:pPr>
        <w:pStyle w:val="23"/>
        <w:rPr>
          <w:rFonts w:hint="eastAsia" w:ascii="宋体" w:hAnsi="宋体" w:cs="宋体"/>
          <w:b/>
          <w:color w:val="auto"/>
          <w:sz w:val="24"/>
          <w:highlight w:val="none"/>
          <w:lang w:val="en-US" w:eastAsia="zh-CN"/>
        </w:rPr>
      </w:pPr>
    </w:p>
    <w:p w14:paraId="0D7CDC53">
      <w:pPr>
        <w:pStyle w:val="23"/>
        <w:rPr>
          <w:rFonts w:hint="eastAsia" w:ascii="宋体" w:hAnsi="宋体" w:cs="宋体"/>
          <w:b/>
          <w:color w:val="auto"/>
          <w:sz w:val="24"/>
          <w:highlight w:val="none"/>
          <w:lang w:val="en-US" w:eastAsia="zh-CN"/>
        </w:rPr>
      </w:pPr>
    </w:p>
    <w:p w14:paraId="4CA3F953">
      <w:pPr>
        <w:pStyle w:val="23"/>
        <w:rPr>
          <w:rFonts w:hint="eastAsia" w:ascii="宋体" w:hAnsi="宋体" w:cs="宋体"/>
          <w:b/>
          <w:color w:val="auto"/>
          <w:sz w:val="24"/>
          <w:highlight w:val="none"/>
          <w:lang w:val="en-US" w:eastAsia="zh-CN"/>
        </w:rPr>
      </w:pPr>
    </w:p>
    <w:p w14:paraId="24C58E71">
      <w:pPr>
        <w:tabs>
          <w:tab w:val="left" w:pos="567"/>
        </w:tabs>
        <w:snapToGrid w:val="0"/>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auto"/>
          <w:kern w:val="0"/>
          <w:sz w:val="28"/>
          <w:szCs w:val="28"/>
          <w:highlight w:val="none"/>
        </w:rPr>
        <w:t>、近三年同类项目案例及相关证明资料</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694"/>
        <w:gridCol w:w="2254"/>
        <w:gridCol w:w="1553"/>
        <w:gridCol w:w="1748"/>
        <w:gridCol w:w="911"/>
      </w:tblGrid>
      <w:tr w14:paraId="4BAD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tcPr>
          <w:p w14:paraId="6323223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使用单位</w:t>
            </w:r>
          </w:p>
        </w:tc>
        <w:tc>
          <w:tcPr>
            <w:tcW w:w="850" w:type="pct"/>
          </w:tcPr>
          <w:p w14:paraId="74953CC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1" w:type="pct"/>
          </w:tcPr>
          <w:p w14:paraId="292D1C7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tc>
        <w:tc>
          <w:tcPr>
            <w:tcW w:w="779" w:type="pct"/>
          </w:tcPr>
          <w:p w14:paraId="2029649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877" w:type="pct"/>
          </w:tcPr>
          <w:p w14:paraId="1217DCE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457" w:type="pct"/>
          </w:tcPr>
          <w:p w14:paraId="7701034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3322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tcPr>
          <w:p w14:paraId="3FD796AE">
            <w:pPr>
              <w:spacing w:line="480" w:lineRule="exact"/>
              <w:rPr>
                <w:rFonts w:ascii="宋体" w:hAnsi="宋体" w:cs="宋体"/>
                <w:color w:val="auto"/>
                <w:sz w:val="24"/>
                <w:highlight w:val="none"/>
              </w:rPr>
            </w:pPr>
          </w:p>
        </w:tc>
        <w:tc>
          <w:tcPr>
            <w:tcW w:w="850" w:type="pct"/>
          </w:tcPr>
          <w:p w14:paraId="4B7B74CB">
            <w:pPr>
              <w:spacing w:line="480" w:lineRule="exact"/>
              <w:rPr>
                <w:rFonts w:ascii="宋体" w:hAnsi="宋体" w:cs="宋体"/>
                <w:color w:val="auto"/>
                <w:sz w:val="24"/>
                <w:highlight w:val="none"/>
              </w:rPr>
            </w:pPr>
          </w:p>
        </w:tc>
        <w:tc>
          <w:tcPr>
            <w:tcW w:w="1131" w:type="pct"/>
          </w:tcPr>
          <w:p w14:paraId="53689876">
            <w:pPr>
              <w:spacing w:line="480" w:lineRule="exact"/>
              <w:rPr>
                <w:rFonts w:ascii="宋体" w:hAnsi="宋体" w:cs="宋体"/>
                <w:color w:val="auto"/>
                <w:sz w:val="24"/>
                <w:highlight w:val="none"/>
              </w:rPr>
            </w:pPr>
          </w:p>
        </w:tc>
        <w:tc>
          <w:tcPr>
            <w:tcW w:w="779" w:type="pct"/>
          </w:tcPr>
          <w:p w14:paraId="36293B9C">
            <w:pPr>
              <w:spacing w:line="480" w:lineRule="exact"/>
              <w:rPr>
                <w:rFonts w:ascii="宋体" w:hAnsi="宋体" w:cs="宋体"/>
                <w:color w:val="auto"/>
                <w:sz w:val="24"/>
                <w:highlight w:val="none"/>
              </w:rPr>
            </w:pPr>
          </w:p>
        </w:tc>
        <w:tc>
          <w:tcPr>
            <w:tcW w:w="877" w:type="pct"/>
          </w:tcPr>
          <w:p w14:paraId="17D618F7">
            <w:pPr>
              <w:spacing w:line="480" w:lineRule="exact"/>
              <w:rPr>
                <w:rFonts w:ascii="宋体" w:hAnsi="宋体" w:cs="宋体"/>
                <w:color w:val="auto"/>
                <w:sz w:val="24"/>
                <w:highlight w:val="none"/>
              </w:rPr>
            </w:pPr>
          </w:p>
        </w:tc>
        <w:tc>
          <w:tcPr>
            <w:tcW w:w="457" w:type="pct"/>
          </w:tcPr>
          <w:p w14:paraId="15E7FD23">
            <w:pPr>
              <w:spacing w:line="480" w:lineRule="exact"/>
              <w:rPr>
                <w:rFonts w:ascii="宋体" w:hAnsi="宋体" w:cs="宋体"/>
                <w:color w:val="auto"/>
                <w:sz w:val="24"/>
                <w:highlight w:val="none"/>
              </w:rPr>
            </w:pPr>
          </w:p>
        </w:tc>
      </w:tr>
      <w:tr w14:paraId="08DB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tcPr>
          <w:p w14:paraId="4C699FE6">
            <w:pPr>
              <w:spacing w:line="480" w:lineRule="exact"/>
              <w:rPr>
                <w:rFonts w:ascii="仿宋" w:hAnsi="仿宋" w:eastAsia="仿宋" w:cs="仿宋"/>
                <w:color w:val="auto"/>
                <w:sz w:val="24"/>
                <w:highlight w:val="none"/>
              </w:rPr>
            </w:pPr>
          </w:p>
        </w:tc>
        <w:tc>
          <w:tcPr>
            <w:tcW w:w="850" w:type="pct"/>
          </w:tcPr>
          <w:p w14:paraId="26DA449C">
            <w:pPr>
              <w:spacing w:line="480" w:lineRule="exact"/>
              <w:rPr>
                <w:rFonts w:ascii="仿宋" w:hAnsi="仿宋" w:eastAsia="仿宋" w:cs="仿宋"/>
                <w:color w:val="auto"/>
                <w:sz w:val="24"/>
                <w:highlight w:val="none"/>
              </w:rPr>
            </w:pPr>
          </w:p>
        </w:tc>
        <w:tc>
          <w:tcPr>
            <w:tcW w:w="1131" w:type="pct"/>
          </w:tcPr>
          <w:p w14:paraId="0D94DC99">
            <w:pPr>
              <w:spacing w:line="480" w:lineRule="exact"/>
              <w:rPr>
                <w:rFonts w:ascii="仿宋" w:hAnsi="仿宋" w:eastAsia="仿宋" w:cs="仿宋"/>
                <w:color w:val="auto"/>
                <w:sz w:val="24"/>
                <w:highlight w:val="none"/>
              </w:rPr>
            </w:pPr>
          </w:p>
        </w:tc>
        <w:tc>
          <w:tcPr>
            <w:tcW w:w="779" w:type="pct"/>
          </w:tcPr>
          <w:p w14:paraId="3ABA2F3A">
            <w:pPr>
              <w:spacing w:line="480" w:lineRule="exact"/>
              <w:rPr>
                <w:rFonts w:ascii="仿宋" w:hAnsi="仿宋" w:eastAsia="仿宋" w:cs="仿宋"/>
                <w:color w:val="auto"/>
                <w:sz w:val="24"/>
                <w:highlight w:val="none"/>
              </w:rPr>
            </w:pPr>
          </w:p>
        </w:tc>
        <w:tc>
          <w:tcPr>
            <w:tcW w:w="877" w:type="pct"/>
          </w:tcPr>
          <w:p w14:paraId="1356BDD3">
            <w:pPr>
              <w:spacing w:line="480" w:lineRule="exact"/>
              <w:rPr>
                <w:rFonts w:ascii="仿宋" w:hAnsi="仿宋" w:eastAsia="仿宋" w:cs="仿宋"/>
                <w:color w:val="auto"/>
                <w:sz w:val="24"/>
                <w:highlight w:val="none"/>
              </w:rPr>
            </w:pPr>
          </w:p>
        </w:tc>
        <w:tc>
          <w:tcPr>
            <w:tcW w:w="457" w:type="pct"/>
          </w:tcPr>
          <w:p w14:paraId="66016452">
            <w:pPr>
              <w:spacing w:line="480" w:lineRule="exact"/>
              <w:rPr>
                <w:rFonts w:ascii="仿宋" w:hAnsi="仿宋" w:eastAsia="仿宋" w:cs="仿宋"/>
                <w:color w:val="auto"/>
                <w:sz w:val="24"/>
                <w:highlight w:val="none"/>
              </w:rPr>
            </w:pPr>
          </w:p>
        </w:tc>
      </w:tr>
      <w:tr w14:paraId="630B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2" w:type="pct"/>
          </w:tcPr>
          <w:p w14:paraId="2015F509">
            <w:pPr>
              <w:spacing w:line="480" w:lineRule="exact"/>
              <w:rPr>
                <w:rFonts w:ascii="仿宋" w:hAnsi="仿宋" w:eastAsia="仿宋" w:cs="仿宋"/>
                <w:color w:val="auto"/>
                <w:sz w:val="24"/>
                <w:highlight w:val="none"/>
              </w:rPr>
            </w:pPr>
          </w:p>
        </w:tc>
        <w:tc>
          <w:tcPr>
            <w:tcW w:w="850" w:type="pct"/>
          </w:tcPr>
          <w:p w14:paraId="2C09A2A1">
            <w:pPr>
              <w:spacing w:line="480" w:lineRule="exact"/>
              <w:rPr>
                <w:rFonts w:ascii="仿宋" w:hAnsi="仿宋" w:eastAsia="仿宋" w:cs="仿宋"/>
                <w:color w:val="auto"/>
                <w:sz w:val="24"/>
                <w:highlight w:val="none"/>
              </w:rPr>
            </w:pPr>
          </w:p>
        </w:tc>
        <w:tc>
          <w:tcPr>
            <w:tcW w:w="1131" w:type="pct"/>
          </w:tcPr>
          <w:p w14:paraId="43EE1B4C">
            <w:pPr>
              <w:spacing w:line="480" w:lineRule="exact"/>
              <w:rPr>
                <w:rFonts w:ascii="仿宋" w:hAnsi="仿宋" w:eastAsia="仿宋" w:cs="仿宋"/>
                <w:color w:val="auto"/>
                <w:sz w:val="24"/>
                <w:highlight w:val="none"/>
              </w:rPr>
            </w:pPr>
          </w:p>
        </w:tc>
        <w:tc>
          <w:tcPr>
            <w:tcW w:w="779" w:type="pct"/>
          </w:tcPr>
          <w:p w14:paraId="3EF4E084">
            <w:pPr>
              <w:spacing w:line="480" w:lineRule="exact"/>
              <w:rPr>
                <w:rFonts w:ascii="仿宋" w:hAnsi="仿宋" w:eastAsia="仿宋" w:cs="仿宋"/>
                <w:color w:val="auto"/>
                <w:sz w:val="24"/>
                <w:highlight w:val="none"/>
              </w:rPr>
            </w:pPr>
          </w:p>
        </w:tc>
        <w:tc>
          <w:tcPr>
            <w:tcW w:w="877" w:type="pct"/>
          </w:tcPr>
          <w:p w14:paraId="050D30F2">
            <w:pPr>
              <w:spacing w:line="480" w:lineRule="exact"/>
              <w:rPr>
                <w:rFonts w:ascii="仿宋" w:hAnsi="仿宋" w:eastAsia="仿宋" w:cs="仿宋"/>
                <w:color w:val="auto"/>
                <w:sz w:val="24"/>
                <w:highlight w:val="none"/>
              </w:rPr>
            </w:pPr>
          </w:p>
        </w:tc>
        <w:tc>
          <w:tcPr>
            <w:tcW w:w="457" w:type="pct"/>
          </w:tcPr>
          <w:p w14:paraId="588E2CC7">
            <w:pPr>
              <w:spacing w:line="480" w:lineRule="exact"/>
              <w:rPr>
                <w:rFonts w:ascii="仿宋" w:hAnsi="仿宋" w:eastAsia="仿宋" w:cs="仿宋"/>
                <w:color w:val="auto"/>
                <w:sz w:val="24"/>
                <w:highlight w:val="none"/>
              </w:rPr>
            </w:pPr>
          </w:p>
        </w:tc>
      </w:tr>
      <w:tr w14:paraId="347D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 w:type="pct"/>
          </w:tcPr>
          <w:p w14:paraId="7D66E90E">
            <w:pPr>
              <w:spacing w:line="480" w:lineRule="exact"/>
              <w:rPr>
                <w:rFonts w:ascii="仿宋" w:hAnsi="仿宋" w:eastAsia="仿宋" w:cs="仿宋"/>
                <w:color w:val="auto"/>
                <w:sz w:val="24"/>
                <w:highlight w:val="none"/>
              </w:rPr>
            </w:pPr>
          </w:p>
        </w:tc>
        <w:tc>
          <w:tcPr>
            <w:tcW w:w="850" w:type="pct"/>
          </w:tcPr>
          <w:p w14:paraId="45D0CEDE">
            <w:pPr>
              <w:spacing w:line="480" w:lineRule="exact"/>
              <w:rPr>
                <w:rFonts w:ascii="仿宋" w:hAnsi="仿宋" w:eastAsia="仿宋" w:cs="仿宋"/>
                <w:color w:val="auto"/>
                <w:sz w:val="24"/>
                <w:highlight w:val="none"/>
              </w:rPr>
            </w:pPr>
          </w:p>
        </w:tc>
        <w:tc>
          <w:tcPr>
            <w:tcW w:w="1131" w:type="pct"/>
          </w:tcPr>
          <w:p w14:paraId="0549737D">
            <w:pPr>
              <w:spacing w:line="480" w:lineRule="exact"/>
              <w:rPr>
                <w:rFonts w:ascii="仿宋" w:hAnsi="仿宋" w:eastAsia="仿宋" w:cs="仿宋"/>
                <w:color w:val="auto"/>
                <w:sz w:val="24"/>
                <w:highlight w:val="none"/>
              </w:rPr>
            </w:pPr>
          </w:p>
        </w:tc>
        <w:tc>
          <w:tcPr>
            <w:tcW w:w="779" w:type="pct"/>
          </w:tcPr>
          <w:p w14:paraId="0FCA28CD">
            <w:pPr>
              <w:spacing w:line="480" w:lineRule="exact"/>
              <w:rPr>
                <w:rFonts w:ascii="仿宋" w:hAnsi="仿宋" w:eastAsia="仿宋" w:cs="仿宋"/>
                <w:color w:val="auto"/>
                <w:sz w:val="24"/>
                <w:highlight w:val="none"/>
              </w:rPr>
            </w:pPr>
          </w:p>
        </w:tc>
        <w:tc>
          <w:tcPr>
            <w:tcW w:w="877" w:type="pct"/>
          </w:tcPr>
          <w:p w14:paraId="220B9190">
            <w:pPr>
              <w:spacing w:line="480" w:lineRule="exact"/>
              <w:rPr>
                <w:rFonts w:ascii="仿宋" w:hAnsi="仿宋" w:eastAsia="仿宋" w:cs="仿宋"/>
                <w:color w:val="auto"/>
                <w:sz w:val="24"/>
                <w:highlight w:val="none"/>
              </w:rPr>
            </w:pPr>
          </w:p>
        </w:tc>
        <w:tc>
          <w:tcPr>
            <w:tcW w:w="457" w:type="pct"/>
          </w:tcPr>
          <w:p w14:paraId="1AA942DE">
            <w:pPr>
              <w:spacing w:line="480" w:lineRule="exact"/>
              <w:rPr>
                <w:rFonts w:ascii="仿宋" w:hAnsi="仿宋" w:eastAsia="仿宋" w:cs="仿宋"/>
                <w:color w:val="auto"/>
                <w:sz w:val="24"/>
                <w:highlight w:val="none"/>
              </w:rPr>
            </w:pPr>
          </w:p>
        </w:tc>
      </w:tr>
      <w:tr w14:paraId="3AFE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2" w:type="pct"/>
          </w:tcPr>
          <w:p w14:paraId="3825BBC3">
            <w:pPr>
              <w:spacing w:line="480" w:lineRule="exact"/>
              <w:rPr>
                <w:rFonts w:ascii="仿宋" w:hAnsi="仿宋" w:eastAsia="仿宋" w:cs="仿宋"/>
                <w:color w:val="auto"/>
                <w:sz w:val="24"/>
                <w:highlight w:val="none"/>
              </w:rPr>
            </w:pPr>
          </w:p>
        </w:tc>
        <w:tc>
          <w:tcPr>
            <w:tcW w:w="850" w:type="pct"/>
          </w:tcPr>
          <w:p w14:paraId="4AF6F07D">
            <w:pPr>
              <w:spacing w:line="480" w:lineRule="exact"/>
              <w:rPr>
                <w:rFonts w:ascii="仿宋" w:hAnsi="仿宋" w:eastAsia="仿宋" w:cs="仿宋"/>
                <w:color w:val="auto"/>
                <w:sz w:val="24"/>
                <w:highlight w:val="none"/>
              </w:rPr>
            </w:pPr>
          </w:p>
        </w:tc>
        <w:tc>
          <w:tcPr>
            <w:tcW w:w="1131" w:type="pct"/>
          </w:tcPr>
          <w:p w14:paraId="610FA415">
            <w:pPr>
              <w:spacing w:line="480" w:lineRule="exact"/>
              <w:rPr>
                <w:rFonts w:ascii="仿宋" w:hAnsi="仿宋" w:eastAsia="仿宋" w:cs="仿宋"/>
                <w:color w:val="auto"/>
                <w:sz w:val="24"/>
                <w:highlight w:val="none"/>
              </w:rPr>
            </w:pPr>
          </w:p>
        </w:tc>
        <w:tc>
          <w:tcPr>
            <w:tcW w:w="779" w:type="pct"/>
          </w:tcPr>
          <w:p w14:paraId="37A7FA10">
            <w:pPr>
              <w:spacing w:line="480" w:lineRule="exact"/>
              <w:rPr>
                <w:rFonts w:ascii="仿宋" w:hAnsi="仿宋" w:eastAsia="仿宋" w:cs="仿宋"/>
                <w:color w:val="auto"/>
                <w:sz w:val="24"/>
                <w:highlight w:val="none"/>
              </w:rPr>
            </w:pPr>
          </w:p>
        </w:tc>
        <w:tc>
          <w:tcPr>
            <w:tcW w:w="877" w:type="pct"/>
          </w:tcPr>
          <w:p w14:paraId="253461D4">
            <w:pPr>
              <w:spacing w:line="480" w:lineRule="exact"/>
              <w:rPr>
                <w:rFonts w:ascii="仿宋" w:hAnsi="仿宋" w:eastAsia="仿宋" w:cs="仿宋"/>
                <w:color w:val="auto"/>
                <w:sz w:val="24"/>
                <w:highlight w:val="none"/>
              </w:rPr>
            </w:pPr>
          </w:p>
        </w:tc>
        <w:tc>
          <w:tcPr>
            <w:tcW w:w="457" w:type="pct"/>
          </w:tcPr>
          <w:p w14:paraId="1E8D49A7">
            <w:pPr>
              <w:spacing w:line="480" w:lineRule="exact"/>
              <w:rPr>
                <w:rFonts w:ascii="仿宋" w:hAnsi="仿宋" w:eastAsia="仿宋" w:cs="仿宋"/>
                <w:color w:val="auto"/>
                <w:sz w:val="24"/>
                <w:highlight w:val="none"/>
              </w:rPr>
            </w:pPr>
          </w:p>
        </w:tc>
      </w:tr>
      <w:tr w14:paraId="4A08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02" w:type="pct"/>
          </w:tcPr>
          <w:p w14:paraId="087AAF82">
            <w:pPr>
              <w:spacing w:line="480" w:lineRule="exact"/>
              <w:rPr>
                <w:rFonts w:ascii="仿宋" w:hAnsi="仿宋" w:eastAsia="仿宋" w:cs="仿宋"/>
                <w:color w:val="auto"/>
                <w:sz w:val="24"/>
                <w:highlight w:val="none"/>
              </w:rPr>
            </w:pPr>
          </w:p>
        </w:tc>
        <w:tc>
          <w:tcPr>
            <w:tcW w:w="850" w:type="pct"/>
          </w:tcPr>
          <w:p w14:paraId="37082FCD">
            <w:pPr>
              <w:spacing w:line="480" w:lineRule="exact"/>
              <w:rPr>
                <w:rFonts w:ascii="仿宋" w:hAnsi="仿宋" w:eastAsia="仿宋" w:cs="仿宋"/>
                <w:color w:val="auto"/>
                <w:sz w:val="24"/>
                <w:highlight w:val="none"/>
              </w:rPr>
            </w:pPr>
          </w:p>
        </w:tc>
        <w:tc>
          <w:tcPr>
            <w:tcW w:w="1131" w:type="pct"/>
          </w:tcPr>
          <w:p w14:paraId="1E2BB76F">
            <w:pPr>
              <w:spacing w:line="480" w:lineRule="exact"/>
              <w:rPr>
                <w:rFonts w:ascii="仿宋" w:hAnsi="仿宋" w:eastAsia="仿宋" w:cs="仿宋"/>
                <w:color w:val="auto"/>
                <w:sz w:val="24"/>
                <w:highlight w:val="none"/>
              </w:rPr>
            </w:pPr>
          </w:p>
        </w:tc>
        <w:tc>
          <w:tcPr>
            <w:tcW w:w="779" w:type="pct"/>
          </w:tcPr>
          <w:p w14:paraId="2FB9FFDC">
            <w:pPr>
              <w:spacing w:line="480" w:lineRule="exact"/>
              <w:rPr>
                <w:rFonts w:ascii="仿宋" w:hAnsi="仿宋" w:eastAsia="仿宋" w:cs="仿宋"/>
                <w:color w:val="auto"/>
                <w:sz w:val="24"/>
                <w:highlight w:val="none"/>
              </w:rPr>
            </w:pPr>
          </w:p>
        </w:tc>
        <w:tc>
          <w:tcPr>
            <w:tcW w:w="877" w:type="pct"/>
          </w:tcPr>
          <w:p w14:paraId="137BD7BB">
            <w:pPr>
              <w:spacing w:line="480" w:lineRule="exact"/>
              <w:rPr>
                <w:rFonts w:ascii="仿宋" w:hAnsi="仿宋" w:eastAsia="仿宋" w:cs="仿宋"/>
                <w:color w:val="auto"/>
                <w:sz w:val="24"/>
                <w:highlight w:val="none"/>
              </w:rPr>
            </w:pPr>
          </w:p>
        </w:tc>
        <w:tc>
          <w:tcPr>
            <w:tcW w:w="457" w:type="pct"/>
          </w:tcPr>
          <w:p w14:paraId="36B641CE">
            <w:pPr>
              <w:spacing w:line="480" w:lineRule="exact"/>
              <w:rPr>
                <w:rFonts w:ascii="仿宋" w:hAnsi="仿宋" w:eastAsia="仿宋" w:cs="仿宋"/>
                <w:color w:val="auto"/>
                <w:sz w:val="24"/>
                <w:highlight w:val="none"/>
              </w:rPr>
            </w:pPr>
          </w:p>
        </w:tc>
      </w:tr>
    </w:tbl>
    <w:p w14:paraId="737CD8FC">
      <w:pPr>
        <w:pStyle w:val="23"/>
        <w:rPr>
          <w:rFonts w:ascii="宋体" w:hAnsi="宋体" w:cs="宋体"/>
          <w:bCs/>
          <w:color w:val="auto"/>
          <w:sz w:val="24"/>
          <w:highlight w:val="none"/>
        </w:rPr>
      </w:pPr>
      <w:r>
        <w:rPr>
          <w:rFonts w:hint="eastAsia" w:ascii="宋体" w:hAnsi="宋体" w:cs="宋体"/>
          <w:bCs/>
          <w:color w:val="auto"/>
          <w:sz w:val="24"/>
          <w:highlight w:val="none"/>
        </w:rPr>
        <w:t xml:space="preserve">备注： </w:t>
      </w:r>
    </w:p>
    <w:p w14:paraId="438DC61E">
      <w:pPr>
        <w:pStyle w:val="23"/>
        <w:ind w:firstLine="480" w:firstLineChars="200"/>
        <w:rPr>
          <w:rFonts w:ascii="宋体" w:hAnsi="宋体" w:cs="宋体"/>
          <w:bCs/>
          <w:color w:val="auto"/>
          <w:sz w:val="24"/>
          <w:highlight w:val="none"/>
        </w:rPr>
      </w:pPr>
      <w:r>
        <w:rPr>
          <w:rFonts w:hint="eastAsia" w:ascii="宋体" w:hAnsi="宋体" w:cs="宋体"/>
          <w:bCs/>
          <w:color w:val="auto"/>
          <w:sz w:val="24"/>
          <w:highlight w:val="none"/>
        </w:rPr>
        <w:t>供应商应将案例的证明材料按顺序附后。合同</w:t>
      </w:r>
      <w:r>
        <w:rPr>
          <w:rFonts w:hint="eastAsia" w:ascii="宋体" w:hAnsi="宋体" w:cs="宋体"/>
          <w:bCs/>
          <w:color w:val="auto"/>
          <w:sz w:val="24"/>
          <w:highlight w:val="none"/>
          <w:lang w:val="en-US" w:eastAsia="zh-CN"/>
        </w:rPr>
        <w:t>原件扫描件</w:t>
      </w:r>
      <w:r>
        <w:rPr>
          <w:rFonts w:hint="eastAsia" w:ascii="宋体" w:hAnsi="宋体" w:cs="宋体"/>
          <w:bCs/>
          <w:color w:val="auto"/>
          <w:sz w:val="24"/>
          <w:highlight w:val="none"/>
        </w:rPr>
        <w:t>应提供最终用户签订的合同首页、合同金额所在页、签字盖章页。</w:t>
      </w:r>
    </w:p>
    <w:p w14:paraId="43E0B802">
      <w:pPr>
        <w:pStyle w:val="23"/>
        <w:rPr>
          <w:rFonts w:ascii="宋体" w:hAnsi="宋体" w:cs="宋体"/>
          <w:b/>
          <w:color w:val="auto"/>
          <w:sz w:val="24"/>
          <w:highlight w:val="none"/>
        </w:rPr>
      </w:pPr>
    </w:p>
    <w:p w14:paraId="650EF4F6">
      <w:pPr>
        <w:pStyle w:val="23"/>
        <w:rPr>
          <w:rFonts w:ascii="宋体" w:hAnsi="宋体" w:cs="宋体"/>
          <w:b/>
          <w:color w:val="auto"/>
          <w:sz w:val="24"/>
          <w:highlight w:val="none"/>
        </w:rPr>
      </w:pPr>
    </w:p>
    <w:p w14:paraId="6D79CE20">
      <w:pPr>
        <w:pStyle w:val="23"/>
        <w:rPr>
          <w:rFonts w:ascii="宋体" w:hAnsi="宋体" w:cs="宋体"/>
          <w:b/>
          <w:color w:val="auto"/>
          <w:sz w:val="24"/>
          <w:highlight w:val="none"/>
        </w:rPr>
      </w:pPr>
    </w:p>
    <w:p w14:paraId="1FF6559E">
      <w:pPr>
        <w:pStyle w:val="23"/>
        <w:rPr>
          <w:rFonts w:ascii="宋体" w:hAnsi="宋体" w:cs="宋体"/>
          <w:b/>
          <w:color w:val="auto"/>
          <w:sz w:val="24"/>
          <w:highlight w:val="none"/>
        </w:rPr>
      </w:pPr>
    </w:p>
    <w:p w14:paraId="56CA25C6">
      <w:pPr>
        <w:widowControl/>
        <w:snapToGrid w:val="0"/>
        <w:spacing w:line="360" w:lineRule="auto"/>
        <w:jc w:val="left"/>
        <w:rPr>
          <w:rFonts w:ascii="宋体" w:hAnsi="宋体" w:cs="宋体"/>
          <w:b/>
          <w:color w:val="auto"/>
          <w:sz w:val="24"/>
          <w:highlight w:val="none"/>
        </w:rPr>
      </w:pPr>
    </w:p>
    <w:p w14:paraId="3428CBFE">
      <w:pPr>
        <w:tabs>
          <w:tab w:val="left" w:pos="567"/>
        </w:tabs>
        <w:snapToGrid w:val="0"/>
        <w:spacing w:line="360" w:lineRule="auto"/>
        <w:jc w:val="left"/>
        <w:rPr>
          <w:rFonts w:hint="eastAsia" w:ascii="宋体" w:hAnsi="宋体" w:eastAsia="宋体" w:cs="宋体"/>
          <w:b/>
          <w:color w:val="auto"/>
          <w:kern w:val="0"/>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b/>
          <w:color w:val="auto"/>
          <w:kern w:val="0"/>
          <w:sz w:val="28"/>
          <w:szCs w:val="28"/>
          <w:highlight w:val="none"/>
          <w:lang w:val="en-US" w:eastAsia="zh-CN"/>
        </w:rPr>
        <w:t>八、供应商认为需要提供的其他商务、技术材料</w:t>
      </w:r>
    </w:p>
    <w:p w14:paraId="24B53211">
      <w:pPr>
        <w:tabs>
          <w:tab w:val="left" w:pos="567"/>
        </w:tabs>
        <w:snapToGrid w:val="0"/>
        <w:spacing w:line="360" w:lineRule="auto"/>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九、政策性要求</w:t>
      </w:r>
    </w:p>
    <w:p w14:paraId="08EA7579">
      <w:pPr>
        <w:tabs>
          <w:tab w:val="left" w:pos="1680"/>
        </w:tabs>
        <w:snapToGrid w:val="0"/>
        <w:spacing w:line="360" w:lineRule="auto"/>
        <w:rPr>
          <w:b/>
          <w:color w:val="auto"/>
          <w:sz w:val="24"/>
          <w:highlight w:val="none"/>
        </w:rPr>
      </w:pPr>
      <w:r>
        <w:rPr>
          <w:b/>
          <w:color w:val="auto"/>
          <w:kern w:val="0"/>
          <w:sz w:val="24"/>
          <w:highlight w:val="none"/>
        </w:rPr>
        <w:t>（一）</w:t>
      </w:r>
      <w:r>
        <w:rPr>
          <w:b/>
          <w:color w:val="auto"/>
          <w:sz w:val="24"/>
          <w:highlight w:val="none"/>
        </w:rPr>
        <w:t>环保节能产品证明材料</w:t>
      </w:r>
      <w:r>
        <w:rPr>
          <w:b/>
          <w:color w:val="auto"/>
          <w:kern w:val="0"/>
          <w:sz w:val="24"/>
          <w:highlight w:val="none"/>
        </w:rPr>
        <w:t>（如不涉及，此函可不提供）</w:t>
      </w:r>
    </w:p>
    <w:p w14:paraId="07CFC438">
      <w:pPr>
        <w:tabs>
          <w:tab w:val="left" w:pos="1680"/>
        </w:tabs>
        <w:snapToGrid w:val="0"/>
        <w:spacing w:line="360" w:lineRule="auto"/>
        <w:rPr>
          <w:bCs/>
          <w:color w:val="auto"/>
          <w:sz w:val="24"/>
          <w:highlight w:val="none"/>
        </w:rPr>
      </w:pPr>
      <w:r>
        <w:rPr>
          <w:bCs/>
          <w:color w:val="auto"/>
          <w:sz w:val="24"/>
          <w:highlight w:val="none"/>
        </w:rPr>
        <w:t>（1）强制节能产品明细表格式（如本项目所投产品中不涉及强制节能产品，此表可不提供）</w:t>
      </w:r>
    </w:p>
    <w:p w14:paraId="6B03A3F8">
      <w:pPr>
        <w:tabs>
          <w:tab w:val="left" w:pos="1680"/>
        </w:tabs>
        <w:snapToGrid w:val="0"/>
        <w:spacing w:line="360" w:lineRule="auto"/>
        <w:jc w:val="center"/>
        <w:rPr>
          <w:b/>
          <w:color w:val="auto"/>
          <w:szCs w:val="21"/>
          <w:highlight w:val="none"/>
        </w:rPr>
      </w:pPr>
      <w:r>
        <w:rPr>
          <w:b/>
          <w:color w:val="auto"/>
          <w:sz w:val="24"/>
          <w:highlight w:val="none"/>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016"/>
        <w:gridCol w:w="1016"/>
        <w:gridCol w:w="1742"/>
        <w:gridCol w:w="1979"/>
        <w:gridCol w:w="1968"/>
      </w:tblGrid>
      <w:tr w14:paraId="0C85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6" w:type="dxa"/>
            <w:vAlign w:val="center"/>
          </w:tcPr>
          <w:p w14:paraId="43C06435">
            <w:pPr>
              <w:jc w:val="center"/>
              <w:rPr>
                <w:b/>
                <w:color w:val="auto"/>
                <w:sz w:val="24"/>
                <w:highlight w:val="none"/>
              </w:rPr>
            </w:pPr>
            <w:r>
              <w:rPr>
                <w:b/>
                <w:color w:val="auto"/>
                <w:sz w:val="24"/>
                <w:highlight w:val="none"/>
              </w:rPr>
              <w:t>产品名称</w:t>
            </w:r>
          </w:p>
        </w:tc>
        <w:tc>
          <w:tcPr>
            <w:tcW w:w="1016" w:type="dxa"/>
            <w:vAlign w:val="center"/>
          </w:tcPr>
          <w:p w14:paraId="39FB1446">
            <w:pPr>
              <w:jc w:val="center"/>
              <w:rPr>
                <w:b/>
                <w:color w:val="auto"/>
                <w:sz w:val="24"/>
                <w:highlight w:val="none"/>
              </w:rPr>
            </w:pPr>
            <w:r>
              <w:rPr>
                <w:b/>
                <w:color w:val="auto"/>
                <w:sz w:val="24"/>
                <w:highlight w:val="none"/>
              </w:rPr>
              <w:t>制造商</w:t>
            </w:r>
          </w:p>
        </w:tc>
        <w:tc>
          <w:tcPr>
            <w:tcW w:w="1016" w:type="dxa"/>
            <w:vAlign w:val="center"/>
          </w:tcPr>
          <w:p w14:paraId="738F95D9">
            <w:pPr>
              <w:jc w:val="center"/>
              <w:rPr>
                <w:b/>
                <w:color w:val="auto"/>
                <w:sz w:val="24"/>
                <w:highlight w:val="none"/>
              </w:rPr>
            </w:pPr>
            <w:r>
              <w:rPr>
                <w:b/>
                <w:color w:val="auto"/>
                <w:sz w:val="24"/>
                <w:highlight w:val="none"/>
              </w:rPr>
              <w:t>产品型号</w:t>
            </w:r>
          </w:p>
        </w:tc>
        <w:tc>
          <w:tcPr>
            <w:tcW w:w="1742" w:type="dxa"/>
            <w:vAlign w:val="center"/>
          </w:tcPr>
          <w:p w14:paraId="2775ED7F">
            <w:pPr>
              <w:jc w:val="center"/>
              <w:rPr>
                <w:b/>
                <w:color w:val="auto"/>
                <w:sz w:val="24"/>
                <w:highlight w:val="none"/>
              </w:rPr>
            </w:pPr>
            <w:r>
              <w:rPr>
                <w:b/>
                <w:color w:val="auto"/>
                <w:sz w:val="24"/>
                <w:highlight w:val="none"/>
              </w:rPr>
              <w:t>节能产品认证证书号</w:t>
            </w:r>
          </w:p>
        </w:tc>
        <w:tc>
          <w:tcPr>
            <w:tcW w:w="1979" w:type="dxa"/>
            <w:vAlign w:val="center"/>
          </w:tcPr>
          <w:p w14:paraId="1AE172D9">
            <w:pPr>
              <w:jc w:val="center"/>
              <w:rPr>
                <w:b/>
                <w:color w:val="auto"/>
                <w:sz w:val="24"/>
                <w:highlight w:val="none"/>
              </w:rPr>
            </w:pPr>
            <w:r>
              <w:rPr>
                <w:b/>
                <w:color w:val="auto"/>
                <w:sz w:val="24"/>
                <w:highlight w:val="none"/>
              </w:rPr>
              <w:t>认证证书有效</w:t>
            </w:r>
          </w:p>
          <w:p w14:paraId="7F083D42">
            <w:pPr>
              <w:jc w:val="center"/>
              <w:rPr>
                <w:b/>
                <w:color w:val="auto"/>
                <w:sz w:val="24"/>
                <w:highlight w:val="none"/>
              </w:rPr>
            </w:pPr>
            <w:r>
              <w:rPr>
                <w:b/>
                <w:color w:val="auto"/>
                <w:sz w:val="24"/>
                <w:highlight w:val="none"/>
              </w:rPr>
              <w:t>截止日期</w:t>
            </w:r>
          </w:p>
        </w:tc>
        <w:tc>
          <w:tcPr>
            <w:tcW w:w="1968" w:type="dxa"/>
            <w:vAlign w:val="center"/>
          </w:tcPr>
          <w:p w14:paraId="4CFC617C">
            <w:pPr>
              <w:jc w:val="center"/>
              <w:rPr>
                <w:b/>
                <w:color w:val="auto"/>
                <w:sz w:val="24"/>
                <w:highlight w:val="none"/>
              </w:rPr>
            </w:pPr>
            <w:r>
              <w:rPr>
                <w:b/>
                <w:color w:val="auto"/>
                <w:sz w:val="24"/>
                <w:highlight w:val="none"/>
              </w:rPr>
              <w:t>认证机构名录</w:t>
            </w:r>
          </w:p>
        </w:tc>
      </w:tr>
      <w:tr w14:paraId="1F40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6" w:type="dxa"/>
          </w:tcPr>
          <w:p w14:paraId="741E9D1A">
            <w:pPr>
              <w:spacing w:line="360" w:lineRule="auto"/>
              <w:rPr>
                <w:b/>
                <w:color w:val="auto"/>
                <w:sz w:val="24"/>
                <w:highlight w:val="none"/>
              </w:rPr>
            </w:pPr>
          </w:p>
        </w:tc>
        <w:tc>
          <w:tcPr>
            <w:tcW w:w="1016" w:type="dxa"/>
          </w:tcPr>
          <w:p w14:paraId="08605C73">
            <w:pPr>
              <w:spacing w:line="360" w:lineRule="auto"/>
              <w:rPr>
                <w:b/>
                <w:color w:val="auto"/>
                <w:sz w:val="24"/>
                <w:highlight w:val="none"/>
              </w:rPr>
            </w:pPr>
          </w:p>
        </w:tc>
        <w:tc>
          <w:tcPr>
            <w:tcW w:w="1016" w:type="dxa"/>
          </w:tcPr>
          <w:p w14:paraId="2FBD408C">
            <w:pPr>
              <w:spacing w:line="360" w:lineRule="auto"/>
              <w:rPr>
                <w:b/>
                <w:color w:val="auto"/>
                <w:sz w:val="24"/>
                <w:highlight w:val="none"/>
              </w:rPr>
            </w:pPr>
          </w:p>
        </w:tc>
        <w:tc>
          <w:tcPr>
            <w:tcW w:w="1742" w:type="dxa"/>
          </w:tcPr>
          <w:p w14:paraId="54E0818A">
            <w:pPr>
              <w:spacing w:line="360" w:lineRule="auto"/>
              <w:rPr>
                <w:b/>
                <w:color w:val="auto"/>
                <w:sz w:val="24"/>
                <w:highlight w:val="none"/>
              </w:rPr>
            </w:pPr>
          </w:p>
        </w:tc>
        <w:tc>
          <w:tcPr>
            <w:tcW w:w="1979" w:type="dxa"/>
          </w:tcPr>
          <w:p w14:paraId="49B9EDDF">
            <w:pPr>
              <w:spacing w:line="360" w:lineRule="auto"/>
              <w:rPr>
                <w:b/>
                <w:color w:val="auto"/>
                <w:sz w:val="24"/>
                <w:highlight w:val="none"/>
              </w:rPr>
            </w:pPr>
          </w:p>
        </w:tc>
        <w:tc>
          <w:tcPr>
            <w:tcW w:w="1968" w:type="dxa"/>
          </w:tcPr>
          <w:p w14:paraId="3172C5C7">
            <w:pPr>
              <w:spacing w:line="360" w:lineRule="auto"/>
              <w:rPr>
                <w:b/>
                <w:color w:val="auto"/>
                <w:sz w:val="24"/>
                <w:highlight w:val="none"/>
              </w:rPr>
            </w:pPr>
          </w:p>
        </w:tc>
      </w:tr>
      <w:tr w14:paraId="3C8D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6" w:type="dxa"/>
          </w:tcPr>
          <w:p w14:paraId="50F6B5F1">
            <w:pPr>
              <w:spacing w:line="360" w:lineRule="auto"/>
              <w:rPr>
                <w:b/>
                <w:color w:val="auto"/>
                <w:sz w:val="24"/>
                <w:highlight w:val="none"/>
              </w:rPr>
            </w:pPr>
          </w:p>
        </w:tc>
        <w:tc>
          <w:tcPr>
            <w:tcW w:w="1016" w:type="dxa"/>
          </w:tcPr>
          <w:p w14:paraId="66470F5B">
            <w:pPr>
              <w:spacing w:line="360" w:lineRule="auto"/>
              <w:rPr>
                <w:b/>
                <w:color w:val="auto"/>
                <w:sz w:val="24"/>
                <w:highlight w:val="none"/>
              </w:rPr>
            </w:pPr>
          </w:p>
        </w:tc>
        <w:tc>
          <w:tcPr>
            <w:tcW w:w="1016" w:type="dxa"/>
          </w:tcPr>
          <w:p w14:paraId="5FCA7C7E">
            <w:pPr>
              <w:spacing w:line="360" w:lineRule="auto"/>
              <w:rPr>
                <w:b/>
                <w:color w:val="auto"/>
                <w:sz w:val="24"/>
                <w:highlight w:val="none"/>
              </w:rPr>
            </w:pPr>
          </w:p>
        </w:tc>
        <w:tc>
          <w:tcPr>
            <w:tcW w:w="1742" w:type="dxa"/>
          </w:tcPr>
          <w:p w14:paraId="7D609760">
            <w:pPr>
              <w:spacing w:line="360" w:lineRule="auto"/>
              <w:rPr>
                <w:b/>
                <w:color w:val="auto"/>
                <w:sz w:val="24"/>
                <w:highlight w:val="none"/>
              </w:rPr>
            </w:pPr>
          </w:p>
        </w:tc>
        <w:tc>
          <w:tcPr>
            <w:tcW w:w="1979" w:type="dxa"/>
          </w:tcPr>
          <w:p w14:paraId="6550D58F">
            <w:pPr>
              <w:spacing w:line="360" w:lineRule="auto"/>
              <w:rPr>
                <w:b/>
                <w:color w:val="auto"/>
                <w:sz w:val="24"/>
                <w:highlight w:val="none"/>
              </w:rPr>
            </w:pPr>
          </w:p>
        </w:tc>
        <w:tc>
          <w:tcPr>
            <w:tcW w:w="1968" w:type="dxa"/>
          </w:tcPr>
          <w:p w14:paraId="60AAF2CA">
            <w:pPr>
              <w:spacing w:line="360" w:lineRule="auto"/>
              <w:rPr>
                <w:b/>
                <w:color w:val="auto"/>
                <w:sz w:val="24"/>
                <w:highlight w:val="none"/>
              </w:rPr>
            </w:pPr>
          </w:p>
        </w:tc>
      </w:tr>
      <w:tr w14:paraId="08E8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6" w:type="dxa"/>
          </w:tcPr>
          <w:p w14:paraId="1F29BB3C">
            <w:pPr>
              <w:spacing w:line="360" w:lineRule="auto"/>
              <w:rPr>
                <w:b/>
                <w:color w:val="auto"/>
                <w:sz w:val="24"/>
                <w:highlight w:val="none"/>
              </w:rPr>
            </w:pPr>
          </w:p>
        </w:tc>
        <w:tc>
          <w:tcPr>
            <w:tcW w:w="1016" w:type="dxa"/>
          </w:tcPr>
          <w:p w14:paraId="32817AAD">
            <w:pPr>
              <w:spacing w:line="360" w:lineRule="auto"/>
              <w:rPr>
                <w:b/>
                <w:color w:val="auto"/>
                <w:sz w:val="24"/>
                <w:highlight w:val="none"/>
              </w:rPr>
            </w:pPr>
          </w:p>
        </w:tc>
        <w:tc>
          <w:tcPr>
            <w:tcW w:w="1016" w:type="dxa"/>
          </w:tcPr>
          <w:p w14:paraId="3478088B">
            <w:pPr>
              <w:spacing w:line="360" w:lineRule="auto"/>
              <w:rPr>
                <w:b/>
                <w:color w:val="auto"/>
                <w:sz w:val="24"/>
                <w:highlight w:val="none"/>
              </w:rPr>
            </w:pPr>
          </w:p>
        </w:tc>
        <w:tc>
          <w:tcPr>
            <w:tcW w:w="1742" w:type="dxa"/>
          </w:tcPr>
          <w:p w14:paraId="5B5AE15C">
            <w:pPr>
              <w:spacing w:line="360" w:lineRule="auto"/>
              <w:rPr>
                <w:b/>
                <w:color w:val="auto"/>
                <w:sz w:val="24"/>
                <w:highlight w:val="none"/>
              </w:rPr>
            </w:pPr>
          </w:p>
        </w:tc>
        <w:tc>
          <w:tcPr>
            <w:tcW w:w="1979" w:type="dxa"/>
          </w:tcPr>
          <w:p w14:paraId="2D6BDD25">
            <w:pPr>
              <w:spacing w:line="360" w:lineRule="auto"/>
              <w:rPr>
                <w:b/>
                <w:color w:val="auto"/>
                <w:sz w:val="24"/>
                <w:highlight w:val="none"/>
              </w:rPr>
            </w:pPr>
          </w:p>
        </w:tc>
        <w:tc>
          <w:tcPr>
            <w:tcW w:w="1968" w:type="dxa"/>
          </w:tcPr>
          <w:p w14:paraId="1C1931FE">
            <w:pPr>
              <w:spacing w:line="360" w:lineRule="auto"/>
              <w:rPr>
                <w:b/>
                <w:color w:val="auto"/>
                <w:sz w:val="24"/>
                <w:highlight w:val="none"/>
              </w:rPr>
            </w:pPr>
          </w:p>
        </w:tc>
      </w:tr>
    </w:tbl>
    <w:p w14:paraId="05237C30">
      <w:pPr>
        <w:spacing w:before="156" w:beforeLines="50" w:line="360" w:lineRule="auto"/>
        <w:ind w:firstLine="480" w:firstLineChars="200"/>
        <w:jc w:val="left"/>
        <w:rPr>
          <w:bCs/>
          <w:color w:val="auto"/>
          <w:sz w:val="24"/>
          <w:highlight w:val="none"/>
        </w:rPr>
      </w:pPr>
      <w:r>
        <w:rPr>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ECA370B">
      <w:pPr>
        <w:snapToGrid w:val="0"/>
        <w:spacing w:line="360" w:lineRule="auto"/>
        <w:jc w:val="left"/>
        <w:rPr>
          <w:color w:val="auto"/>
          <w:sz w:val="24"/>
          <w:highlight w:val="none"/>
        </w:rPr>
      </w:pPr>
      <w:r>
        <w:rPr>
          <w:color w:val="auto"/>
          <w:sz w:val="24"/>
          <w:highlight w:val="none"/>
        </w:rPr>
        <w:t>注：</w:t>
      </w:r>
    </w:p>
    <w:p w14:paraId="64D1DB06">
      <w:pPr>
        <w:snapToGrid w:val="0"/>
        <w:spacing w:line="360" w:lineRule="auto"/>
        <w:ind w:firstLine="480" w:firstLineChars="200"/>
        <w:jc w:val="left"/>
        <w:rPr>
          <w:color w:val="auto"/>
          <w:sz w:val="24"/>
          <w:highlight w:val="none"/>
        </w:rPr>
      </w:pPr>
      <w:r>
        <w:rPr>
          <w:color w:val="auto"/>
          <w:sz w:val="24"/>
          <w:highlight w:val="none"/>
        </w:rPr>
        <w:t>1．投标货物中如含有强制节能产品的，须如实填写强制节能产品明细表；</w:t>
      </w:r>
    </w:p>
    <w:p w14:paraId="0FE96326">
      <w:pPr>
        <w:snapToGrid w:val="0"/>
        <w:spacing w:line="360" w:lineRule="auto"/>
        <w:ind w:firstLine="480" w:firstLineChars="200"/>
        <w:jc w:val="left"/>
        <w:rPr>
          <w:color w:val="auto"/>
          <w:sz w:val="24"/>
          <w:highlight w:val="none"/>
        </w:rPr>
      </w:pPr>
      <w:r>
        <w:rPr>
          <w:color w:val="auto"/>
          <w:sz w:val="24"/>
          <w:highlight w:val="none"/>
        </w:rPr>
        <w:t>2.  提供所投产品获得国家确定的认证机构出具的、处于有效期之内的产品认证证书。</w:t>
      </w:r>
    </w:p>
    <w:p w14:paraId="76ABBF75">
      <w:pPr>
        <w:snapToGrid w:val="0"/>
        <w:spacing w:line="360" w:lineRule="auto"/>
        <w:ind w:firstLine="480" w:firstLineChars="200"/>
        <w:jc w:val="left"/>
        <w:rPr>
          <w:bCs/>
          <w:color w:val="auto"/>
          <w:sz w:val="24"/>
          <w:highlight w:val="none"/>
        </w:rPr>
      </w:pPr>
      <w:r>
        <w:rPr>
          <w:color w:val="auto"/>
          <w:sz w:val="24"/>
          <w:highlight w:val="none"/>
        </w:rPr>
        <w:t>3．所投报信息安全产品属于《信息安全产品强制性认证目录》中的产品，有效认证证书复印件附后。</w:t>
      </w:r>
    </w:p>
    <w:p w14:paraId="50A43BA8">
      <w:pPr>
        <w:pStyle w:val="23"/>
        <w:widowControl w:val="0"/>
        <w:rPr>
          <w:rFonts w:ascii="Times New Roman" w:hAnsi="Times New Roman"/>
          <w:color w:val="auto"/>
          <w:sz w:val="24"/>
          <w:szCs w:val="24"/>
          <w:highlight w:val="none"/>
        </w:rPr>
      </w:pPr>
    </w:p>
    <w:p w14:paraId="4DDBE8D5">
      <w:pPr>
        <w:tabs>
          <w:tab w:val="left" w:pos="1680"/>
        </w:tabs>
        <w:snapToGrid w:val="0"/>
        <w:spacing w:line="360" w:lineRule="auto"/>
        <w:rPr>
          <w:bCs/>
          <w:color w:val="auto"/>
          <w:sz w:val="24"/>
          <w:highlight w:val="none"/>
        </w:rPr>
      </w:pPr>
    </w:p>
    <w:p w14:paraId="2A9F3DE8">
      <w:pPr>
        <w:tabs>
          <w:tab w:val="left" w:pos="1680"/>
        </w:tabs>
        <w:snapToGrid w:val="0"/>
        <w:spacing w:line="360" w:lineRule="auto"/>
        <w:rPr>
          <w:bCs/>
          <w:color w:val="auto"/>
          <w:sz w:val="24"/>
          <w:highlight w:val="none"/>
        </w:rPr>
      </w:pPr>
    </w:p>
    <w:p w14:paraId="5F73DC66">
      <w:pPr>
        <w:tabs>
          <w:tab w:val="left" w:pos="1680"/>
        </w:tabs>
        <w:snapToGrid w:val="0"/>
        <w:spacing w:line="360" w:lineRule="auto"/>
        <w:rPr>
          <w:bCs/>
          <w:color w:val="auto"/>
          <w:sz w:val="24"/>
          <w:highlight w:val="none"/>
        </w:rPr>
      </w:pPr>
    </w:p>
    <w:p w14:paraId="61452444">
      <w:pPr>
        <w:tabs>
          <w:tab w:val="left" w:pos="1680"/>
        </w:tabs>
        <w:snapToGrid w:val="0"/>
        <w:spacing w:line="360" w:lineRule="auto"/>
        <w:rPr>
          <w:bCs/>
          <w:color w:val="auto"/>
          <w:sz w:val="24"/>
          <w:highlight w:val="none"/>
        </w:rPr>
      </w:pPr>
    </w:p>
    <w:p w14:paraId="4A413B46">
      <w:pPr>
        <w:tabs>
          <w:tab w:val="left" w:pos="1680"/>
        </w:tabs>
        <w:snapToGrid w:val="0"/>
        <w:spacing w:line="360" w:lineRule="auto"/>
        <w:rPr>
          <w:bCs/>
          <w:color w:val="auto"/>
          <w:sz w:val="24"/>
          <w:highlight w:val="none"/>
        </w:rPr>
      </w:pPr>
    </w:p>
    <w:p w14:paraId="02482838">
      <w:pPr>
        <w:tabs>
          <w:tab w:val="left" w:pos="1680"/>
        </w:tabs>
        <w:snapToGrid w:val="0"/>
        <w:spacing w:line="360" w:lineRule="auto"/>
        <w:rPr>
          <w:bCs/>
          <w:color w:val="auto"/>
          <w:sz w:val="24"/>
          <w:highlight w:val="none"/>
        </w:rPr>
      </w:pPr>
    </w:p>
    <w:p w14:paraId="2E620D45">
      <w:pPr>
        <w:tabs>
          <w:tab w:val="left" w:pos="1680"/>
        </w:tabs>
        <w:snapToGrid w:val="0"/>
        <w:spacing w:line="360" w:lineRule="auto"/>
        <w:rPr>
          <w:bCs/>
          <w:color w:val="auto"/>
          <w:sz w:val="24"/>
          <w:highlight w:val="none"/>
        </w:rPr>
      </w:pPr>
    </w:p>
    <w:p w14:paraId="289F2E56">
      <w:pPr>
        <w:tabs>
          <w:tab w:val="left" w:pos="1680"/>
        </w:tabs>
        <w:snapToGrid w:val="0"/>
        <w:spacing w:line="360" w:lineRule="auto"/>
        <w:rPr>
          <w:bCs/>
          <w:color w:val="auto"/>
          <w:sz w:val="24"/>
          <w:highlight w:val="none"/>
        </w:rPr>
      </w:pPr>
      <w:r>
        <w:rPr>
          <w:bCs/>
          <w:color w:val="auto"/>
          <w:sz w:val="24"/>
          <w:highlight w:val="none"/>
        </w:rPr>
        <w:br w:type="page"/>
      </w:r>
    </w:p>
    <w:p w14:paraId="4140CA0A">
      <w:pPr>
        <w:tabs>
          <w:tab w:val="left" w:pos="1680"/>
        </w:tabs>
        <w:snapToGrid w:val="0"/>
        <w:spacing w:line="360" w:lineRule="auto"/>
        <w:rPr>
          <w:bCs/>
          <w:color w:val="auto"/>
          <w:sz w:val="24"/>
          <w:highlight w:val="none"/>
        </w:rPr>
      </w:pPr>
      <w:r>
        <w:rPr>
          <w:bCs/>
          <w:color w:val="auto"/>
          <w:sz w:val="24"/>
          <w:highlight w:val="none"/>
        </w:rPr>
        <w:t>（2）非强制节能产品、环保标志产品明细表格式（如本项目所投产品中不涉及非强制节能产品、环保标志产品，此表可不提供）</w:t>
      </w:r>
    </w:p>
    <w:p w14:paraId="16BC39E7">
      <w:pPr>
        <w:spacing w:line="360" w:lineRule="auto"/>
        <w:jc w:val="center"/>
        <w:rPr>
          <w:color w:val="auto"/>
          <w:szCs w:val="21"/>
          <w:highlight w:val="none"/>
        </w:rPr>
      </w:pPr>
      <w:r>
        <w:rPr>
          <w:b/>
          <w:color w:val="auto"/>
          <w:sz w:val="24"/>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825"/>
        <w:gridCol w:w="2074"/>
        <w:gridCol w:w="2063"/>
      </w:tblGrid>
      <w:tr w14:paraId="6CDE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65" w:type="dxa"/>
            <w:vAlign w:val="center"/>
          </w:tcPr>
          <w:p w14:paraId="667C5A04">
            <w:pPr>
              <w:jc w:val="center"/>
              <w:rPr>
                <w:b/>
                <w:color w:val="auto"/>
                <w:sz w:val="24"/>
                <w:highlight w:val="none"/>
              </w:rPr>
            </w:pPr>
            <w:r>
              <w:rPr>
                <w:b/>
                <w:color w:val="auto"/>
                <w:sz w:val="24"/>
                <w:highlight w:val="none"/>
              </w:rPr>
              <w:t>产品名称</w:t>
            </w:r>
          </w:p>
        </w:tc>
        <w:tc>
          <w:tcPr>
            <w:tcW w:w="1065" w:type="dxa"/>
            <w:vAlign w:val="center"/>
          </w:tcPr>
          <w:p w14:paraId="095E0478">
            <w:pPr>
              <w:jc w:val="center"/>
              <w:rPr>
                <w:b/>
                <w:color w:val="auto"/>
                <w:sz w:val="24"/>
                <w:highlight w:val="none"/>
              </w:rPr>
            </w:pPr>
            <w:r>
              <w:rPr>
                <w:b/>
                <w:color w:val="auto"/>
                <w:sz w:val="24"/>
                <w:highlight w:val="none"/>
              </w:rPr>
              <w:t>制造商</w:t>
            </w:r>
          </w:p>
        </w:tc>
        <w:tc>
          <w:tcPr>
            <w:tcW w:w="1065" w:type="dxa"/>
            <w:vAlign w:val="center"/>
          </w:tcPr>
          <w:p w14:paraId="5696CB6F">
            <w:pPr>
              <w:jc w:val="center"/>
              <w:rPr>
                <w:b/>
                <w:color w:val="auto"/>
                <w:sz w:val="24"/>
                <w:highlight w:val="none"/>
              </w:rPr>
            </w:pPr>
            <w:r>
              <w:rPr>
                <w:b/>
                <w:color w:val="auto"/>
                <w:sz w:val="24"/>
                <w:highlight w:val="none"/>
              </w:rPr>
              <w:t>产品型号</w:t>
            </w:r>
          </w:p>
        </w:tc>
        <w:tc>
          <w:tcPr>
            <w:tcW w:w="1825" w:type="dxa"/>
            <w:vAlign w:val="center"/>
          </w:tcPr>
          <w:p w14:paraId="45C6ADEA">
            <w:pPr>
              <w:jc w:val="center"/>
              <w:rPr>
                <w:b/>
                <w:color w:val="auto"/>
                <w:sz w:val="24"/>
                <w:highlight w:val="none"/>
              </w:rPr>
            </w:pPr>
            <w:r>
              <w:rPr>
                <w:b/>
                <w:color w:val="auto"/>
                <w:sz w:val="24"/>
                <w:highlight w:val="none"/>
              </w:rPr>
              <w:t>节能产品认证证书号</w:t>
            </w:r>
          </w:p>
        </w:tc>
        <w:tc>
          <w:tcPr>
            <w:tcW w:w="2074" w:type="dxa"/>
            <w:vAlign w:val="center"/>
          </w:tcPr>
          <w:p w14:paraId="41C26CDC">
            <w:pPr>
              <w:jc w:val="center"/>
              <w:rPr>
                <w:b/>
                <w:color w:val="auto"/>
                <w:sz w:val="24"/>
                <w:highlight w:val="none"/>
              </w:rPr>
            </w:pPr>
            <w:r>
              <w:rPr>
                <w:b/>
                <w:color w:val="auto"/>
                <w:sz w:val="24"/>
                <w:highlight w:val="none"/>
              </w:rPr>
              <w:t>认证证书有效截止日期</w:t>
            </w:r>
          </w:p>
        </w:tc>
        <w:tc>
          <w:tcPr>
            <w:tcW w:w="2063" w:type="dxa"/>
            <w:vAlign w:val="center"/>
          </w:tcPr>
          <w:p w14:paraId="2F9C3EE2">
            <w:pPr>
              <w:jc w:val="center"/>
              <w:rPr>
                <w:b/>
                <w:color w:val="auto"/>
                <w:sz w:val="24"/>
                <w:highlight w:val="none"/>
              </w:rPr>
            </w:pPr>
            <w:r>
              <w:rPr>
                <w:b/>
                <w:color w:val="auto"/>
                <w:sz w:val="24"/>
                <w:highlight w:val="none"/>
              </w:rPr>
              <w:t>认证机构名称</w:t>
            </w:r>
          </w:p>
        </w:tc>
      </w:tr>
      <w:tr w14:paraId="166D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5" w:type="dxa"/>
          </w:tcPr>
          <w:p w14:paraId="72DEAD8B">
            <w:pPr>
              <w:spacing w:line="360" w:lineRule="auto"/>
              <w:rPr>
                <w:b/>
                <w:color w:val="auto"/>
                <w:sz w:val="24"/>
                <w:highlight w:val="none"/>
              </w:rPr>
            </w:pPr>
          </w:p>
        </w:tc>
        <w:tc>
          <w:tcPr>
            <w:tcW w:w="1065" w:type="dxa"/>
          </w:tcPr>
          <w:p w14:paraId="05C813E3">
            <w:pPr>
              <w:spacing w:line="360" w:lineRule="auto"/>
              <w:rPr>
                <w:b/>
                <w:color w:val="auto"/>
                <w:sz w:val="24"/>
                <w:highlight w:val="none"/>
              </w:rPr>
            </w:pPr>
          </w:p>
        </w:tc>
        <w:tc>
          <w:tcPr>
            <w:tcW w:w="1065" w:type="dxa"/>
          </w:tcPr>
          <w:p w14:paraId="33617227">
            <w:pPr>
              <w:spacing w:line="360" w:lineRule="auto"/>
              <w:rPr>
                <w:b/>
                <w:color w:val="auto"/>
                <w:sz w:val="24"/>
                <w:highlight w:val="none"/>
              </w:rPr>
            </w:pPr>
          </w:p>
        </w:tc>
        <w:tc>
          <w:tcPr>
            <w:tcW w:w="1825" w:type="dxa"/>
          </w:tcPr>
          <w:p w14:paraId="625C878E">
            <w:pPr>
              <w:spacing w:line="360" w:lineRule="auto"/>
              <w:rPr>
                <w:b/>
                <w:color w:val="auto"/>
                <w:sz w:val="24"/>
                <w:highlight w:val="none"/>
              </w:rPr>
            </w:pPr>
          </w:p>
        </w:tc>
        <w:tc>
          <w:tcPr>
            <w:tcW w:w="2074" w:type="dxa"/>
          </w:tcPr>
          <w:p w14:paraId="19B5D34F">
            <w:pPr>
              <w:spacing w:line="360" w:lineRule="auto"/>
              <w:rPr>
                <w:b/>
                <w:color w:val="auto"/>
                <w:sz w:val="24"/>
                <w:highlight w:val="none"/>
              </w:rPr>
            </w:pPr>
          </w:p>
        </w:tc>
        <w:tc>
          <w:tcPr>
            <w:tcW w:w="2063" w:type="dxa"/>
          </w:tcPr>
          <w:p w14:paraId="4082BD20">
            <w:pPr>
              <w:spacing w:line="360" w:lineRule="auto"/>
              <w:rPr>
                <w:b/>
                <w:color w:val="auto"/>
                <w:sz w:val="24"/>
                <w:highlight w:val="none"/>
              </w:rPr>
            </w:pPr>
          </w:p>
        </w:tc>
      </w:tr>
      <w:tr w14:paraId="0877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5" w:type="dxa"/>
          </w:tcPr>
          <w:p w14:paraId="07EC4796">
            <w:pPr>
              <w:spacing w:line="360" w:lineRule="auto"/>
              <w:rPr>
                <w:b/>
                <w:color w:val="auto"/>
                <w:sz w:val="24"/>
                <w:highlight w:val="none"/>
              </w:rPr>
            </w:pPr>
          </w:p>
        </w:tc>
        <w:tc>
          <w:tcPr>
            <w:tcW w:w="1065" w:type="dxa"/>
          </w:tcPr>
          <w:p w14:paraId="321CFCAC">
            <w:pPr>
              <w:spacing w:line="360" w:lineRule="auto"/>
              <w:rPr>
                <w:b/>
                <w:color w:val="auto"/>
                <w:sz w:val="24"/>
                <w:highlight w:val="none"/>
              </w:rPr>
            </w:pPr>
          </w:p>
        </w:tc>
        <w:tc>
          <w:tcPr>
            <w:tcW w:w="1065" w:type="dxa"/>
          </w:tcPr>
          <w:p w14:paraId="22D3232D">
            <w:pPr>
              <w:spacing w:line="360" w:lineRule="auto"/>
              <w:rPr>
                <w:b/>
                <w:color w:val="auto"/>
                <w:sz w:val="24"/>
                <w:highlight w:val="none"/>
              </w:rPr>
            </w:pPr>
          </w:p>
        </w:tc>
        <w:tc>
          <w:tcPr>
            <w:tcW w:w="1825" w:type="dxa"/>
          </w:tcPr>
          <w:p w14:paraId="4E1ED819">
            <w:pPr>
              <w:spacing w:line="360" w:lineRule="auto"/>
              <w:rPr>
                <w:b/>
                <w:color w:val="auto"/>
                <w:sz w:val="24"/>
                <w:highlight w:val="none"/>
              </w:rPr>
            </w:pPr>
          </w:p>
        </w:tc>
        <w:tc>
          <w:tcPr>
            <w:tcW w:w="2074" w:type="dxa"/>
          </w:tcPr>
          <w:p w14:paraId="4B69A9D7">
            <w:pPr>
              <w:spacing w:line="360" w:lineRule="auto"/>
              <w:rPr>
                <w:b/>
                <w:color w:val="auto"/>
                <w:sz w:val="24"/>
                <w:highlight w:val="none"/>
              </w:rPr>
            </w:pPr>
          </w:p>
        </w:tc>
        <w:tc>
          <w:tcPr>
            <w:tcW w:w="2063" w:type="dxa"/>
          </w:tcPr>
          <w:p w14:paraId="2D2A6D94">
            <w:pPr>
              <w:spacing w:line="360" w:lineRule="auto"/>
              <w:rPr>
                <w:b/>
                <w:color w:val="auto"/>
                <w:sz w:val="24"/>
                <w:highlight w:val="none"/>
              </w:rPr>
            </w:pPr>
          </w:p>
        </w:tc>
      </w:tr>
      <w:tr w14:paraId="4821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5" w:type="dxa"/>
          </w:tcPr>
          <w:p w14:paraId="321958E7">
            <w:pPr>
              <w:spacing w:line="360" w:lineRule="auto"/>
              <w:rPr>
                <w:b/>
                <w:color w:val="auto"/>
                <w:sz w:val="24"/>
                <w:highlight w:val="none"/>
              </w:rPr>
            </w:pPr>
          </w:p>
        </w:tc>
        <w:tc>
          <w:tcPr>
            <w:tcW w:w="1065" w:type="dxa"/>
          </w:tcPr>
          <w:p w14:paraId="1BD5ECDA">
            <w:pPr>
              <w:spacing w:line="360" w:lineRule="auto"/>
              <w:rPr>
                <w:b/>
                <w:color w:val="auto"/>
                <w:sz w:val="24"/>
                <w:highlight w:val="none"/>
              </w:rPr>
            </w:pPr>
          </w:p>
        </w:tc>
        <w:tc>
          <w:tcPr>
            <w:tcW w:w="1065" w:type="dxa"/>
          </w:tcPr>
          <w:p w14:paraId="69CABDB1">
            <w:pPr>
              <w:spacing w:line="360" w:lineRule="auto"/>
              <w:rPr>
                <w:b/>
                <w:color w:val="auto"/>
                <w:sz w:val="24"/>
                <w:highlight w:val="none"/>
              </w:rPr>
            </w:pPr>
          </w:p>
        </w:tc>
        <w:tc>
          <w:tcPr>
            <w:tcW w:w="1825" w:type="dxa"/>
          </w:tcPr>
          <w:p w14:paraId="73771025">
            <w:pPr>
              <w:spacing w:line="360" w:lineRule="auto"/>
              <w:rPr>
                <w:b/>
                <w:color w:val="auto"/>
                <w:sz w:val="24"/>
                <w:highlight w:val="none"/>
              </w:rPr>
            </w:pPr>
          </w:p>
        </w:tc>
        <w:tc>
          <w:tcPr>
            <w:tcW w:w="2074" w:type="dxa"/>
          </w:tcPr>
          <w:p w14:paraId="0BB9D47C">
            <w:pPr>
              <w:spacing w:line="360" w:lineRule="auto"/>
              <w:rPr>
                <w:b/>
                <w:color w:val="auto"/>
                <w:sz w:val="24"/>
                <w:highlight w:val="none"/>
              </w:rPr>
            </w:pPr>
          </w:p>
        </w:tc>
        <w:tc>
          <w:tcPr>
            <w:tcW w:w="2063" w:type="dxa"/>
          </w:tcPr>
          <w:p w14:paraId="218C3CE8">
            <w:pPr>
              <w:spacing w:line="360" w:lineRule="auto"/>
              <w:rPr>
                <w:b/>
                <w:color w:val="auto"/>
                <w:sz w:val="24"/>
                <w:highlight w:val="none"/>
              </w:rPr>
            </w:pPr>
          </w:p>
        </w:tc>
      </w:tr>
    </w:tbl>
    <w:p w14:paraId="0536ACF7">
      <w:pPr>
        <w:snapToGrid w:val="0"/>
        <w:spacing w:before="156" w:beforeLines="50" w:line="360" w:lineRule="auto"/>
        <w:ind w:firstLine="480" w:firstLineChars="200"/>
        <w:jc w:val="left"/>
        <w:rPr>
          <w:b/>
          <w:color w:val="auto"/>
          <w:sz w:val="28"/>
          <w:szCs w:val="28"/>
          <w:highlight w:val="none"/>
        </w:rPr>
      </w:pPr>
      <w:r>
        <w:rPr>
          <w:color w:val="auto"/>
          <w:sz w:val="24"/>
          <w:highlight w:val="none"/>
        </w:rPr>
        <w:t>投报节能产品政府采购品目清单中强制性采购产品以外的其它节能产品，将给予适当加分。</w:t>
      </w:r>
    </w:p>
    <w:p w14:paraId="0A78BE44">
      <w:pPr>
        <w:spacing w:line="360" w:lineRule="auto"/>
        <w:jc w:val="center"/>
        <w:rPr>
          <w:b/>
          <w:color w:val="auto"/>
          <w:szCs w:val="21"/>
          <w:highlight w:val="none"/>
        </w:rPr>
      </w:pPr>
      <w:r>
        <w:rPr>
          <w:b/>
          <w:color w:val="auto"/>
          <w:sz w:val="24"/>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12"/>
        <w:gridCol w:w="974"/>
        <w:gridCol w:w="974"/>
        <w:gridCol w:w="1885"/>
        <w:gridCol w:w="1925"/>
        <w:gridCol w:w="1372"/>
      </w:tblGrid>
      <w:tr w14:paraId="4B52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74" w:type="dxa"/>
            <w:vAlign w:val="center"/>
          </w:tcPr>
          <w:p w14:paraId="3DFE201D">
            <w:pPr>
              <w:jc w:val="center"/>
              <w:rPr>
                <w:b/>
                <w:color w:val="auto"/>
                <w:sz w:val="24"/>
                <w:highlight w:val="none"/>
              </w:rPr>
            </w:pPr>
            <w:r>
              <w:rPr>
                <w:b/>
                <w:color w:val="auto"/>
                <w:sz w:val="24"/>
                <w:highlight w:val="none"/>
              </w:rPr>
              <w:t>产品名称</w:t>
            </w:r>
          </w:p>
        </w:tc>
        <w:tc>
          <w:tcPr>
            <w:tcW w:w="812" w:type="dxa"/>
            <w:vAlign w:val="center"/>
          </w:tcPr>
          <w:p w14:paraId="04202FE9">
            <w:pPr>
              <w:jc w:val="center"/>
              <w:rPr>
                <w:b/>
                <w:color w:val="auto"/>
                <w:sz w:val="24"/>
                <w:highlight w:val="none"/>
              </w:rPr>
            </w:pPr>
            <w:r>
              <w:rPr>
                <w:b/>
                <w:color w:val="auto"/>
                <w:sz w:val="24"/>
                <w:highlight w:val="none"/>
              </w:rPr>
              <w:t>制造商</w:t>
            </w:r>
          </w:p>
        </w:tc>
        <w:tc>
          <w:tcPr>
            <w:tcW w:w="974" w:type="dxa"/>
            <w:vAlign w:val="center"/>
          </w:tcPr>
          <w:p w14:paraId="46D71DE6">
            <w:pPr>
              <w:jc w:val="center"/>
              <w:rPr>
                <w:b/>
                <w:color w:val="auto"/>
                <w:sz w:val="24"/>
                <w:highlight w:val="none"/>
              </w:rPr>
            </w:pPr>
            <w:r>
              <w:rPr>
                <w:b/>
                <w:color w:val="auto"/>
                <w:sz w:val="24"/>
                <w:highlight w:val="none"/>
              </w:rPr>
              <w:t>注册商标</w:t>
            </w:r>
          </w:p>
        </w:tc>
        <w:tc>
          <w:tcPr>
            <w:tcW w:w="974" w:type="dxa"/>
            <w:vAlign w:val="center"/>
          </w:tcPr>
          <w:p w14:paraId="3D102C32">
            <w:pPr>
              <w:jc w:val="center"/>
              <w:rPr>
                <w:b/>
                <w:color w:val="auto"/>
                <w:sz w:val="24"/>
                <w:highlight w:val="none"/>
              </w:rPr>
            </w:pPr>
            <w:r>
              <w:rPr>
                <w:b/>
                <w:color w:val="auto"/>
                <w:sz w:val="24"/>
                <w:highlight w:val="none"/>
              </w:rPr>
              <w:t>产品型号</w:t>
            </w:r>
          </w:p>
        </w:tc>
        <w:tc>
          <w:tcPr>
            <w:tcW w:w="1885" w:type="dxa"/>
            <w:vAlign w:val="center"/>
          </w:tcPr>
          <w:p w14:paraId="358E9B35">
            <w:pPr>
              <w:jc w:val="center"/>
              <w:rPr>
                <w:b/>
                <w:color w:val="auto"/>
                <w:sz w:val="24"/>
                <w:highlight w:val="none"/>
              </w:rPr>
            </w:pPr>
            <w:r>
              <w:rPr>
                <w:b/>
                <w:color w:val="auto"/>
                <w:sz w:val="24"/>
                <w:highlight w:val="none"/>
              </w:rPr>
              <w:t>环境标志产品认证证书号</w:t>
            </w:r>
          </w:p>
        </w:tc>
        <w:tc>
          <w:tcPr>
            <w:tcW w:w="1925" w:type="dxa"/>
            <w:vAlign w:val="center"/>
          </w:tcPr>
          <w:p w14:paraId="3BFF84EE">
            <w:pPr>
              <w:jc w:val="center"/>
              <w:rPr>
                <w:b/>
                <w:color w:val="auto"/>
                <w:sz w:val="24"/>
                <w:highlight w:val="none"/>
              </w:rPr>
            </w:pPr>
            <w:r>
              <w:rPr>
                <w:b/>
                <w:color w:val="auto"/>
                <w:sz w:val="24"/>
                <w:highlight w:val="none"/>
              </w:rPr>
              <w:t>认证证书有效截止日期</w:t>
            </w:r>
          </w:p>
        </w:tc>
        <w:tc>
          <w:tcPr>
            <w:tcW w:w="1372" w:type="dxa"/>
            <w:vAlign w:val="center"/>
          </w:tcPr>
          <w:p w14:paraId="456610AE">
            <w:pPr>
              <w:jc w:val="center"/>
              <w:rPr>
                <w:b/>
                <w:color w:val="auto"/>
                <w:sz w:val="24"/>
                <w:highlight w:val="none"/>
              </w:rPr>
            </w:pPr>
            <w:r>
              <w:rPr>
                <w:b/>
                <w:color w:val="auto"/>
                <w:sz w:val="24"/>
                <w:highlight w:val="none"/>
              </w:rPr>
              <w:t>认证机构名称</w:t>
            </w:r>
          </w:p>
        </w:tc>
      </w:tr>
      <w:tr w14:paraId="6408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tcPr>
          <w:p w14:paraId="7AE5BA35">
            <w:pPr>
              <w:spacing w:line="360" w:lineRule="auto"/>
              <w:jc w:val="center"/>
              <w:rPr>
                <w:b/>
                <w:color w:val="auto"/>
                <w:sz w:val="24"/>
                <w:highlight w:val="none"/>
              </w:rPr>
            </w:pPr>
          </w:p>
        </w:tc>
        <w:tc>
          <w:tcPr>
            <w:tcW w:w="812" w:type="dxa"/>
          </w:tcPr>
          <w:p w14:paraId="55C57C4A">
            <w:pPr>
              <w:spacing w:line="360" w:lineRule="auto"/>
              <w:jc w:val="center"/>
              <w:rPr>
                <w:b/>
                <w:color w:val="auto"/>
                <w:sz w:val="24"/>
                <w:highlight w:val="none"/>
              </w:rPr>
            </w:pPr>
          </w:p>
        </w:tc>
        <w:tc>
          <w:tcPr>
            <w:tcW w:w="974" w:type="dxa"/>
          </w:tcPr>
          <w:p w14:paraId="3481E0FC">
            <w:pPr>
              <w:spacing w:line="360" w:lineRule="auto"/>
              <w:jc w:val="center"/>
              <w:rPr>
                <w:b/>
                <w:color w:val="auto"/>
                <w:sz w:val="24"/>
                <w:highlight w:val="none"/>
              </w:rPr>
            </w:pPr>
          </w:p>
        </w:tc>
        <w:tc>
          <w:tcPr>
            <w:tcW w:w="974" w:type="dxa"/>
          </w:tcPr>
          <w:p w14:paraId="1E3572A0">
            <w:pPr>
              <w:spacing w:line="360" w:lineRule="auto"/>
              <w:jc w:val="center"/>
              <w:rPr>
                <w:b/>
                <w:color w:val="auto"/>
                <w:sz w:val="24"/>
                <w:highlight w:val="none"/>
              </w:rPr>
            </w:pPr>
          </w:p>
        </w:tc>
        <w:tc>
          <w:tcPr>
            <w:tcW w:w="1885" w:type="dxa"/>
          </w:tcPr>
          <w:p w14:paraId="4B69526A">
            <w:pPr>
              <w:spacing w:line="360" w:lineRule="auto"/>
              <w:jc w:val="center"/>
              <w:rPr>
                <w:b/>
                <w:color w:val="auto"/>
                <w:sz w:val="24"/>
                <w:highlight w:val="none"/>
              </w:rPr>
            </w:pPr>
          </w:p>
        </w:tc>
        <w:tc>
          <w:tcPr>
            <w:tcW w:w="1925" w:type="dxa"/>
          </w:tcPr>
          <w:p w14:paraId="6BD09273">
            <w:pPr>
              <w:spacing w:line="360" w:lineRule="auto"/>
              <w:rPr>
                <w:b/>
                <w:color w:val="auto"/>
                <w:sz w:val="24"/>
                <w:highlight w:val="none"/>
              </w:rPr>
            </w:pPr>
          </w:p>
        </w:tc>
        <w:tc>
          <w:tcPr>
            <w:tcW w:w="1372" w:type="dxa"/>
          </w:tcPr>
          <w:p w14:paraId="3D9B7268">
            <w:pPr>
              <w:spacing w:line="360" w:lineRule="auto"/>
              <w:rPr>
                <w:b/>
                <w:color w:val="auto"/>
                <w:sz w:val="24"/>
                <w:highlight w:val="none"/>
              </w:rPr>
            </w:pPr>
          </w:p>
        </w:tc>
      </w:tr>
      <w:tr w14:paraId="1266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tcPr>
          <w:p w14:paraId="0F1B2BA1">
            <w:pPr>
              <w:spacing w:line="360" w:lineRule="auto"/>
              <w:jc w:val="center"/>
              <w:rPr>
                <w:b/>
                <w:color w:val="auto"/>
                <w:sz w:val="24"/>
                <w:highlight w:val="none"/>
              </w:rPr>
            </w:pPr>
          </w:p>
        </w:tc>
        <w:tc>
          <w:tcPr>
            <w:tcW w:w="812" w:type="dxa"/>
          </w:tcPr>
          <w:p w14:paraId="50FB5531">
            <w:pPr>
              <w:spacing w:line="360" w:lineRule="auto"/>
              <w:jc w:val="center"/>
              <w:rPr>
                <w:b/>
                <w:color w:val="auto"/>
                <w:sz w:val="24"/>
                <w:highlight w:val="none"/>
              </w:rPr>
            </w:pPr>
          </w:p>
        </w:tc>
        <w:tc>
          <w:tcPr>
            <w:tcW w:w="974" w:type="dxa"/>
          </w:tcPr>
          <w:p w14:paraId="602FE410">
            <w:pPr>
              <w:spacing w:line="360" w:lineRule="auto"/>
              <w:jc w:val="center"/>
              <w:rPr>
                <w:b/>
                <w:color w:val="auto"/>
                <w:sz w:val="24"/>
                <w:highlight w:val="none"/>
              </w:rPr>
            </w:pPr>
          </w:p>
        </w:tc>
        <w:tc>
          <w:tcPr>
            <w:tcW w:w="974" w:type="dxa"/>
          </w:tcPr>
          <w:p w14:paraId="037D0C7F">
            <w:pPr>
              <w:spacing w:line="360" w:lineRule="auto"/>
              <w:jc w:val="center"/>
              <w:rPr>
                <w:b/>
                <w:color w:val="auto"/>
                <w:sz w:val="24"/>
                <w:highlight w:val="none"/>
              </w:rPr>
            </w:pPr>
          </w:p>
        </w:tc>
        <w:tc>
          <w:tcPr>
            <w:tcW w:w="1885" w:type="dxa"/>
          </w:tcPr>
          <w:p w14:paraId="22872036">
            <w:pPr>
              <w:spacing w:line="360" w:lineRule="auto"/>
              <w:jc w:val="center"/>
              <w:rPr>
                <w:b/>
                <w:color w:val="auto"/>
                <w:sz w:val="24"/>
                <w:highlight w:val="none"/>
              </w:rPr>
            </w:pPr>
          </w:p>
        </w:tc>
        <w:tc>
          <w:tcPr>
            <w:tcW w:w="1925" w:type="dxa"/>
          </w:tcPr>
          <w:p w14:paraId="1BC0DE9B">
            <w:pPr>
              <w:spacing w:line="360" w:lineRule="auto"/>
              <w:rPr>
                <w:b/>
                <w:color w:val="auto"/>
                <w:sz w:val="24"/>
                <w:highlight w:val="none"/>
              </w:rPr>
            </w:pPr>
          </w:p>
        </w:tc>
        <w:tc>
          <w:tcPr>
            <w:tcW w:w="1372" w:type="dxa"/>
          </w:tcPr>
          <w:p w14:paraId="05BA84D5">
            <w:pPr>
              <w:spacing w:line="360" w:lineRule="auto"/>
              <w:rPr>
                <w:b/>
                <w:color w:val="auto"/>
                <w:sz w:val="24"/>
                <w:highlight w:val="none"/>
              </w:rPr>
            </w:pPr>
          </w:p>
        </w:tc>
      </w:tr>
      <w:tr w14:paraId="2EFB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4" w:type="dxa"/>
          </w:tcPr>
          <w:p w14:paraId="387D9132">
            <w:pPr>
              <w:spacing w:line="360" w:lineRule="auto"/>
              <w:jc w:val="center"/>
              <w:rPr>
                <w:b/>
                <w:color w:val="auto"/>
                <w:sz w:val="24"/>
                <w:highlight w:val="none"/>
              </w:rPr>
            </w:pPr>
          </w:p>
        </w:tc>
        <w:tc>
          <w:tcPr>
            <w:tcW w:w="812" w:type="dxa"/>
          </w:tcPr>
          <w:p w14:paraId="4A7B96FA">
            <w:pPr>
              <w:spacing w:line="360" w:lineRule="auto"/>
              <w:jc w:val="center"/>
              <w:rPr>
                <w:b/>
                <w:color w:val="auto"/>
                <w:sz w:val="24"/>
                <w:highlight w:val="none"/>
              </w:rPr>
            </w:pPr>
          </w:p>
        </w:tc>
        <w:tc>
          <w:tcPr>
            <w:tcW w:w="974" w:type="dxa"/>
          </w:tcPr>
          <w:p w14:paraId="499CB251">
            <w:pPr>
              <w:spacing w:line="360" w:lineRule="auto"/>
              <w:jc w:val="center"/>
              <w:rPr>
                <w:b/>
                <w:color w:val="auto"/>
                <w:sz w:val="24"/>
                <w:highlight w:val="none"/>
              </w:rPr>
            </w:pPr>
          </w:p>
        </w:tc>
        <w:tc>
          <w:tcPr>
            <w:tcW w:w="974" w:type="dxa"/>
          </w:tcPr>
          <w:p w14:paraId="70528F2A">
            <w:pPr>
              <w:spacing w:line="360" w:lineRule="auto"/>
              <w:jc w:val="center"/>
              <w:rPr>
                <w:b/>
                <w:color w:val="auto"/>
                <w:sz w:val="24"/>
                <w:highlight w:val="none"/>
              </w:rPr>
            </w:pPr>
          </w:p>
        </w:tc>
        <w:tc>
          <w:tcPr>
            <w:tcW w:w="1885" w:type="dxa"/>
          </w:tcPr>
          <w:p w14:paraId="3ED922D4">
            <w:pPr>
              <w:spacing w:line="360" w:lineRule="auto"/>
              <w:jc w:val="center"/>
              <w:rPr>
                <w:b/>
                <w:color w:val="auto"/>
                <w:sz w:val="24"/>
                <w:highlight w:val="none"/>
              </w:rPr>
            </w:pPr>
          </w:p>
        </w:tc>
        <w:tc>
          <w:tcPr>
            <w:tcW w:w="1925" w:type="dxa"/>
          </w:tcPr>
          <w:p w14:paraId="01C987CC">
            <w:pPr>
              <w:spacing w:line="360" w:lineRule="auto"/>
              <w:rPr>
                <w:b/>
                <w:color w:val="auto"/>
                <w:sz w:val="24"/>
                <w:highlight w:val="none"/>
              </w:rPr>
            </w:pPr>
          </w:p>
        </w:tc>
        <w:tc>
          <w:tcPr>
            <w:tcW w:w="1372" w:type="dxa"/>
          </w:tcPr>
          <w:p w14:paraId="4356188D">
            <w:pPr>
              <w:spacing w:line="360" w:lineRule="auto"/>
              <w:rPr>
                <w:b/>
                <w:color w:val="auto"/>
                <w:sz w:val="24"/>
                <w:highlight w:val="none"/>
              </w:rPr>
            </w:pPr>
          </w:p>
        </w:tc>
      </w:tr>
    </w:tbl>
    <w:p w14:paraId="013C98CE">
      <w:pPr>
        <w:snapToGrid w:val="0"/>
        <w:spacing w:before="156" w:beforeLines="50" w:line="360" w:lineRule="auto"/>
        <w:ind w:firstLine="480" w:firstLineChars="200"/>
        <w:jc w:val="left"/>
        <w:rPr>
          <w:color w:val="auto"/>
          <w:sz w:val="24"/>
          <w:highlight w:val="none"/>
        </w:rPr>
      </w:pPr>
      <w:r>
        <w:rPr>
          <w:color w:val="auto"/>
          <w:sz w:val="24"/>
          <w:highlight w:val="none"/>
        </w:rPr>
        <w:t>投报环境标志产品政府采购品目清单中的产品，将给予适当加分。</w:t>
      </w:r>
    </w:p>
    <w:p w14:paraId="6BA9C11F">
      <w:pPr>
        <w:snapToGrid w:val="0"/>
        <w:spacing w:line="360" w:lineRule="auto"/>
        <w:jc w:val="left"/>
        <w:rPr>
          <w:color w:val="auto"/>
          <w:kern w:val="0"/>
          <w:sz w:val="24"/>
          <w:highlight w:val="none"/>
        </w:rPr>
      </w:pPr>
    </w:p>
    <w:p w14:paraId="22D8E6C5">
      <w:pPr>
        <w:snapToGrid w:val="0"/>
        <w:spacing w:line="360" w:lineRule="auto"/>
        <w:jc w:val="left"/>
        <w:rPr>
          <w:color w:val="auto"/>
          <w:sz w:val="24"/>
          <w:highlight w:val="none"/>
        </w:rPr>
      </w:pPr>
      <w:r>
        <w:rPr>
          <w:color w:val="auto"/>
          <w:sz w:val="24"/>
          <w:highlight w:val="none"/>
        </w:rPr>
        <w:t>注：</w:t>
      </w:r>
    </w:p>
    <w:p w14:paraId="0A22921A">
      <w:pPr>
        <w:snapToGrid w:val="0"/>
        <w:spacing w:line="360" w:lineRule="auto"/>
        <w:ind w:firstLine="480" w:firstLineChars="200"/>
        <w:jc w:val="left"/>
        <w:rPr>
          <w:color w:val="auto"/>
          <w:sz w:val="24"/>
          <w:highlight w:val="none"/>
        </w:rPr>
      </w:pPr>
      <w:r>
        <w:rPr>
          <w:color w:val="auto"/>
          <w:sz w:val="24"/>
          <w:highlight w:val="none"/>
        </w:rPr>
        <w:t>1．投标货物中如含有非强制节能、环境标志产品的，请如实填写产品明细表；</w:t>
      </w:r>
    </w:p>
    <w:p w14:paraId="2642FABD">
      <w:pPr>
        <w:snapToGrid w:val="0"/>
        <w:spacing w:line="360" w:lineRule="auto"/>
        <w:ind w:firstLine="480" w:firstLineChars="200"/>
        <w:jc w:val="left"/>
        <w:rPr>
          <w:color w:val="auto"/>
          <w:sz w:val="24"/>
          <w:highlight w:val="none"/>
        </w:rPr>
      </w:pPr>
      <w:r>
        <w:rPr>
          <w:color w:val="auto"/>
          <w:sz w:val="24"/>
          <w:highlight w:val="none"/>
        </w:rPr>
        <w:t>2. 提供所投产品获得国家确定的认证机构出具的、处于有效期之内的产品认证证书。</w:t>
      </w:r>
    </w:p>
    <w:p w14:paraId="6B29462B">
      <w:pPr>
        <w:snapToGrid w:val="0"/>
        <w:spacing w:line="360" w:lineRule="auto"/>
        <w:ind w:firstLine="480" w:firstLineChars="200"/>
        <w:jc w:val="left"/>
        <w:rPr>
          <w:color w:val="auto"/>
          <w:sz w:val="24"/>
          <w:highlight w:val="none"/>
        </w:rPr>
      </w:pPr>
      <w:r>
        <w:rPr>
          <w:color w:val="auto"/>
          <w:sz w:val="24"/>
          <w:highlight w:val="none"/>
        </w:rPr>
        <w:t>3．所投报信息安全产品属于《信息安全产品强制性认证目录》中的产品，有效认证证书复印件附后。</w:t>
      </w:r>
    </w:p>
    <w:p w14:paraId="78CA691D">
      <w:pPr>
        <w:spacing w:line="480" w:lineRule="exact"/>
        <w:rPr>
          <w:b/>
          <w:color w:val="auto"/>
          <w:szCs w:val="21"/>
          <w:highlight w:val="none"/>
        </w:rPr>
      </w:pPr>
    </w:p>
    <w:p w14:paraId="572B4240">
      <w:pPr>
        <w:tabs>
          <w:tab w:val="left" w:pos="1680"/>
        </w:tabs>
        <w:snapToGrid w:val="0"/>
        <w:spacing w:line="360" w:lineRule="auto"/>
        <w:rPr>
          <w:bCs/>
          <w:color w:val="auto"/>
          <w:sz w:val="24"/>
          <w:highlight w:val="none"/>
        </w:rPr>
      </w:pPr>
    </w:p>
    <w:p w14:paraId="6C016820">
      <w:pPr>
        <w:tabs>
          <w:tab w:val="left" w:pos="1680"/>
        </w:tabs>
        <w:snapToGrid w:val="0"/>
        <w:spacing w:line="360" w:lineRule="exact"/>
        <w:rPr>
          <w:bCs/>
          <w:color w:val="auto"/>
          <w:sz w:val="24"/>
          <w:highlight w:val="none"/>
        </w:rPr>
      </w:pPr>
    </w:p>
    <w:p w14:paraId="68708A9F">
      <w:pPr>
        <w:tabs>
          <w:tab w:val="left" w:pos="1680"/>
        </w:tabs>
        <w:snapToGrid w:val="0"/>
        <w:spacing w:line="360" w:lineRule="exact"/>
        <w:rPr>
          <w:bCs/>
          <w:color w:val="auto"/>
          <w:sz w:val="24"/>
          <w:highlight w:val="none"/>
        </w:rPr>
      </w:pPr>
    </w:p>
    <w:p w14:paraId="2E9E1E7C">
      <w:pPr>
        <w:pStyle w:val="6"/>
        <w:ind w:left="0" w:leftChars="0"/>
        <w:rPr>
          <w:rFonts w:ascii="Times New Roman"/>
          <w:color w:val="auto"/>
          <w:highlight w:val="none"/>
        </w:rPr>
      </w:pPr>
    </w:p>
    <w:p w14:paraId="71D56EB8">
      <w:pPr>
        <w:pStyle w:val="10"/>
        <w:rPr>
          <w:bCs/>
          <w:color w:val="auto"/>
          <w:sz w:val="24"/>
          <w:highlight w:val="none"/>
        </w:rPr>
      </w:pPr>
    </w:p>
    <w:p w14:paraId="5AE8C2D9">
      <w:pPr>
        <w:pStyle w:val="10"/>
        <w:rPr>
          <w:b/>
          <w:color w:val="auto"/>
          <w:sz w:val="24"/>
          <w:highlight w:val="none"/>
        </w:rPr>
      </w:pPr>
      <w:r>
        <w:rPr>
          <w:bCs/>
          <w:color w:val="auto"/>
          <w:sz w:val="24"/>
          <w:highlight w:val="none"/>
        </w:rPr>
        <w:br w:type="page"/>
      </w:r>
      <w:r>
        <w:rPr>
          <w:b/>
          <w:color w:val="auto"/>
          <w:sz w:val="24"/>
          <w:highlight w:val="none"/>
        </w:rPr>
        <w:t>（二）正版软件承诺格式（如不涉及，此函可不提供）</w:t>
      </w:r>
    </w:p>
    <w:p w14:paraId="6703438F">
      <w:pPr>
        <w:spacing w:line="480" w:lineRule="exact"/>
        <w:jc w:val="center"/>
        <w:rPr>
          <w:b/>
          <w:color w:val="auto"/>
          <w:sz w:val="24"/>
          <w:highlight w:val="none"/>
        </w:rPr>
      </w:pPr>
    </w:p>
    <w:p w14:paraId="3B9E61A3">
      <w:pPr>
        <w:spacing w:line="480" w:lineRule="exact"/>
        <w:jc w:val="center"/>
        <w:rPr>
          <w:b/>
          <w:color w:val="auto"/>
          <w:sz w:val="24"/>
          <w:highlight w:val="none"/>
        </w:rPr>
      </w:pPr>
      <w:r>
        <w:rPr>
          <w:b/>
          <w:color w:val="auto"/>
          <w:sz w:val="24"/>
          <w:highlight w:val="none"/>
        </w:rPr>
        <w:t>正版软件承诺</w:t>
      </w:r>
    </w:p>
    <w:p w14:paraId="30BF147A">
      <w:pPr>
        <w:snapToGrid w:val="0"/>
        <w:spacing w:line="360" w:lineRule="auto"/>
        <w:jc w:val="left"/>
        <w:rPr>
          <w:color w:val="auto"/>
          <w:kern w:val="0"/>
          <w:sz w:val="24"/>
          <w:highlight w:val="none"/>
          <w:u w:val="single"/>
        </w:rPr>
      </w:pPr>
    </w:p>
    <w:p w14:paraId="4BF48B47">
      <w:pPr>
        <w:spacing w:line="360" w:lineRule="auto"/>
        <w:rPr>
          <w:color w:val="auto"/>
          <w:sz w:val="24"/>
          <w:highlight w:val="none"/>
          <w:u w:val="single"/>
        </w:rPr>
      </w:pPr>
      <w:r>
        <w:rPr>
          <w:color w:val="auto"/>
          <w:sz w:val="24"/>
          <w:highlight w:val="none"/>
          <w:u w:val="single"/>
        </w:rPr>
        <w:t xml:space="preserve">  </w:t>
      </w:r>
      <w:r>
        <w:rPr>
          <w:color w:val="auto"/>
          <w:kern w:val="0"/>
          <w:sz w:val="24"/>
          <w:highlight w:val="none"/>
          <w:u w:val="single"/>
        </w:rPr>
        <w:t>采购代理机构名称</w:t>
      </w:r>
      <w:r>
        <w:rPr>
          <w:color w:val="auto"/>
          <w:sz w:val="24"/>
          <w:highlight w:val="none"/>
          <w:u w:val="single"/>
        </w:rPr>
        <w:t xml:space="preserve">  ：</w:t>
      </w:r>
    </w:p>
    <w:p w14:paraId="383E2A9E">
      <w:pPr>
        <w:snapToGrid w:val="0"/>
        <w:spacing w:line="360" w:lineRule="auto"/>
        <w:ind w:firstLine="480" w:firstLineChars="200"/>
        <w:rPr>
          <w:color w:val="auto"/>
          <w:sz w:val="24"/>
          <w:highlight w:val="none"/>
        </w:rPr>
      </w:pPr>
      <w:r>
        <w:rPr>
          <w:color w:val="auto"/>
          <w:sz w:val="24"/>
          <w:highlight w:val="none"/>
        </w:rPr>
        <w:t>本供应商现参与</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项目（项目编号：</w:t>
      </w:r>
      <w:r>
        <w:rPr>
          <w:rFonts w:hint="eastAsia"/>
          <w:color w:val="auto"/>
          <w:sz w:val="24"/>
          <w:highlight w:val="none"/>
          <w:u w:val="single"/>
          <w:lang w:val="en-US" w:eastAsia="zh-CN"/>
        </w:rPr>
        <w:t xml:space="preserve">          </w:t>
      </w:r>
      <w:r>
        <w:rPr>
          <w:color w:val="auto"/>
          <w:sz w:val="24"/>
          <w:highlight w:val="none"/>
          <w:u w:val="single"/>
        </w:rPr>
        <w:t xml:space="preserve">    </w:t>
      </w:r>
      <w:r>
        <w:rPr>
          <w:rFonts w:hint="eastAsia"/>
          <w:color w:val="auto"/>
          <w:sz w:val="24"/>
          <w:highlight w:val="none"/>
        </w:rPr>
        <w:t>；</w:t>
      </w:r>
      <w:r>
        <w:rPr>
          <w:color w:val="auto"/>
          <w:sz w:val="24"/>
          <w:highlight w:val="none"/>
        </w:rPr>
        <w:t>）的采购活动，本公司承诺投报的计算机产品预装正版操作系统，投报的硬件产品内的预装软件为正版软件。</w:t>
      </w:r>
    </w:p>
    <w:p w14:paraId="7B1E20F1">
      <w:pPr>
        <w:snapToGrid w:val="0"/>
        <w:spacing w:line="360" w:lineRule="auto"/>
        <w:ind w:firstLine="480" w:firstLineChars="200"/>
        <w:rPr>
          <w:color w:val="auto"/>
          <w:sz w:val="24"/>
          <w:highlight w:val="none"/>
        </w:rPr>
      </w:pPr>
      <w:r>
        <w:rPr>
          <w:color w:val="auto"/>
          <w:sz w:val="24"/>
          <w:highlight w:val="none"/>
        </w:rPr>
        <w:t>如上述声明不真实，愿意按照政府采购有关法律法规的规定接受处罚。</w:t>
      </w:r>
    </w:p>
    <w:p w14:paraId="30F771E1">
      <w:pPr>
        <w:snapToGrid w:val="0"/>
        <w:spacing w:line="360" w:lineRule="auto"/>
        <w:ind w:firstLine="480" w:firstLineChars="200"/>
        <w:rPr>
          <w:color w:val="auto"/>
          <w:sz w:val="24"/>
          <w:highlight w:val="none"/>
        </w:rPr>
      </w:pPr>
      <w:r>
        <w:rPr>
          <w:color w:val="auto"/>
          <w:sz w:val="24"/>
          <w:highlight w:val="none"/>
        </w:rPr>
        <w:t>特此声明</w:t>
      </w:r>
    </w:p>
    <w:p w14:paraId="58E9F5A8">
      <w:pPr>
        <w:snapToGrid w:val="0"/>
        <w:spacing w:line="520" w:lineRule="exact"/>
        <w:rPr>
          <w:color w:val="auto"/>
          <w:sz w:val="24"/>
          <w:highlight w:val="none"/>
        </w:rPr>
      </w:pPr>
    </w:p>
    <w:p w14:paraId="30821365">
      <w:pPr>
        <w:snapToGrid w:val="0"/>
        <w:spacing w:line="480" w:lineRule="exact"/>
        <w:rPr>
          <w:color w:val="auto"/>
          <w:sz w:val="24"/>
          <w:highlight w:val="none"/>
        </w:rPr>
      </w:pPr>
    </w:p>
    <w:p w14:paraId="549E60CA">
      <w:pPr>
        <w:snapToGrid w:val="0"/>
        <w:spacing w:line="480" w:lineRule="exact"/>
        <w:rPr>
          <w:color w:val="auto"/>
          <w:sz w:val="24"/>
          <w:highlight w:val="none"/>
        </w:rPr>
      </w:pPr>
    </w:p>
    <w:p w14:paraId="55E83268">
      <w:pPr>
        <w:snapToGrid w:val="0"/>
        <w:spacing w:line="480" w:lineRule="exact"/>
        <w:rPr>
          <w:color w:val="auto"/>
          <w:sz w:val="24"/>
          <w:highlight w:val="none"/>
        </w:rPr>
      </w:pPr>
    </w:p>
    <w:p w14:paraId="189B84F2">
      <w:pPr>
        <w:adjustRightInd w:val="0"/>
        <w:spacing w:line="48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7339AEF6">
      <w:pPr>
        <w:adjustRightInd w:val="0"/>
        <w:spacing w:line="480" w:lineRule="auto"/>
        <w:ind w:firstLine="3120" w:firstLineChars="1300"/>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20CFF6A">
      <w:pPr>
        <w:snapToGrid w:val="0"/>
        <w:spacing w:line="360" w:lineRule="auto"/>
        <w:jc w:val="left"/>
        <w:rPr>
          <w:b/>
          <w:color w:val="auto"/>
          <w:kern w:val="0"/>
          <w:sz w:val="24"/>
          <w:highlight w:val="none"/>
        </w:rPr>
      </w:pPr>
    </w:p>
    <w:p w14:paraId="34F6A1AE">
      <w:pPr>
        <w:snapToGrid w:val="0"/>
        <w:spacing w:line="360" w:lineRule="auto"/>
        <w:jc w:val="left"/>
        <w:rPr>
          <w:b/>
          <w:color w:val="auto"/>
          <w:kern w:val="0"/>
          <w:sz w:val="24"/>
          <w:highlight w:val="none"/>
        </w:rPr>
      </w:pPr>
    </w:p>
    <w:p w14:paraId="7AD2F379">
      <w:pPr>
        <w:snapToGrid w:val="0"/>
        <w:spacing w:line="360" w:lineRule="auto"/>
        <w:jc w:val="left"/>
        <w:rPr>
          <w:b/>
          <w:color w:val="auto"/>
          <w:kern w:val="0"/>
          <w:sz w:val="24"/>
          <w:highlight w:val="none"/>
        </w:rPr>
      </w:pPr>
      <w:r>
        <w:rPr>
          <w:b/>
          <w:color w:val="auto"/>
          <w:kern w:val="0"/>
          <w:sz w:val="24"/>
          <w:highlight w:val="none"/>
        </w:rPr>
        <w:br w:type="page"/>
      </w:r>
      <w:r>
        <w:rPr>
          <w:b/>
          <w:color w:val="auto"/>
          <w:kern w:val="0"/>
          <w:sz w:val="24"/>
          <w:highlight w:val="none"/>
        </w:rPr>
        <w:t>（三）</w:t>
      </w:r>
      <w:r>
        <w:rPr>
          <w:rFonts w:hint="eastAsia"/>
          <w:b/>
          <w:color w:val="auto"/>
          <w:kern w:val="0"/>
          <w:sz w:val="24"/>
          <w:highlight w:val="none"/>
        </w:rPr>
        <w:t>中小企业声明函</w:t>
      </w:r>
      <w:r>
        <w:rPr>
          <w:b/>
          <w:color w:val="auto"/>
          <w:kern w:val="0"/>
          <w:sz w:val="24"/>
          <w:highlight w:val="none"/>
        </w:rPr>
        <w:t>（如不涉及，此函可不提供）</w:t>
      </w:r>
    </w:p>
    <w:p w14:paraId="5D21F201">
      <w:pPr>
        <w:spacing w:line="360" w:lineRule="auto"/>
        <w:jc w:val="center"/>
        <w:rPr>
          <w:rFonts w:hint="eastAsia" w:ascii="宋体" w:hAnsi="宋体" w:cs="宋体"/>
          <w:color w:val="auto"/>
          <w:spacing w:val="6"/>
          <w:sz w:val="24"/>
          <w:highlight w:val="none"/>
        </w:rPr>
      </w:pPr>
    </w:p>
    <w:p w14:paraId="419D74B2">
      <w:pPr>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中小企业声明函（</w:t>
      </w:r>
      <w:r>
        <w:rPr>
          <w:rFonts w:hint="eastAsia" w:ascii="宋体" w:hAnsi="宋体" w:cs="宋体"/>
          <w:color w:val="auto"/>
          <w:spacing w:val="6"/>
          <w:sz w:val="24"/>
          <w:highlight w:val="none"/>
          <w:lang w:val="en-US" w:eastAsia="zh-CN"/>
        </w:rPr>
        <w:t>服务</w:t>
      </w:r>
      <w:r>
        <w:rPr>
          <w:rFonts w:hint="eastAsia" w:ascii="宋体" w:hAnsi="宋体" w:cs="宋体"/>
          <w:color w:val="auto"/>
          <w:spacing w:val="6"/>
          <w:sz w:val="24"/>
          <w:highlight w:val="none"/>
        </w:rPr>
        <w:t>）</w:t>
      </w:r>
    </w:p>
    <w:p w14:paraId="05397177">
      <w:pPr>
        <w:widowControl/>
        <w:snapToGrid w:val="0"/>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本公司郑重声明，根据《政府采购促进中小企业发展管理办法》（财库﹝2020﹞46 号）的规定，本公司参加</w:t>
      </w:r>
      <w:r>
        <w:rPr>
          <w:rFonts w:hint="eastAsia" w:ascii="宋体" w:hAnsi="宋体" w:cs="宋体"/>
          <w:color w:val="auto"/>
          <w:kern w:val="0"/>
          <w:sz w:val="24"/>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 xml:space="preserve">采购活动，服务全部由符合政策要求的中小企业承接。相关企业的具体情况如下： </w:t>
      </w:r>
    </w:p>
    <w:p w14:paraId="4981624F">
      <w:pPr>
        <w:spacing w:beforeLines="-2147483648" w:afterLines="-2147483648" w:line="480" w:lineRule="auto"/>
        <w:ind w:firstLine="448" w:firstLineChars="200"/>
        <w:rPr>
          <w:rFonts w:hint="eastAsia" w:ascii="宋体" w:hAnsi="宋体" w:eastAsia="宋体" w:cs="宋体"/>
          <w:color w:val="auto"/>
          <w:spacing w:val="-8"/>
          <w:sz w:val="24"/>
          <w:szCs w:val="24"/>
          <w:highlight w:val="none"/>
          <w:shd w:val="clear" w:color="auto" w:fill="FFFFFF"/>
          <w:lang w:bidi="ar-SA"/>
        </w:rPr>
      </w:pPr>
      <w:r>
        <w:rPr>
          <w:rFonts w:hint="eastAsia" w:ascii="宋体" w:hAnsi="宋体" w:eastAsia="宋体" w:cs="宋体"/>
          <w:color w:val="auto"/>
          <w:spacing w:val="-8"/>
          <w:sz w:val="24"/>
          <w:szCs w:val="24"/>
          <w:highlight w:val="none"/>
          <w:shd w:val="clear" w:color="auto" w:fill="FFFFFF"/>
          <w:lang w:bidi="ar-SA"/>
        </w:rPr>
        <w:t xml:space="preserve">1. </w:t>
      </w:r>
      <w:r>
        <w:rPr>
          <w:rFonts w:hint="eastAsia" w:ascii="宋体" w:hAnsi="宋体" w:eastAsia="宋体" w:cs="宋体"/>
          <w:color w:val="auto"/>
          <w:spacing w:val="-8"/>
          <w:sz w:val="24"/>
          <w:szCs w:val="24"/>
          <w:highlight w:val="none"/>
          <w:u w:val="single"/>
          <w:shd w:val="clear" w:color="auto" w:fill="FFFFFF"/>
          <w:lang w:bidi="ar-SA"/>
        </w:rPr>
        <w:t>（标的名称）</w:t>
      </w:r>
      <w:r>
        <w:rPr>
          <w:rFonts w:hint="eastAsia" w:ascii="宋体" w:hAnsi="宋体" w:eastAsia="宋体" w:cs="宋体"/>
          <w:color w:val="auto"/>
          <w:spacing w:val="-8"/>
          <w:sz w:val="24"/>
          <w:szCs w:val="24"/>
          <w:highlight w:val="none"/>
          <w:shd w:val="clear" w:color="auto" w:fill="FFFFFF"/>
          <w:lang w:bidi="ar-SA"/>
        </w:rPr>
        <w:t xml:space="preserve"> ，属 于</w:t>
      </w:r>
      <w:r>
        <w:rPr>
          <w:rFonts w:hint="eastAsia" w:ascii="宋体" w:hAnsi="宋体" w:eastAsia="宋体" w:cs="宋体"/>
          <w:color w:val="auto"/>
          <w:spacing w:val="-8"/>
          <w:sz w:val="24"/>
          <w:szCs w:val="24"/>
          <w:highlight w:val="none"/>
          <w:shd w:val="clear" w:color="auto" w:fill="FFFFFF"/>
          <w:lang w:val="en-US" w:eastAsia="zh-CN" w:bidi="ar-SA"/>
        </w:rPr>
        <w:t xml:space="preserve">  </w:t>
      </w:r>
      <w:r>
        <w:rPr>
          <w:rFonts w:hint="eastAsia" w:ascii="宋体" w:hAnsi="宋体" w:eastAsia="宋体" w:cs="宋体"/>
          <w:color w:val="auto"/>
          <w:spacing w:val="-8"/>
          <w:sz w:val="24"/>
          <w:szCs w:val="24"/>
          <w:highlight w:val="none"/>
          <w:u w:val="single"/>
          <w:shd w:val="clear" w:color="auto" w:fill="FFFFFF"/>
          <w:lang w:bidi="ar-SA"/>
        </w:rPr>
        <w:t>（采购文件中明确的所属行业）</w:t>
      </w:r>
      <w:r>
        <w:rPr>
          <w:rFonts w:hint="eastAsia" w:ascii="宋体" w:hAnsi="宋体" w:eastAsia="宋体" w:cs="宋体"/>
          <w:color w:val="auto"/>
          <w:spacing w:val="-8"/>
          <w:sz w:val="24"/>
          <w:szCs w:val="24"/>
          <w:highlight w:val="none"/>
          <w:shd w:val="clear" w:color="auto" w:fill="FFFFFF"/>
          <w:lang w:bidi="ar-SA"/>
        </w:rPr>
        <w:t>；承接企业为</w:t>
      </w:r>
      <w:r>
        <w:rPr>
          <w:rFonts w:hint="eastAsia" w:ascii="宋体" w:hAnsi="宋体" w:eastAsia="宋体" w:cs="宋体"/>
          <w:color w:val="auto"/>
          <w:spacing w:val="-8"/>
          <w:sz w:val="24"/>
          <w:szCs w:val="24"/>
          <w:highlight w:val="none"/>
          <w:u w:val="single"/>
          <w:shd w:val="clear" w:color="auto" w:fill="FFFFFF"/>
          <w:lang w:bidi="ar-SA"/>
        </w:rPr>
        <w:t>（企业名称）</w:t>
      </w:r>
      <w:r>
        <w:rPr>
          <w:rFonts w:hint="eastAsia" w:ascii="宋体" w:hAnsi="宋体" w:eastAsia="宋体" w:cs="宋体"/>
          <w:color w:val="auto"/>
          <w:spacing w:val="-8"/>
          <w:sz w:val="24"/>
          <w:szCs w:val="24"/>
          <w:highlight w:val="none"/>
          <w:shd w:val="clear" w:color="auto" w:fill="FFFFFF"/>
          <w:lang w:bidi="ar-SA"/>
        </w:rPr>
        <w:t>，从业人员</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人，营业收入为</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万元，资产总额为</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万元 ，属于</w:t>
      </w:r>
      <w:r>
        <w:rPr>
          <w:rFonts w:hint="eastAsia" w:ascii="宋体" w:hAnsi="宋体" w:eastAsia="宋体" w:cs="宋体"/>
          <w:color w:val="auto"/>
          <w:spacing w:val="-8"/>
          <w:sz w:val="24"/>
          <w:szCs w:val="24"/>
          <w:highlight w:val="none"/>
          <w:u w:val="single"/>
          <w:shd w:val="clear" w:color="auto" w:fill="FFFFFF"/>
          <w:lang w:bidi="ar-SA"/>
        </w:rPr>
        <w:t>（中型企业、小型企业、微型企业</w:t>
      </w:r>
      <w:r>
        <w:rPr>
          <w:rFonts w:hint="eastAsia" w:ascii="宋体" w:hAnsi="宋体" w:eastAsia="宋体" w:cs="宋体"/>
          <w:color w:val="auto"/>
          <w:spacing w:val="-8"/>
          <w:sz w:val="24"/>
          <w:szCs w:val="24"/>
          <w:highlight w:val="none"/>
          <w:shd w:val="clear" w:color="auto" w:fill="FFFFFF"/>
          <w:lang w:bidi="ar-SA"/>
        </w:rPr>
        <w:t>）；</w:t>
      </w:r>
    </w:p>
    <w:p w14:paraId="05849658">
      <w:pPr>
        <w:spacing w:beforeLines="-2147483648" w:afterLines="-2147483648" w:line="480" w:lineRule="auto"/>
        <w:ind w:firstLine="448" w:firstLineChars="200"/>
        <w:rPr>
          <w:rFonts w:hint="eastAsia" w:ascii="宋体" w:hAnsi="宋体" w:eastAsia="宋体" w:cs="宋体"/>
          <w:color w:val="auto"/>
          <w:kern w:val="0"/>
          <w:sz w:val="24"/>
          <w:highlight w:val="none"/>
        </w:rPr>
      </w:pPr>
      <w:r>
        <w:rPr>
          <w:rFonts w:hint="eastAsia" w:ascii="宋体" w:hAnsi="宋体" w:eastAsia="宋体" w:cs="宋体"/>
          <w:color w:val="auto"/>
          <w:spacing w:val="-8"/>
          <w:sz w:val="24"/>
          <w:szCs w:val="24"/>
          <w:highlight w:val="none"/>
          <w:shd w:val="clear" w:color="auto" w:fill="FFFFFF"/>
          <w:lang w:bidi="ar-SA"/>
        </w:rPr>
        <w:t xml:space="preserve">2. </w:t>
      </w:r>
      <w:r>
        <w:rPr>
          <w:rFonts w:hint="eastAsia" w:ascii="宋体" w:hAnsi="宋体" w:eastAsia="宋体" w:cs="宋体"/>
          <w:color w:val="auto"/>
          <w:spacing w:val="-8"/>
          <w:sz w:val="24"/>
          <w:szCs w:val="24"/>
          <w:highlight w:val="none"/>
          <w:u w:val="single"/>
          <w:shd w:val="clear" w:color="auto" w:fill="FFFFFF"/>
          <w:lang w:bidi="ar-SA"/>
        </w:rPr>
        <w:t>（标的名称）</w:t>
      </w:r>
      <w:r>
        <w:rPr>
          <w:rFonts w:hint="eastAsia" w:ascii="宋体" w:hAnsi="宋体" w:eastAsia="宋体" w:cs="宋体"/>
          <w:color w:val="auto"/>
          <w:spacing w:val="-8"/>
          <w:sz w:val="24"/>
          <w:szCs w:val="24"/>
          <w:highlight w:val="none"/>
          <w:shd w:val="clear" w:color="auto" w:fill="FFFFFF"/>
          <w:lang w:bidi="ar-SA"/>
        </w:rPr>
        <w:t xml:space="preserve"> ，属于（</w:t>
      </w:r>
      <w:r>
        <w:rPr>
          <w:rFonts w:hint="eastAsia" w:ascii="宋体" w:hAnsi="宋体" w:eastAsia="宋体" w:cs="宋体"/>
          <w:color w:val="auto"/>
          <w:spacing w:val="-8"/>
          <w:sz w:val="24"/>
          <w:szCs w:val="24"/>
          <w:highlight w:val="none"/>
          <w:u w:val="single"/>
          <w:shd w:val="clear" w:color="auto" w:fill="FFFFFF"/>
          <w:lang w:bidi="ar-SA"/>
        </w:rPr>
        <w:t>采购文件中明确的所属行业</w:t>
      </w:r>
      <w:r>
        <w:rPr>
          <w:rFonts w:hint="eastAsia" w:ascii="宋体" w:hAnsi="宋体" w:eastAsia="宋体" w:cs="宋体"/>
          <w:color w:val="auto"/>
          <w:spacing w:val="-8"/>
          <w:sz w:val="24"/>
          <w:szCs w:val="24"/>
          <w:highlight w:val="none"/>
          <w:shd w:val="clear" w:color="auto" w:fill="FFFFFF"/>
          <w:lang w:bidi="ar-SA"/>
        </w:rPr>
        <w:t>）；承建（承接）企业为</w:t>
      </w:r>
      <w:r>
        <w:rPr>
          <w:rFonts w:hint="eastAsia" w:ascii="宋体" w:hAnsi="宋体" w:eastAsia="宋体" w:cs="宋体"/>
          <w:color w:val="auto"/>
          <w:spacing w:val="-8"/>
          <w:sz w:val="24"/>
          <w:szCs w:val="24"/>
          <w:highlight w:val="none"/>
          <w:u w:val="single"/>
          <w:shd w:val="clear" w:color="auto" w:fill="FFFFFF"/>
          <w:lang w:bidi="ar-SA"/>
        </w:rPr>
        <w:t>（企业名称）</w:t>
      </w:r>
      <w:r>
        <w:rPr>
          <w:rFonts w:hint="eastAsia" w:ascii="宋体" w:hAnsi="宋体" w:eastAsia="宋体" w:cs="宋体"/>
          <w:color w:val="auto"/>
          <w:spacing w:val="-8"/>
          <w:sz w:val="24"/>
          <w:szCs w:val="24"/>
          <w:highlight w:val="none"/>
          <w:shd w:val="clear" w:color="auto" w:fill="FFFFFF"/>
          <w:lang w:bidi="ar-SA"/>
        </w:rPr>
        <w:t>，从业人员</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人，营业收入为</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万元，资产总额为</w:t>
      </w:r>
      <w:r>
        <w:rPr>
          <w:rFonts w:hint="eastAsia" w:ascii="宋体" w:hAnsi="宋体" w:eastAsia="宋体" w:cs="宋体"/>
          <w:color w:val="auto"/>
          <w:spacing w:val="-8"/>
          <w:sz w:val="24"/>
          <w:szCs w:val="24"/>
          <w:highlight w:val="none"/>
          <w:u w:val="single"/>
          <w:shd w:val="clear" w:color="auto" w:fill="FFFFFF"/>
          <w:lang w:bidi="ar-SA"/>
        </w:rPr>
        <w:t xml:space="preserve">      </w:t>
      </w:r>
      <w:r>
        <w:rPr>
          <w:rFonts w:hint="eastAsia" w:ascii="宋体" w:hAnsi="宋体" w:eastAsia="宋体" w:cs="宋体"/>
          <w:color w:val="auto"/>
          <w:spacing w:val="-8"/>
          <w:sz w:val="24"/>
          <w:szCs w:val="24"/>
          <w:highlight w:val="none"/>
          <w:shd w:val="clear" w:color="auto" w:fill="FFFFFF"/>
          <w:lang w:bidi="ar-SA"/>
        </w:rPr>
        <w:t>万元，属于（</w:t>
      </w:r>
      <w:r>
        <w:rPr>
          <w:rFonts w:hint="eastAsia" w:ascii="宋体" w:hAnsi="宋体" w:eastAsia="宋体" w:cs="宋体"/>
          <w:color w:val="auto"/>
          <w:spacing w:val="-8"/>
          <w:sz w:val="24"/>
          <w:szCs w:val="24"/>
          <w:highlight w:val="none"/>
          <w:u w:val="single"/>
          <w:shd w:val="clear" w:color="auto" w:fill="FFFFFF"/>
          <w:lang w:bidi="ar-SA"/>
        </w:rPr>
        <w:t>中型企业、小型企业、微型企业</w:t>
      </w:r>
      <w:r>
        <w:rPr>
          <w:rFonts w:hint="eastAsia" w:ascii="宋体" w:hAnsi="宋体" w:eastAsia="宋体" w:cs="宋体"/>
          <w:color w:val="auto"/>
          <w:spacing w:val="-8"/>
          <w:sz w:val="24"/>
          <w:szCs w:val="24"/>
          <w:highlight w:val="none"/>
          <w:shd w:val="clear" w:color="auto" w:fill="FFFFFF"/>
          <w:lang w:bidi="ar-SA"/>
        </w:rPr>
        <w:t>）；</w:t>
      </w:r>
    </w:p>
    <w:p w14:paraId="32C1A5C7">
      <w:pPr>
        <w:widowControl/>
        <w:snapToGrid w:val="0"/>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41FEB328">
      <w:pPr>
        <w:widowControl/>
        <w:snapToGrid w:val="0"/>
        <w:spacing w:line="5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本企业对上述声明内容的真实性负责。如有虚假，将依法承担相应责任。 </w:t>
      </w:r>
    </w:p>
    <w:p w14:paraId="1D3A1954">
      <w:pPr>
        <w:widowControl/>
        <w:snapToGrid w:val="0"/>
        <w:spacing w:line="560" w:lineRule="exact"/>
        <w:ind w:firstLine="480" w:firstLineChars="200"/>
        <w:jc w:val="left"/>
        <w:rPr>
          <w:rFonts w:hint="eastAsia" w:ascii="宋体" w:hAnsi="宋体" w:cs="宋体"/>
          <w:color w:val="auto"/>
          <w:kern w:val="0"/>
          <w:sz w:val="24"/>
          <w:highlight w:val="none"/>
        </w:rPr>
      </w:pPr>
    </w:p>
    <w:p w14:paraId="6B3B7A2C">
      <w:pPr>
        <w:widowControl/>
        <w:snapToGrid w:val="0"/>
        <w:spacing w:line="560" w:lineRule="exact"/>
        <w:ind w:firstLine="480" w:firstLineChars="200"/>
        <w:jc w:val="left"/>
        <w:rPr>
          <w:rFonts w:hint="eastAsia" w:ascii="宋体" w:hAnsi="宋体" w:cs="宋体"/>
          <w:color w:val="auto"/>
          <w:kern w:val="0"/>
          <w:sz w:val="24"/>
          <w:highlight w:val="none"/>
        </w:rPr>
      </w:pPr>
    </w:p>
    <w:p w14:paraId="325C8203">
      <w:pPr>
        <w:widowControl/>
        <w:snapToGrid w:val="0"/>
        <w:spacing w:line="560" w:lineRule="exact"/>
        <w:ind w:firstLine="480" w:firstLineChars="200"/>
        <w:jc w:val="left"/>
        <w:rPr>
          <w:rFonts w:hint="eastAsia" w:ascii="宋体" w:hAnsi="宋体" w:cs="宋体"/>
          <w:color w:val="auto"/>
          <w:kern w:val="0"/>
          <w:sz w:val="24"/>
          <w:highlight w:val="none"/>
        </w:rPr>
      </w:pPr>
    </w:p>
    <w:p w14:paraId="390DCEAA">
      <w:pPr>
        <w:adjustRightInd w:val="0"/>
        <w:spacing w:line="48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0420155B">
      <w:pPr>
        <w:adjustRightInd w:val="0"/>
        <w:spacing w:line="480" w:lineRule="auto"/>
        <w:ind w:firstLine="3120" w:firstLineChars="1300"/>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F77D7E5">
      <w:pPr>
        <w:widowControl/>
        <w:snapToGrid w:val="0"/>
        <w:spacing w:line="360" w:lineRule="auto"/>
        <w:jc w:val="left"/>
        <w:rPr>
          <w:rFonts w:ascii="宋体" w:hAnsi="宋体" w:cs="宋体"/>
          <w:b/>
          <w:color w:val="auto"/>
          <w:sz w:val="24"/>
          <w:highlight w:val="none"/>
        </w:rPr>
      </w:pPr>
    </w:p>
    <w:p w14:paraId="06C2F2D3">
      <w:pPr>
        <w:widowControl/>
        <w:snapToGrid w:val="0"/>
        <w:spacing w:line="360" w:lineRule="auto"/>
        <w:jc w:val="left"/>
        <w:rPr>
          <w:rFonts w:ascii="宋体" w:hAnsi="宋体" w:cs="宋体"/>
          <w:b/>
          <w:color w:val="auto"/>
          <w:sz w:val="24"/>
          <w:highlight w:val="none"/>
        </w:rPr>
      </w:pPr>
    </w:p>
    <w:p w14:paraId="33F4ECA0">
      <w:pPr>
        <w:widowControl/>
        <w:snapToGrid w:val="0"/>
        <w:spacing w:line="360" w:lineRule="auto"/>
        <w:jc w:val="left"/>
        <w:rPr>
          <w:rFonts w:ascii="宋体" w:hAnsi="宋体" w:cs="宋体"/>
          <w:b/>
          <w:color w:val="auto"/>
          <w:sz w:val="24"/>
          <w:highlight w:val="none"/>
        </w:rPr>
      </w:pPr>
    </w:p>
    <w:p w14:paraId="45C33A3C">
      <w:pPr>
        <w:widowControl/>
        <w:snapToGrid w:val="0"/>
        <w:spacing w:line="360" w:lineRule="auto"/>
        <w:jc w:val="left"/>
        <w:rPr>
          <w:rFonts w:ascii="宋体" w:hAnsi="宋体" w:cs="宋体"/>
          <w:b/>
          <w:color w:val="auto"/>
          <w:sz w:val="24"/>
          <w:highlight w:val="none"/>
        </w:rPr>
      </w:pPr>
    </w:p>
    <w:p w14:paraId="1A63BFA4">
      <w:pPr>
        <w:widowControl/>
        <w:snapToGrid w:val="0"/>
        <w:spacing w:line="360" w:lineRule="auto"/>
        <w:jc w:val="left"/>
        <w:rPr>
          <w:rFonts w:ascii="宋体" w:hAnsi="宋体" w:cs="宋体"/>
          <w:b/>
          <w:color w:val="auto"/>
          <w:sz w:val="24"/>
          <w:highlight w:val="none"/>
        </w:rPr>
      </w:pPr>
    </w:p>
    <w:p w14:paraId="766E173B">
      <w:pPr>
        <w:spacing w:line="588" w:lineRule="exact"/>
        <w:jc w:val="center"/>
        <w:outlineLvl w:val="0"/>
        <w:rPr>
          <w:rFonts w:ascii="宋体" w:hAnsi="宋体" w:cs="宋体"/>
          <w:b/>
          <w:color w:val="auto"/>
          <w:kern w:val="0"/>
          <w:sz w:val="24"/>
          <w:highlight w:val="none"/>
        </w:rPr>
      </w:pPr>
      <w:bookmarkStart w:id="109" w:name="_Toc5389"/>
      <w:r>
        <w:rPr>
          <w:rFonts w:hint="eastAsia" w:ascii="宋体" w:hAnsi="宋体" w:cs="宋体"/>
          <w:b/>
          <w:color w:val="auto"/>
          <w:kern w:val="0"/>
          <w:sz w:val="24"/>
          <w:highlight w:val="none"/>
        </w:rPr>
        <w:t>残疾人福利性单位声明函（格式）</w:t>
      </w:r>
      <w:bookmarkEnd w:id="109"/>
    </w:p>
    <w:p w14:paraId="509D89B3">
      <w:pPr>
        <w:tabs>
          <w:tab w:val="left" w:pos="1680"/>
        </w:tabs>
        <w:snapToGrid w:val="0"/>
        <w:spacing w:line="480" w:lineRule="exact"/>
        <w:jc w:val="center"/>
        <w:rPr>
          <w:rFonts w:ascii="宋体" w:hAnsi="宋体" w:cs="宋体"/>
          <w:b/>
          <w:color w:val="auto"/>
          <w:sz w:val="24"/>
          <w:highlight w:val="none"/>
        </w:rPr>
      </w:pPr>
    </w:p>
    <w:p w14:paraId="346B92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247A4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8756587">
      <w:pPr>
        <w:spacing w:line="588" w:lineRule="exact"/>
        <w:ind w:firstLine="480" w:firstLineChars="200"/>
        <w:rPr>
          <w:rFonts w:ascii="宋体" w:hAnsi="宋体" w:cs="宋体"/>
          <w:color w:val="auto"/>
          <w:sz w:val="24"/>
          <w:highlight w:val="none"/>
        </w:rPr>
      </w:pPr>
    </w:p>
    <w:p w14:paraId="30E032C5">
      <w:pPr>
        <w:spacing w:line="588" w:lineRule="exact"/>
        <w:ind w:firstLine="480" w:firstLineChars="200"/>
        <w:rPr>
          <w:rFonts w:ascii="宋体" w:hAnsi="宋体" w:cs="宋体"/>
          <w:color w:val="auto"/>
          <w:sz w:val="24"/>
          <w:highlight w:val="none"/>
        </w:rPr>
      </w:pPr>
    </w:p>
    <w:p w14:paraId="577DEB14">
      <w:pPr>
        <w:adjustRightInd w:val="0"/>
        <w:spacing w:line="48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1900E9BF">
      <w:pPr>
        <w:adjustRightInd w:val="0"/>
        <w:spacing w:line="480" w:lineRule="auto"/>
        <w:ind w:firstLine="3120" w:firstLineChars="1300"/>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3811077">
      <w:pPr>
        <w:spacing w:line="480" w:lineRule="exact"/>
        <w:rPr>
          <w:rFonts w:ascii="宋体" w:hAnsi="宋体" w:cs="宋体"/>
          <w:b/>
          <w:color w:val="auto"/>
          <w:sz w:val="24"/>
          <w:highlight w:val="none"/>
        </w:rPr>
      </w:pPr>
    </w:p>
    <w:p w14:paraId="709A02A2">
      <w:pPr>
        <w:spacing w:line="480" w:lineRule="exact"/>
        <w:rPr>
          <w:rFonts w:ascii="宋体" w:hAnsi="宋体" w:cs="宋体"/>
          <w:b/>
          <w:color w:val="auto"/>
          <w:sz w:val="24"/>
          <w:highlight w:val="none"/>
        </w:rPr>
      </w:pPr>
    </w:p>
    <w:p w14:paraId="67D52493">
      <w:pPr>
        <w:widowControl/>
        <w:snapToGrid w:val="0"/>
        <w:spacing w:line="300" w:lineRule="auto"/>
        <w:ind w:right="640"/>
        <w:jc w:val="left"/>
        <w:rPr>
          <w:color w:val="auto"/>
          <w:highlight w:val="none"/>
        </w:rPr>
      </w:pPr>
      <w:r>
        <w:rPr>
          <w:rFonts w:hint="eastAsia" w:ascii="宋体" w:hAnsi="宋体" w:cs="宋体"/>
          <w:b/>
          <w:color w:val="auto"/>
          <w:sz w:val="24"/>
          <w:highlight w:val="none"/>
        </w:rPr>
        <w:t>注：中标供应商为残疾人福利性单位的，代理机构随中标结果同时公告其《残疾人福利性单位声明函》</w:t>
      </w:r>
      <w:bookmarkEnd w:id="108"/>
    </w:p>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综艺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7F20">
    <w:pPr>
      <w:pStyle w:val="15"/>
      <w:tabs>
        <w:tab w:val="left" w:pos="3495"/>
        <w:tab w:val="center" w:pos="4320"/>
      </w:tabs>
      <w:jc w:val="center"/>
      <w:rPr>
        <w:rFonts w:ascii="仿宋_GB2312" w:eastAsia="仿宋_GB2312"/>
      </w:rPr>
    </w:pPr>
    <w:r>
      <w:rPr>
        <w:rFonts w:hint="eastAsia" w:ascii="仿宋_GB2312" w:eastAsia="仿宋_GB2312"/>
      </w:rPr>
      <w:t xml:space="preserve">  </w:t>
    </w:r>
    <w:r>
      <w:rPr>
        <w:rFonts w:hint="eastAsia" w:ascii="仿宋_GB2312" w:eastAsia="仿宋_GB2312"/>
      </w:rPr>
      <w:tab/>
    </w:r>
  </w:p>
  <w:p w14:paraId="7F0CE2E5">
    <w:pPr>
      <w:pStyle w:val="15"/>
      <w:jc w:val="both"/>
      <w:rPr>
        <w:rFonts w:ascii="楷体" w:hAnsi="楷体" w:eastAsia="楷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D80E">
    <w:pPr>
      <w:pStyle w:val="15"/>
      <w:widowControl w:val="0"/>
      <w:pBdr>
        <w:top w:val="double" w:color="000000" w:sz="4" w:space="0"/>
        <w:left w:val="none" w:color="auto" w:sz="0" w:space="4"/>
        <w:bottom w:val="none" w:color="auto" w:sz="0" w:space="1"/>
        <w:right w:val="none" w:color="auto" w:sz="0" w:space="4"/>
        <w:between w:val="none" w:color="auto" w:sz="0" w:space="0"/>
      </w:pBdr>
      <w:snapToGrid w:val="0"/>
      <w:jc w:val="right"/>
    </w:pPr>
    <w:r>
      <w:rPr>
        <w:rFonts w:hint="eastAsia"/>
        <w:b/>
        <w:bCs/>
      </w:rPr>
      <w:t>山西中恒致泰工程项目管理有限公司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DF47">
    <w:pPr>
      <w:pStyle w:val="15"/>
      <w:widowControl w:val="0"/>
      <w:pBdr>
        <w:top w:val="double" w:color="000000" w:sz="4" w:space="0"/>
        <w:left w:val="none" w:color="auto" w:sz="0" w:space="4"/>
        <w:bottom w:val="none" w:color="auto" w:sz="0" w:space="1"/>
        <w:right w:val="none" w:color="auto" w:sz="0" w:space="4"/>
        <w:between w:val="none" w:color="auto" w:sz="0" w:space="0"/>
      </w:pBdr>
      <w:snapToGrid w:val="0"/>
      <w:jc w:val="right"/>
      <w:rPr>
        <w:b/>
        <w:bC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9FBE4">
                          <w:pPr>
                            <w:pStyle w:val="1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A9FBE4">
                    <w:pPr>
                      <w:pStyle w:val="1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rPr>
        <w:rFonts w:hint="eastAsia"/>
        <w:b/>
        <w:bCs/>
      </w:rPr>
      <w:t>山西中恒致泰工程项目管理有限公司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E2DC">
    <w:pPr>
      <w:pStyle w:val="17"/>
      <w:pBdr>
        <w:bottom w:val="thinThickMediumGap" w:color="auto" w:sz="18" w:space="1"/>
      </w:pBdr>
      <w:jc w:val="right"/>
    </w:pPr>
    <w:r>
      <w:rPr>
        <w:rFonts w:hint="eastAsia"/>
      </w:rPr>
      <w:drawing>
        <wp:inline distT="0" distB="0" distL="114300" distR="114300">
          <wp:extent cx="573405" cy="309880"/>
          <wp:effectExtent l="0" t="0" r="17145" b="13970"/>
          <wp:docPr id="2" name="图片 1"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sz w:val="18"/>
        <w:szCs w:val="18"/>
      </w:rPr>
      <w:t xml:space="preserve"> </w:t>
    </w:r>
    <w:r>
      <w:rPr>
        <w:rFonts w:hint="eastAsia"/>
        <w:sz w:val="18"/>
        <w:szCs w:val="18"/>
        <w:lang w:val="en-US" w:eastAsia="zh-CN"/>
      </w:rPr>
      <w:t xml:space="preserve">                                                     </w:t>
    </w:r>
    <w:r>
      <w:rPr>
        <w:rFonts w:hint="eastAsia"/>
        <w:b/>
        <w:bCs/>
        <w:sz w:val="18"/>
        <w:szCs w:val="18"/>
        <w:lang w:val="en-US" w:eastAsia="zh-CN"/>
      </w:rPr>
      <w:t>孝义市市场监督管理局2026年电梯监督抽检项目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A7411"/>
    <w:multiLevelType w:val="singleLevel"/>
    <w:tmpl w:val="A2BA7411"/>
    <w:lvl w:ilvl="0" w:tentative="0">
      <w:start w:val="1"/>
      <w:numFmt w:val="upperLetter"/>
      <w:suff w:val="nothing"/>
      <w:lvlText w:val="%1、"/>
      <w:lvlJc w:val="left"/>
    </w:lvl>
  </w:abstractNum>
  <w:abstractNum w:abstractNumId="1">
    <w:nsid w:val="E77EE5E3"/>
    <w:multiLevelType w:val="singleLevel"/>
    <w:tmpl w:val="E77EE5E3"/>
    <w:lvl w:ilvl="0" w:tentative="0">
      <w:start w:val="1"/>
      <w:numFmt w:val="chineseCounting"/>
      <w:suff w:val="nothing"/>
      <w:lvlText w:val="%1、"/>
      <w:lvlJc w:val="left"/>
      <w:rPr>
        <w:rFonts w:hint="eastAsia"/>
      </w:rPr>
    </w:lvl>
  </w:abstractNum>
  <w:abstractNum w:abstractNumId="2">
    <w:nsid w:val="0BE58F8F"/>
    <w:multiLevelType w:val="singleLevel"/>
    <w:tmpl w:val="0BE58F8F"/>
    <w:lvl w:ilvl="0" w:tentative="0">
      <w:start w:val="2"/>
      <w:numFmt w:val="chineseCounting"/>
      <w:suff w:val="nothing"/>
      <w:lvlText w:val="（%1）"/>
      <w:lvlJc w:val="left"/>
      <w:rPr>
        <w:rFonts w:hint="eastAsia"/>
      </w:rPr>
    </w:lvl>
  </w:abstractNum>
  <w:abstractNum w:abstractNumId="3">
    <w:nsid w:val="2F18775D"/>
    <w:multiLevelType w:val="multilevel"/>
    <w:tmpl w:val="2F18775D"/>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lYTRhODZhMmZkODM2NGU0NGQ4M2FjNjgwOTIwZWYifQ=="/>
  </w:docVars>
  <w:rsids>
    <w:rsidRoot w:val="00172A27"/>
    <w:rsid w:val="000B2F00"/>
    <w:rsid w:val="00135A4D"/>
    <w:rsid w:val="00172A27"/>
    <w:rsid w:val="00185EEE"/>
    <w:rsid w:val="0044356F"/>
    <w:rsid w:val="004F6299"/>
    <w:rsid w:val="0051766D"/>
    <w:rsid w:val="005949EA"/>
    <w:rsid w:val="006A384F"/>
    <w:rsid w:val="00832ABF"/>
    <w:rsid w:val="00964248"/>
    <w:rsid w:val="00C30713"/>
    <w:rsid w:val="00E863BC"/>
    <w:rsid w:val="00F702E3"/>
    <w:rsid w:val="01FE5971"/>
    <w:rsid w:val="021D11F7"/>
    <w:rsid w:val="02297B06"/>
    <w:rsid w:val="02365587"/>
    <w:rsid w:val="026E6F9B"/>
    <w:rsid w:val="02A635BA"/>
    <w:rsid w:val="02BD4DA1"/>
    <w:rsid w:val="03243FB0"/>
    <w:rsid w:val="03AA27F3"/>
    <w:rsid w:val="04296D5B"/>
    <w:rsid w:val="04401CB8"/>
    <w:rsid w:val="04805FB8"/>
    <w:rsid w:val="04827DAC"/>
    <w:rsid w:val="058867F1"/>
    <w:rsid w:val="058C07C8"/>
    <w:rsid w:val="06D66EBD"/>
    <w:rsid w:val="0706070B"/>
    <w:rsid w:val="07106873"/>
    <w:rsid w:val="07AF1680"/>
    <w:rsid w:val="07B059BA"/>
    <w:rsid w:val="07C364BD"/>
    <w:rsid w:val="07F27166"/>
    <w:rsid w:val="07F95B5C"/>
    <w:rsid w:val="09BB3687"/>
    <w:rsid w:val="09D9414A"/>
    <w:rsid w:val="09EC200B"/>
    <w:rsid w:val="0A1C596F"/>
    <w:rsid w:val="0A1E4E03"/>
    <w:rsid w:val="0AFC7246"/>
    <w:rsid w:val="0B450B21"/>
    <w:rsid w:val="0B6A27B9"/>
    <w:rsid w:val="0BAA09FA"/>
    <w:rsid w:val="0C420E81"/>
    <w:rsid w:val="0C741652"/>
    <w:rsid w:val="0D097E6D"/>
    <w:rsid w:val="0D0B4B6D"/>
    <w:rsid w:val="0D122893"/>
    <w:rsid w:val="0D2B61B4"/>
    <w:rsid w:val="0DCD7208"/>
    <w:rsid w:val="0E755BD7"/>
    <w:rsid w:val="0E7734C9"/>
    <w:rsid w:val="0EAB569D"/>
    <w:rsid w:val="0F5D49E1"/>
    <w:rsid w:val="0F7A36FA"/>
    <w:rsid w:val="0FB71F81"/>
    <w:rsid w:val="0FF52AA9"/>
    <w:rsid w:val="105941EE"/>
    <w:rsid w:val="10871E5A"/>
    <w:rsid w:val="10C04426"/>
    <w:rsid w:val="11155AD4"/>
    <w:rsid w:val="113717FD"/>
    <w:rsid w:val="11507E46"/>
    <w:rsid w:val="11E66D6E"/>
    <w:rsid w:val="11F7729D"/>
    <w:rsid w:val="11FD572D"/>
    <w:rsid w:val="12194DFD"/>
    <w:rsid w:val="1230601B"/>
    <w:rsid w:val="124132A0"/>
    <w:rsid w:val="12565C1C"/>
    <w:rsid w:val="1279575E"/>
    <w:rsid w:val="12B91648"/>
    <w:rsid w:val="12FB3F33"/>
    <w:rsid w:val="136F5CBB"/>
    <w:rsid w:val="13C311CC"/>
    <w:rsid w:val="13FA068E"/>
    <w:rsid w:val="13FB0C52"/>
    <w:rsid w:val="14AA20B4"/>
    <w:rsid w:val="154822FB"/>
    <w:rsid w:val="154D2811"/>
    <w:rsid w:val="155016D0"/>
    <w:rsid w:val="15516EDB"/>
    <w:rsid w:val="15591D71"/>
    <w:rsid w:val="15720A1C"/>
    <w:rsid w:val="15AB770A"/>
    <w:rsid w:val="165F71EF"/>
    <w:rsid w:val="16601317"/>
    <w:rsid w:val="167C182F"/>
    <w:rsid w:val="16A62408"/>
    <w:rsid w:val="16AF086F"/>
    <w:rsid w:val="16BB7E7A"/>
    <w:rsid w:val="16C81C91"/>
    <w:rsid w:val="16D6333F"/>
    <w:rsid w:val="17E05DED"/>
    <w:rsid w:val="180C0445"/>
    <w:rsid w:val="1839697A"/>
    <w:rsid w:val="18AC5141"/>
    <w:rsid w:val="18D77031"/>
    <w:rsid w:val="19007E6D"/>
    <w:rsid w:val="19730E84"/>
    <w:rsid w:val="1AA97D87"/>
    <w:rsid w:val="1ABB678D"/>
    <w:rsid w:val="1ADC207E"/>
    <w:rsid w:val="1B501631"/>
    <w:rsid w:val="1BAE624B"/>
    <w:rsid w:val="1BBD2E04"/>
    <w:rsid w:val="1C183DA8"/>
    <w:rsid w:val="1CA94A00"/>
    <w:rsid w:val="1CE26B89"/>
    <w:rsid w:val="1D344240"/>
    <w:rsid w:val="1E1501DF"/>
    <w:rsid w:val="1E5C644B"/>
    <w:rsid w:val="1E7A646B"/>
    <w:rsid w:val="1ECC7854"/>
    <w:rsid w:val="1F3A62CB"/>
    <w:rsid w:val="1F840ABA"/>
    <w:rsid w:val="1F9D280C"/>
    <w:rsid w:val="1FDF6322"/>
    <w:rsid w:val="20EC263B"/>
    <w:rsid w:val="2105507C"/>
    <w:rsid w:val="21393404"/>
    <w:rsid w:val="21472A39"/>
    <w:rsid w:val="219F4623"/>
    <w:rsid w:val="21A02050"/>
    <w:rsid w:val="21CB18BC"/>
    <w:rsid w:val="21E04919"/>
    <w:rsid w:val="21F25341"/>
    <w:rsid w:val="21F66939"/>
    <w:rsid w:val="22231FFC"/>
    <w:rsid w:val="227305E1"/>
    <w:rsid w:val="234B4D64"/>
    <w:rsid w:val="23757D31"/>
    <w:rsid w:val="239D15AC"/>
    <w:rsid w:val="23DB6277"/>
    <w:rsid w:val="24757B82"/>
    <w:rsid w:val="247F536B"/>
    <w:rsid w:val="24CE59E7"/>
    <w:rsid w:val="24D53AB5"/>
    <w:rsid w:val="24ED761C"/>
    <w:rsid w:val="251E789E"/>
    <w:rsid w:val="25504F76"/>
    <w:rsid w:val="2592770A"/>
    <w:rsid w:val="25F25669"/>
    <w:rsid w:val="26456B84"/>
    <w:rsid w:val="265E685B"/>
    <w:rsid w:val="2682487A"/>
    <w:rsid w:val="27364648"/>
    <w:rsid w:val="27762928"/>
    <w:rsid w:val="278E20D5"/>
    <w:rsid w:val="285B69FA"/>
    <w:rsid w:val="288872C7"/>
    <w:rsid w:val="28B62B5D"/>
    <w:rsid w:val="298E3EB4"/>
    <w:rsid w:val="29986578"/>
    <w:rsid w:val="2B5422C8"/>
    <w:rsid w:val="2B670C7D"/>
    <w:rsid w:val="2BE07425"/>
    <w:rsid w:val="2C0C7747"/>
    <w:rsid w:val="2C472AA4"/>
    <w:rsid w:val="2C58214F"/>
    <w:rsid w:val="2CED0A21"/>
    <w:rsid w:val="2D1841E3"/>
    <w:rsid w:val="2D610718"/>
    <w:rsid w:val="2D807800"/>
    <w:rsid w:val="2E00644A"/>
    <w:rsid w:val="2E686F9E"/>
    <w:rsid w:val="2EA70CE9"/>
    <w:rsid w:val="2F950E14"/>
    <w:rsid w:val="2FA21D78"/>
    <w:rsid w:val="30BF3039"/>
    <w:rsid w:val="30EA7B00"/>
    <w:rsid w:val="310176CC"/>
    <w:rsid w:val="31360070"/>
    <w:rsid w:val="31580701"/>
    <w:rsid w:val="31A65C07"/>
    <w:rsid w:val="32217BAD"/>
    <w:rsid w:val="329C0093"/>
    <w:rsid w:val="33174961"/>
    <w:rsid w:val="331D18DA"/>
    <w:rsid w:val="336851BD"/>
    <w:rsid w:val="34190D17"/>
    <w:rsid w:val="34FD1F07"/>
    <w:rsid w:val="350727B3"/>
    <w:rsid w:val="3528186F"/>
    <w:rsid w:val="35E2113F"/>
    <w:rsid w:val="36AA5AEC"/>
    <w:rsid w:val="3784633D"/>
    <w:rsid w:val="3900642A"/>
    <w:rsid w:val="393873DF"/>
    <w:rsid w:val="396931EF"/>
    <w:rsid w:val="39814084"/>
    <w:rsid w:val="399E7F82"/>
    <w:rsid w:val="39BD0A08"/>
    <w:rsid w:val="3B0F61C5"/>
    <w:rsid w:val="3B20637D"/>
    <w:rsid w:val="3B426DDF"/>
    <w:rsid w:val="3BCE662A"/>
    <w:rsid w:val="3BD44BE6"/>
    <w:rsid w:val="3CDD2778"/>
    <w:rsid w:val="3CE47669"/>
    <w:rsid w:val="3CE77483"/>
    <w:rsid w:val="3CF601D1"/>
    <w:rsid w:val="3D0474EB"/>
    <w:rsid w:val="3D2C0E05"/>
    <w:rsid w:val="3DE604DE"/>
    <w:rsid w:val="3DED29F6"/>
    <w:rsid w:val="3EA80B63"/>
    <w:rsid w:val="3EDE77CD"/>
    <w:rsid w:val="3F137D99"/>
    <w:rsid w:val="3F3B72DC"/>
    <w:rsid w:val="3F587B3A"/>
    <w:rsid w:val="3F672F09"/>
    <w:rsid w:val="3F980BD8"/>
    <w:rsid w:val="40742042"/>
    <w:rsid w:val="40EC595C"/>
    <w:rsid w:val="412063C9"/>
    <w:rsid w:val="413B6F17"/>
    <w:rsid w:val="413C5593"/>
    <w:rsid w:val="41A82C28"/>
    <w:rsid w:val="41AA395D"/>
    <w:rsid w:val="41C45D6B"/>
    <w:rsid w:val="42020340"/>
    <w:rsid w:val="428E0EEB"/>
    <w:rsid w:val="42953AFA"/>
    <w:rsid w:val="42AE53AC"/>
    <w:rsid w:val="42CB6BCE"/>
    <w:rsid w:val="42FF5AE2"/>
    <w:rsid w:val="43134A96"/>
    <w:rsid w:val="43B96E1C"/>
    <w:rsid w:val="44153CCF"/>
    <w:rsid w:val="443D35CE"/>
    <w:rsid w:val="445059EA"/>
    <w:rsid w:val="44A1052F"/>
    <w:rsid w:val="44BF069A"/>
    <w:rsid w:val="45130693"/>
    <w:rsid w:val="4523209A"/>
    <w:rsid w:val="4573206F"/>
    <w:rsid w:val="457A6ABF"/>
    <w:rsid w:val="457C68A6"/>
    <w:rsid w:val="45A742BC"/>
    <w:rsid w:val="45B360E1"/>
    <w:rsid w:val="45BD489A"/>
    <w:rsid w:val="45C73A04"/>
    <w:rsid w:val="45DB1376"/>
    <w:rsid w:val="45F12DF0"/>
    <w:rsid w:val="462C06E0"/>
    <w:rsid w:val="46B24672"/>
    <w:rsid w:val="46BA58D8"/>
    <w:rsid w:val="475474DE"/>
    <w:rsid w:val="47573126"/>
    <w:rsid w:val="47E50F6B"/>
    <w:rsid w:val="481145F8"/>
    <w:rsid w:val="483671E0"/>
    <w:rsid w:val="486A529F"/>
    <w:rsid w:val="489108BA"/>
    <w:rsid w:val="48CC18F2"/>
    <w:rsid w:val="48E06FB5"/>
    <w:rsid w:val="48F17617"/>
    <w:rsid w:val="49296D45"/>
    <w:rsid w:val="49BD73EB"/>
    <w:rsid w:val="49E35378"/>
    <w:rsid w:val="4A7E0750"/>
    <w:rsid w:val="4B2729D2"/>
    <w:rsid w:val="4B9B7570"/>
    <w:rsid w:val="4BC71590"/>
    <w:rsid w:val="4C994C0B"/>
    <w:rsid w:val="4D8141D2"/>
    <w:rsid w:val="4DC63E49"/>
    <w:rsid w:val="4DDD3C5A"/>
    <w:rsid w:val="4E7326AA"/>
    <w:rsid w:val="4F155DA1"/>
    <w:rsid w:val="4F184373"/>
    <w:rsid w:val="4F5166AD"/>
    <w:rsid w:val="4F5C7FAD"/>
    <w:rsid w:val="4FA44411"/>
    <w:rsid w:val="4FE35BC7"/>
    <w:rsid w:val="4FE574BB"/>
    <w:rsid w:val="510F5A38"/>
    <w:rsid w:val="5120259A"/>
    <w:rsid w:val="51711BFD"/>
    <w:rsid w:val="51F705D1"/>
    <w:rsid w:val="5298651A"/>
    <w:rsid w:val="5330350C"/>
    <w:rsid w:val="538D10E3"/>
    <w:rsid w:val="53E06AD3"/>
    <w:rsid w:val="53F1621F"/>
    <w:rsid w:val="54044586"/>
    <w:rsid w:val="54C618EB"/>
    <w:rsid w:val="54D84325"/>
    <w:rsid w:val="563000EB"/>
    <w:rsid w:val="5741103D"/>
    <w:rsid w:val="576A03DE"/>
    <w:rsid w:val="577910F6"/>
    <w:rsid w:val="578D740C"/>
    <w:rsid w:val="579B581C"/>
    <w:rsid w:val="57B01D5C"/>
    <w:rsid w:val="57F549C2"/>
    <w:rsid w:val="58112E7E"/>
    <w:rsid w:val="58696BD4"/>
    <w:rsid w:val="58703C31"/>
    <w:rsid w:val="591A6502"/>
    <w:rsid w:val="59823D30"/>
    <w:rsid w:val="599342EA"/>
    <w:rsid w:val="59BF508F"/>
    <w:rsid w:val="59F42A57"/>
    <w:rsid w:val="5A4E0252"/>
    <w:rsid w:val="5A504131"/>
    <w:rsid w:val="5A5D684E"/>
    <w:rsid w:val="5A647BDD"/>
    <w:rsid w:val="5A992AC4"/>
    <w:rsid w:val="5AA4622B"/>
    <w:rsid w:val="5B7824F5"/>
    <w:rsid w:val="5B8F266B"/>
    <w:rsid w:val="5C340176"/>
    <w:rsid w:val="5C926511"/>
    <w:rsid w:val="5D1D3266"/>
    <w:rsid w:val="5D335644"/>
    <w:rsid w:val="5D64213B"/>
    <w:rsid w:val="5D752454"/>
    <w:rsid w:val="5D8D5558"/>
    <w:rsid w:val="5DCA2106"/>
    <w:rsid w:val="5E90524A"/>
    <w:rsid w:val="5ED04528"/>
    <w:rsid w:val="5F1D65AC"/>
    <w:rsid w:val="5F217E4A"/>
    <w:rsid w:val="5FF24E57"/>
    <w:rsid w:val="602652EC"/>
    <w:rsid w:val="607779AC"/>
    <w:rsid w:val="60BB4089"/>
    <w:rsid w:val="60BF7AEC"/>
    <w:rsid w:val="60E57CFF"/>
    <w:rsid w:val="60F01478"/>
    <w:rsid w:val="619928AA"/>
    <w:rsid w:val="621129C6"/>
    <w:rsid w:val="624A7EDA"/>
    <w:rsid w:val="625A7013"/>
    <w:rsid w:val="6290324C"/>
    <w:rsid w:val="62DD5F07"/>
    <w:rsid w:val="635D299E"/>
    <w:rsid w:val="638727EA"/>
    <w:rsid w:val="641328F7"/>
    <w:rsid w:val="646D3B32"/>
    <w:rsid w:val="64750F82"/>
    <w:rsid w:val="658744EC"/>
    <w:rsid w:val="65A17F37"/>
    <w:rsid w:val="65EA02CC"/>
    <w:rsid w:val="65FC4013"/>
    <w:rsid w:val="67371992"/>
    <w:rsid w:val="674E6DCA"/>
    <w:rsid w:val="6791752A"/>
    <w:rsid w:val="679C2208"/>
    <w:rsid w:val="68281BEF"/>
    <w:rsid w:val="68442612"/>
    <w:rsid w:val="688B4586"/>
    <w:rsid w:val="689F0032"/>
    <w:rsid w:val="68CB0D7F"/>
    <w:rsid w:val="69490B4C"/>
    <w:rsid w:val="695E1C9B"/>
    <w:rsid w:val="6A4F5F64"/>
    <w:rsid w:val="6A824D4D"/>
    <w:rsid w:val="6B0C75BF"/>
    <w:rsid w:val="6BC96447"/>
    <w:rsid w:val="6BDB0BFB"/>
    <w:rsid w:val="6BDD7ACC"/>
    <w:rsid w:val="6CD94A5F"/>
    <w:rsid w:val="6CEA7ABF"/>
    <w:rsid w:val="6D4445C2"/>
    <w:rsid w:val="6D6B1CBC"/>
    <w:rsid w:val="6D7B27A2"/>
    <w:rsid w:val="6DA46816"/>
    <w:rsid w:val="6DAB5534"/>
    <w:rsid w:val="6E2C728B"/>
    <w:rsid w:val="6E55558C"/>
    <w:rsid w:val="6E67675F"/>
    <w:rsid w:val="6EA037BF"/>
    <w:rsid w:val="6EC46832"/>
    <w:rsid w:val="7036127C"/>
    <w:rsid w:val="70647396"/>
    <w:rsid w:val="709B15C5"/>
    <w:rsid w:val="70E21713"/>
    <w:rsid w:val="70E71210"/>
    <w:rsid w:val="70F22F02"/>
    <w:rsid w:val="71630796"/>
    <w:rsid w:val="72064E42"/>
    <w:rsid w:val="737E2CB5"/>
    <w:rsid w:val="73D3426B"/>
    <w:rsid w:val="73DD34C7"/>
    <w:rsid w:val="73FDE087"/>
    <w:rsid w:val="744E09A5"/>
    <w:rsid w:val="74AD341E"/>
    <w:rsid w:val="752843F4"/>
    <w:rsid w:val="7535244A"/>
    <w:rsid w:val="7610431D"/>
    <w:rsid w:val="762C1A32"/>
    <w:rsid w:val="76C3061D"/>
    <w:rsid w:val="76CC0544"/>
    <w:rsid w:val="78197376"/>
    <w:rsid w:val="785161EC"/>
    <w:rsid w:val="78F61EF0"/>
    <w:rsid w:val="78FE016F"/>
    <w:rsid w:val="79195998"/>
    <w:rsid w:val="792C647E"/>
    <w:rsid w:val="79741006"/>
    <w:rsid w:val="797D6879"/>
    <w:rsid w:val="7A2F2DE0"/>
    <w:rsid w:val="7A491A09"/>
    <w:rsid w:val="7A7A1269"/>
    <w:rsid w:val="7B436CC4"/>
    <w:rsid w:val="7B7719A8"/>
    <w:rsid w:val="7C0F61AD"/>
    <w:rsid w:val="7C290FCD"/>
    <w:rsid w:val="7C594062"/>
    <w:rsid w:val="7C714A7F"/>
    <w:rsid w:val="7CC0103E"/>
    <w:rsid w:val="7D3B3B39"/>
    <w:rsid w:val="7D425704"/>
    <w:rsid w:val="7D794282"/>
    <w:rsid w:val="7DFC03C3"/>
    <w:rsid w:val="7E2655D7"/>
    <w:rsid w:val="7ECE131C"/>
    <w:rsid w:val="7EFDB595"/>
    <w:rsid w:val="7EFE6A99"/>
    <w:rsid w:val="7F606FFF"/>
    <w:rsid w:val="7FA15DD8"/>
    <w:rsid w:val="7FE51A26"/>
    <w:rsid w:val="7FF76391"/>
    <w:rsid w:val="BFFC92AD"/>
    <w:rsid w:val="FBFF9272"/>
    <w:rsid w:val="FEB526C8"/>
    <w:rsid w:val="FFF8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360" w:lineRule="auto"/>
      <w:jc w:val="center"/>
      <w:outlineLvl w:val="0"/>
    </w:pPr>
    <w:rPr>
      <w:rFonts w:ascii="Times New Roman" w:hAnsi="Times New Roman" w:eastAsia="宋体"/>
      <w:b/>
      <w:bCs/>
      <w:kern w:val="44"/>
      <w:sz w:val="30"/>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宋体"/>
      <w:b/>
      <w:kern w:val="0"/>
      <w:sz w:val="24"/>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80" w:leftChars="200"/>
      <w:jc w:val="left"/>
    </w:pPr>
    <w:rPr>
      <w:rFonts w:ascii="DFKai-SB" w:eastAsia="DFKai-SB"/>
      <w:sz w:val="28"/>
      <w:lang w:eastAsia="zh-TW"/>
    </w:rPr>
  </w:style>
  <w:style w:type="paragraph" w:styleId="7">
    <w:name w:val="Normal Indent"/>
    <w:basedOn w:val="1"/>
    <w:unhideWhenUsed/>
    <w:qFormat/>
    <w:uiPriority w:val="99"/>
    <w:pPr>
      <w:ind w:firstLine="420" w:firstLineChars="200"/>
    </w:pPr>
    <w:rPr>
      <w:kern w:val="0"/>
      <w:sz w:val="20"/>
    </w:rPr>
  </w:style>
  <w:style w:type="paragraph" w:styleId="8">
    <w:name w:val="caption"/>
    <w:next w:val="1"/>
    <w:qFormat/>
    <w:uiPriority w:val="0"/>
    <w:pPr>
      <w:widowControl w:val="0"/>
      <w:jc w:val="both"/>
    </w:pPr>
    <w:rPr>
      <w:rFonts w:ascii="Cambria" w:hAnsi="Cambria" w:eastAsia="黑体" w:cs="Times New Roman"/>
      <w:kern w:val="2"/>
      <w:lang w:val="en-US" w:eastAsia="zh-CN" w:bidi="ar-SA"/>
    </w:rPr>
  </w:style>
  <w:style w:type="paragraph" w:styleId="9">
    <w:name w:val="toa heading"/>
    <w:basedOn w:val="1"/>
    <w:next w:val="1"/>
    <w:unhideWhenUsed/>
    <w:qFormat/>
    <w:uiPriority w:val="99"/>
    <w:pPr>
      <w:spacing w:before="120"/>
      <w:ind w:firstLine="480"/>
    </w:pPr>
    <w:rPr>
      <w:rFonts w:ascii="Arial" w:hAnsi="Arial"/>
    </w:rPr>
  </w:style>
  <w:style w:type="paragraph" w:styleId="10">
    <w:name w:val="annotation text"/>
    <w:basedOn w:val="1"/>
    <w:next w:val="1"/>
    <w:unhideWhenUsed/>
    <w:qFormat/>
    <w:uiPriority w:val="0"/>
    <w:pPr>
      <w:jc w:val="left"/>
    </w:pPr>
    <w:rPr>
      <w:kern w:val="0"/>
      <w:sz w:val="20"/>
    </w:rPr>
  </w:style>
  <w:style w:type="paragraph" w:styleId="11">
    <w:name w:val="Body Text"/>
    <w:basedOn w:val="1"/>
    <w:qFormat/>
    <w:uiPriority w:val="0"/>
    <w:pPr>
      <w:adjustRightInd w:val="0"/>
      <w:spacing w:line="360" w:lineRule="auto"/>
      <w:jc w:val="left"/>
      <w:textAlignment w:val="baseline"/>
    </w:pPr>
    <w:rPr>
      <w:kern w:val="0"/>
    </w:rPr>
  </w:style>
  <w:style w:type="paragraph" w:styleId="12">
    <w:name w:val="Body Text Indent"/>
    <w:basedOn w:val="1"/>
    <w:qFormat/>
    <w:uiPriority w:val="0"/>
    <w:pPr>
      <w:spacing w:after="120"/>
      <w:ind w:left="420" w:leftChars="200"/>
    </w:pPr>
  </w:style>
  <w:style w:type="paragraph" w:styleId="13">
    <w:name w:val="Plain Text"/>
    <w:basedOn w:val="1"/>
    <w:unhideWhenUsed/>
    <w:qFormat/>
    <w:uiPriority w:val="0"/>
    <w:rPr>
      <w:rFonts w:ascii="宋体" w:hAnsi="Courier New"/>
      <w:kern w:val="0"/>
      <w:sz w:val="20"/>
      <w:szCs w:val="21"/>
    </w:rPr>
  </w:style>
  <w:style w:type="paragraph" w:styleId="14">
    <w:name w:val="Body Text Indent 2"/>
    <w:basedOn w:val="1"/>
    <w:unhideWhenUsed/>
    <w:qFormat/>
    <w:uiPriority w:val="0"/>
    <w:pPr>
      <w:widowControl/>
      <w:spacing w:before="100" w:beforeAutospacing="1" w:after="100" w:afterAutospacing="1"/>
      <w:jc w:val="left"/>
    </w:pPr>
    <w:rPr>
      <w:rFonts w:ascii="宋体" w:hAnsi="宋体"/>
      <w:kern w:val="0"/>
      <w:sz w:val="24"/>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20"/>
    </w:rPr>
  </w:style>
  <w:style w:type="paragraph" w:styleId="18">
    <w:name w:val="toc 4"/>
    <w:basedOn w:val="5"/>
    <w:next w:val="5"/>
    <w:qFormat/>
    <w:uiPriority w:val="0"/>
    <w:pPr>
      <w:widowControl w:val="0"/>
      <w:spacing w:before="0" w:after="0" w:line="240" w:lineRule="auto"/>
      <w:ind w:left="0" w:right="0" w:firstLine="0" w:firstLineChars="0"/>
      <w:jc w:val="left"/>
    </w:pPr>
    <w:rPr>
      <w:rFonts w:ascii="Arial" w:hAnsi="Arial" w:eastAsia="宋体" w:cs="Times New Roman"/>
      <w:kern w:val="2"/>
      <w:sz w:val="24"/>
      <w:szCs w:val="24"/>
      <w:lang w:val="en-US" w:eastAsia="zh-CN" w:bidi="ar-SA"/>
    </w:r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List"/>
    <w:basedOn w:val="1"/>
    <w:qFormat/>
    <w:uiPriority w:val="0"/>
    <w:pPr>
      <w:ind w:left="200" w:hanging="200" w:hangingChars="200"/>
    </w:pPr>
    <w:rPr>
      <w:rFonts w:ascii="Calibri" w:hAnsi="Calibri" w:eastAsia="宋体" w:cs="Times New Roman"/>
    </w:rPr>
  </w:style>
  <w:style w:type="paragraph" w:styleId="21">
    <w:name w:val="table of figures"/>
    <w:basedOn w:val="1"/>
    <w:next w:val="1"/>
    <w:unhideWhenUsed/>
    <w:qFormat/>
    <w:uiPriority w:val="0"/>
    <w:pPr>
      <w:spacing w:before="100" w:beforeAutospacing="1" w:after="100" w:afterAutospacing="1"/>
      <w:jc w:val="center"/>
    </w:pPr>
    <w:rPr>
      <w:rFonts w:cs="宋体"/>
      <w:szCs w:val="21"/>
    </w:rPr>
  </w:style>
  <w:style w:type="paragraph" w:styleId="22">
    <w:name w:val="Body Text 2"/>
    <w:basedOn w:val="1"/>
    <w:qFormat/>
    <w:uiPriority w:val="0"/>
    <w:pPr>
      <w:jc w:val="center"/>
    </w:pPr>
    <w:rPr>
      <w:rFonts w:ascii="方正综艺简体" w:hAnsi="宋体" w:eastAsia="方正综艺简体"/>
      <w:spacing w:val="24"/>
      <w:sz w:val="32"/>
    </w:rPr>
  </w:style>
  <w:style w:type="paragraph" w:styleId="23">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4">
    <w:name w:val="Normal (Web)"/>
    <w:basedOn w:val="1"/>
    <w:next w:val="1"/>
    <w:qFormat/>
    <w:uiPriority w:val="99"/>
    <w:pPr>
      <w:widowControl/>
      <w:wordWrap w:val="0"/>
      <w:spacing w:before="100" w:beforeAutospacing="1" w:after="100" w:afterAutospacing="1"/>
      <w:jc w:val="left"/>
    </w:pPr>
    <w:rPr>
      <w:rFonts w:ascii="宋体" w:hAnsi="宋体" w:cs="宋体"/>
      <w:kern w:val="0"/>
      <w:sz w:val="24"/>
    </w:rPr>
  </w:style>
  <w:style w:type="paragraph" w:styleId="25">
    <w:name w:val="Body Text First Indent"/>
    <w:basedOn w:val="11"/>
    <w:unhideWhenUsed/>
    <w:qFormat/>
    <w:uiPriority w:val="0"/>
    <w:pPr>
      <w:spacing w:line="351" w:lineRule="atLeast"/>
      <w:ind w:firstLine="420" w:firstLineChars="100"/>
      <w:jc w:val="center"/>
    </w:pPr>
    <w:rPr>
      <w:color w:val="000000"/>
      <w:sz w:val="72"/>
    </w:rPr>
  </w:style>
  <w:style w:type="paragraph" w:styleId="26">
    <w:name w:val="Body Text First Indent 2"/>
    <w:basedOn w:val="12"/>
    <w:next w:val="1"/>
    <w:qFormat/>
    <w:uiPriority w:val="0"/>
    <w:pPr>
      <w:ind w:left="0" w:leftChars="0" w:firstLine="210"/>
    </w:pPr>
  </w:style>
  <w:style w:type="table" w:styleId="2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0">
    <w:name w:val="Strong"/>
    <w:qFormat/>
    <w:uiPriority w:val="0"/>
    <w:rPr>
      <w:b/>
      <w:bCs/>
    </w:rPr>
  </w:style>
  <w:style w:type="character" w:styleId="31">
    <w:name w:val="FollowedHyperlink"/>
    <w:basedOn w:val="29"/>
    <w:qFormat/>
    <w:uiPriority w:val="0"/>
    <w:rPr>
      <w:color w:val="156356"/>
      <w:u w:val="none"/>
    </w:rPr>
  </w:style>
  <w:style w:type="character" w:styleId="32">
    <w:name w:val="Hyperlink"/>
    <w:basedOn w:val="29"/>
    <w:qFormat/>
    <w:uiPriority w:val="0"/>
    <w:rPr>
      <w:color w:val="156356"/>
      <w:u w:val="none"/>
    </w:rPr>
  </w:style>
  <w:style w:type="paragraph" w:customStyle="1" w:styleId="33">
    <w:name w:val="style4"/>
    <w:basedOn w:val="1"/>
    <w:next w:val="34"/>
    <w:qFormat/>
    <w:uiPriority w:val="0"/>
    <w:pPr>
      <w:widowControl/>
      <w:autoSpaceDE/>
      <w:autoSpaceDN/>
      <w:spacing w:before="280" w:after="280" w:line="240" w:lineRule="auto"/>
      <w:ind w:left="0" w:firstLine="0"/>
      <w:jc w:val="both"/>
    </w:pPr>
    <w:rPr>
      <w:rFonts w:ascii="宋体" w:eastAsia="宋体"/>
      <w:sz w:val="18"/>
    </w:rPr>
  </w:style>
  <w:style w:type="paragraph" w:customStyle="1" w:styleId="3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Char Char Char Char1"/>
    <w:basedOn w:val="1"/>
    <w:qFormat/>
    <w:uiPriority w:val="0"/>
  </w:style>
  <w:style w:type="paragraph" w:customStyle="1" w:styleId="36">
    <w:name w:val="无间隔1"/>
    <w:next w:val="8"/>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37">
    <w:name w:val="Style1"/>
    <w:basedOn w:val="1"/>
    <w:next w:val="38"/>
    <w:qFormat/>
    <w:uiPriority w:val="0"/>
    <w:pPr>
      <w:widowControl/>
      <w:tabs>
        <w:tab w:val="left" w:pos="-720"/>
      </w:tabs>
      <w:spacing w:after="120"/>
    </w:pPr>
    <w:rPr>
      <w:spacing w:val="-3"/>
      <w:kern w:val="0"/>
      <w:sz w:val="24"/>
      <w:szCs w:val="20"/>
      <w:lang w:val="en-AU" w:eastAsia="en-US"/>
    </w:rPr>
  </w:style>
  <w:style w:type="paragraph" w:customStyle="1" w:styleId="38">
    <w:name w:val="*正文"/>
    <w:basedOn w:val="1"/>
    <w:qFormat/>
    <w:uiPriority w:val="0"/>
    <w:pPr>
      <w:ind w:firstLine="200" w:firstLineChars="200"/>
    </w:pPr>
    <w:rPr>
      <w:rFonts w:ascii="宋体" w:hAnsi="宋体"/>
      <w:szCs w:val="22"/>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1">
    <w:name w:val="列出段落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2">
    <w:name w:val="样式 标题 3h3H3sect1.2.3 + 五号 段前: 6 磅 段后: 6 磅 行距: 单倍行距"/>
    <w:qFormat/>
    <w:uiPriority w:val="0"/>
    <w:pPr>
      <w:keepNext/>
      <w:keepLines/>
      <w:widowControl w:val="0"/>
      <w:spacing w:before="120" w:after="120"/>
      <w:jc w:val="both"/>
      <w:outlineLvl w:val="2"/>
    </w:pPr>
    <w:rPr>
      <w:rFonts w:ascii="Times New Roman" w:hAnsi="Times New Roman" w:eastAsia="宋体" w:cs="Times New Roman"/>
      <w:b/>
      <w:bCs/>
      <w:kern w:val="2"/>
      <w:sz w:val="21"/>
      <w:lang w:val="en-US" w:eastAsia="zh-CN" w:bidi="ar-SA"/>
    </w:rPr>
  </w:style>
  <w:style w:type="paragraph" w:customStyle="1" w:styleId="4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4">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5">
    <w:name w:val="样式 标题 1 + 四号 居中 段前: 12 磅 段后: 12 磅 行距: 单倍行距"/>
    <w:qFormat/>
    <w:uiPriority w:val="0"/>
    <w:pPr>
      <w:keepNext/>
      <w:keepLines/>
      <w:widowControl w:val="0"/>
      <w:spacing w:before="240" w:after="240"/>
      <w:jc w:val="center"/>
      <w:outlineLvl w:val="0"/>
    </w:pPr>
    <w:rPr>
      <w:rFonts w:ascii="Times New Roman" w:hAnsi="Times New Roman" w:eastAsia="宋体" w:cs="宋体"/>
      <w:b/>
      <w:bCs/>
      <w:kern w:val="44"/>
      <w:sz w:val="28"/>
      <w:lang w:val="en-US" w:eastAsia="zh-CN" w:bidi="ar-SA"/>
    </w:rPr>
  </w:style>
  <w:style w:type="paragraph" w:customStyle="1" w:styleId="46">
    <w:name w:val="样式1"/>
    <w:basedOn w:val="47"/>
    <w:qFormat/>
    <w:uiPriority w:val="0"/>
    <w:pPr>
      <w:widowControl w:val="0"/>
      <w:jc w:val="center"/>
    </w:pPr>
    <w:rPr>
      <w:rFonts w:ascii="宋体" w:hAnsi="宋体" w:eastAsia="宋体" w:cs="Times New Roman"/>
      <w:kern w:val="2"/>
      <w:sz w:val="30"/>
      <w:szCs w:val="28"/>
      <w:lang w:val="en-US" w:eastAsia="zh-CN" w:bidi="ar-SA"/>
    </w:rPr>
  </w:style>
  <w:style w:type="paragraph" w:customStyle="1" w:styleId="47">
    <w:name w:val="Char"/>
    <w:basedOn w:val="1"/>
    <w:qFormat/>
    <w:uiPriority w:val="0"/>
    <w:rPr>
      <w:rFonts w:ascii="Tahoma" w:hAnsi="Tahoma"/>
      <w:sz w:val="20"/>
      <w:szCs w:val="20"/>
    </w:rPr>
  </w:style>
  <w:style w:type="paragraph" w:customStyle="1" w:styleId="48">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9">
    <w:name w:val="layui-laypage-curr"/>
    <w:basedOn w:val="29"/>
    <w:qFormat/>
    <w:uiPriority w:val="0"/>
  </w:style>
  <w:style w:type="character" w:customStyle="1" w:styleId="50">
    <w:name w:val="label"/>
    <w:basedOn w:val="29"/>
    <w:qFormat/>
    <w:uiPriority w:val="0"/>
    <w:rPr>
      <w:color w:val="999999"/>
    </w:rPr>
  </w:style>
  <w:style w:type="character" w:customStyle="1" w:styleId="51">
    <w:name w:val="NormalCharacter"/>
    <w:qFormat/>
    <w:locked/>
    <w:uiPriority w:val="0"/>
  </w:style>
  <w:style w:type="paragraph" w:customStyle="1" w:styleId="52">
    <w:name w:val="TOAHeading"/>
    <w:basedOn w:val="1"/>
    <w:next w:val="1"/>
    <w:qFormat/>
    <w:locked/>
    <w:uiPriority w:val="0"/>
    <w:pPr>
      <w:spacing w:before="120" w:line="360" w:lineRule="auto"/>
      <w:ind w:firstLine="480" w:firstLineChars="200"/>
      <w:textAlignment w:val="baseline"/>
    </w:pPr>
    <w:rPr>
      <w:rFonts w:ascii="Arial" w:hAnsi="Arial"/>
      <w:sz w:val="24"/>
    </w:rPr>
  </w:style>
  <w:style w:type="paragraph" w:customStyle="1" w:styleId="53">
    <w:name w:val="样式 首行缩进:  2 字符"/>
    <w:basedOn w:val="1"/>
    <w:unhideWhenUsed/>
    <w:qFormat/>
    <w:uiPriority w:val="0"/>
    <w:pPr>
      <w:ind w:firstLine="560"/>
    </w:pPr>
    <w:rPr>
      <w:rFonts w:eastAsia="仿宋_GB2312"/>
      <w:sz w:val="24"/>
    </w:rPr>
  </w:style>
  <w:style w:type="character" w:customStyle="1" w:styleId="54">
    <w:name w:val="font31"/>
    <w:basedOn w:val="29"/>
    <w:qFormat/>
    <w:uiPriority w:val="0"/>
    <w:rPr>
      <w:rFonts w:hint="eastAsia" w:ascii="宋体" w:hAnsi="宋体" w:eastAsia="宋体" w:cs="宋体"/>
      <w:color w:val="000000"/>
      <w:sz w:val="22"/>
      <w:szCs w:val="22"/>
      <w:u w:val="none"/>
    </w:rPr>
  </w:style>
  <w:style w:type="character" w:customStyle="1" w:styleId="55">
    <w:name w:val="font51"/>
    <w:basedOn w:val="29"/>
    <w:qFormat/>
    <w:uiPriority w:val="0"/>
    <w:rPr>
      <w:rFonts w:hint="eastAsia" w:ascii="宋体" w:hAnsi="宋体" w:eastAsia="宋体" w:cs="宋体"/>
      <w:color w:val="000000"/>
      <w:sz w:val="22"/>
      <w:szCs w:val="22"/>
      <w:u w:val="none"/>
    </w:rPr>
  </w:style>
  <w:style w:type="character" w:customStyle="1" w:styleId="56">
    <w:name w:val="font231"/>
    <w:basedOn w:val="29"/>
    <w:qFormat/>
    <w:uiPriority w:val="0"/>
    <w:rPr>
      <w:rFonts w:hint="eastAsia" w:ascii="宋体" w:hAnsi="宋体" w:eastAsia="宋体" w:cs="宋体"/>
      <w:color w:val="FF0000"/>
      <w:sz w:val="22"/>
      <w:szCs w:val="22"/>
      <w:u w:val="none"/>
    </w:rPr>
  </w:style>
  <w:style w:type="character" w:customStyle="1" w:styleId="57">
    <w:name w:val="font141"/>
    <w:basedOn w:val="29"/>
    <w:qFormat/>
    <w:uiPriority w:val="0"/>
    <w:rPr>
      <w:rFonts w:hint="eastAsia" w:ascii="宋体" w:hAnsi="宋体" w:eastAsia="宋体" w:cs="宋体"/>
      <w:b/>
      <w:bCs/>
      <w:color w:val="FF0000"/>
      <w:sz w:val="22"/>
      <w:szCs w:val="22"/>
      <w:u w:val="none"/>
    </w:rPr>
  </w:style>
  <w:style w:type="character" w:customStyle="1" w:styleId="58">
    <w:name w:val="font21"/>
    <w:basedOn w:val="29"/>
    <w:qFormat/>
    <w:uiPriority w:val="0"/>
    <w:rPr>
      <w:rFonts w:hint="eastAsia" w:ascii="宋体" w:hAnsi="宋体" w:eastAsia="宋体" w:cs="宋体"/>
      <w:color w:val="000000"/>
      <w:sz w:val="22"/>
      <w:szCs w:val="22"/>
      <w:u w:val="none"/>
    </w:rPr>
  </w:style>
  <w:style w:type="paragraph" w:customStyle="1" w:styleId="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0">
    <w:name w:val="标题 1 Char"/>
    <w:link w:val="2"/>
    <w:qFormat/>
    <w:uiPriority w:val="9"/>
    <w:rPr>
      <w:rFonts w:ascii="Times New Roman" w:hAnsi="Times New Roman" w:eastAsia="宋体"/>
      <w:b/>
      <w:bCs/>
      <w:kern w:val="44"/>
      <w:sz w:val="30"/>
      <w:szCs w:val="44"/>
    </w:rPr>
  </w:style>
  <w:style w:type="paragraph" w:customStyle="1" w:styleId="61">
    <w:name w:val="正文+宋体"/>
    <w:basedOn w:val="46"/>
    <w:qFormat/>
    <w:uiPriority w:val="0"/>
    <w:pPr>
      <w:adjustRightInd w:val="0"/>
      <w:snapToGrid w:val="0"/>
      <w:spacing w:beforeLines="0" w:afterLines="0" w:line="600" w:lineRule="exact"/>
      <w:ind w:firstLine="600" w:firstLineChars="200"/>
      <w:jc w:val="both"/>
    </w:pPr>
    <w:rPr>
      <w:rFonts w:ascii="宋体" w:eastAsia="宋体"/>
      <w:spacing w:val="10"/>
    </w:rPr>
  </w:style>
  <w:style w:type="paragraph" w:styleId="62">
    <w:name w:val="List Paragraph"/>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29368</Words>
  <Characters>30776</Characters>
  <Lines>309</Lines>
  <Paragraphs>87</Paragraphs>
  <TotalTime>93</TotalTime>
  <ScaleCrop>false</ScaleCrop>
  <LinksUpToDate>false</LinksUpToDate>
  <CharactersWithSpaces>31107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2023-02-19T10:32:00Z</dcterms:created>
  <dc:creator>su</dc:creator>
  <cp:lastModifiedBy>WPS_1534117999</cp:lastModifiedBy>
  <cp:lastPrinted>2025-10-17T08:36:00Z</cp:lastPrinted>
  <dcterms:modified xsi:type="dcterms:W3CDTF">2026-05-07T03:18:29Z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43B436F54CA94E6CB33A460B0F2A5BEF_13</vt:lpwstr>
  </property>
  <property fmtid="{D5CDD505-2E9C-101B-9397-08002B2CF9AE}" pid="4" name="KSOTemplateDocerSaveRecord">
    <vt:lpwstr>eyJoZGlkIjoiNzI3NTNiZjExMWVhYzRiYjE3NjViYzI0OTI1MWRjNTEiLCJ1c2VySWQiOiIzOTQzNDY5MTgifQ==</vt:lpwstr>
  </property>
</Properties>
</file>