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310CC">
      <w:pPr>
        <w:spacing w:line="360" w:lineRule="auto"/>
        <w:jc w:val="center"/>
        <w:rPr>
          <w:rFonts w:hint="eastAsia" w:ascii="宋体" w:hAnsi="宋体" w:eastAsia="宋体"/>
          <w:b/>
          <w:color w:val="auto"/>
          <w:sz w:val="28"/>
          <w:szCs w:val="28"/>
          <w:highlight w:val="none"/>
          <w:lang w:eastAsia="zh-CN"/>
        </w:rPr>
      </w:pPr>
      <w:r>
        <w:rPr>
          <w:rFonts w:hint="eastAsia" w:ascii="宋体" w:hAnsi="宋体"/>
          <w:b/>
          <w:bCs/>
          <w:color w:val="auto"/>
          <w:sz w:val="36"/>
          <w:szCs w:val="36"/>
          <w:highlight w:val="none"/>
          <w:lang w:eastAsia="zh-CN"/>
        </w:rPr>
        <w:t>2026年昆明市延安医院病理设备采购项目（二次）</w:t>
      </w:r>
    </w:p>
    <w:p w14:paraId="6D485D45">
      <w:pPr>
        <w:spacing w:line="360" w:lineRule="auto"/>
        <w:jc w:val="center"/>
        <w:rPr>
          <w:rFonts w:hint="eastAsia" w:ascii="宋体" w:hAnsi="宋体"/>
          <w:color w:val="auto"/>
          <w:sz w:val="24"/>
          <w:szCs w:val="24"/>
          <w:highlight w:val="none"/>
        </w:rPr>
      </w:pPr>
      <w:r>
        <w:rPr>
          <w:rFonts w:hint="eastAsia" w:ascii="宋体" w:hAnsi="宋体"/>
          <w:b/>
          <w:color w:val="auto"/>
          <w:sz w:val="32"/>
          <w:szCs w:val="32"/>
          <w:highlight w:val="none"/>
        </w:rPr>
        <w:t>招</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标</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公</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告</w:t>
      </w:r>
    </w:p>
    <w:p w14:paraId="0AACB671">
      <w:pPr>
        <w:widowControl w:val="0"/>
        <w:pBdr>
          <w:top w:val="single" w:color="auto" w:sz="4" w:space="1"/>
          <w:left w:val="single" w:color="auto" w:sz="4" w:space="4"/>
          <w:bottom w:val="single" w:color="auto" w:sz="4" w:space="1"/>
          <w:right w:val="single" w:color="auto" w:sz="4" w:space="4"/>
        </w:pBdr>
        <w:spacing w:line="360" w:lineRule="auto"/>
        <w:ind w:firstLine="480" w:firstLineChars="200"/>
        <w:jc w:val="both"/>
        <w:rPr>
          <w:rFonts w:hint="eastAsia" w:ascii="宋体" w:hAnsi="宋体" w:cs="宋体"/>
          <w:color w:val="auto"/>
          <w:sz w:val="24"/>
          <w:szCs w:val="24"/>
          <w:highlight w:val="none"/>
        </w:rPr>
      </w:pPr>
      <w:bookmarkStart w:id="0" w:name="_Toc32031"/>
      <w:bookmarkEnd w:id="0"/>
      <w:bookmarkStart w:id="1" w:name="_Toc29108"/>
      <w:bookmarkEnd w:id="1"/>
      <w:bookmarkStart w:id="2" w:name="_Toc28359002"/>
      <w:bookmarkStart w:id="3" w:name="_Toc35393621"/>
      <w:bookmarkStart w:id="4" w:name="_Toc5357"/>
      <w:bookmarkStart w:id="5" w:name="_Toc35393790"/>
      <w:bookmarkStart w:id="6" w:name="_Toc28359079"/>
      <w:bookmarkStart w:id="7" w:name="_Hlk24379207"/>
      <w:r>
        <w:rPr>
          <w:rFonts w:hint="eastAsia" w:ascii="宋体" w:hAnsi="宋体" w:cs="宋体"/>
          <w:color w:val="auto"/>
          <w:kern w:val="2"/>
          <w:sz w:val="24"/>
          <w:szCs w:val="24"/>
          <w:highlight w:val="none"/>
          <w:lang w:bidi="ar"/>
        </w:rPr>
        <w:t>项目概况</w:t>
      </w:r>
    </w:p>
    <w:p w14:paraId="1512615C">
      <w:pPr>
        <w:widowControl w:val="0"/>
        <w:pBdr>
          <w:top w:val="single" w:color="auto" w:sz="4" w:space="1"/>
          <w:left w:val="single" w:color="auto" w:sz="4" w:space="4"/>
          <w:bottom w:val="single" w:color="auto" w:sz="4" w:space="1"/>
          <w:right w:val="single" w:color="auto" w:sz="4" w:space="4"/>
        </w:pBdr>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eastAsia="zh-CN" w:bidi="ar"/>
        </w:rPr>
        <w:t>2026年昆明市延安医院病理设备采购项目（二次）</w:t>
      </w:r>
      <w:r>
        <w:rPr>
          <w:rFonts w:hint="eastAsia" w:ascii="宋体" w:hAnsi="宋体" w:cs="宋体"/>
          <w:color w:val="auto"/>
          <w:kern w:val="2"/>
          <w:sz w:val="24"/>
          <w:szCs w:val="24"/>
          <w:highlight w:val="none"/>
          <w:lang w:bidi="ar"/>
        </w:rPr>
        <w:t>招标项目的潜在供应商应在</w:t>
      </w:r>
      <w:r>
        <w:rPr>
          <w:rFonts w:hint="eastAsia" w:ascii="宋体" w:hAnsi="宋体" w:cs="宋体"/>
          <w:color w:val="auto"/>
          <w:sz w:val="24"/>
          <w:highlight w:val="none"/>
          <w:u w:val="single"/>
          <w:lang w:val="en-US" w:eastAsia="zh-CN"/>
        </w:rPr>
        <w:t>政采云平台（https://www.zcygov.cn/）获取（下载）</w:t>
      </w:r>
      <w:r>
        <w:rPr>
          <w:rFonts w:hint="eastAsia" w:ascii="宋体" w:hAnsi="宋体" w:cs="宋体"/>
          <w:color w:val="auto"/>
          <w:kern w:val="2"/>
          <w:sz w:val="24"/>
          <w:szCs w:val="24"/>
          <w:highlight w:val="none"/>
          <w:lang w:bidi="ar"/>
        </w:rPr>
        <w:t>获取招标文件，并于</w:t>
      </w:r>
      <w:r>
        <w:rPr>
          <w:rFonts w:hint="eastAsia" w:ascii="宋体" w:hAnsi="宋体" w:cs="宋体"/>
          <w:color w:val="auto"/>
          <w:kern w:val="2"/>
          <w:sz w:val="24"/>
          <w:szCs w:val="24"/>
          <w:highlight w:val="none"/>
          <w:u w:val="single"/>
          <w:lang w:val="en-US" w:eastAsia="zh-CN" w:bidi="ar"/>
        </w:rPr>
        <w:t>2026</w:t>
      </w:r>
      <w:r>
        <w:rPr>
          <w:rFonts w:hint="eastAsia" w:ascii="宋体" w:hAnsi="宋体" w:cs="宋体"/>
          <w:bCs/>
          <w:color w:val="auto"/>
          <w:kern w:val="2"/>
          <w:sz w:val="24"/>
          <w:szCs w:val="24"/>
          <w:highlight w:val="none"/>
          <w:u w:val="single"/>
          <w:lang w:bidi="ar"/>
        </w:rPr>
        <w:t>年</w:t>
      </w:r>
      <w:r>
        <w:rPr>
          <w:rFonts w:hint="eastAsia" w:ascii="宋体" w:hAnsi="宋体" w:cs="宋体"/>
          <w:bCs/>
          <w:color w:val="auto"/>
          <w:kern w:val="2"/>
          <w:sz w:val="24"/>
          <w:szCs w:val="24"/>
          <w:highlight w:val="none"/>
          <w:u w:val="single"/>
          <w:lang w:val="en-US" w:eastAsia="zh-CN" w:bidi="ar"/>
        </w:rPr>
        <w:t>6</w:t>
      </w:r>
      <w:r>
        <w:rPr>
          <w:rFonts w:hint="eastAsia" w:ascii="宋体" w:hAnsi="宋体" w:cs="宋体"/>
          <w:bCs/>
          <w:color w:val="auto"/>
          <w:kern w:val="2"/>
          <w:sz w:val="24"/>
          <w:szCs w:val="24"/>
          <w:highlight w:val="none"/>
          <w:u w:val="single"/>
          <w:lang w:bidi="ar"/>
        </w:rPr>
        <w:t>月</w:t>
      </w:r>
      <w:r>
        <w:rPr>
          <w:rFonts w:hint="eastAsia" w:ascii="宋体" w:hAnsi="宋体" w:cs="宋体"/>
          <w:bCs/>
          <w:color w:val="auto"/>
          <w:kern w:val="2"/>
          <w:sz w:val="24"/>
          <w:szCs w:val="24"/>
          <w:highlight w:val="none"/>
          <w:u w:val="single"/>
          <w:lang w:val="en-US" w:eastAsia="zh-CN" w:bidi="ar"/>
        </w:rPr>
        <w:t>11</w:t>
      </w:r>
      <w:r>
        <w:rPr>
          <w:rFonts w:hint="eastAsia" w:ascii="宋体" w:hAnsi="宋体" w:cs="宋体"/>
          <w:bCs/>
          <w:color w:val="auto"/>
          <w:kern w:val="2"/>
          <w:sz w:val="24"/>
          <w:szCs w:val="24"/>
          <w:highlight w:val="none"/>
          <w:u w:val="single"/>
          <w:lang w:bidi="ar"/>
        </w:rPr>
        <w:t>日</w:t>
      </w:r>
      <w:r>
        <w:rPr>
          <w:rFonts w:hint="eastAsia" w:ascii="宋体" w:hAnsi="宋体" w:cs="宋体"/>
          <w:bCs/>
          <w:color w:val="auto"/>
          <w:kern w:val="2"/>
          <w:sz w:val="24"/>
          <w:szCs w:val="24"/>
          <w:highlight w:val="none"/>
          <w:u w:val="single"/>
          <w:lang w:val="en-US" w:eastAsia="zh-CN" w:bidi="ar"/>
        </w:rPr>
        <w:t>08</w:t>
      </w:r>
      <w:r>
        <w:rPr>
          <w:rFonts w:hint="eastAsia" w:ascii="宋体" w:hAnsi="宋体" w:cs="宋体"/>
          <w:bCs/>
          <w:color w:val="auto"/>
          <w:kern w:val="2"/>
          <w:sz w:val="24"/>
          <w:szCs w:val="24"/>
          <w:highlight w:val="none"/>
          <w:u w:val="single"/>
          <w:lang w:bidi="ar"/>
        </w:rPr>
        <w:t>点</w:t>
      </w:r>
      <w:r>
        <w:rPr>
          <w:rFonts w:hint="eastAsia" w:ascii="宋体" w:hAnsi="宋体" w:cs="宋体"/>
          <w:bCs/>
          <w:color w:val="auto"/>
          <w:kern w:val="2"/>
          <w:sz w:val="24"/>
          <w:szCs w:val="24"/>
          <w:highlight w:val="none"/>
          <w:u w:val="single"/>
          <w:lang w:val="en-US" w:eastAsia="zh-CN" w:bidi="ar"/>
        </w:rPr>
        <w:t>30</w:t>
      </w:r>
      <w:r>
        <w:rPr>
          <w:rFonts w:hint="eastAsia" w:ascii="宋体" w:hAnsi="宋体" w:cs="宋体"/>
          <w:bCs/>
          <w:color w:val="auto"/>
          <w:kern w:val="2"/>
          <w:sz w:val="24"/>
          <w:szCs w:val="24"/>
          <w:highlight w:val="none"/>
          <w:u w:val="single"/>
          <w:lang w:bidi="ar"/>
        </w:rPr>
        <w:t>分</w:t>
      </w:r>
      <w:r>
        <w:rPr>
          <w:rFonts w:hint="eastAsia" w:ascii="宋体" w:hAnsi="宋体" w:cs="宋体"/>
          <w:bCs/>
          <w:color w:val="auto"/>
          <w:kern w:val="2"/>
          <w:sz w:val="24"/>
          <w:szCs w:val="24"/>
          <w:highlight w:val="none"/>
          <w:lang w:bidi="ar"/>
        </w:rPr>
        <w:t>（北京时间）前递交投标文件</w:t>
      </w:r>
      <w:r>
        <w:rPr>
          <w:rFonts w:hint="eastAsia" w:ascii="宋体" w:hAnsi="宋体" w:cs="宋体"/>
          <w:color w:val="auto"/>
          <w:kern w:val="2"/>
          <w:sz w:val="24"/>
          <w:szCs w:val="24"/>
          <w:highlight w:val="none"/>
          <w:lang w:bidi="ar"/>
        </w:rPr>
        <w:t>。</w:t>
      </w:r>
    </w:p>
    <w:p w14:paraId="786DC056">
      <w:pPr>
        <w:rPr>
          <w:rFonts w:hint="eastAsia"/>
          <w:color w:val="auto"/>
          <w:highlight w:val="none"/>
        </w:rPr>
      </w:pPr>
    </w:p>
    <w:p w14:paraId="4B4C40F0">
      <w:pPr>
        <w:pStyle w:val="2"/>
        <w:widowControl/>
        <w:spacing w:before="0" w:after="0" w:line="360" w:lineRule="auto"/>
        <w:rPr>
          <w:rFonts w:hint="eastAsia" w:ascii="宋体" w:hAnsi="宋体" w:eastAsia="宋体" w:cs="宋体"/>
          <w:bCs w:val="0"/>
          <w:color w:val="auto"/>
          <w:sz w:val="24"/>
          <w:szCs w:val="24"/>
          <w:highlight w:val="none"/>
        </w:rPr>
      </w:pPr>
      <w:bookmarkStart w:id="8" w:name="_Toc15064"/>
      <w:r>
        <w:rPr>
          <w:rFonts w:hint="eastAsia" w:ascii="宋体" w:hAnsi="宋体" w:eastAsia="宋体" w:cs="宋体"/>
          <w:bCs w:val="0"/>
          <w:color w:val="auto"/>
          <w:sz w:val="24"/>
          <w:szCs w:val="24"/>
          <w:highlight w:val="none"/>
        </w:rPr>
        <w:t>一、项目基本情况</w:t>
      </w:r>
      <w:bookmarkEnd w:id="2"/>
      <w:bookmarkEnd w:id="3"/>
      <w:bookmarkEnd w:id="4"/>
      <w:bookmarkEnd w:id="5"/>
      <w:bookmarkEnd w:id="6"/>
      <w:bookmarkEnd w:id="8"/>
    </w:p>
    <w:p w14:paraId="2E6E0446">
      <w:pPr>
        <w:widowControl w:val="0"/>
        <w:spacing w:line="360" w:lineRule="auto"/>
        <w:ind w:firstLine="480" w:firstLineChars="200"/>
        <w:jc w:val="both"/>
        <w:rPr>
          <w:rFonts w:hint="eastAsia" w:ascii="宋体" w:hAnsi="宋体" w:eastAsia="宋体" w:cs="宋体"/>
          <w:color w:val="auto"/>
          <w:sz w:val="24"/>
          <w:szCs w:val="24"/>
          <w:highlight w:val="yellow"/>
          <w:lang w:eastAsia="zh-CN"/>
        </w:rPr>
      </w:pPr>
      <w:r>
        <w:rPr>
          <w:rFonts w:hint="eastAsia" w:ascii="宋体" w:hAnsi="宋体" w:cs="宋体"/>
          <w:color w:val="auto"/>
          <w:kern w:val="2"/>
          <w:sz w:val="24"/>
          <w:szCs w:val="24"/>
          <w:highlight w:val="none"/>
          <w:lang w:bidi="ar"/>
        </w:rPr>
        <w:t>项目编号：</w:t>
      </w:r>
      <w:r>
        <w:rPr>
          <w:rFonts w:hint="eastAsia" w:ascii="宋体" w:hAnsi="宋体" w:cs="宋体"/>
          <w:color w:val="auto"/>
          <w:kern w:val="2"/>
          <w:sz w:val="24"/>
          <w:szCs w:val="24"/>
          <w:highlight w:val="none"/>
          <w:lang w:eastAsia="zh-CN" w:bidi="ar"/>
        </w:rPr>
        <w:t>KMZC2026-G1-00924-YYZX-0233</w:t>
      </w:r>
    </w:p>
    <w:p w14:paraId="4CA1D855">
      <w:pPr>
        <w:widowControl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cs="宋体"/>
          <w:color w:val="auto"/>
          <w:kern w:val="2"/>
          <w:sz w:val="24"/>
          <w:szCs w:val="24"/>
          <w:highlight w:val="none"/>
          <w:lang w:bidi="ar"/>
        </w:rPr>
        <w:t>项目名称：</w:t>
      </w:r>
      <w:r>
        <w:rPr>
          <w:rFonts w:hint="eastAsia" w:ascii="宋体" w:hAnsi="宋体" w:cs="宋体"/>
          <w:color w:val="auto"/>
          <w:kern w:val="2"/>
          <w:sz w:val="24"/>
          <w:szCs w:val="24"/>
          <w:highlight w:val="none"/>
          <w:lang w:eastAsia="zh-CN" w:bidi="ar"/>
        </w:rPr>
        <w:t>2026年昆明市延安医院病理设备采购项目（二次）</w:t>
      </w:r>
    </w:p>
    <w:bookmarkEnd w:id="7"/>
    <w:p w14:paraId="332E0E26">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预算金额</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val="en-US" w:eastAsia="zh-CN" w:bidi="ar"/>
        </w:rPr>
        <w:t>元</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bidi="ar"/>
        </w:rPr>
        <w:t>：</w:t>
      </w:r>
      <w:r>
        <w:rPr>
          <w:rFonts w:hint="eastAsia" w:ascii="宋体" w:hAnsi="宋体" w:cs="宋体"/>
          <w:color w:val="auto"/>
          <w:kern w:val="2"/>
          <w:sz w:val="24"/>
          <w:szCs w:val="24"/>
          <w:highlight w:val="none"/>
          <w:lang w:val="en-US" w:eastAsia="zh-CN" w:bidi="ar"/>
        </w:rPr>
        <w:t>390000.00</w:t>
      </w:r>
      <w:r>
        <w:rPr>
          <w:rFonts w:hint="eastAsia" w:ascii="宋体" w:hAnsi="宋体" w:cs="宋体"/>
          <w:color w:val="auto"/>
          <w:kern w:val="2"/>
          <w:sz w:val="24"/>
          <w:szCs w:val="24"/>
          <w:highlight w:val="none"/>
        </w:rPr>
        <w:t>元。其中：</w:t>
      </w: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rPr>
        <w:t>标段：</w:t>
      </w:r>
      <w:r>
        <w:rPr>
          <w:rFonts w:hint="eastAsia" w:ascii="宋体" w:hAnsi="宋体" w:cs="宋体"/>
          <w:color w:val="auto"/>
          <w:kern w:val="2"/>
          <w:sz w:val="24"/>
          <w:szCs w:val="24"/>
          <w:highlight w:val="none"/>
          <w:lang w:val="en-US" w:eastAsia="zh-CN"/>
        </w:rPr>
        <w:t>110000.00</w:t>
      </w:r>
      <w:r>
        <w:rPr>
          <w:rFonts w:hint="eastAsia" w:ascii="宋体" w:hAnsi="宋体" w:cs="宋体"/>
          <w:color w:val="auto"/>
          <w:kern w:val="2"/>
          <w:sz w:val="24"/>
          <w:szCs w:val="24"/>
          <w:highlight w:val="none"/>
        </w:rPr>
        <w:t>元；</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rPr>
        <w:t>标段：</w:t>
      </w:r>
      <w:r>
        <w:rPr>
          <w:rFonts w:hint="eastAsia" w:ascii="宋体" w:hAnsi="宋体" w:cs="宋体"/>
          <w:color w:val="auto"/>
          <w:kern w:val="2"/>
          <w:sz w:val="24"/>
          <w:szCs w:val="24"/>
          <w:highlight w:val="none"/>
          <w:lang w:val="en-US" w:eastAsia="zh-CN"/>
        </w:rPr>
        <w:t>160000.00</w:t>
      </w:r>
      <w:r>
        <w:rPr>
          <w:rFonts w:hint="eastAsia" w:ascii="宋体" w:hAnsi="宋体" w:cs="宋体"/>
          <w:color w:val="auto"/>
          <w:kern w:val="2"/>
          <w:sz w:val="24"/>
          <w:szCs w:val="24"/>
          <w:highlight w:val="none"/>
        </w:rPr>
        <w:t>元；</w:t>
      </w:r>
      <w:r>
        <w:rPr>
          <w:rFonts w:hint="eastAsia" w:ascii="宋体" w:hAnsi="宋体" w:cs="宋体"/>
          <w:color w:val="auto"/>
          <w:kern w:val="2"/>
          <w:sz w:val="24"/>
          <w:szCs w:val="24"/>
          <w:highlight w:val="none"/>
          <w:lang w:val="en-US" w:eastAsia="zh-CN"/>
        </w:rPr>
        <w:t>4</w:t>
      </w:r>
      <w:r>
        <w:rPr>
          <w:rFonts w:hint="eastAsia" w:ascii="宋体" w:hAnsi="宋体" w:cs="宋体"/>
          <w:color w:val="auto"/>
          <w:kern w:val="2"/>
          <w:sz w:val="24"/>
          <w:szCs w:val="24"/>
          <w:highlight w:val="none"/>
        </w:rPr>
        <w:t>标段：</w:t>
      </w:r>
      <w:r>
        <w:rPr>
          <w:rFonts w:hint="eastAsia" w:ascii="宋体" w:hAnsi="宋体" w:cs="宋体"/>
          <w:color w:val="auto"/>
          <w:kern w:val="2"/>
          <w:sz w:val="24"/>
          <w:szCs w:val="24"/>
          <w:highlight w:val="none"/>
          <w:lang w:val="en-US" w:eastAsia="zh-CN"/>
        </w:rPr>
        <w:t>120000.00</w:t>
      </w:r>
      <w:r>
        <w:rPr>
          <w:rFonts w:hint="eastAsia" w:ascii="宋体" w:hAnsi="宋体" w:cs="宋体"/>
          <w:color w:val="auto"/>
          <w:kern w:val="2"/>
          <w:sz w:val="24"/>
          <w:szCs w:val="24"/>
          <w:highlight w:val="none"/>
        </w:rPr>
        <w:t>元。</w:t>
      </w:r>
    </w:p>
    <w:p w14:paraId="45A69FB7">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最高限价</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val="en-US" w:eastAsia="zh-CN" w:bidi="ar"/>
        </w:rPr>
        <w:t>元</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bidi="ar"/>
        </w:rPr>
        <w:t>：</w:t>
      </w:r>
      <w:r>
        <w:rPr>
          <w:rFonts w:hint="eastAsia" w:ascii="宋体" w:hAnsi="宋体" w:cs="宋体"/>
          <w:color w:val="auto"/>
          <w:kern w:val="2"/>
          <w:sz w:val="24"/>
          <w:szCs w:val="24"/>
          <w:highlight w:val="none"/>
          <w:lang w:val="en-US" w:eastAsia="zh-CN" w:bidi="ar"/>
        </w:rPr>
        <w:t>365700.00</w:t>
      </w:r>
      <w:r>
        <w:rPr>
          <w:rFonts w:hint="eastAsia" w:ascii="宋体" w:hAnsi="宋体" w:cs="宋体"/>
          <w:color w:val="auto"/>
          <w:kern w:val="2"/>
          <w:sz w:val="24"/>
          <w:szCs w:val="24"/>
          <w:highlight w:val="none"/>
        </w:rPr>
        <w:t>元。其中：</w:t>
      </w: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rPr>
        <w:t>标段：984</w:t>
      </w:r>
      <w:r>
        <w:rPr>
          <w:rFonts w:hint="eastAsia" w:ascii="宋体" w:hAnsi="宋体" w:cs="宋体"/>
          <w:color w:val="auto"/>
          <w:kern w:val="2"/>
          <w:sz w:val="24"/>
          <w:szCs w:val="24"/>
          <w:highlight w:val="none"/>
          <w:lang w:val="en-US" w:eastAsia="zh-CN"/>
        </w:rPr>
        <w:t>00.00</w:t>
      </w:r>
      <w:r>
        <w:rPr>
          <w:rFonts w:hint="eastAsia" w:ascii="宋体" w:hAnsi="宋体" w:cs="宋体"/>
          <w:color w:val="auto"/>
          <w:kern w:val="2"/>
          <w:sz w:val="24"/>
          <w:szCs w:val="24"/>
          <w:highlight w:val="none"/>
        </w:rPr>
        <w:t>元；</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rPr>
        <w:t>标段：1515</w:t>
      </w:r>
      <w:r>
        <w:rPr>
          <w:rFonts w:hint="eastAsia" w:ascii="宋体" w:hAnsi="宋体" w:cs="宋体"/>
          <w:color w:val="auto"/>
          <w:kern w:val="2"/>
          <w:sz w:val="24"/>
          <w:szCs w:val="24"/>
          <w:highlight w:val="none"/>
          <w:lang w:val="en-US" w:eastAsia="zh-CN"/>
        </w:rPr>
        <w:t>00.00</w:t>
      </w:r>
      <w:r>
        <w:rPr>
          <w:rFonts w:hint="eastAsia" w:ascii="宋体" w:hAnsi="宋体" w:cs="宋体"/>
          <w:color w:val="auto"/>
          <w:kern w:val="2"/>
          <w:sz w:val="24"/>
          <w:szCs w:val="24"/>
          <w:highlight w:val="none"/>
        </w:rPr>
        <w:t>元；</w:t>
      </w:r>
      <w:r>
        <w:rPr>
          <w:rFonts w:hint="eastAsia" w:ascii="宋体" w:hAnsi="宋体" w:cs="宋体"/>
          <w:color w:val="auto"/>
          <w:kern w:val="2"/>
          <w:sz w:val="24"/>
          <w:szCs w:val="24"/>
          <w:highlight w:val="none"/>
          <w:lang w:val="en-US" w:eastAsia="zh-CN"/>
        </w:rPr>
        <w:t>4</w:t>
      </w:r>
      <w:r>
        <w:rPr>
          <w:rFonts w:hint="eastAsia" w:ascii="宋体" w:hAnsi="宋体" w:cs="宋体"/>
          <w:color w:val="auto"/>
          <w:kern w:val="2"/>
          <w:sz w:val="24"/>
          <w:szCs w:val="24"/>
          <w:highlight w:val="none"/>
        </w:rPr>
        <w:t>标段：1158</w:t>
      </w:r>
      <w:r>
        <w:rPr>
          <w:rFonts w:hint="eastAsia" w:ascii="宋体" w:hAnsi="宋体" w:cs="宋体"/>
          <w:color w:val="auto"/>
          <w:kern w:val="2"/>
          <w:sz w:val="24"/>
          <w:szCs w:val="24"/>
          <w:highlight w:val="none"/>
          <w:lang w:val="en-US" w:eastAsia="zh-CN"/>
        </w:rPr>
        <w:t>00.00</w:t>
      </w:r>
      <w:r>
        <w:rPr>
          <w:rFonts w:hint="eastAsia" w:ascii="宋体" w:hAnsi="宋体" w:cs="宋体"/>
          <w:color w:val="auto"/>
          <w:kern w:val="2"/>
          <w:sz w:val="24"/>
          <w:szCs w:val="24"/>
          <w:highlight w:val="none"/>
        </w:rPr>
        <w:t>元。</w:t>
      </w:r>
    </w:p>
    <w:p w14:paraId="42AE655E">
      <w:pPr>
        <w:pStyle w:val="4"/>
        <w:spacing w:line="360" w:lineRule="auto"/>
        <w:ind w:firstLine="480" w:firstLineChars="200"/>
        <w:rPr>
          <w:rFonts w:hint="eastAsia" w:ascii="宋体" w:hAnsi="宋体" w:cs="宋体"/>
          <w:color w:val="auto"/>
          <w:kern w:val="2"/>
          <w:sz w:val="24"/>
          <w:szCs w:val="24"/>
          <w:highlight w:val="yellow"/>
          <w:lang w:bidi="ar"/>
        </w:rPr>
      </w:pPr>
      <w:r>
        <w:rPr>
          <w:rFonts w:hint="eastAsia" w:ascii="宋体" w:hAnsi="宋体" w:cs="宋体"/>
          <w:color w:val="auto"/>
          <w:kern w:val="2"/>
          <w:sz w:val="24"/>
          <w:szCs w:val="24"/>
          <w:highlight w:val="none"/>
          <w:lang w:bidi="ar"/>
        </w:rPr>
        <w:t>采购需求：</w:t>
      </w:r>
      <w:r>
        <w:rPr>
          <w:rFonts w:hint="eastAsia" w:hAnsi="宋体" w:cs="宋体"/>
          <w:color w:val="auto"/>
          <w:kern w:val="2"/>
          <w:sz w:val="24"/>
          <w:szCs w:val="24"/>
          <w:highlight w:val="none"/>
          <w:lang w:eastAsia="zh-CN" w:bidi="ar"/>
        </w:rPr>
        <w:t>2026年昆明市延安医院病理设备采购项目（二次）</w:t>
      </w:r>
      <w:r>
        <w:rPr>
          <w:rFonts w:hint="eastAsia" w:ascii="宋体" w:hAnsi="宋体" w:cs="宋体"/>
          <w:color w:val="auto"/>
          <w:kern w:val="2"/>
          <w:sz w:val="24"/>
          <w:szCs w:val="24"/>
          <w:highlight w:val="none"/>
          <w:lang w:bidi="ar"/>
        </w:rPr>
        <w:t>，标段</w:t>
      </w:r>
      <w:r>
        <w:rPr>
          <w:rFonts w:hint="eastAsia" w:ascii="宋体" w:hAnsi="宋体" w:cs="宋体"/>
          <w:color w:val="auto"/>
          <w:kern w:val="2"/>
          <w:sz w:val="24"/>
          <w:szCs w:val="24"/>
          <w:highlight w:val="none"/>
          <w:lang w:val="en-US" w:eastAsia="zh-CN" w:bidi="ar"/>
        </w:rPr>
        <w:t>2</w:t>
      </w:r>
      <w:r>
        <w:rPr>
          <w:rFonts w:hint="eastAsia" w:ascii="宋体" w:hAnsi="宋体" w:cs="宋体"/>
          <w:color w:val="auto"/>
          <w:kern w:val="2"/>
          <w:sz w:val="24"/>
          <w:szCs w:val="24"/>
          <w:highlight w:val="none"/>
          <w:lang w:bidi="ar"/>
        </w:rPr>
        <w:t>：智能控制安全型冷藏标本柜</w:t>
      </w:r>
      <w:r>
        <w:rPr>
          <w:rFonts w:hint="eastAsia" w:ascii="宋体" w:hAnsi="宋体" w:cs="宋体"/>
          <w:color w:val="auto"/>
          <w:kern w:val="2"/>
          <w:sz w:val="24"/>
          <w:szCs w:val="24"/>
          <w:highlight w:val="none"/>
          <w:lang w:val="en-US" w:eastAsia="zh-CN" w:bidi="ar"/>
        </w:rPr>
        <w:t>2</w:t>
      </w:r>
      <w:r>
        <w:rPr>
          <w:rFonts w:hint="eastAsia" w:ascii="宋体" w:hAnsi="宋体" w:cs="宋体"/>
          <w:color w:val="auto"/>
          <w:kern w:val="2"/>
          <w:sz w:val="24"/>
          <w:szCs w:val="24"/>
          <w:highlight w:val="none"/>
          <w:lang w:bidi="ar"/>
        </w:rPr>
        <w:t>套</w:t>
      </w:r>
      <w:r>
        <w:rPr>
          <w:rFonts w:hint="eastAsia" w:ascii="宋体" w:hAnsi="宋体" w:cs="宋体"/>
          <w:color w:val="auto"/>
          <w:kern w:val="2"/>
          <w:sz w:val="24"/>
          <w:szCs w:val="24"/>
          <w:highlight w:val="none"/>
          <w:lang w:eastAsia="zh-CN" w:bidi="ar"/>
        </w:rPr>
        <w:t>（</w:t>
      </w:r>
      <w:r>
        <w:rPr>
          <w:rFonts w:hint="eastAsia" w:ascii="宋体" w:hAnsi="宋体" w:eastAsia="宋体" w:cs="宋体"/>
          <w:color w:val="auto"/>
          <w:sz w:val="24"/>
          <w:szCs w:val="24"/>
          <w:highlight w:val="none"/>
          <w:lang w:eastAsia="zh-CN"/>
        </w:rPr>
        <w:t>冷藏标本柜搭载云管理平台，可远程查看柜内温度，当柜内温度异常手机端自动提示报警</w:t>
      </w:r>
      <w:r>
        <w:rPr>
          <w:rFonts w:hint="eastAsia" w:ascii="宋体" w:hAnsi="宋体" w:eastAsia="宋体" w:cs="宋体"/>
          <w:color w:val="auto"/>
          <w:sz w:val="24"/>
          <w:szCs w:val="24"/>
          <w:highlight w:val="none"/>
          <w:lang w:val="en-US" w:eastAsia="zh-CN"/>
        </w:rPr>
        <w:t>等</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bidi="ar"/>
        </w:rPr>
        <w:t>标段</w:t>
      </w:r>
      <w:r>
        <w:rPr>
          <w:rFonts w:hint="eastAsia" w:ascii="宋体" w:hAnsi="宋体" w:cs="宋体"/>
          <w:color w:val="auto"/>
          <w:kern w:val="2"/>
          <w:sz w:val="24"/>
          <w:szCs w:val="24"/>
          <w:highlight w:val="none"/>
          <w:lang w:val="en-US" w:eastAsia="zh-CN" w:bidi="ar"/>
        </w:rPr>
        <w:t>3</w:t>
      </w:r>
      <w:r>
        <w:rPr>
          <w:rFonts w:hint="eastAsia" w:ascii="宋体" w:hAnsi="宋体" w:cs="宋体"/>
          <w:color w:val="auto"/>
          <w:kern w:val="2"/>
          <w:sz w:val="24"/>
          <w:szCs w:val="24"/>
          <w:highlight w:val="none"/>
          <w:lang w:bidi="ar"/>
        </w:rPr>
        <w:t>：石蜡切片机</w:t>
      </w:r>
      <w:r>
        <w:rPr>
          <w:rFonts w:hint="eastAsia" w:ascii="宋体" w:hAnsi="宋体" w:cs="宋体"/>
          <w:color w:val="auto"/>
          <w:kern w:val="2"/>
          <w:sz w:val="24"/>
          <w:szCs w:val="24"/>
          <w:highlight w:val="none"/>
          <w:lang w:val="en-US" w:eastAsia="zh-CN" w:bidi="ar"/>
        </w:rPr>
        <w:t>1</w:t>
      </w:r>
      <w:r>
        <w:rPr>
          <w:rFonts w:hint="eastAsia" w:ascii="宋体" w:hAnsi="宋体" w:cs="宋体"/>
          <w:color w:val="auto"/>
          <w:kern w:val="2"/>
          <w:sz w:val="24"/>
          <w:szCs w:val="24"/>
          <w:highlight w:val="none"/>
          <w:lang w:bidi="ar"/>
        </w:rPr>
        <w:t>套</w:t>
      </w:r>
      <w:r>
        <w:rPr>
          <w:rFonts w:hint="eastAsia" w:ascii="宋体" w:hAnsi="宋体" w:cs="宋体"/>
          <w:color w:val="auto"/>
          <w:kern w:val="2"/>
          <w:sz w:val="24"/>
          <w:szCs w:val="24"/>
          <w:highlight w:val="none"/>
          <w:lang w:eastAsia="zh-CN" w:bidi="ar"/>
        </w:rPr>
        <w:t>（</w:t>
      </w:r>
      <w:r>
        <w:rPr>
          <w:rFonts w:hint="eastAsia" w:ascii="宋体" w:hAnsi="宋体" w:eastAsia="宋体" w:cs="宋体"/>
          <w:b w:val="0"/>
          <w:bCs/>
          <w:color w:val="auto"/>
          <w:sz w:val="24"/>
          <w:szCs w:val="24"/>
          <w:highlight w:val="none"/>
          <w:lang w:eastAsia="zh-CN"/>
        </w:rPr>
        <w:t>回缩调节范围：0—100μm 0为关闭；断层间隔跨度：10—6000μm</w:t>
      </w:r>
      <w:r>
        <w:rPr>
          <w:rFonts w:hint="eastAsia" w:ascii="宋体" w:hAnsi="宋体" w:eastAsia="宋体" w:cs="宋体"/>
          <w:color w:val="auto"/>
          <w:sz w:val="24"/>
          <w:szCs w:val="24"/>
          <w:highlight w:val="none"/>
          <w:lang w:val="en-US" w:eastAsia="zh-CN"/>
        </w:rPr>
        <w:t>等</w:t>
      </w:r>
      <w:r>
        <w:rPr>
          <w:rFonts w:hint="eastAsia" w:ascii="宋体" w:hAnsi="宋体" w:cs="宋体"/>
          <w:color w:val="auto"/>
          <w:kern w:val="2"/>
          <w:sz w:val="24"/>
          <w:szCs w:val="24"/>
          <w:highlight w:val="none"/>
          <w:lang w:eastAsia="zh-CN" w:bidi="ar"/>
        </w:rPr>
        <w:t>）。</w:t>
      </w:r>
      <w:r>
        <w:rPr>
          <w:rFonts w:hint="eastAsia" w:ascii="宋体" w:hAnsi="宋体" w:eastAsia="宋体" w:cs="宋体"/>
          <w:color w:val="auto"/>
          <w:spacing w:val="-3"/>
          <w:sz w:val="24"/>
          <w:szCs w:val="24"/>
          <w:highlight w:val="none"/>
        </w:rPr>
        <w:t>标段</w:t>
      </w:r>
      <w:r>
        <w:rPr>
          <w:rFonts w:hint="eastAsia" w:ascii="宋体" w:hAnsi="宋体" w:eastAsia="宋体" w:cs="宋体"/>
          <w:color w:val="auto"/>
          <w:spacing w:val="-3"/>
          <w:sz w:val="24"/>
          <w:szCs w:val="24"/>
          <w:highlight w:val="none"/>
          <w:lang w:val="en-US" w:eastAsia="zh-CN"/>
        </w:rPr>
        <w:t>4</w:t>
      </w:r>
      <w:r>
        <w:rPr>
          <w:rFonts w:hint="eastAsia" w:ascii="宋体" w:hAnsi="宋体" w:eastAsia="宋体" w:cs="宋体"/>
          <w:color w:val="auto"/>
          <w:spacing w:val="-3"/>
          <w:sz w:val="24"/>
          <w:szCs w:val="24"/>
          <w:highlight w:val="none"/>
        </w:rPr>
        <w:t>：包埋机</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rPr>
        <w:t>套</w:t>
      </w:r>
      <w:r>
        <w:rPr>
          <w:rFonts w:hint="eastAsia" w:ascii="宋体" w:hAnsi="宋体" w:eastAsia="宋体" w:cs="宋体"/>
          <w:color w:val="auto"/>
          <w:spacing w:val="-3"/>
          <w:sz w:val="24"/>
          <w:szCs w:val="24"/>
          <w:highlight w:val="none"/>
          <w:lang w:eastAsia="zh-CN"/>
        </w:rPr>
        <w:t>（</w:t>
      </w:r>
      <w:r>
        <w:rPr>
          <w:rFonts w:hint="eastAsia" w:ascii="宋体" w:hAnsi="宋体" w:eastAsia="宋体" w:cs="宋体"/>
          <w:b w:val="0"/>
          <w:bCs/>
          <w:color w:val="auto"/>
          <w:sz w:val="24"/>
          <w:szCs w:val="24"/>
          <w:highlight w:val="none"/>
        </w:rPr>
        <w:t>蜡缸配有液位感应提示装置，支持蜡缸快速加热模式</w:t>
      </w:r>
      <w:r>
        <w:rPr>
          <w:rFonts w:hint="eastAsia" w:ascii="宋体" w:hAnsi="宋体" w:eastAsia="宋体" w:cs="宋体"/>
          <w:color w:val="auto"/>
          <w:sz w:val="24"/>
          <w:szCs w:val="24"/>
          <w:highlight w:val="none"/>
          <w:lang w:val="en-US" w:eastAsia="zh-CN"/>
        </w:rPr>
        <w:t>等</w:t>
      </w:r>
      <w:r>
        <w:rPr>
          <w:rFonts w:hint="eastAsia" w:ascii="宋体" w:hAnsi="宋体" w:cs="宋体"/>
          <w:color w:val="auto"/>
          <w:kern w:val="2"/>
          <w:sz w:val="24"/>
          <w:szCs w:val="24"/>
          <w:highlight w:val="none"/>
          <w:lang w:eastAsia="zh-CN" w:bidi="ar"/>
        </w:rPr>
        <w:t>）。</w:t>
      </w:r>
    </w:p>
    <w:tbl>
      <w:tblPr>
        <w:tblStyle w:val="6"/>
        <w:tblW w:w="48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736"/>
        <w:gridCol w:w="1032"/>
        <w:gridCol w:w="3936"/>
        <w:gridCol w:w="626"/>
        <w:gridCol w:w="721"/>
        <w:gridCol w:w="1701"/>
      </w:tblGrid>
      <w:tr w14:paraId="5028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1" w:type="pct"/>
            <w:noWrap/>
            <w:vAlign w:val="center"/>
          </w:tcPr>
          <w:p w14:paraId="6D902C80">
            <w:pPr>
              <w:widowControl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标段</w:t>
            </w:r>
          </w:p>
        </w:tc>
        <w:tc>
          <w:tcPr>
            <w:tcW w:w="386" w:type="pct"/>
            <w:noWrap/>
            <w:vAlign w:val="center"/>
          </w:tcPr>
          <w:p w14:paraId="5F2D15B2">
            <w:pPr>
              <w:widowControl w:val="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542" w:type="pct"/>
            <w:noWrap/>
            <w:vAlign w:val="center"/>
          </w:tcPr>
          <w:p w14:paraId="16F739C4">
            <w:pPr>
              <w:widowControl w:val="0"/>
              <w:jc w:val="center"/>
              <w:rPr>
                <w:rFonts w:hint="eastAsia" w:ascii="宋体" w:hAnsi="宋体" w:eastAsia="宋体" w:cs="宋体"/>
                <w:b/>
                <w:bCs/>
                <w:color w:val="auto"/>
                <w:sz w:val="24"/>
                <w:szCs w:val="24"/>
                <w:highlight w:val="none"/>
                <w:lang w:eastAsia="en-US"/>
              </w:rPr>
            </w:pPr>
            <w:r>
              <w:rPr>
                <w:rFonts w:hint="eastAsia" w:ascii="宋体" w:hAnsi="宋体" w:eastAsia="宋体" w:cs="宋体"/>
                <w:b/>
                <w:bCs/>
                <w:color w:val="auto"/>
                <w:sz w:val="24"/>
                <w:szCs w:val="24"/>
                <w:highlight w:val="none"/>
                <w:lang w:eastAsia="en-US"/>
              </w:rPr>
              <w:t>是否</w:t>
            </w:r>
            <w:r>
              <w:rPr>
                <w:rFonts w:hint="eastAsia" w:ascii="宋体" w:hAnsi="宋体" w:eastAsia="宋体" w:cs="宋体"/>
                <w:b/>
                <w:bCs/>
                <w:color w:val="auto"/>
                <w:sz w:val="24"/>
                <w:szCs w:val="24"/>
                <w:highlight w:val="none"/>
              </w:rPr>
              <w:t>允许</w:t>
            </w:r>
            <w:r>
              <w:rPr>
                <w:rFonts w:hint="eastAsia" w:ascii="宋体" w:hAnsi="宋体" w:eastAsia="宋体" w:cs="宋体"/>
                <w:b/>
                <w:bCs/>
                <w:color w:val="auto"/>
                <w:sz w:val="24"/>
                <w:szCs w:val="24"/>
                <w:highlight w:val="none"/>
                <w:lang w:eastAsia="en-US"/>
              </w:rPr>
              <w:t>进口</w:t>
            </w:r>
          </w:p>
        </w:tc>
        <w:tc>
          <w:tcPr>
            <w:tcW w:w="2068" w:type="pct"/>
            <w:noWrap/>
            <w:vAlign w:val="center"/>
          </w:tcPr>
          <w:p w14:paraId="412D57BD">
            <w:pPr>
              <w:widowControl w:val="0"/>
              <w:jc w:val="center"/>
              <w:rPr>
                <w:rFonts w:hint="eastAsia" w:ascii="宋体" w:hAnsi="宋体" w:eastAsia="宋体" w:cs="宋体"/>
                <w:b/>
                <w:bCs/>
                <w:color w:val="auto"/>
                <w:sz w:val="24"/>
                <w:szCs w:val="24"/>
                <w:highlight w:val="none"/>
                <w:lang w:eastAsia="en-US"/>
              </w:rPr>
            </w:pPr>
            <w:r>
              <w:rPr>
                <w:rFonts w:hint="eastAsia" w:ascii="宋体" w:hAnsi="宋体" w:eastAsia="宋体" w:cs="宋体"/>
                <w:b/>
                <w:bCs/>
                <w:color w:val="auto"/>
                <w:sz w:val="24"/>
                <w:szCs w:val="24"/>
                <w:highlight w:val="none"/>
              </w:rPr>
              <w:t>项目名称</w:t>
            </w:r>
          </w:p>
        </w:tc>
        <w:tc>
          <w:tcPr>
            <w:tcW w:w="328" w:type="pct"/>
            <w:noWrap/>
            <w:vAlign w:val="center"/>
          </w:tcPr>
          <w:p w14:paraId="3C71D618">
            <w:pPr>
              <w:widowControl w:val="0"/>
              <w:jc w:val="center"/>
              <w:rPr>
                <w:rFonts w:hint="eastAsia" w:ascii="宋体" w:hAnsi="宋体" w:eastAsia="宋体" w:cs="宋体"/>
                <w:b/>
                <w:bCs/>
                <w:color w:val="auto"/>
                <w:sz w:val="24"/>
                <w:szCs w:val="24"/>
                <w:highlight w:val="none"/>
                <w:lang w:eastAsia="en-US"/>
              </w:rPr>
            </w:pPr>
            <w:r>
              <w:rPr>
                <w:rFonts w:hint="eastAsia" w:ascii="宋体" w:hAnsi="宋体" w:eastAsia="宋体" w:cs="宋体"/>
                <w:b/>
                <w:bCs/>
                <w:color w:val="auto"/>
                <w:sz w:val="24"/>
                <w:szCs w:val="24"/>
                <w:highlight w:val="none"/>
              </w:rPr>
              <w:t>数量</w:t>
            </w:r>
          </w:p>
        </w:tc>
        <w:tc>
          <w:tcPr>
            <w:tcW w:w="378" w:type="pct"/>
            <w:noWrap/>
            <w:vAlign w:val="center"/>
          </w:tcPr>
          <w:p w14:paraId="4E891643">
            <w:pPr>
              <w:widowControl w:val="0"/>
              <w:jc w:val="center"/>
              <w:rPr>
                <w:rFonts w:hint="eastAsia" w:ascii="宋体" w:hAnsi="宋体" w:eastAsia="宋体" w:cs="宋体"/>
                <w:b/>
                <w:bCs/>
                <w:color w:val="auto"/>
                <w:sz w:val="24"/>
                <w:szCs w:val="24"/>
                <w:highlight w:val="none"/>
                <w:lang w:eastAsia="en-US"/>
              </w:rPr>
            </w:pPr>
            <w:r>
              <w:rPr>
                <w:rFonts w:hint="eastAsia" w:ascii="宋体" w:hAnsi="宋体" w:eastAsia="宋体" w:cs="宋体"/>
                <w:b/>
                <w:bCs/>
                <w:color w:val="auto"/>
                <w:sz w:val="24"/>
                <w:szCs w:val="24"/>
                <w:highlight w:val="none"/>
              </w:rPr>
              <w:t>计量单位</w:t>
            </w:r>
          </w:p>
        </w:tc>
        <w:tc>
          <w:tcPr>
            <w:tcW w:w="893" w:type="pct"/>
            <w:noWrap/>
            <w:vAlign w:val="center"/>
          </w:tcPr>
          <w:p w14:paraId="259FB5FE">
            <w:pPr>
              <w:widowControl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最高单价限价</w:t>
            </w:r>
          </w:p>
          <w:p w14:paraId="702E0CF1">
            <w:pPr>
              <w:widowControl w:val="0"/>
              <w:jc w:val="center"/>
              <w:rPr>
                <w:rFonts w:hint="eastAsia" w:ascii="宋体" w:hAnsi="宋体" w:eastAsia="宋体" w:cs="宋体"/>
                <w:b/>
                <w:bCs/>
                <w:color w:val="auto"/>
                <w:sz w:val="24"/>
                <w:szCs w:val="24"/>
                <w:highlight w:val="none"/>
                <w:lang w:eastAsia="en-US"/>
              </w:rPr>
            </w:pPr>
            <w:r>
              <w:rPr>
                <w:rFonts w:hint="eastAsia" w:ascii="宋体" w:hAnsi="宋体" w:eastAsia="宋体" w:cs="宋体"/>
                <w:b/>
                <w:bCs/>
                <w:color w:val="auto"/>
                <w:sz w:val="24"/>
                <w:szCs w:val="24"/>
                <w:highlight w:val="none"/>
              </w:rPr>
              <w:t>(万元)</w:t>
            </w:r>
          </w:p>
        </w:tc>
      </w:tr>
      <w:tr w14:paraId="31CF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401" w:type="pct"/>
            <w:noWrap/>
            <w:vAlign w:val="center"/>
          </w:tcPr>
          <w:p w14:paraId="3690E3DE">
            <w:pPr>
              <w:keepNext w:val="0"/>
              <w:keepLines w:val="0"/>
              <w:pageBreakBefore w:val="0"/>
              <w:widowControl w:val="0"/>
              <w:kinsoku/>
              <w:wordWrap/>
              <w:overflowPunct/>
              <w:topLinePunct w:val="0"/>
              <w:autoSpaceDE/>
              <w:autoSpaceDN/>
              <w:bidi/>
              <w:adjustRightInd/>
              <w:snapToGrid/>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86" w:type="pct"/>
            <w:noWrap/>
            <w:vAlign w:val="center"/>
          </w:tcPr>
          <w:p w14:paraId="4A824EF2">
            <w:pPr>
              <w:keepNext w:val="0"/>
              <w:keepLines w:val="0"/>
              <w:pageBreakBefore w:val="0"/>
              <w:widowControl w:val="0"/>
              <w:kinsoku/>
              <w:wordWrap/>
              <w:overflowPunct/>
              <w:topLinePunct w:val="0"/>
              <w:autoSpaceDE/>
              <w:autoSpaceDN/>
              <w:bidi/>
              <w:adjustRightInd/>
              <w:snapToGrid/>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42" w:type="pct"/>
            <w:noWrap/>
            <w:vAlign w:val="center"/>
          </w:tcPr>
          <w:p w14:paraId="5619824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c>
          <w:tcPr>
            <w:tcW w:w="2068" w:type="pct"/>
            <w:noWrap/>
            <w:vAlign w:val="center"/>
          </w:tcPr>
          <w:p w14:paraId="2EC79B9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智能控制安全型冷藏标本柜</w:t>
            </w:r>
          </w:p>
        </w:tc>
        <w:tc>
          <w:tcPr>
            <w:tcW w:w="328" w:type="pct"/>
            <w:noWrap/>
            <w:vAlign w:val="center"/>
          </w:tcPr>
          <w:p w14:paraId="3ECDAE7F">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78" w:type="pct"/>
            <w:noWrap/>
            <w:vAlign w:val="center"/>
          </w:tcPr>
          <w:p w14:paraId="310505E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893" w:type="pct"/>
            <w:noWrap/>
            <w:vAlign w:val="center"/>
          </w:tcPr>
          <w:p w14:paraId="020FE3B8">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4.92</w:t>
            </w:r>
          </w:p>
        </w:tc>
      </w:tr>
      <w:tr w14:paraId="4D46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401" w:type="pct"/>
            <w:noWrap/>
            <w:vAlign w:val="center"/>
          </w:tcPr>
          <w:p w14:paraId="1BFDE25D">
            <w:pPr>
              <w:keepNext w:val="0"/>
              <w:keepLines w:val="0"/>
              <w:pageBreakBefore w:val="0"/>
              <w:widowControl w:val="0"/>
              <w:kinsoku/>
              <w:wordWrap/>
              <w:overflowPunct/>
              <w:topLinePunct w:val="0"/>
              <w:autoSpaceDE/>
              <w:autoSpaceDN/>
              <w:bidi/>
              <w:adjustRightInd/>
              <w:snapToGrid/>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86" w:type="pct"/>
            <w:noWrap/>
            <w:vAlign w:val="center"/>
          </w:tcPr>
          <w:p w14:paraId="4E2BF755">
            <w:pPr>
              <w:keepNext w:val="0"/>
              <w:keepLines w:val="0"/>
              <w:pageBreakBefore w:val="0"/>
              <w:widowControl w:val="0"/>
              <w:kinsoku/>
              <w:wordWrap/>
              <w:overflowPunct/>
              <w:topLinePunct w:val="0"/>
              <w:autoSpaceDE/>
              <w:autoSpaceDN/>
              <w:bidi/>
              <w:adjustRightInd/>
              <w:snapToGrid/>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42" w:type="pct"/>
            <w:noWrap/>
            <w:vAlign w:val="center"/>
          </w:tcPr>
          <w:p w14:paraId="65FC65C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c>
          <w:tcPr>
            <w:tcW w:w="2068" w:type="pct"/>
            <w:noWrap/>
            <w:vAlign w:val="center"/>
          </w:tcPr>
          <w:p w14:paraId="1BD1A28F">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石蜡切片机</w:t>
            </w:r>
          </w:p>
        </w:tc>
        <w:tc>
          <w:tcPr>
            <w:tcW w:w="328" w:type="pct"/>
            <w:noWrap/>
            <w:vAlign w:val="center"/>
          </w:tcPr>
          <w:p w14:paraId="6ED776A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78" w:type="pct"/>
            <w:noWrap/>
            <w:vAlign w:val="center"/>
          </w:tcPr>
          <w:p w14:paraId="388F2BE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893" w:type="pct"/>
            <w:noWrap/>
            <w:vAlign w:val="center"/>
          </w:tcPr>
          <w:p w14:paraId="356DFC89">
            <w:pPr>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15.15</w:t>
            </w:r>
          </w:p>
        </w:tc>
      </w:tr>
      <w:tr w14:paraId="0332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401" w:type="pct"/>
            <w:noWrap/>
            <w:vAlign w:val="center"/>
          </w:tcPr>
          <w:p w14:paraId="667743E4">
            <w:pPr>
              <w:keepNext w:val="0"/>
              <w:keepLines w:val="0"/>
              <w:pageBreakBefore w:val="0"/>
              <w:widowControl w:val="0"/>
              <w:kinsoku/>
              <w:wordWrap/>
              <w:overflowPunct/>
              <w:topLinePunct w:val="0"/>
              <w:autoSpaceDE/>
              <w:autoSpaceDN/>
              <w:bidi/>
              <w:adjustRightInd/>
              <w:snapToGrid/>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86" w:type="pct"/>
            <w:noWrap/>
            <w:vAlign w:val="center"/>
          </w:tcPr>
          <w:p w14:paraId="575C8352">
            <w:pPr>
              <w:keepNext w:val="0"/>
              <w:keepLines w:val="0"/>
              <w:pageBreakBefore w:val="0"/>
              <w:widowControl w:val="0"/>
              <w:kinsoku/>
              <w:wordWrap/>
              <w:overflowPunct/>
              <w:topLinePunct w:val="0"/>
              <w:autoSpaceDE/>
              <w:autoSpaceDN/>
              <w:bidi/>
              <w:adjustRightInd/>
              <w:snapToGrid/>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42" w:type="pct"/>
            <w:noWrap/>
            <w:vAlign w:val="center"/>
          </w:tcPr>
          <w:p w14:paraId="1245EF5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c>
          <w:tcPr>
            <w:tcW w:w="2068" w:type="pct"/>
            <w:noWrap/>
            <w:vAlign w:val="center"/>
          </w:tcPr>
          <w:p w14:paraId="150928D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包埋机</w:t>
            </w:r>
          </w:p>
        </w:tc>
        <w:tc>
          <w:tcPr>
            <w:tcW w:w="328" w:type="pct"/>
            <w:noWrap/>
            <w:vAlign w:val="center"/>
          </w:tcPr>
          <w:p w14:paraId="748EB56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78" w:type="pct"/>
            <w:noWrap/>
            <w:vAlign w:val="center"/>
          </w:tcPr>
          <w:p w14:paraId="167AF37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893" w:type="pct"/>
            <w:noWrap/>
            <w:vAlign w:val="center"/>
          </w:tcPr>
          <w:p w14:paraId="08BACB5F">
            <w:pPr>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11.58</w:t>
            </w:r>
          </w:p>
        </w:tc>
      </w:tr>
    </w:tbl>
    <w:p w14:paraId="34477FED">
      <w:pPr>
        <w:widowControl w:val="0"/>
        <w:tabs>
          <w:tab w:val="left" w:pos="630"/>
        </w:tabs>
        <w:spacing w:line="360" w:lineRule="auto"/>
        <w:ind w:firstLine="480" w:firstLineChars="200"/>
        <w:jc w:val="both"/>
        <w:rPr>
          <w:rFonts w:hint="eastAsia" w:ascii="宋体" w:hAnsi="宋体" w:eastAsia="宋体" w:cs="宋体"/>
          <w:strike w:val="0"/>
          <w:dstrike w:val="0"/>
          <w:color w:val="auto"/>
          <w:kern w:val="2"/>
          <w:sz w:val="24"/>
          <w:szCs w:val="24"/>
          <w:highlight w:val="none"/>
          <w:lang w:val="en-US" w:eastAsia="zh-CN" w:bidi="ar"/>
        </w:rPr>
      </w:pPr>
      <w:r>
        <w:rPr>
          <w:rFonts w:hint="eastAsia" w:ascii="宋体" w:hAnsi="宋体" w:eastAsia="宋体" w:cs="宋体"/>
          <w:strike w:val="0"/>
          <w:dstrike w:val="0"/>
          <w:color w:val="auto"/>
          <w:kern w:val="2"/>
          <w:sz w:val="24"/>
          <w:szCs w:val="24"/>
          <w:highlight w:val="none"/>
          <w:lang w:val="en-US" w:eastAsia="zh-CN" w:bidi="ar"/>
        </w:rPr>
        <w:t>交货期：</w:t>
      </w:r>
      <w:r>
        <w:rPr>
          <w:rFonts w:hint="eastAsia" w:ascii="宋体" w:hAnsi="宋体" w:cs="宋体"/>
          <w:color w:val="auto"/>
          <w:sz w:val="24"/>
          <w:szCs w:val="24"/>
          <w:highlight w:val="none"/>
          <w:lang w:eastAsia="zh-CN"/>
        </w:rPr>
        <w:t>合同签订后30个日历天内完成交货、安装、调试及验收，满足使用条件。</w:t>
      </w:r>
    </w:p>
    <w:p w14:paraId="41B56827">
      <w:pPr>
        <w:spacing w:line="440" w:lineRule="exact"/>
        <w:ind w:firstLine="480" w:firstLineChars="200"/>
        <w:rPr>
          <w:color w:val="auto"/>
          <w:highlight w:val="none"/>
        </w:rPr>
      </w:pPr>
      <w:r>
        <w:rPr>
          <w:rFonts w:hint="eastAsia" w:ascii="宋体" w:hAnsi="宋体" w:cs="宋体"/>
          <w:color w:val="auto"/>
          <w:kern w:val="2"/>
          <w:sz w:val="24"/>
          <w:szCs w:val="24"/>
          <w:highlight w:val="none"/>
          <w:lang w:bidi="ar"/>
        </w:rPr>
        <w:t>合同履行期限：合同签订之日起至质保期限结束为止</w:t>
      </w:r>
      <w:r>
        <w:rPr>
          <w:rFonts w:hint="eastAsia" w:ascii="宋体" w:hAnsi="宋体" w:eastAsia="宋体" w:cs="宋体"/>
          <w:color w:val="auto"/>
          <w:kern w:val="2"/>
          <w:sz w:val="24"/>
          <w:szCs w:val="24"/>
          <w:highlight w:val="none"/>
          <w:lang w:bidi="ar"/>
        </w:rPr>
        <w:t>。</w:t>
      </w:r>
    </w:p>
    <w:p w14:paraId="4A769D10">
      <w:pPr>
        <w:widowControl w:val="0"/>
        <w:spacing w:line="360" w:lineRule="auto"/>
        <w:ind w:firstLine="480" w:firstLineChars="200"/>
        <w:jc w:val="both"/>
        <w:rPr>
          <w:rFonts w:hint="eastAsia" w:ascii="宋体" w:hAnsi="宋体" w:cs="宋体"/>
          <w:strike w:val="0"/>
          <w:dstrike w:val="0"/>
          <w:color w:val="auto"/>
          <w:sz w:val="24"/>
          <w:szCs w:val="24"/>
          <w:highlight w:val="none"/>
        </w:rPr>
      </w:pPr>
      <w:r>
        <w:rPr>
          <w:rFonts w:hint="eastAsia" w:ascii="宋体" w:hAnsi="宋体" w:cs="宋体"/>
          <w:strike w:val="0"/>
          <w:dstrike w:val="0"/>
          <w:color w:val="auto"/>
          <w:kern w:val="2"/>
          <w:sz w:val="24"/>
          <w:szCs w:val="24"/>
          <w:highlight w:val="none"/>
          <w:lang w:bidi="ar"/>
        </w:rPr>
        <w:t>本项目</w:t>
      </w:r>
      <w:r>
        <w:rPr>
          <w:rFonts w:hint="eastAsia" w:ascii="宋体" w:hAnsi="宋体" w:cs="宋体"/>
          <w:strike w:val="0"/>
          <w:dstrike w:val="0"/>
          <w:color w:val="auto"/>
          <w:kern w:val="2"/>
          <w:sz w:val="24"/>
          <w:szCs w:val="24"/>
          <w:highlight w:val="none"/>
          <w:lang w:eastAsia="zh-CN" w:bidi="ar"/>
        </w:rPr>
        <w:t>（</w:t>
      </w:r>
      <w:r>
        <w:rPr>
          <w:rFonts w:hint="eastAsia" w:ascii="宋体" w:hAnsi="宋体" w:cs="宋体"/>
          <w:strike w:val="0"/>
          <w:dstrike w:val="0"/>
          <w:color w:val="auto"/>
          <w:kern w:val="2"/>
          <w:sz w:val="24"/>
          <w:szCs w:val="24"/>
          <w:highlight w:val="none"/>
          <w:lang w:bidi="ar"/>
        </w:rPr>
        <w:t>否</w:t>
      </w:r>
      <w:r>
        <w:rPr>
          <w:rFonts w:hint="eastAsia" w:ascii="宋体" w:hAnsi="宋体" w:cs="宋体"/>
          <w:strike w:val="0"/>
          <w:dstrike w:val="0"/>
          <w:color w:val="auto"/>
          <w:kern w:val="2"/>
          <w:sz w:val="24"/>
          <w:szCs w:val="24"/>
          <w:highlight w:val="none"/>
          <w:lang w:eastAsia="zh-CN" w:bidi="ar"/>
        </w:rPr>
        <w:t>）</w:t>
      </w:r>
      <w:r>
        <w:rPr>
          <w:rFonts w:hint="eastAsia" w:ascii="宋体" w:hAnsi="宋体" w:cs="宋体"/>
          <w:strike w:val="0"/>
          <w:dstrike w:val="0"/>
          <w:color w:val="auto"/>
          <w:kern w:val="2"/>
          <w:sz w:val="24"/>
          <w:szCs w:val="24"/>
          <w:highlight w:val="none"/>
          <w:lang w:bidi="ar"/>
        </w:rPr>
        <w:t>接受联合体投标。</w:t>
      </w:r>
    </w:p>
    <w:p w14:paraId="5547DB5B">
      <w:pPr>
        <w:pStyle w:val="2"/>
        <w:widowControl/>
        <w:spacing w:before="0" w:after="0" w:line="360" w:lineRule="auto"/>
        <w:rPr>
          <w:rFonts w:hint="eastAsia" w:ascii="宋体" w:hAnsi="宋体" w:eastAsia="宋体" w:cs="宋体"/>
          <w:bCs w:val="0"/>
          <w:color w:val="auto"/>
          <w:sz w:val="24"/>
          <w:szCs w:val="24"/>
          <w:highlight w:val="none"/>
        </w:rPr>
      </w:pPr>
      <w:bookmarkStart w:id="9" w:name="_Toc122"/>
      <w:bookmarkStart w:id="10" w:name="_Toc35393791"/>
      <w:bookmarkStart w:id="11" w:name="_Toc28359080"/>
      <w:bookmarkStart w:id="12" w:name="_Toc35393622"/>
      <w:bookmarkStart w:id="13" w:name="_Toc27813"/>
      <w:bookmarkStart w:id="14" w:name="_Toc28359003"/>
      <w:r>
        <w:rPr>
          <w:rFonts w:hint="eastAsia" w:ascii="宋体" w:hAnsi="宋体" w:eastAsia="宋体" w:cs="宋体"/>
          <w:bCs w:val="0"/>
          <w:color w:val="auto"/>
          <w:sz w:val="24"/>
          <w:szCs w:val="24"/>
          <w:highlight w:val="none"/>
        </w:rPr>
        <w:t>二、申请人的资格要求</w:t>
      </w:r>
      <w:bookmarkEnd w:id="9"/>
      <w:bookmarkEnd w:id="10"/>
      <w:bookmarkEnd w:id="11"/>
      <w:bookmarkEnd w:id="12"/>
      <w:bookmarkEnd w:id="13"/>
      <w:bookmarkEnd w:id="14"/>
    </w:p>
    <w:p w14:paraId="58400986">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bidi="ar"/>
        </w:rPr>
      </w:pPr>
      <w:r>
        <w:rPr>
          <w:rFonts w:hint="eastAsia" w:ascii="宋体" w:hAnsi="宋体" w:cs="宋体"/>
          <w:color w:val="auto"/>
          <w:kern w:val="2"/>
          <w:sz w:val="24"/>
          <w:szCs w:val="24"/>
          <w:highlight w:val="none"/>
          <w:lang w:bidi="ar"/>
        </w:rPr>
        <w:t>1.满足《中华人民共和国政府采购法》第二十二条规定</w:t>
      </w:r>
      <w:r>
        <w:rPr>
          <w:rFonts w:hint="eastAsia" w:ascii="宋体" w:hAnsi="宋体" w:cs="宋体"/>
          <w:color w:val="auto"/>
          <w:kern w:val="2"/>
          <w:sz w:val="24"/>
          <w:szCs w:val="24"/>
          <w:highlight w:val="none"/>
          <w:lang w:eastAsia="zh-CN" w:bidi="ar"/>
        </w:rPr>
        <w:t>：</w:t>
      </w:r>
    </w:p>
    <w:p w14:paraId="3B8E85C9">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2"/>
          <w:sz w:val="24"/>
          <w:szCs w:val="24"/>
          <w:highlight w:val="none"/>
          <w:lang w:bidi="ar"/>
        </w:rPr>
      </w:pPr>
      <w:r>
        <w:rPr>
          <w:rFonts w:hint="eastAsia" w:ascii="宋体" w:hAnsi="宋体" w:cs="宋体"/>
          <w:color w:val="auto"/>
          <w:kern w:val="2"/>
          <w:sz w:val="24"/>
          <w:szCs w:val="24"/>
          <w:highlight w:val="none"/>
          <w:lang w:bidi="ar"/>
        </w:rPr>
        <w:t>1.1具有独立承担民事责任的能力。</w:t>
      </w:r>
      <w:r>
        <w:rPr>
          <w:rFonts w:hint="eastAsia" w:ascii="宋体" w:hAnsi="宋体" w:eastAsia="宋体" w:cs="宋体"/>
          <w:color w:val="auto"/>
          <w:kern w:val="2"/>
          <w:sz w:val="24"/>
          <w:szCs w:val="24"/>
          <w:highlight w:val="none"/>
          <w:lang w:bidi="ar"/>
        </w:rPr>
        <w:t>提供法人或者其他组织或自然人等有效的营业执照或同等证明文件。</w:t>
      </w:r>
    </w:p>
    <w:p w14:paraId="5DE63151">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2"/>
          <w:sz w:val="24"/>
          <w:szCs w:val="24"/>
          <w:highlight w:val="none"/>
          <w:lang w:eastAsia="zh-CN" w:bidi="ar"/>
        </w:rPr>
      </w:pPr>
      <w:r>
        <w:rPr>
          <w:rFonts w:hint="eastAsia" w:ascii="宋体" w:hAnsi="宋体" w:cs="宋体"/>
          <w:color w:val="auto"/>
          <w:kern w:val="2"/>
          <w:sz w:val="24"/>
          <w:szCs w:val="24"/>
          <w:highlight w:val="none"/>
          <w:lang w:eastAsia="zh-CN" w:bidi="ar"/>
        </w:rPr>
        <w:t>1.2具有良好的商业信誉和健全的财务会计制度，投标人须提供财务状况报告，内容可为以下三者之一：</w:t>
      </w:r>
    </w:p>
    <w:p w14:paraId="3448937E">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2"/>
          <w:sz w:val="24"/>
          <w:szCs w:val="24"/>
          <w:highlight w:val="none"/>
          <w:lang w:eastAsia="zh-CN" w:bidi="ar"/>
        </w:rPr>
      </w:pPr>
      <w:r>
        <w:rPr>
          <w:rFonts w:hint="eastAsia" w:ascii="宋体" w:hAnsi="宋体" w:cs="宋体"/>
          <w:color w:val="auto"/>
          <w:kern w:val="2"/>
          <w:sz w:val="24"/>
          <w:szCs w:val="24"/>
          <w:highlight w:val="none"/>
          <w:lang w:eastAsia="zh-CN" w:bidi="ar"/>
        </w:rPr>
        <w:t>①提供2024年或2025年经审计的财务报告(包括资产负债表、利润表、现金流量表、所有者权益变动表及其附注)；</w:t>
      </w:r>
    </w:p>
    <w:p w14:paraId="738696E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宋体"/>
          <w:color w:val="auto"/>
          <w:kern w:val="2"/>
          <w:sz w:val="24"/>
          <w:szCs w:val="24"/>
          <w:highlight w:val="none"/>
          <w:lang w:eastAsia="zh-CN" w:bidi="ar"/>
        </w:rPr>
      </w:pPr>
      <w:r>
        <w:rPr>
          <w:rFonts w:hint="eastAsia" w:ascii="宋体" w:hAnsi="宋体" w:cs="宋体"/>
          <w:color w:val="auto"/>
          <w:kern w:val="2"/>
          <w:sz w:val="24"/>
          <w:szCs w:val="24"/>
          <w:highlight w:val="none"/>
          <w:lang w:eastAsia="zh-CN" w:bidi="ar"/>
        </w:rPr>
        <w:t>注：根据《关于加强审计报告查验工作的通知》（财会〔2023〕15号）规定，在2022年10月以后出具的审计报告须在注册会计师行业统一监管平台（网址：http：//acc.mof.gov.cn）取得赋码，未取得赋码的财务报告视为无效；投标人若为事业单位的，则不需提供利润表/损益表。</w:t>
      </w:r>
    </w:p>
    <w:p w14:paraId="2C1CF0DC">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2"/>
          <w:sz w:val="24"/>
          <w:szCs w:val="24"/>
          <w:highlight w:val="none"/>
          <w:lang w:eastAsia="zh-CN" w:bidi="ar"/>
        </w:rPr>
      </w:pPr>
      <w:r>
        <w:rPr>
          <w:rFonts w:hint="eastAsia" w:ascii="宋体" w:hAnsi="宋体" w:cs="宋体"/>
          <w:color w:val="auto"/>
          <w:kern w:val="2"/>
          <w:sz w:val="24"/>
          <w:szCs w:val="24"/>
          <w:highlight w:val="none"/>
          <w:lang w:eastAsia="zh-CN" w:bidi="ar"/>
        </w:rPr>
        <w:t>②提供自投标文件提交截止时间前</w:t>
      </w:r>
      <w:r>
        <w:rPr>
          <w:rFonts w:hint="eastAsia" w:ascii="宋体" w:hAnsi="宋体" w:cs="宋体"/>
          <w:color w:val="auto"/>
          <w:kern w:val="2"/>
          <w:sz w:val="24"/>
          <w:szCs w:val="24"/>
          <w:highlight w:val="none"/>
          <w:lang w:val="en-US" w:eastAsia="zh-CN" w:bidi="ar"/>
        </w:rPr>
        <w:t>三</w:t>
      </w:r>
      <w:r>
        <w:rPr>
          <w:rFonts w:hint="eastAsia" w:ascii="宋体" w:hAnsi="宋体" w:cs="宋体"/>
          <w:color w:val="auto"/>
          <w:kern w:val="2"/>
          <w:sz w:val="24"/>
          <w:szCs w:val="24"/>
          <w:highlight w:val="none"/>
          <w:lang w:eastAsia="zh-CN" w:bidi="ar"/>
        </w:rPr>
        <w:t>个月内基本开户银行出具的资信证明；</w:t>
      </w:r>
    </w:p>
    <w:p w14:paraId="6E4C0EE8">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2"/>
          <w:sz w:val="24"/>
          <w:szCs w:val="24"/>
          <w:highlight w:val="none"/>
          <w:lang w:eastAsia="zh-CN" w:bidi="ar"/>
        </w:rPr>
      </w:pPr>
      <w:r>
        <w:rPr>
          <w:rFonts w:hint="eastAsia" w:ascii="宋体" w:hAnsi="宋体" w:cs="宋体"/>
          <w:color w:val="auto"/>
          <w:kern w:val="2"/>
          <w:sz w:val="24"/>
          <w:szCs w:val="24"/>
          <w:highlight w:val="none"/>
          <w:lang w:eastAsia="zh-CN" w:bidi="ar"/>
        </w:rPr>
        <w:t>③提供财政部门认可的政府采购专业担保机构对供应商进行资信审查后出具的投标担保</w:t>
      </w:r>
      <w:r>
        <w:rPr>
          <w:rFonts w:hint="eastAsia" w:ascii="宋体" w:hAnsi="宋体" w:eastAsia="宋体" w:cs="宋体"/>
          <w:color w:val="auto"/>
          <w:kern w:val="2"/>
          <w:sz w:val="24"/>
          <w:szCs w:val="24"/>
          <w:highlight w:val="none"/>
          <w:lang w:eastAsia="zh-CN" w:bidi="ar"/>
        </w:rPr>
        <w:t>函。</w:t>
      </w:r>
    </w:p>
    <w:p w14:paraId="5E4DF644">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2"/>
          <w:sz w:val="24"/>
          <w:szCs w:val="24"/>
          <w:highlight w:val="none"/>
          <w:lang w:eastAsia="zh-CN" w:bidi="ar"/>
        </w:rPr>
      </w:pPr>
      <w:r>
        <w:rPr>
          <w:rFonts w:hint="eastAsia" w:ascii="宋体" w:hAnsi="宋体" w:eastAsia="宋体" w:cs="宋体"/>
          <w:color w:val="auto"/>
          <w:kern w:val="2"/>
          <w:sz w:val="24"/>
          <w:szCs w:val="24"/>
          <w:highlight w:val="none"/>
          <w:lang w:eastAsia="zh-CN" w:bidi="ar"/>
        </w:rPr>
        <w:t>成立不满1年的供应商的财务报告若未经审计可提供②或③。</w:t>
      </w:r>
    </w:p>
    <w:p w14:paraId="22201314">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2"/>
          <w:sz w:val="24"/>
          <w:szCs w:val="24"/>
          <w:highlight w:val="none"/>
          <w:lang w:eastAsia="zh-CN" w:bidi="ar"/>
        </w:rPr>
      </w:pPr>
      <w:r>
        <w:rPr>
          <w:rFonts w:hint="eastAsia" w:ascii="宋体" w:hAnsi="宋体" w:eastAsia="宋体" w:cs="宋体"/>
          <w:color w:val="auto"/>
          <w:kern w:val="2"/>
          <w:sz w:val="24"/>
          <w:szCs w:val="24"/>
          <w:highlight w:val="none"/>
          <w:lang w:eastAsia="zh-CN" w:bidi="ar"/>
        </w:rPr>
        <w:t>1.3具有履行合同所必需的设备和专业技术能力。提供具备履行合同所必需的设备和专业技术能力的证明材料或承诺。</w:t>
      </w:r>
    </w:p>
    <w:p w14:paraId="409977EB">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2"/>
          <w:sz w:val="24"/>
          <w:szCs w:val="24"/>
          <w:highlight w:val="none"/>
          <w:lang w:bidi="ar"/>
        </w:rPr>
      </w:pPr>
      <w:r>
        <w:rPr>
          <w:rFonts w:hint="eastAsia" w:ascii="宋体" w:hAnsi="宋体" w:eastAsia="宋体" w:cs="宋体"/>
          <w:color w:val="auto"/>
          <w:kern w:val="2"/>
          <w:sz w:val="24"/>
          <w:szCs w:val="24"/>
          <w:highlight w:val="none"/>
          <w:lang w:eastAsia="zh-CN" w:bidi="ar"/>
        </w:rPr>
        <w:t>1.4有依法缴纳税收和社会保障资金的良好记录。提供2025年1月至今任意3个月依法缴纳税收</w:t>
      </w:r>
      <w:r>
        <w:rPr>
          <w:rFonts w:hint="eastAsia" w:ascii="宋体" w:hAnsi="宋体" w:cs="宋体"/>
          <w:color w:val="auto"/>
          <w:kern w:val="2"/>
          <w:sz w:val="24"/>
          <w:szCs w:val="24"/>
          <w:highlight w:val="none"/>
          <w:lang w:bidi="ar"/>
        </w:rPr>
        <w:t>（提供缴纳增值税或企业所得税的凭据）和缴纳社会保障资金的证明(成立未满3个月的提供成立以来的税收和社会保障资金缴纳凭证或相关情况说明；依法免税或不需要缴纳社会保障资金的供应商，应提供相应文件证明其依法免税或不需要缴纳社会保障资金)。</w:t>
      </w:r>
    </w:p>
    <w:p w14:paraId="77E1FD5D">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1.5</w:t>
      </w:r>
      <w:r>
        <w:rPr>
          <w:rFonts w:hint="eastAsia" w:ascii="宋体" w:hAnsi="宋体"/>
          <w:color w:val="auto"/>
          <w:sz w:val="24"/>
          <w:szCs w:val="24"/>
          <w:highlight w:val="none"/>
          <w:lang w:eastAsia="zh-CN"/>
        </w:rPr>
        <w:t>参与本次政府采购活动前三年内（202</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年至今）</w:t>
      </w:r>
      <w:r>
        <w:rPr>
          <w:rFonts w:hint="eastAsia" w:ascii="宋体" w:hAnsi="宋体"/>
          <w:color w:val="auto"/>
          <w:sz w:val="24"/>
          <w:szCs w:val="24"/>
          <w:highlight w:val="none"/>
        </w:rPr>
        <w:t>，在经营活动中没有重大违法记录，提供参加本次政府采购活动前三年内在经营活动中没有重大违法记录的书面声明（重大违法记录是指供应商因违法经营受到刑事处罚或者责令停产停业、吊销许可证或者执照、较大数额</w:t>
      </w:r>
      <w:r>
        <w:rPr>
          <w:rFonts w:hint="eastAsia" w:ascii="宋体" w:hAnsi="宋体" w:eastAsia="宋体" w:cs="宋体"/>
          <w:color w:val="auto"/>
          <w:sz w:val="24"/>
          <w:szCs w:val="24"/>
          <w:highlight w:val="none"/>
        </w:rPr>
        <w:t>罚款</w:t>
      </w:r>
      <w:r>
        <w:rPr>
          <w:rFonts w:hint="eastAsia" w:ascii="宋体" w:hAnsi="宋体"/>
          <w:color w:val="auto"/>
          <w:sz w:val="24"/>
          <w:szCs w:val="24"/>
          <w:highlight w:val="none"/>
        </w:rPr>
        <w:t>（较大数额罚款是指200万元以上罚款））。</w:t>
      </w:r>
    </w:p>
    <w:p w14:paraId="0B4D73E6">
      <w:pPr>
        <w:keepNext w:val="0"/>
        <w:keepLines w:val="0"/>
        <w:pageBreakBefore w:val="0"/>
        <w:kinsoku/>
        <w:wordWrap/>
        <w:overflowPunct/>
        <w:topLinePunct w:val="0"/>
        <w:autoSpaceDE/>
        <w:autoSpaceDN/>
        <w:bidi w:val="0"/>
        <w:adjustRightInd/>
        <w:spacing w:line="360" w:lineRule="auto"/>
        <w:ind w:firstLine="46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1.6法律、行政法规规定的其他条件。</w:t>
      </w:r>
    </w:p>
    <w:p w14:paraId="4730E199">
      <w:pPr>
        <w:pStyle w:val="5"/>
        <w:keepNext w:val="0"/>
        <w:keepLines w:val="0"/>
        <w:pageBreakBefore w:val="0"/>
        <w:kinsoku/>
        <w:wordWrap/>
        <w:overflowPunct/>
        <w:topLinePunct w:val="0"/>
        <w:autoSpaceDE/>
        <w:autoSpaceDN/>
        <w:bidi w:val="0"/>
        <w:adjustRightInd/>
        <w:spacing w:line="360" w:lineRule="auto"/>
        <w:ind w:firstLine="465"/>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1.6.1单位负责人为同一人或者存在直接控股、管理关系的不同供应商，不得参加同一合同项下的政府采购活动。</w:t>
      </w:r>
    </w:p>
    <w:p w14:paraId="2921916A">
      <w:pPr>
        <w:pStyle w:val="5"/>
        <w:keepNext w:val="0"/>
        <w:keepLines w:val="0"/>
        <w:pageBreakBefore w:val="0"/>
        <w:kinsoku/>
        <w:wordWrap/>
        <w:overflowPunct/>
        <w:topLinePunct w:val="0"/>
        <w:autoSpaceDE/>
        <w:autoSpaceDN/>
        <w:bidi w:val="0"/>
        <w:adjustRightInd/>
        <w:spacing w:line="360" w:lineRule="auto"/>
        <w:ind w:firstLine="465"/>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为采购项目提供整体设计、规范编制或者项目管理、监理、检测等服务的供应商，不得再参加该采购项目的其他采购活动。</w:t>
      </w:r>
    </w:p>
    <w:p w14:paraId="6223644D">
      <w:pPr>
        <w:pStyle w:val="5"/>
        <w:keepNext w:val="0"/>
        <w:keepLines w:val="0"/>
        <w:pageBreakBefore w:val="0"/>
        <w:widowControl/>
        <w:kinsoku/>
        <w:wordWrap/>
        <w:overflowPunct/>
        <w:topLinePunct w:val="0"/>
        <w:autoSpaceDE/>
        <w:autoSpaceDN/>
        <w:bidi w:val="0"/>
        <w:adjustRightInd/>
        <w:snapToGrid/>
        <w:spacing w:line="360" w:lineRule="auto"/>
        <w:ind w:firstLine="461"/>
        <w:jc w:val="both"/>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1.6.2</w:t>
      </w:r>
      <w:r>
        <w:rPr>
          <w:rFonts w:hint="eastAsia" w:ascii="宋体" w:hAnsi="宋体" w:eastAsia="宋体" w:cs="宋体"/>
          <w:color w:val="auto"/>
          <w:kern w:val="0"/>
          <w:sz w:val="24"/>
          <w:highlight w:val="none"/>
        </w:rPr>
        <w:t>投标人应信誉良好，当前未因不良行为记录被行政主管部门取消投标资格，根据《关于对失信被执行人实施联合惩戒的合作备忘录》及《关于在招投标活动中对失信被执行人实施联合惩戒的通知》文件精神，</w:t>
      </w:r>
      <w:r>
        <w:rPr>
          <w:rFonts w:hint="eastAsia" w:ascii="宋体" w:hAnsi="宋体" w:eastAsia="宋体" w:cs="宋体"/>
          <w:color w:val="auto"/>
          <w:kern w:val="0"/>
          <w:sz w:val="24"/>
          <w:highlight w:val="none"/>
          <w:lang w:val="en-US" w:eastAsia="zh-CN"/>
        </w:rPr>
        <w:t>投标人</w:t>
      </w:r>
      <w:r>
        <w:rPr>
          <w:rFonts w:hint="eastAsia" w:ascii="宋体" w:hAnsi="宋体" w:cs="宋体"/>
          <w:color w:val="auto"/>
          <w:kern w:val="0"/>
          <w:sz w:val="24"/>
          <w:highlight w:val="none"/>
        </w:rPr>
        <w:t>在投标文件递交截止时间前未被列入“信用中国”网站（www.creditchina.gov.cn）失信被执行人、重大税收违法失信主体、政府采购严重违法失信行为记录名单、国家企业信用信息公示系统（http://www.gsxt.gov.cn/）严重违法失信企业名单及中国政府采购网（www.ccgp.gov.cn）“政府采购严重违法失信行为信息记录”，失信信息材料由采购代理机构负责在项目评标会议开始前查询、存档，评标时由相关工作人员统一提供给项目评标委员会。</w:t>
      </w:r>
    </w:p>
    <w:p w14:paraId="506968B1">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bidi="ar"/>
        </w:rPr>
      </w:pPr>
      <w:bookmarkStart w:id="15" w:name="_Toc28359081"/>
      <w:bookmarkStart w:id="16" w:name="_Toc28359004"/>
      <w:r>
        <w:rPr>
          <w:rFonts w:hint="eastAsia" w:ascii="宋体" w:hAnsi="宋体" w:eastAsia="宋体" w:cs="宋体"/>
          <w:color w:val="auto"/>
          <w:kern w:val="2"/>
          <w:sz w:val="24"/>
          <w:szCs w:val="24"/>
          <w:highlight w:val="none"/>
          <w:lang w:val="en-US" w:eastAsia="zh-CN" w:bidi="ar"/>
        </w:rPr>
        <w:t>2.落实政府采购政策需满足的资格要求：</w:t>
      </w:r>
      <w:r>
        <w:rPr>
          <w:rFonts w:hint="eastAsia" w:ascii="宋体" w:hAnsi="宋体" w:cs="宋体"/>
          <w:color w:val="auto"/>
          <w:kern w:val="2"/>
          <w:sz w:val="24"/>
          <w:szCs w:val="24"/>
          <w:highlight w:val="none"/>
          <w:lang w:bidi="ar"/>
        </w:rPr>
        <w:t>本项目</w:t>
      </w:r>
      <w:r>
        <w:rPr>
          <w:rFonts w:hint="eastAsia" w:ascii="宋体" w:hAnsi="宋体" w:cs="宋体"/>
          <w:color w:val="auto"/>
          <w:kern w:val="2"/>
          <w:sz w:val="24"/>
          <w:szCs w:val="24"/>
          <w:highlight w:val="none"/>
          <w:lang w:val="en-US" w:eastAsia="zh-CN" w:bidi="ar"/>
        </w:rPr>
        <w:t>为</w:t>
      </w:r>
      <w:r>
        <w:rPr>
          <w:rFonts w:hint="eastAsia" w:ascii="宋体" w:hAnsi="宋体" w:cs="宋体"/>
          <w:color w:val="auto"/>
          <w:kern w:val="2"/>
          <w:sz w:val="24"/>
          <w:szCs w:val="24"/>
          <w:highlight w:val="none"/>
          <w:lang w:bidi="ar"/>
        </w:rPr>
        <w:t>非专门面向中小企业采购的项目</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bidi="ar"/>
        </w:rPr>
        <w:t>小微企业价格扣除优惠比例：</w:t>
      </w:r>
      <w:r>
        <w:rPr>
          <w:rFonts w:hint="eastAsia" w:ascii="宋体" w:hAnsi="宋体" w:cs="宋体"/>
          <w:b/>
          <w:bCs/>
          <w:color w:val="auto"/>
          <w:kern w:val="2"/>
          <w:sz w:val="24"/>
          <w:szCs w:val="24"/>
          <w:highlight w:val="none"/>
          <w:lang w:val="en-US" w:eastAsia="zh-CN" w:bidi="ar"/>
        </w:rPr>
        <w:t>10</w:t>
      </w:r>
      <w:r>
        <w:rPr>
          <w:rFonts w:hint="eastAsia" w:ascii="宋体" w:hAnsi="宋体" w:cs="宋体"/>
          <w:b/>
          <w:bCs/>
          <w:color w:val="auto"/>
          <w:kern w:val="2"/>
          <w:sz w:val="24"/>
          <w:szCs w:val="24"/>
          <w:highlight w:val="none"/>
          <w:lang w:bidi="ar"/>
        </w:rPr>
        <w:t>%</w:t>
      </w:r>
      <w:r>
        <w:rPr>
          <w:rFonts w:hint="eastAsia" w:ascii="宋体" w:hAnsi="宋体" w:cs="宋体"/>
          <w:color w:val="auto"/>
          <w:kern w:val="2"/>
          <w:sz w:val="24"/>
          <w:szCs w:val="24"/>
          <w:highlight w:val="none"/>
          <w:lang w:bidi="ar"/>
        </w:rPr>
        <w:t>。参加本项目</w:t>
      </w:r>
      <w:r>
        <w:rPr>
          <w:rFonts w:hint="eastAsia" w:ascii="宋体" w:hAnsi="宋体" w:cs="宋体"/>
          <w:color w:val="auto"/>
          <w:kern w:val="2"/>
          <w:sz w:val="24"/>
          <w:szCs w:val="24"/>
          <w:highlight w:val="none"/>
          <w:lang w:val="en-US" w:eastAsia="zh-CN" w:bidi="ar"/>
        </w:rPr>
        <w:t>投标</w:t>
      </w:r>
      <w:r>
        <w:rPr>
          <w:rFonts w:hint="eastAsia" w:ascii="宋体" w:hAnsi="宋体" w:cs="宋体"/>
          <w:color w:val="auto"/>
          <w:kern w:val="2"/>
          <w:sz w:val="24"/>
          <w:szCs w:val="24"/>
          <w:highlight w:val="none"/>
          <w:lang w:bidi="ar"/>
        </w:rPr>
        <w:t>的中小微企业应当符合</w:t>
      </w:r>
      <w:r>
        <w:rPr>
          <w:rFonts w:hint="eastAsia" w:ascii="宋体" w:hAnsi="宋体" w:cs="宋体"/>
          <w:b/>
          <w:bCs/>
          <w:color w:val="auto"/>
          <w:kern w:val="2"/>
          <w:sz w:val="24"/>
          <w:szCs w:val="24"/>
          <w:highlight w:val="none"/>
          <w:u w:val="single"/>
          <w:lang w:val="en-US" w:eastAsia="zh-CN" w:bidi="ar"/>
        </w:rPr>
        <w:t>工业</w:t>
      </w:r>
      <w:r>
        <w:rPr>
          <w:rFonts w:hint="eastAsia" w:ascii="宋体" w:hAnsi="宋体" w:cs="宋体"/>
          <w:color w:val="auto"/>
          <w:kern w:val="2"/>
          <w:sz w:val="24"/>
          <w:szCs w:val="24"/>
          <w:highlight w:val="none"/>
          <w:lang w:bidi="ar"/>
        </w:rPr>
        <w:t>行业的中小企业划分标准。本项目执行政府采购促进中小企业发展、支持监狱企业、促进残疾人就业、强</w:t>
      </w:r>
      <w:r>
        <w:rPr>
          <w:rFonts w:hint="eastAsia" w:ascii="宋体" w:hAnsi="宋体" w:eastAsia="宋体" w:cs="宋体"/>
          <w:color w:val="auto"/>
          <w:kern w:val="2"/>
          <w:sz w:val="24"/>
          <w:szCs w:val="24"/>
          <w:highlight w:val="none"/>
          <w:lang w:bidi="ar"/>
        </w:rPr>
        <w:t>制采购和优先采购节能、环保产品等政府采购政策。</w:t>
      </w:r>
    </w:p>
    <w:p w14:paraId="5D9AD19A">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bidi="ar"/>
        </w:rPr>
      </w:pPr>
      <w:r>
        <w:rPr>
          <w:rFonts w:hint="eastAsia" w:ascii="宋体" w:hAnsi="宋体" w:eastAsia="宋体" w:cs="宋体"/>
          <w:color w:val="auto"/>
          <w:kern w:val="2"/>
          <w:sz w:val="24"/>
          <w:szCs w:val="24"/>
          <w:highlight w:val="none"/>
          <w:lang w:bidi="ar"/>
        </w:rPr>
        <w:t>3.本项目的特定资格要求：</w:t>
      </w:r>
    </w:p>
    <w:p w14:paraId="44DED432">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color w:val="auto"/>
          <w:sz w:val="24"/>
          <w:highlight w:val="none"/>
        </w:rPr>
        <w:t>3.1投标人如果是代理商或经销商且所投产品为医疗器械的，须提供医疗器械经营许可证/备案，所投产品制造商医疗器械生产许可证（制造商工商注册地在中华人民共和国境外的，不做此要求）、所投产品的医疗器械注册证及附件；投标人如果是制造商且所投产品为医疗器械，须提供医疗器械生产许可证（制造商工商注册地在中华人民共和国境外的，不做此要求）、所投产品的医疗器械注册证及附件。</w:t>
      </w:r>
      <w:r>
        <w:rPr>
          <w:rFonts w:hint="eastAsia" w:ascii="宋体" w:hAnsi="宋体" w:eastAsia="宋体" w:cs="宋体"/>
          <w:b w:val="0"/>
          <w:bCs w:val="0"/>
          <w:color w:val="auto"/>
          <w:sz w:val="24"/>
          <w:highlight w:val="none"/>
        </w:rPr>
        <w:t>医疗器械生产或经营许可证生产或经营范围须覆盖所投第二、三类医疗器械（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提供相关证明资料</w:t>
      </w:r>
      <w:r>
        <w:rPr>
          <w:rFonts w:hint="eastAsia" w:ascii="宋体" w:hAnsi="宋体" w:eastAsia="宋体" w:cs="宋体"/>
          <w:b w:val="0"/>
          <w:bCs w:val="0"/>
          <w:color w:val="auto"/>
          <w:sz w:val="24"/>
          <w:highlight w:val="none"/>
          <w:lang w:eastAsia="zh-CN"/>
        </w:rPr>
        <w:t>。</w:t>
      </w:r>
    </w:p>
    <w:p w14:paraId="5AE38E06">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kern w:val="2"/>
          <w:sz w:val="24"/>
          <w:szCs w:val="24"/>
          <w:highlight w:val="none"/>
          <w:lang w:bidi="ar"/>
        </w:rPr>
        <w:t>本项目</w:t>
      </w:r>
      <w:r>
        <w:rPr>
          <w:rFonts w:hint="eastAsia" w:ascii="宋体" w:hAnsi="宋体" w:eastAsia="宋体" w:cs="宋体"/>
          <w:color w:val="auto"/>
          <w:kern w:val="2"/>
          <w:sz w:val="24"/>
          <w:szCs w:val="24"/>
          <w:highlight w:val="none"/>
          <w:lang w:val="en-US" w:eastAsia="zh-CN" w:bidi="ar"/>
        </w:rPr>
        <w:t>不</w:t>
      </w:r>
      <w:r>
        <w:rPr>
          <w:rFonts w:hint="eastAsia" w:ascii="宋体" w:hAnsi="宋体" w:eastAsia="宋体" w:cs="宋体"/>
          <w:color w:val="auto"/>
          <w:kern w:val="2"/>
          <w:sz w:val="24"/>
          <w:szCs w:val="24"/>
          <w:highlight w:val="none"/>
          <w:lang w:bidi="ar"/>
        </w:rPr>
        <w:t>接受联合体投标。</w:t>
      </w:r>
    </w:p>
    <w:p w14:paraId="33F2AE3E">
      <w:pPr>
        <w:pStyle w:val="2"/>
        <w:widowControl/>
        <w:spacing w:before="0" w:after="0" w:line="360" w:lineRule="auto"/>
        <w:rPr>
          <w:rFonts w:hint="eastAsia" w:ascii="宋体" w:hAnsi="宋体" w:eastAsia="宋体" w:cs="宋体"/>
          <w:bCs w:val="0"/>
          <w:color w:val="auto"/>
          <w:sz w:val="24"/>
          <w:szCs w:val="24"/>
          <w:highlight w:val="none"/>
        </w:rPr>
      </w:pPr>
      <w:bookmarkStart w:id="17" w:name="_Toc35393623"/>
      <w:bookmarkStart w:id="18" w:name="_Toc30459"/>
      <w:bookmarkStart w:id="19" w:name="_Toc9292"/>
      <w:bookmarkStart w:id="20" w:name="_Toc35393792"/>
      <w:r>
        <w:rPr>
          <w:rFonts w:hint="eastAsia" w:ascii="宋体" w:hAnsi="宋体" w:eastAsia="宋体" w:cs="宋体"/>
          <w:bCs w:val="0"/>
          <w:color w:val="auto"/>
          <w:sz w:val="24"/>
          <w:szCs w:val="24"/>
          <w:highlight w:val="none"/>
        </w:rPr>
        <w:t>三、获取招标文件</w:t>
      </w:r>
      <w:bookmarkEnd w:id="15"/>
      <w:bookmarkEnd w:id="16"/>
      <w:bookmarkEnd w:id="17"/>
      <w:bookmarkEnd w:id="18"/>
      <w:bookmarkEnd w:id="19"/>
      <w:bookmarkEnd w:id="20"/>
    </w:p>
    <w:p w14:paraId="38B1F333">
      <w:pPr>
        <w:widowControl w:val="0"/>
        <w:spacing w:line="360" w:lineRule="auto"/>
        <w:ind w:firstLine="480" w:firstLineChars="200"/>
        <w:jc w:val="both"/>
        <w:rPr>
          <w:rFonts w:hint="eastAsia" w:ascii="宋体" w:hAnsi="宋体" w:cs="华文细黑"/>
          <w:color w:val="auto"/>
          <w:sz w:val="24"/>
          <w:szCs w:val="24"/>
          <w:highlight w:val="none"/>
          <w:lang w:bidi="ar"/>
        </w:rPr>
      </w:pPr>
      <w:bookmarkStart w:id="21" w:name="_Toc28359005"/>
      <w:bookmarkStart w:id="22" w:name="_Toc28359082"/>
      <w:bookmarkStart w:id="23" w:name="_Toc35393793"/>
      <w:bookmarkStart w:id="24" w:name="_Toc30129"/>
      <w:bookmarkStart w:id="25" w:name="_Toc35393624"/>
      <w:r>
        <w:rPr>
          <w:rFonts w:hint="eastAsia" w:ascii="宋体" w:hAnsi="宋体" w:cs="华文细黑"/>
          <w:color w:val="auto"/>
          <w:sz w:val="24"/>
          <w:szCs w:val="24"/>
          <w:highlight w:val="none"/>
          <w:lang w:bidi="ar"/>
        </w:rPr>
        <w:t>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年</w:t>
      </w:r>
      <w:r>
        <w:rPr>
          <w:rFonts w:hint="eastAsia" w:ascii="宋体" w:hAnsi="宋体" w:cs="宋体"/>
          <w:bCs/>
          <w:color w:val="auto"/>
          <w:kern w:val="2"/>
          <w:sz w:val="24"/>
          <w:szCs w:val="24"/>
          <w:highlight w:val="none"/>
          <w:u w:val="single"/>
          <w:lang w:val="en-US" w:eastAsia="zh-CN" w:bidi="ar"/>
        </w:rPr>
        <w:t>5</w:t>
      </w:r>
      <w:r>
        <w:rPr>
          <w:rFonts w:hint="eastAsia" w:ascii="宋体" w:hAnsi="宋体" w:cs="宋体"/>
          <w:color w:val="auto"/>
          <w:sz w:val="24"/>
          <w:szCs w:val="24"/>
          <w:highlight w:val="none"/>
          <w:u w:val="single"/>
        </w:rPr>
        <w:t>月</w:t>
      </w:r>
      <w:r>
        <w:rPr>
          <w:rFonts w:hint="eastAsia" w:ascii="宋体" w:hAnsi="宋体" w:cs="宋体"/>
          <w:bCs/>
          <w:color w:val="auto"/>
          <w:kern w:val="2"/>
          <w:sz w:val="24"/>
          <w:szCs w:val="24"/>
          <w:highlight w:val="none"/>
          <w:u w:val="single"/>
          <w:lang w:val="en-US" w:eastAsia="zh-CN" w:bidi="ar"/>
        </w:rPr>
        <w:t>21</w:t>
      </w:r>
      <w:r>
        <w:rPr>
          <w:rFonts w:hint="eastAsia" w:ascii="宋体" w:hAnsi="宋体" w:cs="宋体"/>
          <w:color w:val="auto"/>
          <w:sz w:val="24"/>
          <w:szCs w:val="24"/>
          <w:highlight w:val="none"/>
          <w:u w:val="single"/>
        </w:rPr>
        <w:t>日至202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年</w:t>
      </w:r>
      <w:r>
        <w:rPr>
          <w:rFonts w:hint="eastAsia" w:ascii="宋体" w:hAnsi="宋体" w:cs="宋体"/>
          <w:bCs/>
          <w:color w:val="auto"/>
          <w:kern w:val="2"/>
          <w:sz w:val="24"/>
          <w:szCs w:val="24"/>
          <w:highlight w:val="none"/>
          <w:u w:val="single"/>
          <w:lang w:val="en-US" w:eastAsia="zh-CN" w:bidi="ar"/>
        </w:rPr>
        <w:t>5</w:t>
      </w:r>
      <w:r>
        <w:rPr>
          <w:rFonts w:hint="eastAsia" w:ascii="宋体" w:hAnsi="宋体" w:cs="宋体"/>
          <w:color w:val="auto"/>
          <w:sz w:val="24"/>
          <w:szCs w:val="24"/>
          <w:highlight w:val="none"/>
          <w:u w:val="single"/>
        </w:rPr>
        <w:t>月</w:t>
      </w:r>
      <w:r>
        <w:rPr>
          <w:rFonts w:hint="eastAsia" w:ascii="宋体" w:hAnsi="宋体" w:cs="宋体"/>
          <w:bCs/>
          <w:color w:val="auto"/>
          <w:kern w:val="2"/>
          <w:sz w:val="24"/>
          <w:szCs w:val="24"/>
          <w:highlight w:val="none"/>
          <w:u w:val="single"/>
          <w:lang w:val="en-US" w:eastAsia="zh-CN" w:bidi="ar"/>
        </w:rPr>
        <w:t>29</w:t>
      </w:r>
      <w:r>
        <w:rPr>
          <w:rFonts w:hint="eastAsia" w:ascii="宋体" w:hAnsi="宋体" w:cs="宋体"/>
          <w:color w:val="auto"/>
          <w:sz w:val="24"/>
          <w:szCs w:val="24"/>
          <w:highlight w:val="none"/>
          <w:u w:val="single"/>
        </w:rPr>
        <w:t>日</w:t>
      </w:r>
      <w:r>
        <w:rPr>
          <w:rFonts w:hint="eastAsia" w:ascii="宋体" w:hAnsi="宋体" w:cs="华文细黑"/>
          <w:color w:val="auto"/>
          <w:sz w:val="24"/>
          <w:szCs w:val="24"/>
          <w:highlight w:val="none"/>
          <w:lang w:bidi="ar"/>
        </w:rPr>
        <w:t>，每天上午</w:t>
      </w:r>
      <w:r>
        <w:rPr>
          <w:rFonts w:ascii="宋体" w:hAnsi="宋体" w:cs="华文细黑"/>
          <w:color w:val="auto"/>
          <w:sz w:val="24"/>
          <w:szCs w:val="24"/>
          <w:highlight w:val="none"/>
          <w:lang w:bidi="ar"/>
        </w:rPr>
        <w:t>0</w:t>
      </w:r>
      <w:r>
        <w:rPr>
          <w:rFonts w:hint="eastAsia" w:ascii="宋体" w:hAnsi="宋体" w:cs="华文细黑"/>
          <w:color w:val="auto"/>
          <w:sz w:val="24"/>
          <w:szCs w:val="24"/>
          <w:highlight w:val="none"/>
          <w:lang w:val="en-US" w:eastAsia="zh-CN" w:bidi="ar"/>
        </w:rPr>
        <w:t>6</w:t>
      </w:r>
      <w:r>
        <w:rPr>
          <w:rFonts w:hint="eastAsia" w:ascii="宋体" w:hAnsi="宋体" w:cs="华文细黑"/>
          <w:color w:val="auto"/>
          <w:sz w:val="24"/>
          <w:szCs w:val="24"/>
          <w:highlight w:val="none"/>
          <w:lang w:bidi="ar"/>
        </w:rPr>
        <w:t>：</w:t>
      </w:r>
      <w:r>
        <w:rPr>
          <w:rFonts w:ascii="宋体" w:hAnsi="宋体" w:cs="华文细黑"/>
          <w:color w:val="auto"/>
          <w:sz w:val="24"/>
          <w:szCs w:val="24"/>
          <w:highlight w:val="none"/>
          <w:lang w:bidi="ar"/>
        </w:rPr>
        <w:t>0</w:t>
      </w:r>
      <w:r>
        <w:rPr>
          <w:rFonts w:hint="eastAsia" w:ascii="宋体" w:hAnsi="宋体" w:cs="华文细黑"/>
          <w:color w:val="auto"/>
          <w:sz w:val="24"/>
          <w:szCs w:val="24"/>
          <w:highlight w:val="none"/>
          <w:lang w:bidi="ar"/>
        </w:rPr>
        <w:t>0至1</w:t>
      </w:r>
      <w:r>
        <w:rPr>
          <w:rFonts w:ascii="宋体" w:hAnsi="宋体" w:cs="华文细黑"/>
          <w:color w:val="auto"/>
          <w:sz w:val="24"/>
          <w:szCs w:val="24"/>
          <w:highlight w:val="none"/>
          <w:lang w:bidi="ar"/>
        </w:rPr>
        <w:t>2</w:t>
      </w:r>
      <w:r>
        <w:rPr>
          <w:rFonts w:hint="eastAsia" w:ascii="宋体" w:hAnsi="宋体" w:cs="华文细黑"/>
          <w:color w:val="auto"/>
          <w:sz w:val="24"/>
          <w:szCs w:val="24"/>
          <w:highlight w:val="none"/>
          <w:lang w:bidi="ar"/>
        </w:rPr>
        <w:t>：</w:t>
      </w:r>
      <w:r>
        <w:rPr>
          <w:rFonts w:ascii="宋体" w:hAnsi="宋体" w:cs="华文细黑"/>
          <w:color w:val="auto"/>
          <w:sz w:val="24"/>
          <w:szCs w:val="24"/>
          <w:highlight w:val="none"/>
          <w:lang w:bidi="ar"/>
        </w:rPr>
        <w:t>0</w:t>
      </w:r>
      <w:r>
        <w:rPr>
          <w:rFonts w:hint="eastAsia" w:ascii="宋体" w:hAnsi="宋体" w:cs="华文细黑"/>
          <w:color w:val="auto"/>
          <w:sz w:val="24"/>
          <w:szCs w:val="24"/>
          <w:highlight w:val="none"/>
          <w:lang w:bidi="ar"/>
        </w:rPr>
        <w:t>0，下午1</w:t>
      </w:r>
      <w:r>
        <w:rPr>
          <w:rFonts w:ascii="宋体" w:hAnsi="宋体" w:cs="华文细黑"/>
          <w:color w:val="auto"/>
          <w:sz w:val="24"/>
          <w:szCs w:val="24"/>
          <w:highlight w:val="none"/>
          <w:lang w:bidi="ar"/>
        </w:rPr>
        <w:t>2</w:t>
      </w:r>
      <w:r>
        <w:rPr>
          <w:rFonts w:hint="eastAsia" w:ascii="宋体" w:hAnsi="宋体" w:cs="华文细黑"/>
          <w:color w:val="auto"/>
          <w:sz w:val="24"/>
          <w:szCs w:val="24"/>
          <w:highlight w:val="none"/>
          <w:lang w:bidi="ar"/>
        </w:rPr>
        <w:t>：</w:t>
      </w:r>
      <w:r>
        <w:rPr>
          <w:rFonts w:ascii="宋体" w:hAnsi="宋体" w:cs="华文细黑"/>
          <w:color w:val="auto"/>
          <w:sz w:val="24"/>
          <w:szCs w:val="24"/>
          <w:highlight w:val="none"/>
          <w:lang w:bidi="ar"/>
        </w:rPr>
        <w:t>00</w:t>
      </w:r>
      <w:r>
        <w:rPr>
          <w:rFonts w:hint="eastAsia" w:ascii="宋体" w:hAnsi="宋体" w:cs="华文细黑"/>
          <w:color w:val="auto"/>
          <w:sz w:val="24"/>
          <w:szCs w:val="24"/>
          <w:highlight w:val="none"/>
          <w:lang w:bidi="ar"/>
        </w:rPr>
        <w:t>至</w:t>
      </w:r>
      <w:r>
        <w:rPr>
          <w:rFonts w:ascii="宋体" w:hAnsi="宋体" w:cs="华文细黑"/>
          <w:color w:val="auto"/>
          <w:sz w:val="24"/>
          <w:szCs w:val="24"/>
          <w:highlight w:val="none"/>
          <w:lang w:bidi="ar"/>
        </w:rPr>
        <w:t>23</w:t>
      </w:r>
      <w:r>
        <w:rPr>
          <w:rFonts w:hint="eastAsia" w:ascii="宋体" w:hAnsi="宋体" w:cs="华文细黑"/>
          <w:color w:val="auto"/>
          <w:sz w:val="24"/>
          <w:szCs w:val="24"/>
          <w:highlight w:val="none"/>
          <w:lang w:bidi="ar"/>
        </w:rPr>
        <w:t>：</w:t>
      </w:r>
      <w:r>
        <w:rPr>
          <w:rFonts w:ascii="宋体" w:hAnsi="宋体" w:cs="华文细黑"/>
          <w:color w:val="auto"/>
          <w:sz w:val="24"/>
          <w:szCs w:val="24"/>
          <w:highlight w:val="none"/>
          <w:lang w:bidi="ar"/>
        </w:rPr>
        <w:t>59</w:t>
      </w:r>
      <w:r>
        <w:rPr>
          <w:rFonts w:hint="eastAsia" w:ascii="宋体" w:hAnsi="宋体" w:cs="华文细黑"/>
          <w:color w:val="auto"/>
          <w:sz w:val="24"/>
          <w:szCs w:val="24"/>
          <w:highlight w:val="none"/>
          <w:lang w:bidi="ar"/>
        </w:rPr>
        <w:t>（北京时间，法定节假日除外）。</w:t>
      </w:r>
    </w:p>
    <w:p w14:paraId="17D1567B">
      <w:pPr>
        <w:widowControl w:val="0"/>
        <w:spacing w:line="360" w:lineRule="auto"/>
        <w:ind w:firstLine="480" w:firstLineChars="200"/>
        <w:jc w:val="both"/>
        <w:rPr>
          <w:rFonts w:hint="eastAsia" w:ascii="宋体" w:hAnsi="宋体" w:cs="华文细黑"/>
          <w:color w:val="auto"/>
          <w:sz w:val="24"/>
          <w:szCs w:val="24"/>
          <w:highlight w:val="none"/>
          <w:lang w:bidi="ar"/>
        </w:rPr>
      </w:pPr>
      <w:r>
        <w:rPr>
          <w:rFonts w:hint="eastAsia" w:ascii="宋体" w:hAnsi="宋体" w:cs="华文细黑"/>
          <w:color w:val="auto"/>
          <w:sz w:val="24"/>
          <w:szCs w:val="24"/>
          <w:highlight w:val="none"/>
          <w:lang w:bidi="ar"/>
        </w:rPr>
        <w:t>地点：</w:t>
      </w:r>
      <w:r>
        <w:rPr>
          <w:rFonts w:hint="eastAsia" w:ascii="宋体" w:hAnsi="宋体" w:cs="宋体"/>
          <w:color w:val="auto"/>
          <w:sz w:val="24"/>
          <w:szCs w:val="24"/>
          <w:highlight w:val="none"/>
        </w:rPr>
        <w:t>供应商可自行在“政采云”平台（http：//www.zcygov.cn）下载采购文件（操作路径：登录“政采云”平台-项目采购-获取采购文件-找到本项目-点击“申请获取采购文件”），电子投标文件制作需要基于“政采云”平台（http：//www.zcygov.cn）获取的采购文件编制。</w:t>
      </w:r>
    </w:p>
    <w:p w14:paraId="442B66F3">
      <w:pPr>
        <w:widowControl w:val="0"/>
        <w:spacing w:line="360" w:lineRule="auto"/>
        <w:ind w:firstLine="480" w:firstLineChars="200"/>
        <w:jc w:val="both"/>
        <w:rPr>
          <w:rFonts w:hint="eastAsia" w:ascii="宋体" w:hAnsi="宋体" w:cs="华文细黑"/>
          <w:color w:val="auto"/>
          <w:sz w:val="24"/>
          <w:szCs w:val="24"/>
          <w:highlight w:val="none"/>
          <w:lang w:bidi="ar"/>
        </w:rPr>
      </w:pPr>
      <w:r>
        <w:rPr>
          <w:rFonts w:hint="eastAsia" w:ascii="宋体" w:hAnsi="宋体" w:cs="华文细黑"/>
          <w:color w:val="auto"/>
          <w:sz w:val="24"/>
          <w:szCs w:val="24"/>
          <w:highlight w:val="none"/>
          <w:lang w:bidi="ar"/>
        </w:rPr>
        <w:t>方式：</w:t>
      </w:r>
    </w:p>
    <w:p w14:paraId="69CBD0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（一）凡有意参加投标者，须注册政采云平台账号并登录办理数字证书（CA），若供应商未办理数字证书（CA）的，可选择办理云南壹证通CA。CA申领链接：</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"http://yzt.ynsmartcert.cn/cms/yztmdkj.html" </w:instrText>
      </w:r>
      <w:r>
        <w:rPr>
          <w:rFonts w:hint="eastAsia" w:ascii="宋体" w:hAnsi="宋体" w:eastAsia="宋体" w:cs="宋体"/>
          <w:color w:val="auto"/>
          <w:sz w:val="24"/>
          <w:szCs w:val="24"/>
          <w:highlight w:val="none"/>
        </w:rPr>
        <w:fldChar w:fldCharType="separate"/>
      </w:r>
      <w:r>
        <w:rPr>
          <w:rStyle w:val="8"/>
          <w:rFonts w:hint="eastAsia" w:ascii="宋体" w:hAnsi="宋体" w:eastAsia="宋体" w:cs="宋体"/>
          <w:color w:val="auto"/>
          <w:sz w:val="24"/>
          <w:szCs w:val="24"/>
          <w:highlight w:val="none"/>
        </w:rPr>
        <w:t>http://yzt.ynsmartcert.cn/cms/yztmdkj.html</w:t>
      </w:r>
      <w:r>
        <w:rPr>
          <w:rStyle w:val="8"/>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"http://yzt.ynsmartcert.cn/cms/yztbnxj16.html"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云南壹证通CA 可支持线上、线下两种办理方式，并提供7*24小时全天候客户服务支持，客服热线400-004-0628。（紧急CA办理电话：19988166369）政府采购云平台支持多家CA服务商，供应商可自行选择办理。</w:t>
      </w:r>
    </w:p>
    <w:p w14:paraId="4547BF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（二）数字证书（CA）申领完成之后进入政府采购云平台，企业账号与数字证书（CA）进行绑定，凭企业数字证书（CA）进行项目报名及免费下载招标文件。</w:t>
      </w:r>
    </w:p>
    <w:p w14:paraId="346933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（三）按上述要求获取文件的供应商视为已合法获取本项目采购文件，具备本项目的投标资格。</w:t>
      </w:r>
    </w:p>
    <w:p w14:paraId="4A689C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（四）如有问题可拨打政采云客户服务热线95763进行咨询，数字证书（CA）问题可咨询24小时技术支持热线400-004-0628（紧急办理可拨：19988166369）</w:t>
      </w:r>
    </w:p>
    <w:p w14:paraId="0333D64D">
      <w:pPr>
        <w:widowControl w:val="0"/>
        <w:spacing w:line="360" w:lineRule="auto"/>
        <w:ind w:firstLine="480" w:firstLineChars="200"/>
        <w:jc w:val="both"/>
        <w:rPr>
          <w:rFonts w:hint="eastAsia" w:ascii="宋体" w:hAnsi="宋体" w:cs="华文细黑"/>
          <w:color w:val="auto"/>
          <w:sz w:val="24"/>
          <w:szCs w:val="24"/>
          <w:highlight w:val="none"/>
        </w:rPr>
      </w:pPr>
      <w:r>
        <w:rPr>
          <w:rFonts w:hint="eastAsia" w:ascii="宋体" w:hAnsi="宋体" w:cs="华文细黑"/>
          <w:color w:val="auto"/>
          <w:sz w:val="24"/>
          <w:szCs w:val="24"/>
          <w:highlight w:val="none"/>
          <w:lang w:bidi="ar"/>
        </w:rPr>
        <w:t>售价：0元。</w:t>
      </w:r>
    </w:p>
    <w:p w14:paraId="1E22F29E">
      <w:pPr>
        <w:pStyle w:val="2"/>
        <w:widowControl/>
        <w:spacing w:before="0" w:after="0" w:line="360" w:lineRule="auto"/>
        <w:rPr>
          <w:rFonts w:hint="eastAsia" w:ascii="宋体" w:hAnsi="宋体" w:eastAsia="宋体" w:cs="宋体"/>
          <w:bCs w:val="0"/>
          <w:color w:val="auto"/>
          <w:sz w:val="24"/>
          <w:szCs w:val="24"/>
          <w:highlight w:val="none"/>
        </w:rPr>
      </w:pPr>
      <w:bookmarkStart w:id="26" w:name="_Toc30045"/>
      <w:r>
        <w:rPr>
          <w:rFonts w:hint="eastAsia" w:ascii="宋体" w:hAnsi="宋体" w:eastAsia="宋体" w:cs="宋体"/>
          <w:bCs w:val="0"/>
          <w:color w:val="auto"/>
          <w:sz w:val="24"/>
          <w:szCs w:val="24"/>
          <w:highlight w:val="none"/>
        </w:rPr>
        <w:t>四、提交投标文件</w:t>
      </w:r>
      <w:bookmarkEnd w:id="21"/>
      <w:bookmarkEnd w:id="22"/>
      <w:r>
        <w:rPr>
          <w:rFonts w:hint="eastAsia" w:ascii="宋体" w:hAnsi="宋体" w:eastAsia="宋体" w:cs="宋体"/>
          <w:bCs w:val="0"/>
          <w:color w:val="auto"/>
          <w:sz w:val="24"/>
          <w:szCs w:val="24"/>
          <w:highlight w:val="none"/>
        </w:rPr>
        <w:t>截止时间、开标时间和地点</w:t>
      </w:r>
      <w:bookmarkEnd w:id="23"/>
      <w:bookmarkEnd w:id="24"/>
      <w:bookmarkEnd w:id="25"/>
      <w:bookmarkEnd w:id="26"/>
    </w:p>
    <w:p w14:paraId="773764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27" w:name="_Toc28359007"/>
      <w:bookmarkStart w:id="28" w:name="_Toc28359084"/>
      <w:bookmarkStart w:id="29" w:name="_Toc27091"/>
      <w:bookmarkStart w:id="30" w:name="_Toc35393625"/>
      <w:bookmarkStart w:id="31" w:name="_Toc35393794"/>
      <w:r>
        <w:rPr>
          <w:rFonts w:hint="eastAsia" w:ascii="宋体" w:hAnsi="宋体" w:eastAsia="宋体" w:cs="宋体"/>
          <w:color w:val="auto"/>
          <w:sz w:val="24"/>
          <w:szCs w:val="24"/>
          <w:highlight w:val="none"/>
          <w:lang w:val="en-US" w:eastAsia="zh-CN"/>
        </w:rPr>
        <w:t>提交投标文件截止时间：</w:t>
      </w:r>
      <w:r>
        <w:rPr>
          <w:rFonts w:hint="eastAsia" w:ascii="宋体" w:hAnsi="宋体" w:cs="华文细黑"/>
          <w:color w:val="auto"/>
          <w:sz w:val="24"/>
          <w:szCs w:val="24"/>
          <w:highlight w:val="none"/>
          <w:u w:val="single"/>
        </w:rPr>
        <w:t>202</w:t>
      </w:r>
      <w:r>
        <w:rPr>
          <w:rFonts w:hint="eastAsia" w:ascii="宋体" w:hAnsi="宋体" w:cs="华文细黑"/>
          <w:color w:val="auto"/>
          <w:sz w:val="24"/>
          <w:szCs w:val="24"/>
          <w:highlight w:val="none"/>
          <w:u w:val="single"/>
          <w:lang w:val="en-US" w:eastAsia="zh-CN"/>
        </w:rPr>
        <w:t>6</w:t>
      </w:r>
      <w:r>
        <w:rPr>
          <w:rFonts w:hint="eastAsia" w:ascii="宋体" w:hAnsi="宋体" w:cs="华文细黑"/>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08</w:t>
      </w:r>
      <w:r>
        <w:rPr>
          <w:rFonts w:hint="eastAsia" w:ascii="宋体" w:hAnsi="宋体" w:cs="华文细黑"/>
          <w:color w:val="auto"/>
          <w:sz w:val="24"/>
          <w:szCs w:val="24"/>
          <w:highlight w:val="none"/>
          <w:u w:val="single"/>
          <w:lang w:val="en-US" w:eastAsia="zh-CN"/>
        </w:rPr>
        <w:t>点</w:t>
      </w:r>
      <w:r>
        <w:rPr>
          <w:rFonts w:hint="eastAsia" w:ascii="宋体" w:hAnsi="宋体" w:cs="宋体"/>
          <w:color w:val="auto"/>
          <w:sz w:val="24"/>
          <w:szCs w:val="24"/>
          <w:highlight w:val="none"/>
          <w:u w:val="single"/>
          <w:lang w:val="en-US" w:eastAsia="zh-CN"/>
        </w:rPr>
        <w:t>30</w:t>
      </w:r>
      <w:r>
        <w:rPr>
          <w:rFonts w:hint="eastAsia" w:ascii="宋体" w:hAnsi="宋体" w:cs="华文细黑"/>
          <w:color w:val="auto"/>
          <w:sz w:val="24"/>
          <w:szCs w:val="24"/>
          <w:highlight w:val="none"/>
          <w:u w:val="single"/>
          <w:lang w:val="en-US" w:eastAsia="zh-CN"/>
        </w:rPr>
        <w:t>分</w:t>
      </w:r>
      <w:r>
        <w:rPr>
          <w:rFonts w:hint="eastAsia" w:ascii="宋体" w:hAnsi="宋体" w:cs="华文细黑"/>
          <w:color w:val="auto"/>
          <w:sz w:val="24"/>
          <w:szCs w:val="24"/>
          <w:highlight w:val="none"/>
        </w:rPr>
        <w:t>（北京时间）</w:t>
      </w:r>
    </w:p>
    <w:p w14:paraId="3AA7B9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投标地点（网址）：请登录云南省政府采购电子交易平台（政采云）投标客户端投标</w:t>
      </w:r>
    </w:p>
    <w:p w14:paraId="721895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w:t>
      </w:r>
      <w:r>
        <w:rPr>
          <w:rFonts w:hint="eastAsia" w:ascii="宋体" w:hAnsi="宋体" w:cs="华文细黑"/>
          <w:color w:val="auto"/>
          <w:sz w:val="24"/>
          <w:szCs w:val="24"/>
          <w:highlight w:val="none"/>
          <w:u w:val="single"/>
        </w:rPr>
        <w:t>202</w:t>
      </w:r>
      <w:r>
        <w:rPr>
          <w:rFonts w:hint="eastAsia" w:ascii="宋体" w:hAnsi="宋体" w:cs="华文细黑"/>
          <w:color w:val="auto"/>
          <w:sz w:val="24"/>
          <w:szCs w:val="24"/>
          <w:highlight w:val="none"/>
          <w:u w:val="single"/>
          <w:lang w:val="en-US" w:eastAsia="zh-CN"/>
        </w:rPr>
        <w:t>6</w:t>
      </w:r>
      <w:r>
        <w:rPr>
          <w:rFonts w:hint="eastAsia" w:ascii="宋体" w:hAnsi="宋体" w:cs="华文细黑"/>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08</w:t>
      </w:r>
      <w:r>
        <w:rPr>
          <w:rFonts w:hint="eastAsia" w:ascii="宋体" w:hAnsi="宋体" w:cs="华文细黑"/>
          <w:color w:val="auto"/>
          <w:sz w:val="24"/>
          <w:szCs w:val="24"/>
          <w:highlight w:val="none"/>
          <w:u w:val="single"/>
          <w:lang w:val="en-US" w:eastAsia="zh-CN"/>
        </w:rPr>
        <w:t>点</w:t>
      </w:r>
      <w:r>
        <w:rPr>
          <w:rFonts w:hint="eastAsia" w:ascii="宋体" w:hAnsi="宋体" w:cs="宋体"/>
          <w:color w:val="auto"/>
          <w:sz w:val="24"/>
          <w:szCs w:val="24"/>
          <w:highlight w:val="none"/>
          <w:u w:val="single"/>
          <w:lang w:val="en-US" w:eastAsia="zh-CN"/>
        </w:rPr>
        <w:t>30</w:t>
      </w:r>
      <w:r>
        <w:rPr>
          <w:rFonts w:hint="eastAsia" w:ascii="宋体" w:hAnsi="宋体" w:cs="华文细黑"/>
          <w:color w:val="auto"/>
          <w:sz w:val="24"/>
          <w:szCs w:val="24"/>
          <w:highlight w:val="none"/>
          <w:u w:val="single"/>
          <w:lang w:val="en-US" w:eastAsia="zh-CN"/>
        </w:rPr>
        <w:t>分</w:t>
      </w:r>
    </w:p>
    <w:p w14:paraId="0D6C0DF9">
      <w:pPr>
        <w:widowControl w:val="0"/>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开标地点：云南省昆明市盘龙区联盟路奥斯迪商务中心B座</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lang w:val="en-US" w:eastAsia="zh-CN"/>
        </w:rPr>
        <w:t>楼开评标室-</w:t>
      </w:r>
      <w:r>
        <w:rPr>
          <w:rFonts w:hint="eastAsia" w:ascii="宋体" w:hAnsi="宋体" w:eastAsia="宋体" w:cs="宋体"/>
          <w:color w:val="auto"/>
          <w:sz w:val="24"/>
          <w:szCs w:val="24"/>
          <w:highlight w:val="none"/>
          <w:u w:val="single"/>
          <w:lang w:val="en-US" w:eastAsia="zh-CN"/>
        </w:rPr>
        <w:t>1509</w:t>
      </w:r>
    </w:p>
    <w:p w14:paraId="1378EF54">
      <w:pPr>
        <w:pStyle w:val="2"/>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i w:val="0"/>
          <w:iCs w:val="0"/>
          <w:color w:val="auto"/>
          <w:sz w:val="24"/>
          <w:szCs w:val="24"/>
          <w:highlight w:val="none"/>
          <w:lang w:val="en-US"/>
        </w:rPr>
      </w:pPr>
      <w:bookmarkStart w:id="32" w:name="_Toc1332"/>
      <w:r>
        <w:rPr>
          <w:rFonts w:hint="eastAsia" w:ascii="宋体" w:hAnsi="宋体" w:eastAsia="宋体" w:cs="宋体"/>
          <w:b/>
          <w:bCs w:val="0"/>
          <w:i w:val="0"/>
          <w:iCs w:val="0"/>
          <w:color w:val="auto"/>
          <w:sz w:val="24"/>
          <w:szCs w:val="24"/>
          <w:highlight w:val="none"/>
          <w:lang w:eastAsia="zh-CN"/>
        </w:rPr>
        <w:t>五、投标保证金信息</w:t>
      </w:r>
      <w:bookmarkEnd w:id="32"/>
    </w:p>
    <w:p w14:paraId="41ACE2B0">
      <w:pPr>
        <w:widowControl w:val="0"/>
        <w:spacing w:line="360" w:lineRule="auto"/>
        <w:ind w:firstLine="480" w:firstLineChars="200"/>
        <w:jc w:val="both"/>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是否需要缴纳投标保证金：否</w:t>
      </w:r>
    </w:p>
    <w:p w14:paraId="7CA208CC">
      <w:pPr>
        <w:pStyle w:val="2"/>
        <w:widowControl/>
        <w:spacing w:before="0" w:after="0" w:line="360" w:lineRule="auto"/>
        <w:rPr>
          <w:rFonts w:hint="eastAsia" w:ascii="宋体" w:hAnsi="宋体" w:eastAsia="宋体" w:cs="宋体"/>
          <w:bCs w:val="0"/>
          <w:color w:val="auto"/>
          <w:sz w:val="24"/>
          <w:szCs w:val="24"/>
          <w:highlight w:val="none"/>
        </w:rPr>
      </w:pPr>
      <w:bookmarkStart w:id="33" w:name="_Toc15498"/>
      <w:r>
        <w:rPr>
          <w:rFonts w:hint="eastAsia" w:ascii="宋体" w:hAnsi="宋体" w:eastAsia="宋体" w:cs="宋体"/>
          <w:bCs w:val="0"/>
          <w:color w:val="auto"/>
          <w:sz w:val="24"/>
          <w:szCs w:val="24"/>
          <w:highlight w:val="none"/>
          <w:lang w:val="en-US" w:eastAsia="zh-CN"/>
        </w:rPr>
        <w:t>六</w:t>
      </w:r>
      <w:r>
        <w:rPr>
          <w:rFonts w:hint="eastAsia" w:ascii="宋体" w:hAnsi="宋体" w:eastAsia="宋体" w:cs="宋体"/>
          <w:bCs w:val="0"/>
          <w:color w:val="auto"/>
          <w:sz w:val="24"/>
          <w:szCs w:val="24"/>
          <w:highlight w:val="none"/>
        </w:rPr>
        <w:t>、公告期限</w:t>
      </w:r>
      <w:bookmarkEnd w:id="27"/>
      <w:bookmarkEnd w:id="28"/>
      <w:bookmarkEnd w:id="29"/>
      <w:bookmarkEnd w:id="30"/>
      <w:bookmarkEnd w:id="31"/>
      <w:bookmarkEnd w:id="33"/>
    </w:p>
    <w:p w14:paraId="5D6FBF2C">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自本公告发布之日起5个工作日。</w:t>
      </w:r>
    </w:p>
    <w:p w14:paraId="5B3600A6">
      <w:pPr>
        <w:pStyle w:val="2"/>
        <w:widowControl/>
        <w:spacing w:before="0" w:after="0" w:line="360" w:lineRule="auto"/>
        <w:rPr>
          <w:rFonts w:hint="eastAsia" w:ascii="宋体" w:hAnsi="宋体" w:eastAsia="宋体" w:cs="宋体"/>
          <w:bCs w:val="0"/>
          <w:color w:val="auto"/>
          <w:sz w:val="24"/>
          <w:szCs w:val="24"/>
          <w:highlight w:val="none"/>
        </w:rPr>
      </w:pPr>
      <w:bookmarkStart w:id="34" w:name="_Toc14286"/>
      <w:bookmarkStart w:id="35" w:name="_Toc35393626"/>
      <w:bookmarkStart w:id="36" w:name="_Toc35393795"/>
      <w:bookmarkStart w:id="37" w:name="_Toc4246"/>
      <w:r>
        <w:rPr>
          <w:rFonts w:hint="eastAsia" w:ascii="宋体" w:hAnsi="宋体" w:eastAsia="宋体" w:cs="宋体"/>
          <w:bCs w:val="0"/>
          <w:color w:val="auto"/>
          <w:sz w:val="24"/>
          <w:szCs w:val="24"/>
          <w:highlight w:val="none"/>
          <w:lang w:val="en-US" w:eastAsia="zh-CN"/>
        </w:rPr>
        <w:t>七</w:t>
      </w:r>
      <w:r>
        <w:rPr>
          <w:rFonts w:hint="eastAsia" w:ascii="宋体" w:hAnsi="宋体" w:eastAsia="宋体" w:cs="宋体"/>
          <w:bCs w:val="0"/>
          <w:color w:val="auto"/>
          <w:sz w:val="24"/>
          <w:szCs w:val="24"/>
          <w:highlight w:val="none"/>
        </w:rPr>
        <w:t>、其他补充事宜</w:t>
      </w:r>
      <w:bookmarkEnd w:id="34"/>
      <w:bookmarkEnd w:id="35"/>
      <w:bookmarkEnd w:id="36"/>
      <w:bookmarkEnd w:id="37"/>
    </w:p>
    <w:p w14:paraId="0551A820">
      <w:pPr>
        <w:widowControl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1.开标方式：网上开标</w:t>
      </w:r>
    </w:p>
    <w:p w14:paraId="54741083">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.其他：</w:t>
      </w:r>
      <w:r>
        <w:rPr>
          <w:rFonts w:hint="eastAsia" w:ascii="宋体" w:hAnsi="宋体" w:cs="宋体"/>
          <w:color w:val="auto"/>
          <w:sz w:val="24"/>
          <w:szCs w:val="24"/>
          <w:highlight w:val="none"/>
        </w:rPr>
        <w:t>本次招标公告在云南省政府采购网上发布，公告内容和时间以云南省政府采购网发布的信息为准。</w:t>
      </w:r>
    </w:p>
    <w:p w14:paraId="2E820BB6">
      <w:pPr>
        <w:pStyle w:val="2"/>
        <w:widowControl/>
        <w:spacing w:before="0" w:after="0" w:line="360" w:lineRule="auto"/>
        <w:rPr>
          <w:rFonts w:hint="eastAsia" w:ascii="宋体" w:hAnsi="宋体" w:eastAsia="宋体" w:cs="宋体"/>
          <w:bCs w:val="0"/>
          <w:color w:val="auto"/>
          <w:sz w:val="24"/>
          <w:szCs w:val="24"/>
          <w:highlight w:val="none"/>
        </w:rPr>
      </w:pPr>
      <w:bookmarkStart w:id="38" w:name="_Toc35393796"/>
      <w:bookmarkStart w:id="39" w:name="_Toc28359085"/>
      <w:bookmarkStart w:id="40" w:name="_Toc28359008"/>
      <w:bookmarkStart w:id="41" w:name="_Toc7467"/>
      <w:bookmarkStart w:id="42" w:name="_Toc35393627"/>
      <w:bookmarkStart w:id="43" w:name="_Toc19876"/>
      <w:r>
        <w:rPr>
          <w:rFonts w:hint="eastAsia" w:ascii="宋体" w:hAnsi="宋体" w:eastAsia="宋体" w:cs="宋体"/>
          <w:bCs w:val="0"/>
          <w:color w:val="auto"/>
          <w:sz w:val="24"/>
          <w:szCs w:val="24"/>
          <w:highlight w:val="none"/>
          <w:lang w:val="en-US" w:eastAsia="zh-CN"/>
        </w:rPr>
        <w:t>八</w:t>
      </w:r>
      <w:r>
        <w:rPr>
          <w:rFonts w:hint="eastAsia" w:ascii="宋体" w:hAnsi="宋体" w:eastAsia="宋体" w:cs="宋体"/>
          <w:bCs w:val="0"/>
          <w:color w:val="auto"/>
          <w:sz w:val="24"/>
          <w:szCs w:val="24"/>
          <w:highlight w:val="none"/>
        </w:rPr>
        <w:t>、对本次招标提出询问，请按以下方式联系</w:t>
      </w:r>
      <w:bookmarkEnd w:id="38"/>
      <w:bookmarkEnd w:id="39"/>
      <w:bookmarkEnd w:id="40"/>
      <w:bookmarkEnd w:id="41"/>
      <w:bookmarkEnd w:id="42"/>
      <w:bookmarkEnd w:id="43"/>
    </w:p>
    <w:p w14:paraId="26A08340">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1.采购人信息</w:t>
      </w:r>
    </w:p>
    <w:p w14:paraId="78F8F1A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ascii="宋体" w:hAnsi="宋体" w:cs="华文细黑"/>
          <w:color w:val="auto"/>
          <w:sz w:val="24"/>
          <w:szCs w:val="24"/>
          <w:highlight w:val="none"/>
        </w:rPr>
      </w:pPr>
      <w:bookmarkStart w:id="44" w:name="_Toc28359009"/>
      <w:bookmarkStart w:id="45" w:name="_Toc28359086"/>
      <w:r>
        <w:rPr>
          <w:rFonts w:hint="eastAsia" w:ascii="宋体" w:hAnsi="宋体" w:cs="华文细黑"/>
          <w:color w:val="auto"/>
          <w:sz w:val="24"/>
          <w:szCs w:val="24"/>
          <w:highlight w:val="none"/>
        </w:rPr>
        <w:t>名称：</w:t>
      </w:r>
      <w:r>
        <w:rPr>
          <w:rFonts w:hint="eastAsia" w:ascii="宋体" w:hAnsi="宋体"/>
          <w:color w:val="auto"/>
          <w:sz w:val="24"/>
          <w:highlight w:val="none"/>
        </w:rPr>
        <w:t>昆明市延安医院</w:t>
      </w:r>
    </w:p>
    <w:p w14:paraId="15A8233E">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ascii="宋体" w:hAnsi="宋体" w:cs="华文细黑"/>
          <w:color w:val="auto"/>
          <w:sz w:val="24"/>
          <w:szCs w:val="24"/>
          <w:highlight w:val="none"/>
        </w:rPr>
      </w:pPr>
      <w:r>
        <w:rPr>
          <w:rFonts w:hint="eastAsia" w:ascii="宋体" w:hAnsi="宋体" w:cs="华文细黑"/>
          <w:color w:val="auto"/>
          <w:sz w:val="24"/>
          <w:szCs w:val="24"/>
          <w:highlight w:val="none"/>
        </w:rPr>
        <w:t>地址：</w:t>
      </w:r>
      <w:r>
        <w:rPr>
          <w:rFonts w:hint="eastAsia" w:ascii="宋体" w:hAnsi="宋体"/>
          <w:color w:val="auto"/>
          <w:sz w:val="24"/>
          <w:highlight w:val="none"/>
        </w:rPr>
        <w:t>昆明市人民东路245号</w:t>
      </w:r>
    </w:p>
    <w:p w14:paraId="03A14B6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cs="宋体"/>
          <w:color w:val="auto"/>
          <w:sz w:val="24"/>
          <w:szCs w:val="24"/>
          <w:highlight w:val="none"/>
          <w:u w:val="single"/>
        </w:rPr>
      </w:pPr>
      <w:r>
        <w:rPr>
          <w:rFonts w:hint="eastAsia" w:ascii="宋体" w:hAnsi="宋体" w:cs="华文细黑"/>
          <w:color w:val="auto"/>
          <w:sz w:val="24"/>
          <w:highlight w:val="none"/>
        </w:rPr>
        <w:t>联系方式：吕老师、杨老师   0871-63211307</w:t>
      </w:r>
    </w:p>
    <w:p w14:paraId="6E0275D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2.采购代理机构信息</w:t>
      </w:r>
      <w:bookmarkEnd w:id="44"/>
      <w:bookmarkEnd w:id="45"/>
    </w:p>
    <w:p w14:paraId="479CDEA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ascii="宋体" w:hAnsi="宋体" w:cs="华文细黑"/>
          <w:color w:val="auto"/>
          <w:sz w:val="24"/>
          <w:szCs w:val="24"/>
          <w:highlight w:val="none"/>
        </w:rPr>
      </w:pPr>
      <w:bookmarkStart w:id="46" w:name="_Toc28359010"/>
      <w:bookmarkStart w:id="47" w:name="_Toc28359087"/>
      <w:r>
        <w:rPr>
          <w:rFonts w:hint="eastAsia" w:ascii="宋体" w:hAnsi="宋体" w:cs="华文细黑"/>
          <w:color w:val="auto"/>
          <w:sz w:val="24"/>
          <w:szCs w:val="24"/>
          <w:highlight w:val="none"/>
        </w:rPr>
        <w:t>名称：云南元大工程咨询有限责任公司</w:t>
      </w:r>
    </w:p>
    <w:p w14:paraId="5C674721">
      <w:pPr>
        <w:keepNext w:val="0"/>
        <w:keepLines w:val="0"/>
        <w:pageBreakBefore w:val="0"/>
        <w:widowControl w:val="0"/>
        <w:kinsoku/>
        <w:wordWrap/>
        <w:overflowPunct/>
        <w:topLinePunct w:val="0"/>
        <w:autoSpaceDE/>
        <w:autoSpaceDN/>
        <w:bidi w:val="0"/>
        <w:adjustRightInd/>
        <w:snapToGrid/>
        <w:spacing w:line="440" w:lineRule="exact"/>
        <w:ind w:left="719" w:leftChars="228" w:hanging="240" w:hangingChars="100"/>
        <w:textAlignment w:val="auto"/>
        <w:rPr>
          <w:rFonts w:ascii="宋体" w:hAnsi="宋体" w:cs="华文细黑"/>
          <w:color w:val="auto"/>
          <w:sz w:val="24"/>
          <w:szCs w:val="24"/>
          <w:highlight w:val="none"/>
        </w:rPr>
      </w:pPr>
      <w:r>
        <w:rPr>
          <w:rFonts w:hint="eastAsia" w:ascii="宋体" w:hAnsi="宋体" w:cs="华文细黑"/>
          <w:color w:val="auto"/>
          <w:sz w:val="24"/>
          <w:szCs w:val="24"/>
          <w:highlight w:val="none"/>
        </w:rPr>
        <w:t>地址：昆明市盘龙区联盟路与万宏路交汇处万宏嘉园沣苑(地块三)B座15层(奥斯迪商务中心B座15楼)</w:t>
      </w:r>
    </w:p>
    <w:p w14:paraId="783B4965">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cs="宋体"/>
          <w:color w:val="auto"/>
          <w:sz w:val="24"/>
          <w:szCs w:val="24"/>
          <w:highlight w:val="none"/>
        </w:rPr>
      </w:pPr>
      <w:r>
        <w:rPr>
          <w:rFonts w:hint="eastAsia" w:ascii="宋体" w:hAnsi="宋体" w:cs="华文细黑"/>
          <w:color w:val="auto"/>
          <w:sz w:val="24"/>
          <w:szCs w:val="24"/>
          <w:highlight w:val="none"/>
        </w:rPr>
        <w:t>联系方式：</w:t>
      </w:r>
      <w:r>
        <w:rPr>
          <w:rFonts w:hint="eastAsia" w:ascii="宋体" w:hAnsi="宋体"/>
          <w:color w:val="auto"/>
          <w:sz w:val="24"/>
          <w:highlight w:val="none"/>
        </w:rPr>
        <w:t>0871-63335856</w:t>
      </w:r>
    </w:p>
    <w:p w14:paraId="594C233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cs="宋体"/>
          <w:color w:val="auto"/>
          <w:sz w:val="24"/>
          <w:szCs w:val="24"/>
          <w:highlight w:val="none"/>
          <w:u w:val="single"/>
        </w:rPr>
      </w:pPr>
      <w:r>
        <w:rPr>
          <w:rFonts w:hint="eastAsia" w:ascii="宋体" w:hAnsi="宋体" w:cs="宋体"/>
          <w:color w:val="auto"/>
          <w:kern w:val="2"/>
          <w:sz w:val="24"/>
          <w:szCs w:val="24"/>
          <w:highlight w:val="none"/>
          <w:lang w:bidi="ar"/>
        </w:rPr>
        <w:t>3.项目联系方式</w:t>
      </w:r>
      <w:bookmarkEnd w:id="46"/>
      <w:bookmarkEnd w:id="47"/>
    </w:p>
    <w:p w14:paraId="03F7E8C2">
      <w:pPr>
        <w:keepNext w:val="0"/>
        <w:keepLines w:val="0"/>
        <w:pageBreakBefore w:val="0"/>
        <w:widowControl w:val="0"/>
        <w:kinsoku/>
        <w:wordWrap/>
        <w:overflowPunct/>
        <w:topLinePunct w:val="0"/>
        <w:autoSpaceDE/>
        <w:autoSpaceDN/>
        <w:bidi w:val="0"/>
        <w:adjustRightInd/>
        <w:snapToGrid/>
        <w:spacing w:line="440" w:lineRule="exact"/>
        <w:ind w:left="719" w:leftChars="228" w:hanging="240" w:hangingChars="100"/>
        <w:textAlignment w:val="auto"/>
        <w:rPr>
          <w:rFonts w:ascii="宋体" w:hAnsi="宋体" w:cs="华文细黑"/>
          <w:color w:val="auto"/>
          <w:sz w:val="24"/>
          <w:szCs w:val="24"/>
          <w:highlight w:val="none"/>
        </w:rPr>
      </w:pPr>
      <w:r>
        <w:rPr>
          <w:rFonts w:hint="eastAsia" w:ascii="宋体" w:hAnsi="宋体" w:cs="华文细黑"/>
          <w:color w:val="auto"/>
          <w:sz w:val="24"/>
          <w:szCs w:val="24"/>
          <w:highlight w:val="none"/>
        </w:rPr>
        <w:t>项目联系人：张琼、冯志刚、蔡慈进</w:t>
      </w:r>
    </w:p>
    <w:p w14:paraId="37E62393">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cs="宋体"/>
          <w:color w:val="auto"/>
          <w:sz w:val="24"/>
          <w:szCs w:val="24"/>
          <w:highlight w:val="none"/>
          <w:u w:val="single"/>
        </w:rPr>
      </w:pPr>
      <w:r>
        <w:rPr>
          <w:rFonts w:hint="eastAsia" w:ascii="宋体" w:hAnsi="宋体" w:cs="华文细黑"/>
          <w:color w:val="auto"/>
          <w:sz w:val="24"/>
          <w:szCs w:val="24"/>
          <w:highlight w:val="none"/>
        </w:rPr>
        <w:t>电话：</w:t>
      </w:r>
      <w:r>
        <w:rPr>
          <w:rFonts w:hint="eastAsia" w:ascii="宋体" w:hAnsi="宋体" w:cs="宋体"/>
          <w:color w:val="auto"/>
          <w:sz w:val="24"/>
          <w:highlight w:val="none"/>
        </w:rPr>
        <w:t>0871-63335856</w:t>
      </w:r>
    </w:p>
    <w:p w14:paraId="1A2E2705">
      <w:pPr>
        <w:rPr>
          <w:rFonts w:hint="eastAsia"/>
        </w:rPr>
      </w:pPr>
      <w:bookmarkStart w:id="48" w:name="_GoBack"/>
      <w:bookmarkEnd w:id="48"/>
    </w:p>
    <w:sectPr>
      <w:pgSz w:w="11906" w:h="16838"/>
      <w:pgMar w:top="1191" w:right="1191" w:bottom="1191" w:left="1191" w:header="851" w:footer="99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23A0"/>
    <w:rsid w:val="00950061"/>
    <w:rsid w:val="00C8768B"/>
    <w:rsid w:val="00F318FA"/>
    <w:rsid w:val="00FA7C47"/>
    <w:rsid w:val="00FE5B7D"/>
    <w:rsid w:val="014306B5"/>
    <w:rsid w:val="0163798C"/>
    <w:rsid w:val="01AC3880"/>
    <w:rsid w:val="01BA67AE"/>
    <w:rsid w:val="01D85E55"/>
    <w:rsid w:val="02012548"/>
    <w:rsid w:val="02431BDF"/>
    <w:rsid w:val="024C3D57"/>
    <w:rsid w:val="025C2D8F"/>
    <w:rsid w:val="027C530D"/>
    <w:rsid w:val="029229F6"/>
    <w:rsid w:val="02EE247F"/>
    <w:rsid w:val="036370EC"/>
    <w:rsid w:val="03694B34"/>
    <w:rsid w:val="038C6E74"/>
    <w:rsid w:val="039977CE"/>
    <w:rsid w:val="03A02EEE"/>
    <w:rsid w:val="041E0193"/>
    <w:rsid w:val="043A698B"/>
    <w:rsid w:val="0479581B"/>
    <w:rsid w:val="049522ED"/>
    <w:rsid w:val="04AB04DD"/>
    <w:rsid w:val="04C248EF"/>
    <w:rsid w:val="05167876"/>
    <w:rsid w:val="05297AEE"/>
    <w:rsid w:val="0530380B"/>
    <w:rsid w:val="05426DAA"/>
    <w:rsid w:val="0584214A"/>
    <w:rsid w:val="058C5ABB"/>
    <w:rsid w:val="05957F2C"/>
    <w:rsid w:val="05BE74B9"/>
    <w:rsid w:val="05CC4A69"/>
    <w:rsid w:val="05D37352"/>
    <w:rsid w:val="05D74664"/>
    <w:rsid w:val="06391C57"/>
    <w:rsid w:val="06B14B87"/>
    <w:rsid w:val="06B82F27"/>
    <w:rsid w:val="06D25CEB"/>
    <w:rsid w:val="071C7039"/>
    <w:rsid w:val="074F2244"/>
    <w:rsid w:val="075B1085"/>
    <w:rsid w:val="076B64F2"/>
    <w:rsid w:val="07796C7F"/>
    <w:rsid w:val="078349D5"/>
    <w:rsid w:val="078A1B3B"/>
    <w:rsid w:val="078C5AF0"/>
    <w:rsid w:val="07E134EB"/>
    <w:rsid w:val="082A5567"/>
    <w:rsid w:val="083006D0"/>
    <w:rsid w:val="08314312"/>
    <w:rsid w:val="08316FEC"/>
    <w:rsid w:val="08660D2F"/>
    <w:rsid w:val="088456DA"/>
    <w:rsid w:val="08980007"/>
    <w:rsid w:val="09064C55"/>
    <w:rsid w:val="091E4DDD"/>
    <w:rsid w:val="097F56B9"/>
    <w:rsid w:val="09C60D6B"/>
    <w:rsid w:val="09C660CD"/>
    <w:rsid w:val="09D26B0F"/>
    <w:rsid w:val="09D515B2"/>
    <w:rsid w:val="0A393AA5"/>
    <w:rsid w:val="0A3B5DCC"/>
    <w:rsid w:val="0A3E4CB7"/>
    <w:rsid w:val="0A4635A3"/>
    <w:rsid w:val="0A6C08C1"/>
    <w:rsid w:val="0ACB5A0F"/>
    <w:rsid w:val="0AEA6431"/>
    <w:rsid w:val="0B703898"/>
    <w:rsid w:val="0B7B1B56"/>
    <w:rsid w:val="0B800696"/>
    <w:rsid w:val="0BC0160C"/>
    <w:rsid w:val="0BF54955"/>
    <w:rsid w:val="0C0B31F2"/>
    <w:rsid w:val="0C1209C6"/>
    <w:rsid w:val="0C3E7A51"/>
    <w:rsid w:val="0C460AD5"/>
    <w:rsid w:val="0C7823AD"/>
    <w:rsid w:val="0C7F2F7A"/>
    <w:rsid w:val="0C804E05"/>
    <w:rsid w:val="0CD83C33"/>
    <w:rsid w:val="0CDB0F92"/>
    <w:rsid w:val="0CF670B0"/>
    <w:rsid w:val="0D247293"/>
    <w:rsid w:val="0D4C234C"/>
    <w:rsid w:val="0D5828FA"/>
    <w:rsid w:val="0D6D25A4"/>
    <w:rsid w:val="0DB12CD5"/>
    <w:rsid w:val="0DCC41A6"/>
    <w:rsid w:val="0E3E0ADB"/>
    <w:rsid w:val="0E70622A"/>
    <w:rsid w:val="0E7568AE"/>
    <w:rsid w:val="0EA2594F"/>
    <w:rsid w:val="0F1B01E6"/>
    <w:rsid w:val="0F5260A8"/>
    <w:rsid w:val="0F606DA8"/>
    <w:rsid w:val="0F775A86"/>
    <w:rsid w:val="0FB656E1"/>
    <w:rsid w:val="10120554"/>
    <w:rsid w:val="108A6014"/>
    <w:rsid w:val="10A74BC8"/>
    <w:rsid w:val="10CD2B7F"/>
    <w:rsid w:val="10F25362"/>
    <w:rsid w:val="110036E8"/>
    <w:rsid w:val="110F6590"/>
    <w:rsid w:val="1110084C"/>
    <w:rsid w:val="112A505C"/>
    <w:rsid w:val="119A71CE"/>
    <w:rsid w:val="11AD1EB0"/>
    <w:rsid w:val="11CB75F9"/>
    <w:rsid w:val="11FE3EC0"/>
    <w:rsid w:val="11FE5BCD"/>
    <w:rsid w:val="126C690E"/>
    <w:rsid w:val="129556AD"/>
    <w:rsid w:val="129E5A31"/>
    <w:rsid w:val="12D53EF3"/>
    <w:rsid w:val="13097766"/>
    <w:rsid w:val="134621A7"/>
    <w:rsid w:val="135C136C"/>
    <w:rsid w:val="136B5DC5"/>
    <w:rsid w:val="13894D2A"/>
    <w:rsid w:val="13CC73FB"/>
    <w:rsid w:val="14047ACF"/>
    <w:rsid w:val="142C4897"/>
    <w:rsid w:val="14445ED0"/>
    <w:rsid w:val="14763B2E"/>
    <w:rsid w:val="14923CB2"/>
    <w:rsid w:val="151A013B"/>
    <w:rsid w:val="155B4372"/>
    <w:rsid w:val="156A037C"/>
    <w:rsid w:val="15A3788E"/>
    <w:rsid w:val="15B841D3"/>
    <w:rsid w:val="15C6714C"/>
    <w:rsid w:val="15CF1787"/>
    <w:rsid w:val="16AB2D91"/>
    <w:rsid w:val="17110B6C"/>
    <w:rsid w:val="17234510"/>
    <w:rsid w:val="174E0581"/>
    <w:rsid w:val="175E71F4"/>
    <w:rsid w:val="177D18C3"/>
    <w:rsid w:val="178B2174"/>
    <w:rsid w:val="181E47A9"/>
    <w:rsid w:val="18AB38DE"/>
    <w:rsid w:val="18C6097B"/>
    <w:rsid w:val="18F25A9D"/>
    <w:rsid w:val="190147FF"/>
    <w:rsid w:val="195741CB"/>
    <w:rsid w:val="19B50A15"/>
    <w:rsid w:val="19E23E71"/>
    <w:rsid w:val="19F9767E"/>
    <w:rsid w:val="1A385086"/>
    <w:rsid w:val="1A4A1DBE"/>
    <w:rsid w:val="1A4B4E8F"/>
    <w:rsid w:val="1A571336"/>
    <w:rsid w:val="1A6C5D9C"/>
    <w:rsid w:val="1A915238"/>
    <w:rsid w:val="1AB71EBA"/>
    <w:rsid w:val="1B062D6D"/>
    <w:rsid w:val="1B086C5D"/>
    <w:rsid w:val="1B18253D"/>
    <w:rsid w:val="1B275324"/>
    <w:rsid w:val="1B4E5856"/>
    <w:rsid w:val="1B7B3070"/>
    <w:rsid w:val="1B891EAE"/>
    <w:rsid w:val="1BD60B3D"/>
    <w:rsid w:val="1BF23869"/>
    <w:rsid w:val="1C0167FB"/>
    <w:rsid w:val="1C1A3DE7"/>
    <w:rsid w:val="1CA61080"/>
    <w:rsid w:val="1CED21F1"/>
    <w:rsid w:val="1D2F587E"/>
    <w:rsid w:val="1D452633"/>
    <w:rsid w:val="1D7B3588"/>
    <w:rsid w:val="1DB84DE4"/>
    <w:rsid w:val="1DDF5612"/>
    <w:rsid w:val="1DEA0A8F"/>
    <w:rsid w:val="1E223B0C"/>
    <w:rsid w:val="1E2510EC"/>
    <w:rsid w:val="1E65570A"/>
    <w:rsid w:val="1E724457"/>
    <w:rsid w:val="1E8B689A"/>
    <w:rsid w:val="1EC33CFB"/>
    <w:rsid w:val="1EED37A0"/>
    <w:rsid w:val="1F0F3046"/>
    <w:rsid w:val="1F455AC7"/>
    <w:rsid w:val="1F905FE2"/>
    <w:rsid w:val="1FAA6C23"/>
    <w:rsid w:val="1FBB575D"/>
    <w:rsid w:val="202436D7"/>
    <w:rsid w:val="20B61F8A"/>
    <w:rsid w:val="20B67F1B"/>
    <w:rsid w:val="20D34D84"/>
    <w:rsid w:val="210903C0"/>
    <w:rsid w:val="21164DE5"/>
    <w:rsid w:val="211B2B44"/>
    <w:rsid w:val="213510AF"/>
    <w:rsid w:val="213D4589"/>
    <w:rsid w:val="21B927BF"/>
    <w:rsid w:val="2208393B"/>
    <w:rsid w:val="22440D7F"/>
    <w:rsid w:val="22476243"/>
    <w:rsid w:val="225036C2"/>
    <w:rsid w:val="225C70C5"/>
    <w:rsid w:val="22601D4C"/>
    <w:rsid w:val="226B466C"/>
    <w:rsid w:val="22993A0C"/>
    <w:rsid w:val="22EF7216"/>
    <w:rsid w:val="2321540E"/>
    <w:rsid w:val="232E408F"/>
    <w:rsid w:val="23DA6E0E"/>
    <w:rsid w:val="23F9190A"/>
    <w:rsid w:val="245D1000"/>
    <w:rsid w:val="24647611"/>
    <w:rsid w:val="24DA582E"/>
    <w:rsid w:val="256E0462"/>
    <w:rsid w:val="25790A06"/>
    <w:rsid w:val="257A0BED"/>
    <w:rsid w:val="2585518D"/>
    <w:rsid w:val="25895C80"/>
    <w:rsid w:val="25B03B10"/>
    <w:rsid w:val="260E260A"/>
    <w:rsid w:val="268C1C55"/>
    <w:rsid w:val="26CD27A5"/>
    <w:rsid w:val="26F81DE2"/>
    <w:rsid w:val="273352F9"/>
    <w:rsid w:val="27654C66"/>
    <w:rsid w:val="277A32DD"/>
    <w:rsid w:val="277F4FAE"/>
    <w:rsid w:val="278B7991"/>
    <w:rsid w:val="28401530"/>
    <w:rsid w:val="284015D6"/>
    <w:rsid w:val="28801F54"/>
    <w:rsid w:val="288964BB"/>
    <w:rsid w:val="28930A2C"/>
    <w:rsid w:val="2904046A"/>
    <w:rsid w:val="29303850"/>
    <w:rsid w:val="294871D2"/>
    <w:rsid w:val="297448A0"/>
    <w:rsid w:val="297F48AF"/>
    <w:rsid w:val="29C97AAB"/>
    <w:rsid w:val="29CD262A"/>
    <w:rsid w:val="29CE49D0"/>
    <w:rsid w:val="2A3D6D6C"/>
    <w:rsid w:val="2A3E202B"/>
    <w:rsid w:val="2A3F382D"/>
    <w:rsid w:val="2A497A77"/>
    <w:rsid w:val="2A8229A3"/>
    <w:rsid w:val="2A8E4E31"/>
    <w:rsid w:val="2AC747F6"/>
    <w:rsid w:val="2AD00BC8"/>
    <w:rsid w:val="2B2D3AF3"/>
    <w:rsid w:val="2B525ED9"/>
    <w:rsid w:val="2B544D31"/>
    <w:rsid w:val="2BA04E26"/>
    <w:rsid w:val="2BA314A7"/>
    <w:rsid w:val="2BBA5186"/>
    <w:rsid w:val="2BE337B3"/>
    <w:rsid w:val="2BF47D7B"/>
    <w:rsid w:val="2BFA0322"/>
    <w:rsid w:val="2C30369E"/>
    <w:rsid w:val="2C5254AB"/>
    <w:rsid w:val="2C5E3C7D"/>
    <w:rsid w:val="2C6431DC"/>
    <w:rsid w:val="2C6C32A5"/>
    <w:rsid w:val="2C9B48E3"/>
    <w:rsid w:val="2CA25E40"/>
    <w:rsid w:val="2CB24B93"/>
    <w:rsid w:val="2CB82626"/>
    <w:rsid w:val="2CC77644"/>
    <w:rsid w:val="2D0C0F97"/>
    <w:rsid w:val="2D18558E"/>
    <w:rsid w:val="2D4028B1"/>
    <w:rsid w:val="2D670BE9"/>
    <w:rsid w:val="2D886CFA"/>
    <w:rsid w:val="2DB954D0"/>
    <w:rsid w:val="2DD7202E"/>
    <w:rsid w:val="2DE11308"/>
    <w:rsid w:val="2DF13E7C"/>
    <w:rsid w:val="2E492668"/>
    <w:rsid w:val="2E4B6861"/>
    <w:rsid w:val="2E8369D8"/>
    <w:rsid w:val="2E892CA0"/>
    <w:rsid w:val="2E9B14A8"/>
    <w:rsid w:val="2EA2589C"/>
    <w:rsid w:val="2EB22E8C"/>
    <w:rsid w:val="2F0B5C3B"/>
    <w:rsid w:val="2F362C46"/>
    <w:rsid w:val="2F3A2879"/>
    <w:rsid w:val="2F594B0B"/>
    <w:rsid w:val="2F6A74F6"/>
    <w:rsid w:val="2F6D7FD2"/>
    <w:rsid w:val="2F994922"/>
    <w:rsid w:val="2FA86270"/>
    <w:rsid w:val="2FD72E70"/>
    <w:rsid w:val="2FF66DB9"/>
    <w:rsid w:val="30786489"/>
    <w:rsid w:val="308C5B0C"/>
    <w:rsid w:val="30D23ED0"/>
    <w:rsid w:val="312679FB"/>
    <w:rsid w:val="313C1F16"/>
    <w:rsid w:val="31522EEC"/>
    <w:rsid w:val="31603E6D"/>
    <w:rsid w:val="31615B13"/>
    <w:rsid w:val="31636E02"/>
    <w:rsid w:val="31662F85"/>
    <w:rsid w:val="317B000C"/>
    <w:rsid w:val="3194516C"/>
    <w:rsid w:val="31CF0743"/>
    <w:rsid w:val="323D3759"/>
    <w:rsid w:val="32D76223"/>
    <w:rsid w:val="331D4F16"/>
    <w:rsid w:val="33595887"/>
    <w:rsid w:val="33F62880"/>
    <w:rsid w:val="343C1D6F"/>
    <w:rsid w:val="34516216"/>
    <w:rsid w:val="34716230"/>
    <w:rsid w:val="34CE7262"/>
    <w:rsid w:val="350157D7"/>
    <w:rsid w:val="35324B2E"/>
    <w:rsid w:val="3534385B"/>
    <w:rsid w:val="35DB787E"/>
    <w:rsid w:val="35F21957"/>
    <w:rsid w:val="35F274EB"/>
    <w:rsid w:val="36162697"/>
    <w:rsid w:val="36421D02"/>
    <w:rsid w:val="36B311B0"/>
    <w:rsid w:val="36B84E1C"/>
    <w:rsid w:val="36BE62E6"/>
    <w:rsid w:val="36CF4A7A"/>
    <w:rsid w:val="37356D19"/>
    <w:rsid w:val="373B6C79"/>
    <w:rsid w:val="379426B9"/>
    <w:rsid w:val="379B436B"/>
    <w:rsid w:val="37B50FCA"/>
    <w:rsid w:val="37EB75F5"/>
    <w:rsid w:val="38184AF3"/>
    <w:rsid w:val="384559CB"/>
    <w:rsid w:val="38A33F2D"/>
    <w:rsid w:val="39017414"/>
    <w:rsid w:val="394174C1"/>
    <w:rsid w:val="395F6AEB"/>
    <w:rsid w:val="39D358DB"/>
    <w:rsid w:val="39DA205C"/>
    <w:rsid w:val="3A185348"/>
    <w:rsid w:val="3A1A7EF3"/>
    <w:rsid w:val="3A2C4E2F"/>
    <w:rsid w:val="3A382B8C"/>
    <w:rsid w:val="3A553B1C"/>
    <w:rsid w:val="3A604411"/>
    <w:rsid w:val="3AB72F5F"/>
    <w:rsid w:val="3AE70FE0"/>
    <w:rsid w:val="3B0D1E82"/>
    <w:rsid w:val="3B5E1671"/>
    <w:rsid w:val="3BD04843"/>
    <w:rsid w:val="3BE43AA2"/>
    <w:rsid w:val="3C104B28"/>
    <w:rsid w:val="3C3746B7"/>
    <w:rsid w:val="3C3B6D74"/>
    <w:rsid w:val="3C7B5BFB"/>
    <w:rsid w:val="3C9220AF"/>
    <w:rsid w:val="3D0A50C7"/>
    <w:rsid w:val="3D452F0D"/>
    <w:rsid w:val="3D513BAE"/>
    <w:rsid w:val="3D6C6887"/>
    <w:rsid w:val="3DED75B1"/>
    <w:rsid w:val="3DF27942"/>
    <w:rsid w:val="3E942F50"/>
    <w:rsid w:val="3F426DBA"/>
    <w:rsid w:val="3F834FD6"/>
    <w:rsid w:val="3F88052B"/>
    <w:rsid w:val="3F961647"/>
    <w:rsid w:val="401029F4"/>
    <w:rsid w:val="40253156"/>
    <w:rsid w:val="403925D4"/>
    <w:rsid w:val="409417C7"/>
    <w:rsid w:val="40B96BE9"/>
    <w:rsid w:val="41034D5C"/>
    <w:rsid w:val="4130630C"/>
    <w:rsid w:val="413122EA"/>
    <w:rsid w:val="414E5323"/>
    <w:rsid w:val="418F7F65"/>
    <w:rsid w:val="41A3741A"/>
    <w:rsid w:val="41EC6D7F"/>
    <w:rsid w:val="42392486"/>
    <w:rsid w:val="425C7B3E"/>
    <w:rsid w:val="42675B53"/>
    <w:rsid w:val="42B84224"/>
    <w:rsid w:val="42C65CB7"/>
    <w:rsid w:val="42EE43F3"/>
    <w:rsid w:val="43033F23"/>
    <w:rsid w:val="43057428"/>
    <w:rsid w:val="431634AD"/>
    <w:rsid w:val="43243D16"/>
    <w:rsid w:val="436672AF"/>
    <w:rsid w:val="436B41DF"/>
    <w:rsid w:val="43AF3906"/>
    <w:rsid w:val="43B45C2B"/>
    <w:rsid w:val="44336529"/>
    <w:rsid w:val="444646A2"/>
    <w:rsid w:val="44502060"/>
    <w:rsid w:val="446754C0"/>
    <w:rsid w:val="449C7BC8"/>
    <w:rsid w:val="449E00E2"/>
    <w:rsid w:val="44FB6F98"/>
    <w:rsid w:val="454A4B13"/>
    <w:rsid w:val="455A7F41"/>
    <w:rsid w:val="45AD55C5"/>
    <w:rsid w:val="45B9313E"/>
    <w:rsid w:val="45CF0273"/>
    <w:rsid w:val="45DD7BEF"/>
    <w:rsid w:val="46080D2F"/>
    <w:rsid w:val="468750D5"/>
    <w:rsid w:val="46913E9B"/>
    <w:rsid w:val="46D3398D"/>
    <w:rsid w:val="46E72E1A"/>
    <w:rsid w:val="471F0EB3"/>
    <w:rsid w:val="47AF1DAF"/>
    <w:rsid w:val="47BE502C"/>
    <w:rsid w:val="47FD1E33"/>
    <w:rsid w:val="486D0223"/>
    <w:rsid w:val="48817E0F"/>
    <w:rsid w:val="489164C3"/>
    <w:rsid w:val="48BB53A0"/>
    <w:rsid w:val="491873EF"/>
    <w:rsid w:val="491F2257"/>
    <w:rsid w:val="494D7F1E"/>
    <w:rsid w:val="495A2674"/>
    <w:rsid w:val="499B2374"/>
    <w:rsid w:val="49BA7FCC"/>
    <w:rsid w:val="4A056E01"/>
    <w:rsid w:val="4A3B1776"/>
    <w:rsid w:val="4A3F7AFE"/>
    <w:rsid w:val="4A5C68E9"/>
    <w:rsid w:val="4A8C3C1F"/>
    <w:rsid w:val="4A9A3D13"/>
    <w:rsid w:val="4AA3759C"/>
    <w:rsid w:val="4AB12AC1"/>
    <w:rsid w:val="4AD54B68"/>
    <w:rsid w:val="4B0F5842"/>
    <w:rsid w:val="4B706328"/>
    <w:rsid w:val="4BBF64AD"/>
    <w:rsid w:val="4BCD017A"/>
    <w:rsid w:val="4BF13FF4"/>
    <w:rsid w:val="4C244D8E"/>
    <w:rsid w:val="4C5751D5"/>
    <w:rsid w:val="4C6C38DE"/>
    <w:rsid w:val="4C7A2544"/>
    <w:rsid w:val="4C9A166A"/>
    <w:rsid w:val="4CA21D95"/>
    <w:rsid w:val="4CAC1BFB"/>
    <w:rsid w:val="4CDC14FA"/>
    <w:rsid w:val="4CDD3A5E"/>
    <w:rsid w:val="4CF741A4"/>
    <w:rsid w:val="4D2A76EE"/>
    <w:rsid w:val="4D425422"/>
    <w:rsid w:val="4D561376"/>
    <w:rsid w:val="4D726027"/>
    <w:rsid w:val="4DFB231F"/>
    <w:rsid w:val="4E557B22"/>
    <w:rsid w:val="4EEC468E"/>
    <w:rsid w:val="4EEC6FD9"/>
    <w:rsid w:val="4F6C4127"/>
    <w:rsid w:val="4F6E68EF"/>
    <w:rsid w:val="4F710DEB"/>
    <w:rsid w:val="4F7B480D"/>
    <w:rsid w:val="4F7E7179"/>
    <w:rsid w:val="4FA76555"/>
    <w:rsid w:val="500D2041"/>
    <w:rsid w:val="501C1B99"/>
    <w:rsid w:val="5021397B"/>
    <w:rsid w:val="50243547"/>
    <w:rsid w:val="504144D5"/>
    <w:rsid w:val="509F1704"/>
    <w:rsid w:val="50C54668"/>
    <w:rsid w:val="50EF13E8"/>
    <w:rsid w:val="50FD55F6"/>
    <w:rsid w:val="515A5792"/>
    <w:rsid w:val="52183220"/>
    <w:rsid w:val="522C3C2C"/>
    <w:rsid w:val="524D5C0C"/>
    <w:rsid w:val="52715EBA"/>
    <w:rsid w:val="527606CF"/>
    <w:rsid w:val="530F55B6"/>
    <w:rsid w:val="531246BB"/>
    <w:rsid w:val="534C6BB6"/>
    <w:rsid w:val="53614D7D"/>
    <w:rsid w:val="53645822"/>
    <w:rsid w:val="53CE6D96"/>
    <w:rsid w:val="53EB1E10"/>
    <w:rsid w:val="54124D22"/>
    <w:rsid w:val="542D11E6"/>
    <w:rsid w:val="543A05AB"/>
    <w:rsid w:val="544C11BF"/>
    <w:rsid w:val="548842F0"/>
    <w:rsid w:val="54996E15"/>
    <w:rsid w:val="54A67DA8"/>
    <w:rsid w:val="54BF5675"/>
    <w:rsid w:val="556111A0"/>
    <w:rsid w:val="557C3BDD"/>
    <w:rsid w:val="55A3215A"/>
    <w:rsid w:val="55B21BC4"/>
    <w:rsid w:val="55DC60FC"/>
    <w:rsid w:val="55E44E5F"/>
    <w:rsid w:val="563153B4"/>
    <w:rsid w:val="567850CB"/>
    <w:rsid w:val="56CD1DE0"/>
    <w:rsid w:val="56DF1391"/>
    <w:rsid w:val="577D30AD"/>
    <w:rsid w:val="57991360"/>
    <w:rsid w:val="57A40C87"/>
    <w:rsid w:val="57E40002"/>
    <w:rsid w:val="57EC19E4"/>
    <w:rsid w:val="584F72E8"/>
    <w:rsid w:val="58AE250C"/>
    <w:rsid w:val="58BE6895"/>
    <w:rsid w:val="58D7467A"/>
    <w:rsid w:val="58F10CF2"/>
    <w:rsid w:val="58F845AE"/>
    <w:rsid w:val="590B4D2B"/>
    <w:rsid w:val="59301E51"/>
    <w:rsid w:val="59464108"/>
    <w:rsid w:val="59573DDB"/>
    <w:rsid w:val="5A087BCD"/>
    <w:rsid w:val="5A4E7874"/>
    <w:rsid w:val="5A7B2907"/>
    <w:rsid w:val="5A906F37"/>
    <w:rsid w:val="5AB71268"/>
    <w:rsid w:val="5AE71EB1"/>
    <w:rsid w:val="5B401EFB"/>
    <w:rsid w:val="5B46073F"/>
    <w:rsid w:val="5B54772B"/>
    <w:rsid w:val="5B5D1B66"/>
    <w:rsid w:val="5B7741DD"/>
    <w:rsid w:val="5B822FDB"/>
    <w:rsid w:val="5B9209E0"/>
    <w:rsid w:val="5BCD7268"/>
    <w:rsid w:val="5BEF145B"/>
    <w:rsid w:val="5BF955F0"/>
    <w:rsid w:val="5C793B2C"/>
    <w:rsid w:val="5CA136D2"/>
    <w:rsid w:val="5CE02518"/>
    <w:rsid w:val="5D191171"/>
    <w:rsid w:val="5D332065"/>
    <w:rsid w:val="5D356437"/>
    <w:rsid w:val="5D4A7E50"/>
    <w:rsid w:val="5D4E5F26"/>
    <w:rsid w:val="5D7144A6"/>
    <w:rsid w:val="5D8245F9"/>
    <w:rsid w:val="5D843541"/>
    <w:rsid w:val="5D9B458F"/>
    <w:rsid w:val="5DBF7AE0"/>
    <w:rsid w:val="5E2A4A06"/>
    <w:rsid w:val="5E546007"/>
    <w:rsid w:val="5E5A2137"/>
    <w:rsid w:val="5E645B86"/>
    <w:rsid w:val="5E682398"/>
    <w:rsid w:val="5E7372AF"/>
    <w:rsid w:val="5E8747FB"/>
    <w:rsid w:val="5E8B13E6"/>
    <w:rsid w:val="5EC86EF1"/>
    <w:rsid w:val="5F6913D4"/>
    <w:rsid w:val="5F6C0263"/>
    <w:rsid w:val="5F7273F8"/>
    <w:rsid w:val="5FAB0874"/>
    <w:rsid w:val="5FCC3E8B"/>
    <w:rsid w:val="600D1EEE"/>
    <w:rsid w:val="602D5ECE"/>
    <w:rsid w:val="6085591D"/>
    <w:rsid w:val="611A5BA9"/>
    <w:rsid w:val="61570864"/>
    <w:rsid w:val="618E1F46"/>
    <w:rsid w:val="61BA69D7"/>
    <w:rsid w:val="61D900D8"/>
    <w:rsid w:val="61E15BBF"/>
    <w:rsid w:val="61E627DD"/>
    <w:rsid w:val="61E664A5"/>
    <w:rsid w:val="61E814B8"/>
    <w:rsid w:val="62241659"/>
    <w:rsid w:val="629279AA"/>
    <w:rsid w:val="62AA351F"/>
    <w:rsid w:val="62BF3509"/>
    <w:rsid w:val="62F17893"/>
    <w:rsid w:val="630458AC"/>
    <w:rsid w:val="63112CDF"/>
    <w:rsid w:val="634C1521"/>
    <w:rsid w:val="635C5B5A"/>
    <w:rsid w:val="63602F7B"/>
    <w:rsid w:val="639900BB"/>
    <w:rsid w:val="644A5E27"/>
    <w:rsid w:val="64D02DF2"/>
    <w:rsid w:val="64DF4375"/>
    <w:rsid w:val="64F77904"/>
    <w:rsid w:val="65897382"/>
    <w:rsid w:val="65A55E6F"/>
    <w:rsid w:val="65E01A41"/>
    <w:rsid w:val="660E3382"/>
    <w:rsid w:val="66501C3C"/>
    <w:rsid w:val="666C12E6"/>
    <w:rsid w:val="66B133D6"/>
    <w:rsid w:val="66B31228"/>
    <w:rsid w:val="66DA6613"/>
    <w:rsid w:val="66E203B0"/>
    <w:rsid w:val="6701610B"/>
    <w:rsid w:val="67421A08"/>
    <w:rsid w:val="67700365"/>
    <w:rsid w:val="677E07DA"/>
    <w:rsid w:val="67AB0142"/>
    <w:rsid w:val="67B64C74"/>
    <w:rsid w:val="67EA3152"/>
    <w:rsid w:val="67F846E1"/>
    <w:rsid w:val="67FD343A"/>
    <w:rsid w:val="67FE7E48"/>
    <w:rsid w:val="682322D9"/>
    <w:rsid w:val="682425B0"/>
    <w:rsid w:val="685F3FD2"/>
    <w:rsid w:val="68810E0F"/>
    <w:rsid w:val="68CE0AAC"/>
    <w:rsid w:val="68E948CF"/>
    <w:rsid w:val="692068A4"/>
    <w:rsid w:val="69306AEB"/>
    <w:rsid w:val="698B4C74"/>
    <w:rsid w:val="69F312E7"/>
    <w:rsid w:val="6A014CBD"/>
    <w:rsid w:val="6A6A22BC"/>
    <w:rsid w:val="6A7A3A0E"/>
    <w:rsid w:val="6AC33717"/>
    <w:rsid w:val="6AE25D96"/>
    <w:rsid w:val="6AED3816"/>
    <w:rsid w:val="6AFF613D"/>
    <w:rsid w:val="6B554293"/>
    <w:rsid w:val="6BF3497E"/>
    <w:rsid w:val="6C561457"/>
    <w:rsid w:val="6C576AF9"/>
    <w:rsid w:val="6C796787"/>
    <w:rsid w:val="6C7B68C4"/>
    <w:rsid w:val="6C9C7E7D"/>
    <w:rsid w:val="6D1E1632"/>
    <w:rsid w:val="6D9A041D"/>
    <w:rsid w:val="6DB606EE"/>
    <w:rsid w:val="6E16511A"/>
    <w:rsid w:val="6E3B6E64"/>
    <w:rsid w:val="6E552253"/>
    <w:rsid w:val="6ED5390E"/>
    <w:rsid w:val="6EF1072F"/>
    <w:rsid w:val="6EF713C5"/>
    <w:rsid w:val="6F2C4F37"/>
    <w:rsid w:val="6F496031"/>
    <w:rsid w:val="6FCF3104"/>
    <w:rsid w:val="6FE610E4"/>
    <w:rsid w:val="6FEF7F4C"/>
    <w:rsid w:val="70273A94"/>
    <w:rsid w:val="704152FB"/>
    <w:rsid w:val="70593839"/>
    <w:rsid w:val="70606B77"/>
    <w:rsid w:val="707527FE"/>
    <w:rsid w:val="70763510"/>
    <w:rsid w:val="709C7D49"/>
    <w:rsid w:val="70B9092A"/>
    <w:rsid w:val="71DC6354"/>
    <w:rsid w:val="71E67AD5"/>
    <w:rsid w:val="72102C68"/>
    <w:rsid w:val="722C3DBD"/>
    <w:rsid w:val="726300C8"/>
    <w:rsid w:val="727E098C"/>
    <w:rsid w:val="727F158C"/>
    <w:rsid w:val="728C7BC4"/>
    <w:rsid w:val="72AC4F81"/>
    <w:rsid w:val="72E349CA"/>
    <w:rsid w:val="72F87C07"/>
    <w:rsid w:val="738F4452"/>
    <w:rsid w:val="739F6509"/>
    <w:rsid w:val="74133A2E"/>
    <w:rsid w:val="74700B44"/>
    <w:rsid w:val="747B648F"/>
    <w:rsid w:val="74833E58"/>
    <w:rsid w:val="74EC3696"/>
    <w:rsid w:val="751D6AB9"/>
    <w:rsid w:val="75215503"/>
    <w:rsid w:val="757367EE"/>
    <w:rsid w:val="758C4C29"/>
    <w:rsid w:val="7598764D"/>
    <w:rsid w:val="75B7473D"/>
    <w:rsid w:val="75B91884"/>
    <w:rsid w:val="75D1385A"/>
    <w:rsid w:val="75FE4675"/>
    <w:rsid w:val="760662CA"/>
    <w:rsid w:val="76086408"/>
    <w:rsid w:val="760F2163"/>
    <w:rsid w:val="76722EFE"/>
    <w:rsid w:val="76A2019D"/>
    <w:rsid w:val="76B149E7"/>
    <w:rsid w:val="76B43C0A"/>
    <w:rsid w:val="76CD669E"/>
    <w:rsid w:val="76E8582E"/>
    <w:rsid w:val="770E6DA1"/>
    <w:rsid w:val="776571B0"/>
    <w:rsid w:val="77B31913"/>
    <w:rsid w:val="77C505BE"/>
    <w:rsid w:val="77DC7365"/>
    <w:rsid w:val="784D2BB2"/>
    <w:rsid w:val="78566098"/>
    <w:rsid w:val="78733039"/>
    <w:rsid w:val="789E42DE"/>
    <w:rsid w:val="78CB0551"/>
    <w:rsid w:val="78DC7D8E"/>
    <w:rsid w:val="78F37F4A"/>
    <w:rsid w:val="79AE5EBD"/>
    <w:rsid w:val="79B75644"/>
    <w:rsid w:val="79D660A4"/>
    <w:rsid w:val="7A176DAF"/>
    <w:rsid w:val="7A3C4EAE"/>
    <w:rsid w:val="7A5D0E7B"/>
    <w:rsid w:val="7AAA366B"/>
    <w:rsid w:val="7B582F27"/>
    <w:rsid w:val="7B9523D4"/>
    <w:rsid w:val="7BB332CE"/>
    <w:rsid w:val="7C2610EF"/>
    <w:rsid w:val="7C2A2C70"/>
    <w:rsid w:val="7C432DB1"/>
    <w:rsid w:val="7C457106"/>
    <w:rsid w:val="7C7B2EF5"/>
    <w:rsid w:val="7C8F1CE3"/>
    <w:rsid w:val="7C9B55CD"/>
    <w:rsid w:val="7CBF0A24"/>
    <w:rsid w:val="7CC406AE"/>
    <w:rsid w:val="7D3666AF"/>
    <w:rsid w:val="7D79172C"/>
    <w:rsid w:val="7D796F1F"/>
    <w:rsid w:val="7E024794"/>
    <w:rsid w:val="7E373C3B"/>
    <w:rsid w:val="7E4178E0"/>
    <w:rsid w:val="7E4A46F5"/>
    <w:rsid w:val="7E5067D5"/>
    <w:rsid w:val="7E904A52"/>
    <w:rsid w:val="7E907A0E"/>
    <w:rsid w:val="7EA02204"/>
    <w:rsid w:val="7EAA112A"/>
    <w:rsid w:val="7EC107DC"/>
    <w:rsid w:val="7EC508FE"/>
    <w:rsid w:val="7F0363ED"/>
    <w:rsid w:val="7F232F94"/>
    <w:rsid w:val="7F366EEE"/>
    <w:rsid w:val="7F5D1234"/>
    <w:rsid w:val="7F6D2EE7"/>
    <w:rsid w:val="7F7C6370"/>
    <w:rsid w:val="7F991E63"/>
    <w:rsid w:val="7FAA0892"/>
    <w:rsid w:val="7FC57660"/>
    <w:rsid w:val="7FCC07A5"/>
    <w:rsid w:val="7FF07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szCs w:val="21"/>
      <w:lang w:val="en-US" w:eastAsia="zh-CN" w:bidi="ar-SA"/>
    </w:rPr>
  </w:style>
  <w:style w:type="paragraph" w:styleId="2">
    <w:name w:val="heading 2"/>
    <w:basedOn w:val="1"/>
    <w:next w:val="1"/>
    <w:qFormat/>
    <w:uiPriority w:val="99"/>
    <w:pPr>
      <w:keepNext/>
      <w:keepLines/>
      <w:widowControl w:val="0"/>
      <w:spacing w:before="260" w:after="260" w:line="412"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Document Map"/>
    <w:basedOn w:val="1"/>
    <w:unhideWhenUsed/>
    <w:qFormat/>
    <w:uiPriority w:val="99"/>
    <w:rPr>
      <w:rFonts w:ascii="宋体"/>
      <w:sz w:val="18"/>
      <w:szCs w:val="18"/>
    </w:rPr>
  </w:style>
  <w:style w:type="paragraph" w:styleId="5">
    <w:name w:val="Body Text"/>
    <w:basedOn w:val="1"/>
    <w:qFormat/>
    <w:uiPriority w:val="0"/>
    <w:pPr>
      <w:spacing w:line="360" w:lineRule="auto"/>
    </w:pPr>
    <w:rPr>
      <w:rFonts w:ascii="Times New Roman" w:hAnsi="Times New Roman"/>
      <w:kern w:val="2"/>
      <w:sz w:val="21"/>
      <w:szCs w:val="24"/>
    </w:rPr>
  </w:style>
  <w:style w:type="character" w:styleId="8">
    <w:name w:val="Hyperlink"/>
    <w:basedOn w:val="7"/>
    <w:unhideWhenUsed/>
    <w:qFormat/>
    <w:uiPriority w:val="99"/>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2025-01-20T00:41:00Z</dcterms:created>
  <dc:creator>ASUS</dc:creator>
  <cp:lastModifiedBy>冯志刚</cp:lastModifiedBy>
  <dcterms:modified xsi:type="dcterms:W3CDTF">2026-05-21T10:18:32Z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5F1F957E140A4500A4E936B361D999B0_13</vt:lpwstr>
  </property>
  <property fmtid="{D5CDD505-2E9C-101B-9397-08002B2CF9AE}" pid="4" name="KSOTemplateDocerSaveRecord">
    <vt:lpwstr>eyJoZGlkIjoiOTY0ZWYxYTllNjg4NTk4YjVhZDJhMWUzYjIzYTNlNTYiLCJ1c2VySWQiOiI0MjY0Nzk2MjcifQ==</vt:lpwstr>
  </property>
</Properties>
</file>