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FF93D">
      <w:pPr>
        <w:adjustRightInd w:val="0"/>
        <w:snapToGrid w:val="0"/>
        <w:ind w:left="1033" w:hanging="1033"/>
        <w:jc w:val="left"/>
        <w:rPr>
          <w:rFonts w:hint="eastAsia" w:ascii="仿宋" w:hAnsi="仿宋" w:eastAsia="仿宋" w:cs="仿宋"/>
          <w:color w:val="auto"/>
          <w:highlight w:val="none"/>
        </w:rPr>
      </w:pPr>
      <w:bookmarkStart w:id="117" w:name="_GoBack"/>
      <w:r>
        <w:rPr>
          <w:rFonts w:hint="eastAsia" w:ascii="仿宋" w:hAnsi="仿宋" w:eastAsia="仿宋" w:cs="仿宋"/>
          <w:color w:val="auto"/>
          <w:highlight w:val="none"/>
        </w:rPr>
        <w:drawing>
          <wp:inline distT="0" distB="0" distL="114300" distR="114300">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981075" cy="790575"/>
                    </a:xfrm>
                    <a:prstGeom prst="rect">
                      <a:avLst/>
                    </a:prstGeom>
                    <a:noFill/>
                    <a:ln>
                      <a:noFill/>
                    </a:ln>
                  </pic:spPr>
                </pic:pic>
              </a:graphicData>
            </a:graphic>
          </wp:inline>
        </w:drawing>
      </w:r>
      <w:r>
        <w:rPr>
          <w:rFonts w:hint="eastAsia" w:ascii="仿宋" w:hAnsi="仿宋" w:eastAsia="仿宋" w:cs="仿宋"/>
          <w:color w:val="auto"/>
          <w:highlight w:val="none"/>
        </w:rPr>
        <w:t xml:space="preserve"> </w:t>
      </w:r>
    </w:p>
    <w:p w14:paraId="2644FA0B">
      <w:pPr>
        <w:pStyle w:val="8"/>
        <w:rPr>
          <w:rFonts w:hint="eastAsia" w:ascii="仿宋" w:hAnsi="仿宋" w:eastAsia="仿宋" w:cs="仿宋"/>
          <w:color w:val="auto"/>
          <w:highlight w:val="none"/>
        </w:rPr>
      </w:pPr>
    </w:p>
    <w:p w14:paraId="1FAF3520">
      <w:pPr>
        <w:adjustRightInd w:val="0"/>
        <w:snapToGrid w:val="0"/>
        <w:ind w:left="1033" w:hanging="1033"/>
        <w:jc w:val="left"/>
        <w:rPr>
          <w:rFonts w:hint="eastAsia" w:ascii="仿宋" w:hAnsi="仿宋" w:eastAsia="仿宋" w:cs="仿宋"/>
          <w:color w:val="auto"/>
          <w:highlight w:val="none"/>
        </w:rPr>
      </w:pPr>
    </w:p>
    <w:p w14:paraId="2DE40054">
      <w:pPr>
        <w:ind w:left="2362" w:right="-191" w:rightChars="-91" w:hanging="2361" w:hangingChars="492"/>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竞 争 性 磋 商 文 件</w:t>
      </w:r>
    </w:p>
    <w:p w14:paraId="27D96386">
      <w:pPr>
        <w:adjustRightInd w:val="0"/>
        <w:snapToGrid w:val="0"/>
        <w:spacing w:line="480" w:lineRule="exact"/>
        <w:ind w:left="1574" w:hanging="1574"/>
        <w:jc w:val="center"/>
        <w:rPr>
          <w:rFonts w:hint="eastAsia" w:ascii="仿宋" w:hAnsi="仿宋" w:eastAsia="仿宋" w:cs="仿宋"/>
          <w:color w:val="auto"/>
          <w:highlight w:val="none"/>
        </w:rPr>
      </w:pPr>
    </w:p>
    <w:p w14:paraId="67EA0C3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新疆维吾尔自治区疾病预防控制中心生物安全实验室视频系统改造工程</w:t>
      </w:r>
    </w:p>
    <w:p w14:paraId="6D57832B">
      <w:pPr>
        <w:keepNext w:val="0"/>
        <w:keepLines w:val="0"/>
        <w:pageBreakBefore w:val="0"/>
        <w:widowControl w:val="0"/>
        <w:kinsoku/>
        <w:wordWrap/>
        <w:overflowPunct/>
        <w:topLinePunct w:val="0"/>
        <w:autoSpaceDE/>
        <w:autoSpaceDN/>
        <w:bidi w:val="0"/>
        <w:adjustRightInd w:val="0"/>
        <w:snapToGrid w:val="0"/>
        <w:spacing w:line="360" w:lineRule="auto"/>
        <w:ind w:left="2240" w:hanging="2240" w:hangingChars="700"/>
        <w:textAlignment w:val="auto"/>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新疆维吾尔自治区疾病预防控制中心</w:t>
      </w:r>
    </w:p>
    <w:p w14:paraId="55E8B912">
      <w:pPr>
        <w:adjustRightInd w:val="0"/>
        <w:snapToGrid w:val="0"/>
        <w:spacing w:line="480" w:lineRule="exact"/>
        <w:ind w:left="1574" w:hanging="1574"/>
        <w:rPr>
          <w:rFonts w:hint="eastAsia" w:ascii="仿宋" w:hAnsi="仿宋" w:eastAsia="仿宋" w:cs="仿宋"/>
          <w:bCs/>
          <w:color w:val="auto"/>
          <w:sz w:val="32"/>
          <w:szCs w:val="32"/>
          <w:highlight w:val="none"/>
        </w:rPr>
      </w:pPr>
    </w:p>
    <w:p w14:paraId="0EF9DCBF">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联 系 人：</w:t>
      </w:r>
      <w:r>
        <w:rPr>
          <w:rFonts w:hint="eastAsia" w:ascii="仿宋" w:hAnsi="仿宋" w:eastAsia="仿宋" w:cs="仿宋"/>
          <w:bCs/>
          <w:color w:val="auto"/>
          <w:sz w:val="32"/>
          <w:szCs w:val="32"/>
          <w:highlight w:val="none"/>
          <w:lang w:eastAsia="zh-CN"/>
        </w:rPr>
        <w:t>徐浩宸</w:t>
      </w:r>
    </w:p>
    <w:p w14:paraId="5795B733">
      <w:pPr>
        <w:adjustRightInd w:val="0"/>
        <w:snapToGrid w:val="0"/>
        <w:spacing w:line="480" w:lineRule="exact"/>
        <w:rPr>
          <w:rFonts w:hint="eastAsia" w:ascii="仿宋" w:hAnsi="仿宋" w:eastAsia="仿宋" w:cs="仿宋"/>
          <w:bCs/>
          <w:color w:val="auto"/>
          <w:sz w:val="32"/>
          <w:szCs w:val="32"/>
          <w:highlight w:val="none"/>
        </w:rPr>
      </w:pPr>
    </w:p>
    <w:p w14:paraId="79F823D5">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电    话：</w:t>
      </w:r>
      <w:r>
        <w:rPr>
          <w:rFonts w:hint="eastAsia" w:ascii="仿宋" w:hAnsi="仿宋" w:eastAsia="仿宋" w:cs="仿宋"/>
          <w:bCs/>
          <w:color w:val="auto"/>
          <w:sz w:val="32"/>
          <w:szCs w:val="32"/>
          <w:highlight w:val="none"/>
          <w:lang w:eastAsia="zh-CN"/>
        </w:rPr>
        <w:t>17799699977</w:t>
      </w:r>
    </w:p>
    <w:p w14:paraId="6730FAF2">
      <w:pPr>
        <w:pStyle w:val="204"/>
        <w:rPr>
          <w:rFonts w:hint="eastAsia" w:ascii="仿宋" w:hAnsi="仿宋" w:eastAsia="仿宋" w:cs="仿宋"/>
          <w:color w:val="auto"/>
          <w:highlight w:val="none"/>
          <w:lang w:eastAsia="zh-CN"/>
        </w:rPr>
      </w:pPr>
    </w:p>
    <w:p w14:paraId="0B5ABAF4">
      <w:pPr>
        <w:adjustRightInd w:val="0"/>
        <w:snapToGrid w:val="0"/>
        <w:spacing w:line="480" w:lineRule="exact"/>
        <w:rPr>
          <w:rFonts w:hint="eastAsia" w:ascii="仿宋" w:hAnsi="仿宋" w:eastAsia="仿宋" w:cs="仿宋"/>
          <w:bCs/>
          <w:color w:val="auto"/>
          <w:sz w:val="32"/>
          <w:szCs w:val="32"/>
          <w:highlight w:val="none"/>
          <w:lang w:val="en-US" w:eastAsia="zh-CN"/>
        </w:rPr>
      </w:pPr>
    </w:p>
    <w:p w14:paraId="10BDBA5F">
      <w:pPr>
        <w:adjustRightInd w:val="0"/>
        <w:snapToGrid w:val="0"/>
        <w:spacing w:line="480" w:lineRule="exact"/>
        <w:rPr>
          <w:rFonts w:hint="eastAsia" w:ascii="仿宋" w:hAnsi="仿宋" w:eastAsia="仿宋" w:cs="仿宋"/>
          <w:bCs/>
          <w:color w:val="auto"/>
          <w:sz w:val="32"/>
          <w:szCs w:val="32"/>
          <w:highlight w:val="none"/>
          <w:lang w:val="en-US" w:eastAsia="zh-CN"/>
        </w:rPr>
      </w:pPr>
    </w:p>
    <w:p w14:paraId="67E609EA">
      <w:pPr>
        <w:adjustRightInd w:val="0"/>
        <w:snapToGrid w:val="0"/>
        <w:spacing w:line="480" w:lineRule="exac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293212EC">
      <w:pPr>
        <w:adjustRightInd w:val="0"/>
        <w:snapToGrid w:val="0"/>
        <w:spacing w:line="480" w:lineRule="exact"/>
        <w:rPr>
          <w:rFonts w:hint="eastAsia" w:ascii="仿宋" w:hAnsi="仿宋" w:eastAsia="仿宋" w:cs="仿宋"/>
          <w:bCs/>
          <w:color w:val="auto"/>
          <w:sz w:val="32"/>
          <w:szCs w:val="32"/>
          <w:highlight w:val="none"/>
        </w:rPr>
      </w:pPr>
    </w:p>
    <w:p w14:paraId="49C550BA">
      <w:pPr>
        <w:adjustRightInd w:val="0"/>
        <w:snapToGrid w:val="0"/>
        <w:spacing w:line="480" w:lineRule="exact"/>
        <w:rPr>
          <w:rFonts w:hint="eastAsia" w:ascii="仿宋" w:hAnsi="仿宋" w:eastAsia="仿宋" w:cs="仿宋"/>
          <w:bCs/>
          <w:color w:val="auto"/>
          <w:sz w:val="32"/>
          <w:szCs w:val="32"/>
          <w:highlight w:val="none"/>
        </w:rPr>
      </w:pPr>
    </w:p>
    <w:p w14:paraId="7B371277">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7FA46C4A">
      <w:pPr>
        <w:adjustRightInd w:val="0"/>
        <w:snapToGrid w:val="0"/>
        <w:spacing w:line="480" w:lineRule="exact"/>
        <w:rPr>
          <w:rFonts w:hint="eastAsia" w:ascii="仿宋" w:hAnsi="仿宋" w:eastAsia="仿宋" w:cs="仿宋"/>
          <w:bCs/>
          <w:color w:val="auto"/>
          <w:sz w:val="32"/>
          <w:szCs w:val="32"/>
          <w:highlight w:val="none"/>
        </w:rPr>
      </w:pPr>
    </w:p>
    <w:p w14:paraId="185C5E2F">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eastAsia="zh-CN"/>
        </w:rPr>
        <w:t>闵俊瑀</w:t>
      </w:r>
    </w:p>
    <w:p w14:paraId="596BD79B">
      <w:pPr>
        <w:adjustRightInd w:val="0"/>
        <w:snapToGrid w:val="0"/>
        <w:spacing w:line="480" w:lineRule="exact"/>
        <w:jc w:val="center"/>
        <w:rPr>
          <w:rFonts w:hint="eastAsia" w:ascii="仿宋" w:hAnsi="仿宋" w:eastAsia="仿宋" w:cs="仿宋"/>
          <w:bCs/>
          <w:color w:val="auto"/>
          <w:sz w:val="32"/>
          <w:szCs w:val="32"/>
          <w:highlight w:val="none"/>
        </w:rPr>
      </w:pPr>
    </w:p>
    <w:p w14:paraId="12B5CD4C">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eastAsia="zh-CN"/>
        </w:rPr>
        <w:t>17609941920</w:t>
      </w:r>
    </w:p>
    <w:p w14:paraId="58D98AC5">
      <w:pPr>
        <w:adjustRightInd w:val="0"/>
        <w:snapToGrid w:val="0"/>
        <w:spacing w:line="480" w:lineRule="exact"/>
        <w:jc w:val="center"/>
        <w:rPr>
          <w:rFonts w:hint="eastAsia" w:ascii="仿宋" w:hAnsi="仿宋" w:eastAsia="仿宋" w:cs="仿宋"/>
          <w:bCs/>
          <w:color w:val="auto"/>
          <w:sz w:val="32"/>
          <w:szCs w:val="32"/>
          <w:highlight w:val="none"/>
        </w:rPr>
      </w:pPr>
    </w:p>
    <w:p w14:paraId="33DEF9E3">
      <w:pPr>
        <w:adjustRightInd w:val="0"/>
        <w:snapToGrid w:val="0"/>
        <w:spacing w:line="480" w:lineRule="exact"/>
        <w:rPr>
          <w:rFonts w:hint="eastAsia" w:ascii="仿宋" w:hAnsi="仿宋" w:eastAsia="仿宋" w:cs="仿宋"/>
          <w:bCs/>
          <w:color w:val="auto"/>
          <w:sz w:val="32"/>
          <w:szCs w:val="32"/>
          <w:highlight w:val="none"/>
        </w:rPr>
      </w:pPr>
    </w:p>
    <w:p w14:paraId="525058DB">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日期：二〇二</w:t>
      </w: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四</w:t>
      </w:r>
      <w:r>
        <w:rPr>
          <w:rFonts w:hint="eastAsia" w:ascii="仿宋" w:hAnsi="仿宋" w:eastAsia="仿宋" w:cs="仿宋"/>
          <w:bCs/>
          <w:color w:val="auto"/>
          <w:sz w:val="32"/>
          <w:szCs w:val="32"/>
          <w:highlight w:val="none"/>
        </w:rPr>
        <w:t>月</w:t>
      </w:r>
    </w:p>
    <w:p w14:paraId="35F8E648">
      <w:pPr>
        <w:jc w:val="center"/>
        <w:rPr>
          <w:rFonts w:hint="eastAsia" w:ascii="仿宋" w:hAnsi="仿宋" w:eastAsia="仿宋" w:cs="仿宋"/>
          <w:b/>
          <w:bCs/>
          <w:color w:val="auto"/>
          <w:sz w:val="24"/>
          <w:szCs w:val="24"/>
          <w:highlight w:val="none"/>
        </w:rPr>
        <w:sectPr>
          <w:footerReference r:id="rId3" w:type="default"/>
          <w:pgSz w:w="11910" w:h="16840"/>
          <w:pgMar w:top="1120" w:right="900" w:bottom="1160" w:left="1200" w:header="861" w:footer="972" w:gutter="0"/>
          <w:pgBorders>
            <w:top w:val="none" w:sz="0" w:space="0"/>
            <w:left w:val="none" w:sz="0" w:space="0"/>
            <w:bottom w:val="none" w:sz="0" w:space="0"/>
            <w:right w:val="none" w:sz="0" w:space="0"/>
          </w:pgBorders>
          <w:pgNumType w:fmt="decimal"/>
          <w:cols w:space="720" w:num="1"/>
        </w:sectPr>
      </w:pPr>
    </w:p>
    <w:p w14:paraId="066677BC">
      <w:pPr>
        <w:spacing w:line="276" w:lineRule="auto"/>
        <w:jc w:val="center"/>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目 录</w:t>
      </w:r>
    </w:p>
    <w:p w14:paraId="3FEB70D5">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shd w:val="clear" w:color="auto" w:fill="FFFFFF" w:themeFill="background1"/>
        </w:rPr>
        <w:fldChar w:fldCharType="begin"/>
      </w:r>
      <w:r>
        <w:rPr>
          <w:rFonts w:hint="eastAsia" w:ascii="仿宋" w:hAnsi="仿宋" w:eastAsia="仿宋" w:cs="仿宋"/>
          <w:b/>
          <w:bCs/>
          <w:color w:val="auto"/>
          <w:sz w:val="24"/>
          <w:szCs w:val="24"/>
          <w:highlight w:val="none"/>
          <w:shd w:val="clear" w:color="auto" w:fill="FFFFFF" w:themeFill="background1"/>
        </w:rPr>
        <w:instrText xml:space="preserve">TOC \o "1-3" \h \u </w:instrText>
      </w:r>
      <w:r>
        <w:rPr>
          <w:rFonts w:hint="eastAsia" w:ascii="仿宋" w:hAnsi="仿宋" w:eastAsia="仿宋" w:cs="仿宋"/>
          <w:b/>
          <w:bCs/>
          <w:color w:val="auto"/>
          <w:sz w:val="24"/>
          <w:szCs w:val="24"/>
          <w:highlight w:val="none"/>
          <w:shd w:val="clear" w:color="auto" w:fill="FFFFFF" w:themeFill="background1"/>
        </w:rPr>
        <w:fldChar w:fldCharType="separate"/>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"_Toc8536"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供应商须知前附表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_Toc8536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62163C26">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"_Toc2410"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第一章 供应商须知</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_Toc2410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230670D5">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"_Toc26598"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第二章 评审办法</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_Toc26598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4CBFF573">
      <w:pPr>
        <w:pStyle w:val="15"/>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"_Toc31946"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评审办法前附表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_Toc31946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15C11384">
      <w:pPr>
        <w:pStyle w:val="15"/>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"_Toc4037"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1. 评审方法</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_Toc4037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23</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7E90D37D">
      <w:pPr>
        <w:pStyle w:val="15"/>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"_Toc31187"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2. 评审标准</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_Toc31187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23</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6D98C4B0">
      <w:pPr>
        <w:pStyle w:val="15"/>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"_Toc19159"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3. 评审程序</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_Toc19159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24</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387B4C56">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"_Toc430"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第三章 合同格式</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_Toc430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30</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6A0DCCE3">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"_Toc6449"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第四章 技术标准和要求</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_Toc6449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70</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32018E6C">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"_Toc12673"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第五章 响应文件格式</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_Toc12673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71</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10730A93">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"_Toc21306"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一、投标函(一)</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_Toc21306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73</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59107D69">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"_Toc22662"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二、投标函（二）</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_Toc22662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74</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40AD72D7">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"_Toc18921"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三、商务条款偏离表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_Toc18921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75</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25AFB198">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"_Toc28635"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四、技术条款偏离表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_Toc28635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76</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0294CD4F">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"_Toc21986"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五、法定代表人身份证明书</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_Toc21986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77</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3FAB1AC8">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"_Toc2470"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六、法定代表人授权委托书</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_Toc2470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78</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78450D5A">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"_Toc13436"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七、供应商基本情况表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_Toc13436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48A5592D">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"_Toc14981"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八、供应商资格条件证明材料</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_Toc14981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80</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279FBE67">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"_Toc9004"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九、供应商近年类似项目业绩表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_Toc9004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87</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3B703AC4">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"_Toc3379"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十、项目负责人简历表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_Toc3379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88</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13485E04">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"_Toc1291"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十一、主要项目管理人员表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_Toc1291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89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63562170">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"_Toc7910"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十二、其他需要提交的资料</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_Toc7910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89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20D340E4">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"_Toc9116"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十三、技术标</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_Toc9116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91</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61FBE000">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"_Toc23380"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十四、经济标</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_Toc23380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92</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12F219AD">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"_Toc27790"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第六章 补充条款</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_Toc27790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93</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75E17AFA">
      <w:pPr>
        <w:spacing w:line="360" w:lineRule="auto"/>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fldChar w:fldCharType="end"/>
      </w:r>
    </w:p>
    <w:p w14:paraId="20C83D33">
      <w:pPr>
        <w:spacing w:line="360" w:lineRule="auto"/>
        <w:rPr>
          <w:rFonts w:hint="eastAsia" w:ascii="仿宋" w:hAnsi="仿宋" w:eastAsia="仿宋" w:cs="仿宋"/>
          <w:b/>
          <w:color w:val="auto"/>
          <w:sz w:val="24"/>
          <w:szCs w:val="24"/>
          <w:highlight w:val="none"/>
          <w:shd w:val="clear" w:color="auto" w:fill="FFFFFF" w:themeFill="background1"/>
        </w:rPr>
        <w:sectPr>
          <w:headerReference r:id="rId4" w:type="default"/>
          <w:footerReference r:id="rId5" w:type="default"/>
          <w:footerReference r:id="rId6" w:type="even"/>
          <w:pgSz w:w="11910" w:h="16840"/>
          <w:pgMar w:top="1500" w:right="1680" w:bottom="1380" w:left="1680" w:header="0" w:footer="1178" w:gutter="0"/>
          <w:cols w:space="720" w:num="1"/>
        </w:sectPr>
      </w:pPr>
    </w:p>
    <w:p w14:paraId="5F3A3696">
      <w:pPr>
        <w:spacing w:line="360" w:lineRule="auto"/>
        <w:jc w:val="center"/>
        <w:outlineLvl w:val="0"/>
        <w:rPr>
          <w:rFonts w:hint="eastAsia" w:ascii="仿宋" w:hAnsi="仿宋" w:eastAsia="仿宋" w:cs="仿宋"/>
          <w:b/>
          <w:color w:val="auto"/>
          <w:sz w:val="24"/>
          <w:szCs w:val="24"/>
          <w:highlight w:val="none"/>
          <w:shd w:val="clear" w:color="auto" w:fill="FFFFFF" w:themeFill="background1"/>
        </w:rPr>
        <w:sectPr>
          <w:footerReference r:id="rId7" w:type="default"/>
          <w:type w:val="continuous"/>
          <w:pgSz w:w="11910" w:h="16840"/>
          <w:pgMar w:top="1460" w:right="1360" w:bottom="1380" w:left="1680" w:header="0" w:footer="1178" w:gutter="0"/>
          <w:cols w:space="720" w:num="1"/>
        </w:sectPr>
      </w:pPr>
      <w:bookmarkStart w:id="0" w:name="_Toc8536"/>
    </w:p>
    <w:p w14:paraId="7C370EAF">
      <w:pPr>
        <w:pStyle w:val="23"/>
        <w:tabs>
          <w:tab w:val="right" w:leader="dot" w:pos="9736"/>
        </w:tabs>
        <w:jc w:val="center"/>
        <w:rPr>
          <w:rFonts w:hint="eastAsia" w:ascii="仿宋" w:hAnsi="仿宋" w:eastAsia="仿宋" w:cs="仿宋"/>
          <w:bCs/>
          <w:color w:val="auto"/>
          <w:sz w:val="24"/>
          <w:szCs w:val="24"/>
          <w:highlight w:val="none"/>
        </w:rPr>
      </w:pPr>
      <w:bookmarkStart w:id="1" w:name="_Toc162369492"/>
      <w:bookmarkStart w:id="2" w:name="_Toc28914"/>
      <w:r>
        <w:rPr>
          <w:rFonts w:hint="eastAsia" w:ascii="仿宋" w:hAnsi="仿宋" w:eastAsia="仿宋" w:cs="仿宋"/>
          <w:bCs/>
          <w:color w:val="auto"/>
          <w:sz w:val="24"/>
          <w:szCs w:val="24"/>
          <w:highlight w:val="none"/>
        </w:rPr>
        <w:t>竞争性磋商公告</w:t>
      </w:r>
      <w:bookmarkEnd w:id="1"/>
      <w:bookmarkEnd w:id="2"/>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86"/>
      </w:tblGrid>
      <w:tr w14:paraId="15614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6" w:type="dxa"/>
          </w:tcPr>
          <w:p w14:paraId="1E357D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项目概况</w:t>
            </w:r>
          </w:p>
          <w:p w14:paraId="09498045">
            <w:pPr>
              <w:widowControl/>
              <w:shd w:val="clear" w:color="auto" w:fill="FFFFFF"/>
              <w:snapToGrid w:val="0"/>
              <w:spacing w:line="360" w:lineRule="auto"/>
              <w:ind w:firstLine="480" w:firstLineChars="200"/>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新疆维吾尔自治区疾病预防控制中心生物安全实验室视频系统改造工程</w:t>
            </w:r>
            <w:r>
              <w:rPr>
                <w:rFonts w:hint="eastAsia" w:ascii="仿宋" w:hAnsi="仿宋" w:eastAsia="仿宋" w:cs="仿宋"/>
                <w:color w:val="auto"/>
                <w:kern w:val="0"/>
                <w:sz w:val="24"/>
                <w:szCs w:val="24"/>
                <w:highlight w:val="none"/>
                <w:shd w:val="clear" w:color="auto" w:fill="FFFFFF" w:themeFill="background1"/>
              </w:rPr>
              <w:t>的潜在供应商应在政采云平台线上获取采购文件，并于</w:t>
            </w:r>
            <w:r>
              <w:rPr>
                <w:rFonts w:hint="eastAsia" w:ascii="仿宋" w:hAnsi="仿宋" w:eastAsia="仿宋" w:cs="仿宋"/>
                <w:color w:val="auto"/>
                <w:kern w:val="0"/>
                <w:sz w:val="24"/>
                <w:szCs w:val="24"/>
                <w:highlight w:val="none"/>
                <w:shd w:val="clear" w:color="auto" w:fill="FFFFFF" w:themeFill="background1"/>
                <w:lang w:eastAsia="zh-CN"/>
              </w:rPr>
              <w:t>2026年05月19日 11:00（北京时间）</w:t>
            </w:r>
            <w:r>
              <w:rPr>
                <w:rFonts w:hint="eastAsia" w:ascii="仿宋" w:hAnsi="仿宋" w:eastAsia="仿宋" w:cs="仿宋"/>
                <w:color w:val="auto"/>
                <w:kern w:val="0"/>
                <w:sz w:val="24"/>
                <w:szCs w:val="24"/>
                <w:highlight w:val="none"/>
                <w:shd w:val="clear" w:color="auto" w:fill="FFFFFF" w:themeFill="background1"/>
              </w:rPr>
              <w:t xml:space="preserve">前提交响应文件。     </w:t>
            </w:r>
          </w:p>
        </w:tc>
      </w:tr>
    </w:tbl>
    <w:p w14:paraId="457FD6B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一、项目基本情况</w:t>
      </w:r>
    </w:p>
    <w:p w14:paraId="2D301786">
      <w:pPr>
        <w:spacing w:line="360" w:lineRule="auto"/>
        <w:ind w:firstLine="480" w:firstLineChars="200"/>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rPr>
        <w:t>项目编号：</w:t>
      </w:r>
      <w:r>
        <w:rPr>
          <w:rFonts w:hint="eastAsia" w:ascii="仿宋" w:hAnsi="仿宋" w:eastAsia="仿宋" w:cs="仿宋"/>
          <w:color w:val="auto"/>
          <w:sz w:val="24"/>
          <w:szCs w:val="28"/>
          <w:highlight w:val="none"/>
          <w:lang w:eastAsia="zh-CN"/>
        </w:rPr>
        <w:t>XJXSJ-2026(ZC)-244</w:t>
      </w:r>
    </w:p>
    <w:p w14:paraId="3BAF85CC">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项目名称：</w:t>
      </w:r>
      <w:r>
        <w:rPr>
          <w:rFonts w:hint="eastAsia" w:ascii="仿宋" w:hAnsi="仿宋" w:eastAsia="仿宋" w:cs="仿宋"/>
          <w:color w:val="auto"/>
          <w:sz w:val="24"/>
          <w:szCs w:val="28"/>
          <w:highlight w:val="none"/>
          <w:lang w:eastAsia="zh-CN"/>
        </w:rPr>
        <w:t>新疆维吾尔自治区疾病预防控制中心生物安全实验室视频系统改造工程</w:t>
      </w:r>
    </w:p>
    <w:p w14:paraId="56A8798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采购方式：竞争性磋商</w:t>
      </w:r>
    </w:p>
    <w:p w14:paraId="7CFEE0B7">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预算金额：</w:t>
      </w:r>
      <w:r>
        <w:rPr>
          <w:rFonts w:hint="eastAsia" w:ascii="仿宋" w:hAnsi="仿宋" w:eastAsia="仿宋" w:cs="仿宋"/>
          <w:color w:val="auto"/>
          <w:sz w:val="24"/>
          <w:szCs w:val="28"/>
          <w:highlight w:val="none"/>
          <w:lang w:eastAsia="zh-CN"/>
        </w:rPr>
        <w:t>166000元</w:t>
      </w:r>
    </w:p>
    <w:p w14:paraId="6DD75A0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最高限价：164905.48</w:t>
      </w:r>
      <w:r>
        <w:rPr>
          <w:rFonts w:hint="eastAsia" w:ascii="仿宋" w:hAnsi="仿宋" w:eastAsia="仿宋" w:cs="仿宋"/>
          <w:color w:val="auto"/>
          <w:sz w:val="24"/>
          <w:szCs w:val="28"/>
          <w:highlight w:val="none"/>
          <w:lang w:eastAsia="zh-CN"/>
        </w:rPr>
        <w:t>元</w:t>
      </w:r>
    </w:p>
    <w:p w14:paraId="0E2A657E">
      <w:pPr>
        <w:spacing w:line="360" w:lineRule="auto"/>
        <w:ind w:firstLine="480" w:firstLineChars="200"/>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rPr>
        <w:t>采购需求：</w:t>
      </w:r>
      <w:r>
        <w:rPr>
          <w:rFonts w:hint="eastAsia" w:ascii="仿宋" w:hAnsi="仿宋" w:eastAsia="仿宋" w:cs="仿宋"/>
          <w:color w:val="auto"/>
          <w:sz w:val="24"/>
          <w:szCs w:val="28"/>
          <w:highlight w:val="none"/>
          <w:lang w:val="en-US" w:eastAsia="zh-CN"/>
        </w:rPr>
        <w:t>具体详见竞争性磋商文件。</w:t>
      </w:r>
    </w:p>
    <w:p w14:paraId="539F2A89">
      <w:pPr>
        <w:spacing w:line="360" w:lineRule="auto"/>
        <w:ind w:firstLine="480" w:firstLineChars="200"/>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rPr>
        <w:t>合同履行期限：</w:t>
      </w:r>
      <w:r>
        <w:rPr>
          <w:rFonts w:hint="eastAsia" w:ascii="仿宋" w:hAnsi="仿宋" w:eastAsia="仿宋" w:cs="仿宋"/>
          <w:color w:val="auto"/>
          <w:sz w:val="24"/>
          <w:szCs w:val="28"/>
          <w:highlight w:val="none"/>
          <w:lang w:eastAsia="zh-CN"/>
        </w:rPr>
        <w:t>自合同签订之日起21日历日</w:t>
      </w:r>
    </w:p>
    <w:p w14:paraId="02FF88C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二、申请人的资格要求：</w:t>
      </w:r>
    </w:p>
    <w:p w14:paraId="20FDAF0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1、满足《中华人民共和国政府采购法》第二十二条规定。</w:t>
      </w:r>
    </w:p>
    <w:p w14:paraId="6FF2CDBE">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2、落实政府采购政策需满足的资格要求：</w:t>
      </w:r>
      <w:r>
        <w:rPr>
          <w:rFonts w:hint="eastAsia" w:ascii="仿宋" w:hAnsi="仿宋" w:eastAsia="仿宋" w:cs="仿宋"/>
          <w:color w:val="auto"/>
          <w:sz w:val="24"/>
          <w:szCs w:val="28"/>
          <w:highlight w:val="none"/>
          <w:lang w:eastAsia="zh-CN"/>
        </w:rPr>
        <w:t>本项目专门面向中小企业。</w:t>
      </w:r>
    </w:p>
    <w:p w14:paraId="25F191C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3、本项目的特定资格要求：</w:t>
      </w:r>
    </w:p>
    <w:p w14:paraId="0E7D284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（1）供应商须具备有效的资质证书：</w:t>
      </w:r>
      <w:r>
        <w:rPr>
          <w:rFonts w:hint="eastAsia" w:ascii="仿宋" w:hAnsi="仿宋" w:eastAsia="仿宋" w:cs="仿宋"/>
          <w:color w:val="auto"/>
          <w:sz w:val="24"/>
          <w:szCs w:val="28"/>
          <w:highlight w:val="none"/>
          <w:lang w:eastAsia="zh-CN"/>
        </w:rPr>
        <w:t>建筑机电安装工程专业承包三级及以上资质</w:t>
      </w:r>
      <w:r>
        <w:rPr>
          <w:rFonts w:hint="eastAsia" w:ascii="仿宋" w:hAnsi="仿宋" w:eastAsia="仿宋" w:cs="仿宋"/>
          <w:color w:val="auto"/>
          <w:sz w:val="24"/>
          <w:szCs w:val="28"/>
          <w:highlight w:val="none"/>
          <w:lang w:val="en-US" w:eastAsia="zh-CN"/>
        </w:rPr>
        <w:t>；</w:t>
      </w:r>
    </w:p>
    <w:p w14:paraId="16CE5C9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（2）供应商须具备有效的安全生产许可证；</w:t>
      </w:r>
    </w:p>
    <w:p w14:paraId="66B47E7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（3）项目负责人要求：</w:t>
      </w:r>
      <w:r>
        <w:rPr>
          <w:rFonts w:hint="eastAsia" w:ascii="仿宋" w:hAnsi="仿宋" w:eastAsia="仿宋" w:cs="仿宋"/>
          <w:color w:val="auto"/>
          <w:sz w:val="24"/>
          <w:szCs w:val="28"/>
          <w:highlight w:val="none"/>
          <w:lang w:eastAsia="zh-CN"/>
        </w:rPr>
        <w:t>注册建造师二级（机电工程）及以上</w:t>
      </w:r>
      <w:r>
        <w:rPr>
          <w:rFonts w:hint="eastAsia" w:ascii="仿宋" w:hAnsi="仿宋" w:eastAsia="仿宋" w:cs="仿宋"/>
          <w:color w:val="auto"/>
          <w:sz w:val="24"/>
          <w:szCs w:val="28"/>
          <w:highlight w:val="none"/>
        </w:rPr>
        <w:t>；</w:t>
      </w:r>
    </w:p>
    <w:p w14:paraId="04C861D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14:paraId="5F1FC40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三、获取采购文件</w:t>
      </w:r>
    </w:p>
    <w:p w14:paraId="3185C5B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时间：</w:t>
      </w:r>
      <w:r>
        <w:rPr>
          <w:rFonts w:hint="eastAsia" w:ascii="仿宋" w:hAnsi="仿宋" w:eastAsia="仿宋" w:cs="仿宋"/>
          <w:color w:val="auto"/>
          <w:sz w:val="24"/>
          <w:szCs w:val="28"/>
          <w:highlight w:val="none"/>
          <w:lang w:eastAsia="zh-CN"/>
        </w:rPr>
        <w:t>2026年0</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06</w:t>
      </w:r>
      <w:r>
        <w:rPr>
          <w:rFonts w:hint="eastAsia" w:ascii="仿宋" w:hAnsi="仿宋" w:eastAsia="仿宋" w:cs="仿宋"/>
          <w:color w:val="auto"/>
          <w:sz w:val="24"/>
          <w:szCs w:val="28"/>
          <w:highlight w:val="none"/>
          <w:lang w:eastAsia="zh-CN"/>
        </w:rPr>
        <w:t>日至2026年05月</w:t>
      </w:r>
      <w:r>
        <w:rPr>
          <w:rFonts w:hint="eastAsia" w:ascii="仿宋" w:hAnsi="仿宋" w:eastAsia="仿宋" w:cs="仿宋"/>
          <w:color w:val="auto"/>
          <w:sz w:val="24"/>
          <w:szCs w:val="28"/>
          <w:highlight w:val="none"/>
          <w:lang w:val="en-US" w:eastAsia="zh-CN"/>
        </w:rPr>
        <w:t>18</w:t>
      </w:r>
      <w:r>
        <w:rPr>
          <w:rFonts w:hint="eastAsia" w:ascii="仿宋" w:hAnsi="仿宋" w:eastAsia="仿宋" w:cs="仿宋"/>
          <w:color w:val="auto"/>
          <w:sz w:val="24"/>
          <w:szCs w:val="28"/>
          <w:highlight w:val="none"/>
          <w:lang w:eastAsia="zh-CN"/>
        </w:rPr>
        <w:t>日</w:t>
      </w:r>
      <w:r>
        <w:rPr>
          <w:rFonts w:hint="eastAsia" w:ascii="仿宋" w:hAnsi="仿宋" w:eastAsia="仿宋" w:cs="仿宋"/>
          <w:color w:val="auto"/>
          <w:sz w:val="24"/>
          <w:szCs w:val="28"/>
          <w:highlight w:val="none"/>
        </w:rPr>
        <w:t>，每天上午00:00至1</w:t>
      </w:r>
      <w:r>
        <w:rPr>
          <w:rFonts w:hint="eastAsia" w:ascii="仿宋" w:hAnsi="仿宋" w:eastAsia="仿宋" w:cs="仿宋"/>
          <w:color w:val="auto"/>
          <w:sz w:val="24"/>
          <w:szCs w:val="28"/>
          <w:highlight w:val="none"/>
          <w:lang w:val="en-US" w:eastAsia="zh-CN"/>
        </w:rPr>
        <w:t>4</w:t>
      </w:r>
      <w:r>
        <w:rPr>
          <w:rFonts w:hint="eastAsia" w:ascii="仿宋" w:hAnsi="仿宋" w:eastAsia="仿宋" w:cs="仿宋"/>
          <w:color w:val="auto"/>
          <w:sz w:val="24"/>
          <w:szCs w:val="28"/>
          <w:highlight w:val="none"/>
        </w:rPr>
        <w:t>:00，</w:t>
      </w:r>
      <w:r>
        <w:rPr>
          <w:rFonts w:hint="eastAsia" w:ascii="仿宋" w:hAnsi="仿宋" w:eastAsia="仿宋" w:cs="仿宋"/>
          <w:color w:val="auto"/>
          <w:sz w:val="24"/>
          <w:szCs w:val="28"/>
          <w:highlight w:val="none"/>
          <w:u w:val="none"/>
        </w:rPr>
        <w:t>下午1</w:t>
      </w:r>
      <w:r>
        <w:rPr>
          <w:rFonts w:hint="eastAsia" w:ascii="仿宋" w:hAnsi="仿宋" w:eastAsia="仿宋" w:cs="仿宋"/>
          <w:color w:val="auto"/>
          <w:sz w:val="24"/>
          <w:szCs w:val="28"/>
          <w:highlight w:val="none"/>
          <w:u w:val="none"/>
          <w:lang w:val="en-US" w:eastAsia="zh-CN"/>
        </w:rPr>
        <w:t>4</w:t>
      </w:r>
      <w:r>
        <w:rPr>
          <w:rFonts w:hint="eastAsia" w:ascii="仿宋" w:hAnsi="仿宋" w:eastAsia="仿宋" w:cs="仿宋"/>
          <w:color w:val="auto"/>
          <w:sz w:val="24"/>
          <w:szCs w:val="28"/>
          <w:highlight w:val="none"/>
          <w:u w:val="none"/>
        </w:rPr>
        <w:t>:00</w:t>
      </w:r>
      <w:r>
        <w:rPr>
          <w:rFonts w:hint="eastAsia" w:ascii="仿宋" w:hAnsi="仿宋" w:eastAsia="仿宋" w:cs="仿宋"/>
          <w:color w:val="auto"/>
          <w:sz w:val="24"/>
          <w:szCs w:val="28"/>
          <w:highlight w:val="none"/>
        </w:rPr>
        <w:t>至23:59（北京时间，法定节假日除外）</w:t>
      </w:r>
    </w:p>
    <w:p w14:paraId="30754D1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地点：政采云平台http://www.zcygov.cn/</w:t>
      </w:r>
    </w:p>
    <w:p w14:paraId="14D0503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方式：供应商登陆政采云账户（网址：https://www.zcygov.cn/）,在线申请获取采购文件（登录政府采购云平台→采购项目→获取采购文件→申请，审核通过后可下载</w:t>
      </w:r>
      <w:r>
        <w:rPr>
          <w:rFonts w:hint="eastAsia" w:ascii="仿宋" w:hAnsi="仿宋" w:eastAsia="仿宋" w:cs="仿宋"/>
          <w:color w:val="auto"/>
          <w:sz w:val="24"/>
          <w:szCs w:val="28"/>
          <w:highlight w:val="none"/>
          <w:lang w:val="en-US" w:eastAsia="zh-CN"/>
        </w:rPr>
        <w:t>磋商</w:t>
      </w:r>
      <w:r>
        <w:rPr>
          <w:rFonts w:hint="eastAsia" w:ascii="仿宋" w:hAnsi="仿宋" w:eastAsia="仿宋" w:cs="仿宋"/>
          <w:color w:val="auto"/>
          <w:sz w:val="24"/>
          <w:szCs w:val="28"/>
          <w:highlight w:val="none"/>
        </w:rPr>
        <w:t>文件，如有操作性问题，可与政采云在线客服进行咨询，咨询电话95763）。</w:t>
      </w:r>
    </w:p>
    <w:p w14:paraId="42D90E5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售价（元）：0</w:t>
      </w:r>
    </w:p>
    <w:p w14:paraId="7E71C4F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四、响应文件提交</w:t>
      </w:r>
    </w:p>
    <w:p w14:paraId="78AEED59">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截止时间：</w:t>
      </w:r>
      <w:r>
        <w:rPr>
          <w:rFonts w:hint="eastAsia" w:ascii="仿宋" w:hAnsi="仿宋" w:eastAsia="仿宋" w:cs="仿宋"/>
          <w:color w:val="auto"/>
          <w:sz w:val="24"/>
          <w:szCs w:val="28"/>
          <w:highlight w:val="none"/>
          <w:lang w:eastAsia="zh-CN"/>
        </w:rPr>
        <w:t>2026年05月19日 11:00（北京时间）</w:t>
      </w:r>
    </w:p>
    <w:p w14:paraId="540CD72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地点：</w:t>
      </w:r>
      <w:bookmarkStart w:id="3" w:name="_Hlk129254397"/>
      <w:r>
        <w:rPr>
          <w:rFonts w:hint="eastAsia" w:ascii="仿宋" w:hAnsi="仿宋" w:eastAsia="仿宋" w:cs="仿宋"/>
          <w:color w:val="auto"/>
          <w:sz w:val="24"/>
          <w:szCs w:val="28"/>
          <w:highlight w:val="none"/>
        </w:rPr>
        <w:t>供应商应在此之前将加密的投标文件上传至政采云平台对应位置 (逾期送达或不符合规定的投标文件将被拒绝接收)。</w:t>
      </w:r>
      <w:bookmarkEnd w:id="3"/>
    </w:p>
    <w:p w14:paraId="1A48ECF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五、响应文件的开启</w:t>
      </w:r>
    </w:p>
    <w:p w14:paraId="3F025E17">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开启时间：</w:t>
      </w:r>
      <w:r>
        <w:rPr>
          <w:rFonts w:hint="eastAsia" w:ascii="仿宋" w:hAnsi="仿宋" w:eastAsia="仿宋" w:cs="仿宋"/>
          <w:color w:val="auto"/>
          <w:sz w:val="24"/>
          <w:szCs w:val="28"/>
          <w:highlight w:val="none"/>
          <w:lang w:eastAsia="zh-CN"/>
        </w:rPr>
        <w:t>2026年05月19日 11:00（北京时间）</w:t>
      </w:r>
    </w:p>
    <w:p w14:paraId="7CFB3CB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地点：政采云平台https://www.zcygov.cn/不见面开标大厅</w:t>
      </w:r>
    </w:p>
    <w:p w14:paraId="2A517DF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六、公告期限</w:t>
      </w:r>
    </w:p>
    <w:p w14:paraId="4234646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自本公告发布之日起3个工作日。</w:t>
      </w:r>
    </w:p>
    <w:p w14:paraId="0F597831">
      <w:pPr>
        <w:spacing w:line="360" w:lineRule="auto"/>
        <w:ind w:firstLine="480" w:firstLineChars="200"/>
        <w:rPr>
          <w:rFonts w:hint="eastAsia" w:ascii="仿宋" w:hAnsi="仿宋" w:eastAsia="仿宋" w:cs="仿宋"/>
          <w:color w:val="auto"/>
          <w:sz w:val="24"/>
          <w:szCs w:val="28"/>
          <w:highlight w:val="none"/>
        </w:rPr>
      </w:pPr>
      <w:bookmarkStart w:id="4" w:name="_Hlk162433419"/>
      <w:r>
        <w:rPr>
          <w:rFonts w:hint="eastAsia" w:ascii="仿宋" w:hAnsi="仿宋" w:eastAsia="仿宋" w:cs="仿宋"/>
          <w:color w:val="auto"/>
          <w:sz w:val="24"/>
          <w:szCs w:val="28"/>
          <w:highlight w:val="none"/>
        </w:rPr>
        <w:t>七、其他补充事宜</w:t>
      </w:r>
    </w:p>
    <w:bookmarkEnd w:id="4"/>
    <w:p w14:paraId="3296F82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6E8D496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7989C49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3、加密的电子响应文件应在响应文件递交截止时间前通过政采云平台上传完成。逾期上传或者未上传指定地点的响应文件，不予受理。</w:t>
      </w:r>
    </w:p>
    <w:p w14:paraId="3614D6D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7B5B691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5、如遇“政采云平台（https://www.zcygov.cn/）”电子交易规则调整，以最新要求为准。</w:t>
      </w:r>
    </w:p>
    <w:p w14:paraId="64D1113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八、凡对本次采购提出询问，请按以下方式联系。</w:t>
      </w:r>
    </w:p>
    <w:p w14:paraId="4FB85EA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1.采购人信息 </w:t>
      </w:r>
    </w:p>
    <w:p w14:paraId="2549BC95">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名 称：</w:t>
      </w:r>
      <w:r>
        <w:rPr>
          <w:rFonts w:hint="eastAsia" w:ascii="仿宋" w:hAnsi="仿宋" w:eastAsia="仿宋" w:cs="仿宋"/>
          <w:color w:val="auto"/>
          <w:sz w:val="24"/>
          <w:szCs w:val="28"/>
          <w:highlight w:val="none"/>
          <w:lang w:eastAsia="zh-CN"/>
        </w:rPr>
        <w:t>新疆维吾尔自治区疾病预防控制中心</w:t>
      </w:r>
    </w:p>
    <w:p w14:paraId="1DD26606">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地 址：</w:t>
      </w:r>
      <w:r>
        <w:rPr>
          <w:rFonts w:hint="eastAsia" w:ascii="仿宋" w:hAnsi="仿宋" w:eastAsia="仿宋" w:cs="仿宋"/>
          <w:color w:val="auto"/>
          <w:sz w:val="24"/>
          <w:szCs w:val="28"/>
          <w:highlight w:val="none"/>
          <w:lang w:eastAsia="zh-CN"/>
        </w:rPr>
        <w:t>乌鲁木齐市天山区碱泉一街380号</w:t>
      </w:r>
    </w:p>
    <w:p w14:paraId="295AA162">
      <w:pPr>
        <w:spacing w:line="360" w:lineRule="auto"/>
        <w:ind w:firstLine="480" w:firstLineChars="200"/>
        <w:rPr>
          <w:rFonts w:hint="default"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联系人：徐浩宸</w:t>
      </w:r>
    </w:p>
    <w:p w14:paraId="67E36586">
      <w:pPr>
        <w:spacing w:line="360" w:lineRule="auto"/>
        <w:ind w:firstLine="480" w:firstLineChars="200"/>
        <w:rPr>
          <w:rFonts w:hint="default"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eastAsia="zh-CN"/>
        </w:rPr>
        <w:t>联系方式：17799699977</w:t>
      </w:r>
    </w:p>
    <w:p w14:paraId="4F6E28C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2.采购代理机构信息 </w:t>
      </w:r>
    </w:p>
    <w:p w14:paraId="09E95D1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名 称：新疆新世纪招标有限公司 </w:t>
      </w:r>
    </w:p>
    <w:p w14:paraId="5A6558A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地 址：乌鲁木齐市水磨沟区新兴街20号凤凰科技大厦五楼 </w:t>
      </w:r>
    </w:p>
    <w:p w14:paraId="7BA22947">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联系方式：</w:t>
      </w:r>
      <w:r>
        <w:rPr>
          <w:rFonts w:hint="eastAsia" w:ascii="仿宋" w:hAnsi="仿宋" w:eastAsia="仿宋" w:cs="仿宋"/>
          <w:color w:val="auto"/>
          <w:sz w:val="24"/>
          <w:szCs w:val="28"/>
          <w:highlight w:val="none"/>
          <w:lang w:eastAsia="zh-CN"/>
        </w:rPr>
        <w:t>17609941920</w:t>
      </w:r>
    </w:p>
    <w:p w14:paraId="5CE5C81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3.项目联系方式 </w:t>
      </w:r>
    </w:p>
    <w:p w14:paraId="2E12E156">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项目联系人：</w:t>
      </w:r>
      <w:r>
        <w:rPr>
          <w:rFonts w:hint="eastAsia" w:ascii="仿宋" w:hAnsi="仿宋" w:eastAsia="仿宋" w:cs="仿宋"/>
          <w:color w:val="auto"/>
          <w:sz w:val="24"/>
          <w:szCs w:val="28"/>
          <w:highlight w:val="none"/>
          <w:lang w:eastAsia="zh-CN"/>
        </w:rPr>
        <w:t>闵俊瑀</w:t>
      </w:r>
    </w:p>
    <w:p w14:paraId="07C641DE">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电 话：</w:t>
      </w:r>
      <w:r>
        <w:rPr>
          <w:rFonts w:hint="eastAsia" w:ascii="仿宋" w:hAnsi="仿宋" w:eastAsia="仿宋" w:cs="仿宋"/>
          <w:color w:val="auto"/>
          <w:sz w:val="24"/>
          <w:szCs w:val="28"/>
          <w:highlight w:val="none"/>
          <w:lang w:eastAsia="zh-CN"/>
        </w:rPr>
        <w:t>17609941920</w:t>
      </w:r>
    </w:p>
    <w:p w14:paraId="26285C7A">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2256453A">
      <w:pPr>
        <w:spacing w:line="360" w:lineRule="auto"/>
        <w:jc w:val="center"/>
        <w:outlineLvl w:val="0"/>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供应商须知前附表</w:t>
      </w:r>
      <w:bookmarkEnd w:id="0"/>
    </w:p>
    <w:tbl>
      <w:tblPr>
        <w:tblStyle w:val="39"/>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7CAC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1E4AD234">
            <w:pPr>
              <w:spacing w:line="360" w:lineRule="auto"/>
              <w:jc w:val="center"/>
              <w:rPr>
                <w:rFonts w:hint="eastAsia" w:ascii="仿宋" w:hAnsi="仿宋" w:eastAsia="仿宋" w:cs="仿宋"/>
                <w:b/>
                <w:color w:val="auto"/>
                <w:kern w:val="0"/>
                <w:sz w:val="21"/>
                <w:szCs w:val="21"/>
                <w:highlight w:val="none"/>
                <w:shd w:val="clear" w:color="auto" w:fill="FFFFFF" w:themeFill="background1"/>
              </w:rPr>
            </w:pPr>
            <w:r>
              <w:rPr>
                <w:rFonts w:hint="eastAsia" w:ascii="仿宋" w:hAnsi="仿宋" w:eastAsia="仿宋" w:cs="仿宋"/>
                <w:b/>
                <w:color w:val="auto"/>
                <w:kern w:val="0"/>
                <w:sz w:val="21"/>
                <w:szCs w:val="21"/>
                <w:highlight w:val="none"/>
                <w:shd w:val="clear" w:color="auto" w:fill="FFFFFF" w:themeFill="background1"/>
              </w:rPr>
              <w:t>项号</w:t>
            </w:r>
          </w:p>
        </w:tc>
        <w:tc>
          <w:tcPr>
            <w:tcW w:w="8483" w:type="dxa"/>
            <w:gridSpan w:val="2"/>
            <w:vAlign w:val="center"/>
          </w:tcPr>
          <w:p w14:paraId="66029CC6">
            <w:pPr>
              <w:spacing w:line="360" w:lineRule="auto"/>
              <w:jc w:val="center"/>
              <w:rPr>
                <w:rFonts w:hint="eastAsia" w:ascii="仿宋" w:hAnsi="仿宋" w:eastAsia="仿宋" w:cs="仿宋"/>
                <w:b/>
                <w:color w:val="auto"/>
                <w:kern w:val="0"/>
                <w:sz w:val="21"/>
                <w:szCs w:val="21"/>
                <w:highlight w:val="none"/>
                <w:shd w:val="clear" w:color="auto" w:fill="FFFFFF" w:themeFill="background1"/>
              </w:rPr>
            </w:pPr>
            <w:r>
              <w:rPr>
                <w:rFonts w:hint="eastAsia" w:ascii="仿宋" w:hAnsi="仿宋" w:eastAsia="仿宋" w:cs="仿宋"/>
                <w:b/>
                <w:color w:val="auto"/>
                <w:kern w:val="0"/>
                <w:sz w:val="21"/>
                <w:szCs w:val="21"/>
                <w:highlight w:val="none"/>
                <w:shd w:val="clear" w:color="auto" w:fill="FFFFFF" w:themeFill="background1"/>
              </w:rPr>
              <w:t>编列内容</w:t>
            </w:r>
          </w:p>
        </w:tc>
      </w:tr>
      <w:tr w14:paraId="22E43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13E72BD6">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w:t>
            </w:r>
          </w:p>
        </w:tc>
        <w:tc>
          <w:tcPr>
            <w:tcW w:w="1795" w:type="dxa"/>
            <w:vAlign w:val="center"/>
          </w:tcPr>
          <w:p w14:paraId="3CC7D4BD">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项目名称</w:t>
            </w:r>
          </w:p>
        </w:tc>
        <w:tc>
          <w:tcPr>
            <w:tcW w:w="6688" w:type="dxa"/>
            <w:vAlign w:val="center"/>
          </w:tcPr>
          <w:p w14:paraId="29369F21">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auto"/>
                <w:kern w:val="0"/>
                <w:sz w:val="21"/>
                <w:szCs w:val="21"/>
                <w:highlight w:val="none"/>
                <w:shd w:val="clear" w:color="auto" w:fill="FFFFFF" w:themeFill="background1"/>
                <w:lang w:eastAsia="zh-CN"/>
              </w:rPr>
              <w:t>新疆维吾尔自治区疾病预防控制中心生物安全实验室视频系统改造工程</w:t>
            </w:r>
          </w:p>
        </w:tc>
      </w:tr>
      <w:tr w14:paraId="39728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82C201E">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212FDA60">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项目编号</w:t>
            </w:r>
          </w:p>
        </w:tc>
        <w:tc>
          <w:tcPr>
            <w:tcW w:w="6688" w:type="dxa"/>
            <w:vAlign w:val="center"/>
          </w:tcPr>
          <w:p w14:paraId="31993060">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auto"/>
                <w:kern w:val="0"/>
                <w:sz w:val="21"/>
                <w:szCs w:val="21"/>
                <w:highlight w:val="none"/>
                <w:shd w:val="clear" w:color="auto" w:fill="FFFFFF" w:themeFill="background1"/>
                <w:lang w:eastAsia="zh-CN"/>
              </w:rPr>
              <w:t>XJXSJ-2026(ZC)-244</w:t>
            </w:r>
          </w:p>
        </w:tc>
      </w:tr>
      <w:tr w14:paraId="47824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4F748AC">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622848E1">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采购人</w:t>
            </w:r>
          </w:p>
        </w:tc>
        <w:tc>
          <w:tcPr>
            <w:tcW w:w="6688" w:type="dxa"/>
            <w:vAlign w:val="center"/>
          </w:tcPr>
          <w:p w14:paraId="0F32ABBF">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auto"/>
                <w:kern w:val="0"/>
                <w:sz w:val="21"/>
                <w:szCs w:val="21"/>
                <w:highlight w:val="none"/>
                <w:shd w:val="clear" w:color="auto" w:fill="FFFFFF" w:themeFill="background1"/>
                <w:lang w:eastAsia="zh-CN"/>
              </w:rPr>
              <w:t>新疆维吾尔自治区疾病预防控制中心</w:t>
            </w:r>
          </w:p>
        </w:tc>
      </w:tr>
      <w:tr w14:paraId="097E9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A2F27C4">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3E58F8B7">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采购代理机构</w:t>
            </w:r>
          </w:p>
        </w:tc>
        <w:tc>
          <w:tcPr>
            <w:tcW w:w="6688" w:type="dxa"/>
            <w:vAlign w:val="center"/>
          </w:tcPr>
          <w:p w14:paraId="0B52714A">
            <w:pPr>
              <w:keepNext/>
              <w:widowControl/>
              <w:spacing w:line="360" w:lineRule="auto"/>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新疆新世纪招标有限公司</w:t>
            </w:r>
          </w:p>
        </w:tc>
      </w:tr>
      <w:tr w14:paraId="4E191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829309A">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15842F3E">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项目地点</w:t>
            </w:r>
          </w:p>
        </w:tc>
        <w:tc>
          <w:tcPr>
            <w:tcW w:w="6688" w:type="dxa"/>
            <w:vAlign w:val="center"/>
          </w:tcPr>
          <w:p w14:paraId="052CDA4B">
            <w:pPr>
              <w:keepNext/>
              <w:widowControl/>
              <w:spacing w:line="360" w:lineRule="auto"/>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乌鲁木齐市</w:t>
            </w:r>
          </w:p>
        </w:tc>
      </w:tr>
      <w:tr w14:paraId="164B8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7B64303">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0AB6FBCF">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资金来源</w:t>
            </w:r>
          </w:p>
        </w:tc>
        <w:tc>
          <w:tcPr>
            <w:tcW w:w="6688" w:type="dxa"/>
            <w:vAlign w:val="center"/>
          </w:tcPr>
          <w:p w14:paraId="5694A47B">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财政资金</w:t>
            </w:r>
          </w:p>
        </w:tc>
      </w:tr>
      <w:tr w14:paraId="14EF4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662F870">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55B3B4C6">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采购预算金额</w:t>
            </w:r>
          </w:p>
        </w:tc>
        <w:tc>
          <w:tcPr>
            <w:tcW w:w="6688" w:type="dxa"/>
            <w:vAlign w:val="center"/>
          </w:tcPr>
          <w:p w14:paraId="67CEC3F3">
            <w:pPr>
              <w:keepNext/>
              <w:widowControl/>
              <w:spacing w:line="360" w:lineRule="auto"/>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sz w:val="21"/>
                <w:szCs w:val="21"/>
                <w:highlight w:val="none"/>
                <w:lang w:val="en-US" w:eastAsia="zh-CN"/>
              </w:rPr>
              <w:t>166000元</w:t>
            </w:r>
          </w:p>
        </w:tc>
      </w:tr>
      <w:tr w14:paraId="5323D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D3944B0">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0AEF3AA9">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rPr>
              <w:t>招标控制价</w:t>
            </w:r>
          </w:p>
        </w:tc>
        <w:tc>
          <w:tcPr>
            <w:tcW w:w="6688" w:type="dxa"/>
            <w:vAlign w:val="center"/>
          </w:tcPr>
          <w:p w14:paraId="03545774">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auto"/>
                <w:sz w:val="21"/>
                <w:szCs w:val="21"/>
                <w:highlight w:val="none"/>
                <w:lang w:val="en-US" w:eastAsia="zh-CN"/>
              </w:rPr>
              <w:t>164905.48元</w:t>
            </w:r>
          </w:p>
        </w:tc>
      </w:tr>
      <w:tr w14:paraId="67738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C50255C">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33144E0B">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承包方式</w:t>
            </w:r>
          </w:p>
        </w:tc>
        <w:tc>
          <w:tcPr>
            <w:tcW w:w="6688" w:type="dxa"/>
            <w:vAlign w:val="center"/>
          </w:tcPr>
          <w:p w14:paraId="015A6779">
            <w:pPr>
              <w:keepNext/>
              <w:widowControl/>
              <w:spacing w:line="360" w:lineRule="auto"/>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包工包料</w:t>
            </w:r>
          </w:p>
        </w:tc>
      </w:tr>
      <w:tr w14:paraId="0E8F1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A3477CF">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39D5AFFA">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质量要求</w:t>
            </w:r>
          </w:p>
        </w:tc>
        <w:tc>
          <w:tcPr>
            <w:tcW w:w="6688" w:type="dxa"/>
            <w:vAlign w:val="center"/>
          </w:tcPr>
          <w:p w14:paraId="40C4E44D">
            <w:pPr>
              <w:keepNext/>
              <w:widowControl/>
              <w:spacing w:line="360" w:lineRule="auto"/>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合格</w:t>
            </w:r>
          </w:p>
        </w:tc>
      </w:tr>
      <w:tr w14:paraId="0C42C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7B2DC80">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38DAEDBC">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工期</w:t>
            </w:r>
          </w:p>
        </w:tc>
        <w:tc>
          <w:tcPr>
            <w:tcW w:w="6688" w:type="dxa"/>
            <w:vAlign w:val="center"/>
          </w:tcPr>
          <w:p w14:paraId="351F4032">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自合同签订之日起21日历日</w:t>
            </w:r>
          </w:p>
        </w:tc>
      </w:tr>
      <w:tr w14:paraId="265C3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7387CC76">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2</w:t>
            </w:r>
          </w:p>
        </w:tc>
        <w:tc>
          <w:tcPr>
            <w:tcW w:w="1795" w:type="dxa"/>
            <w:vAlign w:val="center"/>
          </w:tcPr>
          <w:p w14:paraId="2B00281C">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采购范围</w:t>
            </w:r>
          </w:p>
        </w:tc>
        <w:tc>
          <w:tcPr>
            <w:tcW w:w="6688" w:type="dxa"/>
            <w:vAlign w:val="center"/>
          </w:tcPr>
          <w:p w14:paraId="6D9B70D0">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全套施工图纸及工程量清单范围内的全部工作内容（包括竞争性磋商文件补充及答疑等工作内容）。</w:t>
            </w:r>
          </w:p>
        </w:tc>
      </w:tr>
      <w:tr w14:paraId="196E6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0336C44C">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3</w:t>
            </w:r>
          </w:p>
        </w:tc>
        <w:tc>
          <w:tcPr>
            <w:tcW w:w="1795" w:type="dxa"/>
            <w:vAlign w:val="center"/>
          </w:tcPr>
          <w:p w14:paraId="37EAD976">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采购方式</w:t>
            </w:r>
          </w:p>
        </w:tc>
        <w:tc>
          <w:tcPr>
            <w:tcW w:w="6688" w:type="dxa"/>
            <w:vAlign w:val="center"/>
          </w:tcPr>
          <w:p w14:paraId="1D63128D">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竞争性磋商</w:t>
            </w:r>
          </w:p>
        </w:tc>
      </w:tr>
      <w:tr w14:paraId="2C1F9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0600069">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198AA475">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资格审查方式</w:t>
            </w:r>
          </w:p>
        </w:tc>
        <w:tc>
          <w:tcPr>
            <w:tcW w:w="6688" w:type="dxa"/>
            <w:vAlign w:val="center"/>
          </w:tcPr>
          <w:p w14:paraId="1D3C0146">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资格后审</w:t>
            </w:r>
          </w:p>
        </w:tc>
      </w:tr>
      <w:tr w14:paraId="6708F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144FB513">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4</w:t>
            </w:r>
          </w:p>
        </w:tc>
        <w:tc>
          <w:tcPr>
            <w:tcW w:w="1795" w:type="dxa"/>
            <w:vAlign w:val="center"/>
          </w:tcPr>
          <w:p w14:paraId="779BD23E">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评审办法</w:t>
            </w:r>
          </w:p>
        </w:tc>
        <w:tc>
          <w:tcPr>
            <w:tcW w:w="6688" w:type="dxa"/>
            <w:vAlign w:val="center"/>
          </w:tcPr>
          <w:p w14:paraId="3D8CE03C">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综合评分法</w:t>
            </w:r>
          </w:p>
        </w:tc>
      </w:tr>
      <w:tr w14:paraId="1F98D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19B2AFE">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097B45B6">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投标计价方式</w:t>
            </w:r>
          </w:p>
        </w:tc>
        <w:tc>
          <w:tcPr>
            <w:tcW w:w="6688" w:type="dxa"/>
            <w:vAlign w:val="center"/>
          </w:tcPr>
          <w:p w14:paraId="66783BD5">
            <w:pP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sz w:val="21"/>
                <w:szCs w:val="21"/>
                <w:highlight w:val="none"/>
              </w:rPr>
              <w:t>工程量清单计价</w:t>
            </w:r>
          </w:p>
        </w:tc>
      </w:tr>
      <w:tr w14:paraId="26792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E59E873">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5CA9EFB0">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定标方法</w:t>
            </w:r>
          </w:p>
        </w:tc>
        <w:tc>
          <w:tcPr>
            <w:tcW w:w="6688" w:type="dxa"/>
            <w:vAlign w:val="center"/>
          </w:tcPr>
          <w:p w14:paraId="24EFF33F">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磋商小组推荐三名成交候选人</w:t>
            </w:r>
          </w:p>
        </w:tc>
      </w:tr>
      <w:tr w14:paraId="5DD40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BFEC1C4">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5</w:t>
            </w:r>
          </w:p>
        </w:tc>
        <w:tc>
          <w:tcPr>
            <w:tcW w:w="1795" w:type="dxa"/>
            <w:vAlign w:val="center"/>
          </w:tcPr>
          <w:p w14:paraId="01876C89">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联合体投标</w:t>
            </w:r>
          </w:p>
        </w:tc>
        <w:tc>
          <w:tcPr>
            <w:tcW w:w="6688" w:type="dxa"/>
            <w:vAlign w:val="center"/>
          </w:tcPr>
          <w:p w14:paraId="5DCDB9F1">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本项目不接受联合体。</w:t>
            </w:r>
          </w:p>
        </w:tc>
      </w:tr>
      <w:tr w14:paraId="55769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35342BA6">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6</w:t>
            </w:r>
          </w:p>
        </w:tc>
        <w:tc>
          <w:tcPr>
            <w:tcW w:w="1795" w:type="dxa"/>
            <w:vAlign w:val="center"/>
          </w:tcPr>
          <w:p w14:paraId="0C78BBD9">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供应商资格条件</w:t>
            </w:r>
          </w:p>
        </w:tc>
        <w:tc>
          <w:tcPr>
            <w:tcW w:w="6688" w:type="dxa"/>
            <w:vAlign w:val="center"/>
          </w:tcPr>
          <w:p w14:paraId="2269EA6F">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1、满足《中华人民共和国政府采购法》第二十二条规定。</w:t>
            </w:r>
          </w:p>
          <w:p w14:paraId="3085DD40">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2、落实政府采购政策需满足的资格要求：本项目专门面向中小企业。</w:t>
            </w:r>
          </w:p>
          <w:p w14:paraId="031683C9">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3、本项目的特定资格要求：</w:t>
            </w:r>
          </w:p>
          <w:p w14:paraId="2EADA7CE">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（1）供应商须具备有效的资质证书：建筑机电安装工程专业承包三级及以上资质；</w:t>
            </w:r>
          </w:p>
          <w:p w14:paraId="1C40966E">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（2）供应商须具备有效的安全生产许可证；</w:t>
            </w:r>
          </w:p>
          <w:p w14:paraId="03D3B090">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（3）项目负责人要求：注册建造师二级（机电工程）及以上；</w:t>
            </w:r>
          </w:p>
          <w:p w14:paraId="2BF29854">
            <w:pPr>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4）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r>
      <w:tr w14:paraId="48FA4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22EF511E">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7</w:t>
            </w:r>
          </w:p>
        </w:tc>
        <w:tc>
          <w:tcPr>
            <w:tcW w:w="1795" w:type="dxa"/>
            <w:vAlign w:val="center"/>
          </w:tcPr>
          <w:p w14:paraId="409118C4">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竞争性磋商文件费</w:t>
            </w:r>
          </w:p>
        </w:tc>
        <w:tc>
          <w:tcPr>
            <w:tcW w:w="6688" w:type="dxa"/>
            <w:vAlign w:val="center"/>
          </w:tcPr>
          <w:p w14:paraId="7F6F3C5B">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0元/份</w:t>
            </w:r>
          </w:p>
        </w:tc>
      </w:tr>
      <w:tr w14:paraId="1F40F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DC0FF77">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8</w:t>
            </w:r>
          </w:p>
        </w:tc>
        <w:tc>
          <w:tcPr>
            <w:tcW w:w="1795" w:type="dxa"/>
            <w:vAlign w:val="center"/>
          </w:tcPr>
          <w:p w14:paraId="1D408B19">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磋商保证金</w:t>
            </w:r>
          </w:p>
        </w:tc>
        <w:tc>
          <w:tcPr>
            <w:tcW w:w="6688" w:type="dxa"/>
            <w:vAlign w:val="center"/>
          </w:tcPr>
          <w:p w14:paraId="17787C0A">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3320元</w:t>
            </w:r>
            <w:r>
              <w:rPr>
                <w:rFonts w:hint="eastAsia" w:ascii="仿宋" w:hAnsi="仿宋" w:eastAsia="仿宋" w:cs="仿宋"/>
                <w:color w:val="auto"/>
                <w:kern w:val="0"/>
                <w:sz w:val="21"/>
                <w:szCs w:val="21"/>
                <w:highlight w:val="none"/>
                <w:shd w:val="clear" w:color="auto" w:fill="FFFFFF" w:themeFill="background1"/>
              </w:rPr>
              <w:t>（详见第一章3.4.2条）</w:t>
            </w:r>
          </w:p>
        </w:tc>
      </w:tr>
      <w:tr w14:paraId="4AFB8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1C56E74">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9</w:t>
            </w:r>
          </w:p>
        </w:tc>
        <w:tc>
          <w:tcPr>
            <w:tcW w:w="1795" w:type="dxa"/>
            <w:vAlign w:val="center"/>
          </w:tcPr>
          <w:p w14:paraId="7561C22B">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现场踏勘</w:t>
            </w:r>
          </w:p>
        </w:tc>
        <w:tc>
          <w:tcPr>
            <w:tcW w:w="6688" w:type="dxa"/>
            <w:vAlign w:val="center"/>
          </w:tcPr>
          <w:p w14:paraId="42444BC8">
            <w:pPr>
              <w:keepNext/>
              <w:widowControl/>
              <w:spacing w:line="360" w:lineRule="auto"/>
              <w:jc w:val="left"/>
              <w:rPr>
                <w:rFonts w:hint="default"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自行踏勘</w:t>
            </w:r>
          </w:p>
        </w:tc>
      </w:tr>
      <w:tr w14:paraId="0602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2255B19">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10</w:t>
            </w:r>
          </w:p>
        </w:tc>
        <w:tc>
          <w:tcPr>
            <w:tcW w:w="1795" w:type="dxa"/>
            <w:vAlign w:val="center"/>
          </w:tcPr>
          <w:p w14:paraId="2F81F6ED">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采购答疑</w:t>
            </w:r>
          </w:p>
        </w:tc>
        <w:tc>
          <w:tcPr>
            <w:tcW w:w="6688" w:type="dxa"/>
            <w:vAlign w:val="center"/>
          </w:tcPr>
          <w:p w14:paraId="2EF15320">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提出询问的，应当在响应文件递交截止时间6日前以书面形式（加盖公章）递交至新疆新世纪招标有限公司，否则采购人不作任何解释。</w:t>
            </w:r>
          </w:p>
          <w:p w14:paraId="63A2E51D">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对磋商文件提出质疑的，应当在获取磋商文件或者磋商文件公告期限届满之日起7个工作日内一次性以书面形式（按照财政部制定的质疑函范本编写）提出并递交至采购代理机构。</w:t>
            </w:r>
          </w:p>
          <w:p w14:paraId="2C4DCE23">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质疑接收人：</w:t>
            </w:r>
            <w:r>
              <w:rPr>
                <w:rFonts w:hint="eastAsia" w:ascii="仿宋" w:hAnsi="仿宋" w:eastAsia="仿宋" w:cs="仿宋"/>
                <w:color w:val="auto"/>
                <w:kern w:val="0"/>
                <w:sz w:val="21"/>
                <w:szCs w:val="21"/>
                <w:highlight w:val="none"/>
                <w:shd w:val="clear" w:color="auto" w:fill="FFFFFF" w:themeFill="background1"/>
                <w:lang w:eastAsia="zh-CN"/>
              </w:rPr>
              <w:t>闵俊瑀</w:t>
            </w:r>
            <w:r>
              <w:rPr>
                <w:rFonts w:hint="eastAsia" w:ascii="仿宋" w:hAnsi="仿宋" w:eastAsia="仿宋" w:cs="仿宋"/>
                <w:color w:val="auto"/>
                <w:kern w:val="0"/>
                <w:sz w:val="21"/>
                <w:szCs w:val="21"/>
                <w:highlight w:val="none"/>
                <w:shd w:val="clear" w:color="auto" w:fill="FFFFFF" w:themeFill="background1"/>
              </w:rPr>
              <w:t>；联系方式：0991-4661782。</w:t>
            </w:r>
          </w:p>
          <w:p w14:paraId="1BF0AC06">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14:paraId="0A37E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68801A6">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11</w:t>
            </w:r>
          </w:p>
        </w:tc>
        <w:tc>
          <w:tcPr>
            <w:tcW w:w="1795" w:type="dxa"/>
            <w:vAlign w:val="center"/>
          </w:tcPr>
          <w:p w14:paraId="1421780F">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响应文件</w:t>
            </w:r>
          </w:p>
        </w:tc>
        <w:tc>
          <w:tcPr>
            <w:tcW w:w="6688" w:type="dxa"/>
            <w:vAlign w:val="center"/>
          </w:tcPr>
          <w:p w14:paraId="11D1E993">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43AAFBD0">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14:paraId="4F4EA86D">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3、加密的电子响应文件应在响应文件递交截止时间前通过政采云平台上传完成。逾期上传或者未上传指定地点的响应文件，不予受理。</w:t>
            </w:r>
          </w:p>
          <w:p w14:paraId="37A24402">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5347D7BE">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5、如遇“政采云平台（https://www.zcygov.cn/）”电子交易规则调整，以最新要求为准。</w:t>
            </w:r>
          </w:p>
          <w:p w14:paraId="58D4B273">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6、成交供应商须提供纸质版响应文件三份用于资料存档。</w:t>
            </w:r>
          </w:p>
        </w:tc>
      </w:tr>
      <w:tr w14:paraId="62F59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FC371B">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12</w:t>
            </w:r>
          </w:p>
        </w:tc>
        <w:tc>
          <w:tcPr>
            <w:tcW w:w="1795" w:type="dxa"/>
            <w:vAlign w:val="center"/>
          </w:tcPr>
          <w:p w14:paraId="0F738894">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响应文件递交</w:t>
            </w:r>
          </w:p>
        </w:tc>
        <w:tc>
          <w:tcPr>
            <w:tcW w:w="6688" w:type="dxa"/>
            <w:vAlign w:val="center"/>
          </w:tcPr>
          <w:p w14:paraId="60CF17E1">
            <w:pPr>
              <w:spacing w:line="360" w:lineRule="auto"/>
              <w:jc w:val="left"/>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auto"/>
                <w:kern w:val="0"/>
                <w:sz w:val="21"/>
                <w:szCs w:val="21"/>
                <w:highlight w:val="none"/>
                <w:shd w:val="clear" w:color="auto" w:fill="FFFFFF" w:themeFill="background1"/>
              </w:rPr>
              <w:t>截止时间：</w:t>
            </w:r>
            <w:r>
              <w:rPr>
                <w:rFonts w:hint="eastAsia" w:ascii="仿宋" w:hAnsi="仿宋" w:eastAsia="仿宋" w:cs="仿宋"/>
                <w:color w:val="auto"/>
                <w:kern w:val="0"/>
                <w:sz w:val="21"/>
                <w:szCs w:val="21"/>
                <w:highlight w:val="none"/>
                <w:u w:val="single"/>
                <w:shd w:val="clear" w:color="auto" w:fill="FFFFFF" w:themeFill="background1"/>
                <w:lang w:eastAsia="zh-CN"/>
              </w:rPr>
              <w:t>2026年05月19日 11:00（北京时间）</w:t>
            </w:r>
          </w:p>
          <w:p w14:paraId="0F425C04">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递交地点：政采云平台（https://www.zcygov.cn/）</w:t>
            </w:r>
          </w:p>
        </w:tc>
      </w:tr>
      <w:tr w14:paraId="647CA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16F571A">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13</w:t>
            </w:r>
          </w:p>
        </w:tc>
        <w:tc>
          <w:tcPr>
            <w:tcW w:w="1795" w:type="dxa"/>
            <w:vAlign w:val="center"/>
          </w:tcPr>
          <w:p w14:paraId="3F548047">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开标</w:t>
            </w:r>
          </w:p>
        </w:tc>
        <w:tc>
          <w:tcPr>
            <w:tcW w:w="6688" w:type="dxa"/>
            <w:vAlign w:val="center"/>
          </w:tcPr>
          <w:p w14:paraId="54A18675">
            <w:pPr>
              <w:spacing w:line="360" w:lineRule="auto"/>
              <w:jc w:val="left"/>
              <w:rPr>
                <w:rFonts w:hint="eastAsia" w:ascii="仿宋" w:hAnsi="仿宋" w:eastAsia="仿宋" w:cs="仿宋"/>
                <w:color w:val="auto"/>
                <w:kern w:val="0"/>
                <w:sz w:val="21"/>
                <w:szCs w:val="21"/>
                <w:highlight w:val="none"/>
                <w:u w:val="singl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rPr>
              <w:t>时间：</w:t>
            </w:r>
            <w:r>
              <w:rPr>
                <w:rFonts w:hint="eastAsia" w:ascii="仿宋" w:hAnsi="仿宋" w:eastAsia="仿宋" w:cs="仿宋"/>
                <w:color w:val="auto"/>
                <w:kern w:val="0"/>
                <w:sz w:val="21"/>
                <w:szCs w:val="21"/>
                <w:highlight w:val="none"/>
                <w:u w:val="single"/>
                <w:shd w:val="clear" w:color="auto" w:fill="FFFFFF" w:themeFill="background1"/>
                <w:lang w:eastAsia="zh-CN"/>
              </w:rPr>
              <w:t>2026年05月19日 11:00（北京时间）</w:t>
            </w:r>
            <w:r>
              <w:rPr>
                <w:rFonts w:hint="eastAsia" w:ascii="仿宋" w:hAnsi="仿宋" w:eastAsia="仿宋" w:cs="仿宋"/>
                <w:color w:val="auto"/>
                <w:kern w:val="0"/>
                <w:sz w:val="21"/>
                <w:szCs w:val="21"/>
                <w:highlight w:val="none"/>
                <w:shd w:val="clear" w:color="auto" w:fill="FFFFFF" w:themeFill="background1"/>
                <w:lang w:val="en-US" w:eastAsia="zh-CN"/>
              </w:rPr>
              <w:t xml:space="preserve"> </w:t>
            </w:r>
          </w:p>
          <w:p w14:paraId="6723A2C8">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地点：政采云平台（https://www.zcygov.cn/）</w:t>
            </w:r>
          </w:p>
        </w:tc>
      </w:tr>
      <w:tr w14:paraId="6251F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14:paraId="75DDF591">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14</w:t>
            </w:r>
          </w:p>
        </w:tc>
        <w:tc>
          <w:tcPr>
            <w:tcW w:w="1795" w:type="dxa"/>
            <w:vAlign w:val="center"/>
          </w:tcPr>
          <w:p w14:paraId="482603CE">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响应有效期</w:t>
            </w:r>
          </w:p>
        </w:tc>
        <w:tc>
          <w:tcPr>
            <w:tcW w:w="6688" w:type="dxa"/>
            <w:vAlign w:val="center"/>
          </w:tcPr>
          <w:p w14:paraId="65BE8542">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自投标截止之日90日历日</w:t>
            </w:r>
          </w:p>
        </w:tc>
      </w:tr>
      <w:tr w14:paraId="46E62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DF98B2F">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15</w:t>
            </w:r>
          </w:p>
        </w:tc>
        <w:tc>
          <w:tcPr>
            <w:tcW w:w="1795" w:type="dxa"/>
            <w:vAlign w:val="center"/>
          </w:tcPr>
          <w:p w14:paraId="1955DA40">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公告发布媒体</w:t>
            </w:r>
          </w:p>
        </w:tc>
        <w:tc>
          <w:tcPr>
            <w:tcW w:w="6688" w:type="dxa"/>
            <w:vAlign w:val="center"/>
          </w:tcPr>
          <w:p w14:paraId="648DA262">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新疆维吾尔自治区政府采购网(http://www.ccgp-xinjiang.gov.cn)</w:t>
            </w:r>
          </w:p>
        </w:tc>
      </w:tr>
      <w:tr w14:paraId="36338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BA6A1F3">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16</w:t>
            </w:r>
          </w:p>
        </w:tc>
        <w:tc>
          <w:tcPr>
            <w:tcW w:w="1795" w:type="dxa"/>
            <w:vAlign w:val="center"/>
          </w:tcPr>
          <w:p w14:paraId="64BD7554">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履约保证金</w:t>
            </w:r>
          </w:p>
        </w:tc>
        <w:tc>
          <w:tcPr>
            <w:tcW w:w="6688" w:type="dxa"/>
            <w:vAlign w:val="center"/>
          </w:tcPr>
          <w:p w14:paraId="55E3E144">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w:t>
            </w:r>
          </w:p>
        </w:tc>
      </w:tr>
      <w:tr w14:paraId="04D5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E303738">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17</w:t>
            </w:r>
          </w:p>
        </w:tc>
        <w:tc>
          <w:tcPr>
            <w:tcW w:w="1795" w:type="dxa"/>
            <w:vAlign w:val="center"/>
          </w:tcPr>
          <w:p w14:paraId="11880865">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中小企业政策说明</w:t>
            </w:r>
          </w:p>
        </w:tc>
        <w:tc>
          <w:tcPr>
            <w:tcW w:w="6688" w:type="dxa"/>
            <w:vAlign w:val="center"/>
          </w:tcPr>
          <w:p w14:paraId="7E355179">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09CABAF">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14:paraId="39E8C3D4">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的人员为中小企业依照《中华人民共和国劳动合同法》订立劳动合同的从业人员。</w:t>
            </w:r>
          </w:p>
          <w:p w14:paraId="33233630">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3、在货物采购项目中，供应商提供的货物既有中小企业制造货物，也有大型企业制造货物的，不享受本办法规定的中小企业扶持政策。</w:t>
            </w:r>
          </w:p>
          <w:p w14:paraId="42FD3C69">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4、以联合体形式参加政府采购活动，联合体各方均为中小企业的，联合体视同中小企业。其中，联合体各方均为小微企业的，联合体视同小微企业。</w:t>
            </w:r>
          </w:p>
          <w:p w14:paraId="66D754D3">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5、供应商经享受扶持政策获得政府采购合同的，小微企业不得将合同分包给大中型企业，中型企业不得将合同分包给大型企业；</w:t>
            </w:r>
          </w:p>
          <w:p w14:paraId="20FFFCCF">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auto"/>
                <w:kern w:val="0"/>
                <w:sz w:val="21"/>
                <w:szCs w:val="21"/>
                <w:highlight w:val="none"/>
                <w:shd w:val="clear" w:color="auto" w:fill="FFFFFF" w:themeFill="background1"/>
              </w:rPr>
              <w:t>6、本项目中小企业扶持政策：</w:t>
            </w:r>
            <w:r>
              <w:rPr>
                <w:rFonts w:hint="eastAsia" w:ascii="仿宋" w:hAnsi="仿宋" w:eastAsia="仿宋" w:cs="仿宋"/>
                <w:color w:val="auto"/>
                <w:kern w:val="0"/>
                <w:sz w:val="21"/>
                <w:szCs w:val="21"/>
                <w:highlight w:val="none"/>
                <w:shd w:val="clear" w:color="auto" w:fill="FFFFFF" w:themeFill="background1"/>
                <w:lang w:eastAsia="zh-CN"/>
              </w:rPr>
              <w:t>本项目专门面向中小企业采购，供应商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7C30DF45">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rPr>
              <w:t>7、根据“关于印发中小企业划型标准规定的通知(工信部联企业〔2011〕300号)”等有关规定，本项目标的所属行业为</w:t>
            </w:r>
            <w:r>
              <w:rPr>
                <w:rFonts w:hint="eastAsia" w:ascii="仿宋" w:hAnsi="仿宋" w:eastAsia="仿宋" w:cs="仿宋"/>
                <w:b/>
                <w:bCs/>
                <w:color w:val="auto"/>
                <w:kern w:val="0"/>
                <w:sz w:val="21"/>
                <w:szCs w:val="21"/>
                <w:highlight w:val="none"/>
                <w:u w:val="single"/>
                <w:shd w:val="clear" w:color="auto" w:fill="FFFFFF"/>
                <w:lang w:val="en-US" w:eastAsia="zh-CN"/>
              </w:rPr>
              <w:t>建筑业</w:t>
            </w:r>
            <w:r>
              <w:rPr>
                <w:rFonts w:hint="eastAsia" w:ascii="仿宋" w:hAnsi="仿宋" w:eastAsia="仿宋" w:cs="仿宋"/>
                <w:color w:val="auto"/>
                <w:kern w:val="0"/>
                <w:sz w:val="21"/>
                <w:szCs w:val="21"/>
                <w:highlight w:val="none"/>
              </w:rPr>
              <w:t>。</w:t>
            </w:r>
          </w:p>
        </w:tc>
      </w:tr>
      <w:tr w14:paraId="7702E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CA0DAF3">
            <w:pPr>
              <w:spacing w:line="360" w:lineRule="auto"/>
              <w:jc w:val="center"/>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18</w:t>
            </w:r>
          </w:p>
        </w:tc>
        <w:tc>
          <w:tcPr>
            <w:tcW w:w="1795" w:type="dxa"/>
            <w:vAlign w:val="center"/>
          </w:tcPr>
          <w:p w14:paraId="56B789FE">
            <w:pPr>
              <w:jc w:val="distribute"/>
              <w:rPr>
                <w:rFonts w:hint="eastAsia" w:ascii="仿宋" w:hAnsi="仿宋" w:eastAsia="仿宋" w:cs="仿宋"/>
                <w:b w:val="0"/>
                <w:bCs w:val="0"/>
                <w:color w:val="auto"/>
                <w:kern w:val="0"/>
                <w:sz w:val="21"/>
                <w:szCs w:val="21"/>
                <w:highlight w:val="none"/>
                <w:shd w:val="clear" w:color="auto" w:fill="FFFFFF" w:themeFill="background1"/>
              </w:rPr>
            </w:pPr>
            <w:r>
              <w:rPr>
                <w:rFonts w:hint="eastAsia" w:ascii="仿宋" w:hAnsi="仿宋" w:eastAsia="仿宋" w:cs="仿宋"/>
                <w:b w:val="0"/>
                <w:bCs w:val="0"/>
                <w:color w:val="auto"/>
                <w:kern w:val="0"/>
                <w:sz w:val="21"/>
                <w:szCs w:val="21"/>
                <w:highlight w:val="none"/>
              </w:rPr>
              <w:t>代理</w:t>
            </w:r>
            <w:r>
              <w:rPr>
                <w:rFonts w:hint="eastAsia" w:ascii="仿宋" w:hAnsi="仿宋" w:eastAsia="仿宋" w:cs="仿宋"/>
                <w:b w:val="0"/>
                <w:bCs w:val="0"/>
                <w:color w:val="auto"/>
                <w:kern w:val="0"/>
                <w:sz w:val="21"/>
                <w:szCs w:val="21"/>
                <w:highlight w:val="none"/>
                <w:lang w:val="en-US" w:eastAsia="zh-CN"/>
              </w:rPr>
              <w:t>服务</w:t>
            </w:r>
            <w:r>
              <w:rPr>
                <w:rFonts w:hint="eastAsia" w:ascii="仿宋" w:hAnsi="仿宋" w:eastAsia="仿宋" w:cs="仿宋"/>
                <w:b w:val="0"/>
                <w:bCs w:val="0"/>
                <w:color w:val="auto"/>
                <w:kern w:val="0"/>
                <w:sz w:val="21"/>
                <w:szCs w:val="21"/>
                <w:highlight w:val="none"/>
              </w:rPr>
              <w:t>费</w:t>
            </w:r>
          </w:p>
        </w:tc>
        <w:tc>
          <w:tcPr>
            <w:tcW w:w="6688" w:type="dxa"/>
            <w:vAlign w:val="center"/>
          </w:tcPr>
          <w:p w14:paraId="0FA765F0">
            <w:pPr>
              <w:keepNext/>
              <w:widowControl/>
              <w:spacing w:line="360" w:lineRule="auto"/>
              <w:ind w:firstLine="420" w:firstLineChars="200"/>
              <w:jc w:val="left"/>
              <w:rPr>
                <w:rFonts w:hint="eastAsia" w:ascii="仿宋" w:hAnsi="仿宋" w:eastAsia="仿宋" w:cs="仿宋"/>
                <w:b w:val="0"/>
                <w:bCs w:val="0"/>
                <w:color w:val="auto"/>
                <w:kern w:val="0"/>
                <w:sz w:val="21"/>
                <w:szCs w:val="21"/>
                <w:highlight w:val="none"/>
                <w:shd w:val="clear" w:color="auto" w:fill="FFFFFF" w:themeFill="background1"/>
              </w:rPr>
            </w:pPr>
            <w:r>
              <w:rPr>
                <w:rFonts w:hint="eastAsia" w:ascii="仿宋" w:hAnsi="仿宋" w:eastAsia="仿宋" w:cs="仿宋"/>
                <w:color w:val="auto"/>
                <w:kern w:val="0"/>
                <w:szCs w:val="21"/>
              </w:rPr>
              <w:t>采购代理咨询费以中标价格为基准，参照国家计委《招标代理服务费管理暂行办法》的通知(计价格[2002]1980号)下浮35%计取，由</w:t>
            </w:r>
            <w:r>
              <w:rPr>
                <w:rFonts w:hint="eastAsia" w:ascii="仿宋" w:hAnsi="仿宋" w:eastAsia="仿宋" w:cs="仿宋"/>
                <w:color w:val="auto"/>
                <w:kern w:val="0"/>
                <w:szCs w:val="21"/>
                <w:lang w:val="en-US" w:eastAsia="zh-CN"/>
              </w:rPr>
              <w:t>成交供应商</w:t>
            </w:r>
            <w:r>
              <w:rPr>
                <w:rFonts w:hint="eastAsia" w:ascii="仿宋" w:hAnsi="仿宋" w:eastAsia="仿宋" w:cs="仿宋"/>
                <w:color w:val="auto"/>
                <w:kern w:val="0"/>
                <w:szCs w:val="21"/>
              </w:rPr>
              <w:t>在领取</w:t>
            </w:r>
            <w:r>
              <w:rPr>
                <w:rFonts w:hint="eastAsia" w:ascii="仿宋" w:hAnsi="仿宋" w:eastAsia="仿宋" w:cs="仿宋"/>
                <w:color w:val="auto"/>
                <w:kern w:val="0"/>
                <w:szCs w:val="21"/>
                <w:lang w:val="en-US" w:eastAsia="zh-CN"/>
              </w:rPr>
              <w:t>成交</w:t>
            </w:r>
            <w:r>
              <w:rPr>
                <w:rFonts w:hint="eastAsia" w:ascii="仿宋" w:hAnsi="仿宋" w:eastAsia="仿宋" w:cs="仿宋"/>
                <w:color w:val="auto"/>
                <w:kern w:val="0"/>
                <w:szCs w:val="21"/>
              </w:rPr>
              <w:t>通知书时支付。</w:t>
            </w:r>
          </w:p>
        </w:tc>
      </w:tr>
      <w:tr w14:paraId="5FAB7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F02F79E">
            <w:pPr>
              <w:spacing w:line="360" w:lineRule="auto"/>
              <w:jc w:val="center"/>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19</w:t>
            </w:r>
          </w:p>
        </w:tc>
        <w:tc>
          <w:tcPr>
            <w:tcW w:w="1795" w:type="dxa"/>
            <w:vAlign w:val="center"/>
          </w:tcPr>
          <w:p w14:paraId="6CB833E1">
            <w:pPr>
              <w:jc w:val="distribute"/>
              <w:rPr>
                <w:rFonts w:hint="eastAsia" w:ascii="仿宋" w:hAnsi="仿宋" w:eastAsia="仿宋" w:cs="仿宋"/>
                <w:b w:val="0"/>
                <w:bCs w:val="0"/>
                <w:color w:val="auto"/>
                <w:kern w:val="0"/>
                <w:sz w:val="21"/>
                <w:szCs w:val="21"/>
                <w:highlight w:val="none"/>
              </w:rPr>
            </w:pPr>
            <w:r>
              <w:rPr>
                <w:rFonts w:hint="eastAsia" w:ascii="仿宋" w:hAnsi="仿宋" w:eastAsia="仿宋" w:cs="仿宋"/>
                <w:color w:val="auto"/>
                <w:sz w:val="21"/>
                <w:szCs w:val="21"/>
                <w:highlight w:val="none"/>
              </w:rPr>
              <w:t>付款方式</w:t>
            </w:r>
          </w:p>
        </w:tc>
        <w:tc>
          <w:tcPr>
            <w:tcW w:w="6688" w:type="dxa"/>
            <w:vAlign w:val="center"/>
          </w:tcPr>
          <w:p w14:paraId="54B8C916">
            <w:pPr>
              <w:rPr>
                <w:rFonts w:hint="eastAsia" w:ascii="仿宋" w:hAnsi="仿宋" w:eastAsia="仿宋" w:cs="仿宋"/>
                <w:color w:val="auto"/>
                <w:kern w:val="0"/>
                <w:sz w:val="21"/>
                <w:szCs w:val="21"/>
                <w:highlight w:val="none"/>
                <w:lang w:val="en-US" w:eastAsia="zh-CN" w:bidi="ar-SA"/>
              </w:rPr>
            </w:pPr>
          </w:p>
          <w:p w14:paraId="0802E6AF">
            <w:pP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详见合同</w:t>
            </w:r>
          </w:p>
          <w:p w14:paraId="0F9970E5">
            <w:pPr>
              <w:rPr>
                <w:rFonts w:hint="eastAsia" w:ascii="仿宋" w:hAnsi="仿宋" w:eastAsia="仿宋" w:cs="仿宋"/>
                <w:b w:val="0"/>
                <w:bCs w:val="0"/>
                <w:color w:val="auto"/>
                <w:kern w:val="0"/>
                <w:sz w:val="21"/>
                <w:szCs w:val="21"/>
                <w:highlight w:val="none"/>
                <w:lang w:val="en-US" w:eastAsia="zh-CN" w:bidi="ar-SA"/>
              </w:rPr>
            </w:pPr>
          </w:p>
        </w:tc>
      </w:tr>
      <w:tr w14:paraId="7235D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065A75">
            <w:pPr>
              <w:spacing w:line="360" w:lineRule="auto"/>
              <w:jc w:val="center"/>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20</w:t>
            </w:r>
          </w:p>
        </w:tc>
        <w:tc>
          <w:tcPr>
            <w:tcW w:w="1795" w:type="dxa"/>
            <w:vAlign w:val="center"/>
          </w:tcPr>
          <w:p w14:paraId="060D233A">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说明</w:t>
            </w:r>
          </w:p>
        </w:tc>
        <w:tc>
          <w:tcPr>
            <w:tcW w:w="6688" w:type="dxa"/>
            <w:vAlign w:val="center"/>
          </w:tcPr>
          <w:p w14:paraId="38A840AD">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本表内容如与后文内容不一致处，以本表为准。</w:t>
            </w:r>
          </w:p>
        </w:tc>
      </w:tr>
    </w:tbl>
    <w:p w14:paraId="2BBE0160">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5" w:name="_BookMark_3"/>
      <w:bookmarkEnd w:id="5"/>
      <w:r>
        <w:rPr>
          <w:rFonts w:hint="eastAsia" w:ascii="仿宋" w:hAnsi="仿宋" w:eastAsia="仿宋" w:cs="仿宋"/>
          <w:color w:val="auto"/>
          <w:kern w:val="0"/>
          <w:sz w:val="24"/>
          <w:szCs w:val="24"/>
          <w:highlight w:val="none"/>
          <w:shd w:val="clear" w:color="auto" w:fill="FFFFFF" w:themeFill="background1"/>
        </w:rPr>
        <w:br w:type="page"/>
      </w:r>
      <w:bookmarkStart w:id="6" w:name="_Toc2410"/>
      <w:r>
        <w:rPr>
          <w:rFonts w:hint="eastAsia" w:ascii="仿宋" w:hAnsi="仿宋" w:eastAsia="仿宋" w:cs="仿宋"/>
          <w:b/>
          <w:color w:val="auto"/>
          <w:sz w:val="24"/>
          <w:szCs w:val="24"/>
          <w:highlight w:val="none"/>
          <w:shd w:val="clear" w:color="auto" w:fill="FFFFFF" w:themeFill="background1"/>
        </w:rPr>
        <w:t>第一章 供应商须知</w:t>
      </w:r>
      <w:bookmarkEnd w:id="6"/>
      <w:bookmarkStart w:id="7" w:name="_BookMark_2"/>
      <w:bookmarkEnd w:id="7"/>
    </w:p>
    <w:p w14:paraId="0BA7F4A4">
      <w:pPr>
        <w:spacing w:line="360" w:lineRule="auto"/>
        <w:ind w:firstLine="482" w:firstLineChars="200"/>
        <w:rPr>
          <w:rFonts w:hint="eastAsia"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1．总则</w:t>
      </w:r>
    </w:p>
    <w:p w14:paraId="680F89C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 采购项目概况</w:t>
      </w:r>
    </w:p>
    <w:p w14:paraId="367B483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1.1.1 项目名称：见供应商须知前附表。</w:t>
      </w:r>
    </w:p>
    <w:p w14:paraId="174B67C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1.1.2项目编号：见供应商须知前附表。</w:t>
      </w:r>
    </w:p>
    <w:p w14:paraId="32727E5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1.1.3采购人：见供应商须知前附表。</w:t>
      </w:r>
    </w:p>
    <w:p w14:paraId="71FE512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1.1.4采购代理机构：见供应商须知前附表。</w:t>
      </w:r>
    </w:p>
    <w:p w14:paraId="6F30512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1.1.5项目地点：见供应商须知前附表。</w:t>
      </w:r>
    </w:p>
    <w:p w14:paraId="1627993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1.1.6资金来源：见供应商须知前附表。</w:t>
      </w:r>
    </w:p>
    <w:p w14:paraId="601DD07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1.1.7采购预算金额：见供应商须知前附表。</w:t>
      </w:r>
    </w:p>
    <w:p w14:paraId="5CACD61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1.1.8招标控制价：见供应商须知前附表。</w:t>
      </w:r>
    </w:p>
    <w:p w14:paraId="7DFA3C1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1.1.9承包方式：见供应商须知前附表。</w:t>
      </w:r>
    </w:p>
    <w:p w14:paraId="4D41044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1.1.10质量要求：见供应商须知前附表。</w:t>
      </w:r>
    </w:p>
    <w:p w14:paraId="4C4D436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1.1.11工期：见供应商须知前附表。</w:t>
      </w:r>
    </w:p>
    <w:p w14:paraId="037BDCB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1.2采购范围：见供应商须知前附表。</w:t>
      </w:r>
    </w:p>
    <w:p w14:paraId="5E0A2DB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1.3 采购方式和资格审查方式</w:t>
      </w:r>
    </w:p>
    <w:p w14:paraId="0E8B0AC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1.3.1 采购方式：见供应商须知前附表。</w:t>
      </w:r>
    </w:p>
    <w:p w14:paraId="2A389CA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1.3.2 资格审查方式：见供应商须知前附表。</w:t>
      </w:r>
    </w:p>
    <w:p w14:paraId="3B04B48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1.4 评审办法、投标计价方式及定标方法</w:t>
      </w:r>
    </w:p>
    <w:p w14:paraId="4071D2E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1.4.1 评审办法：见供应商须知前附表。</w:t>
      </w:r>
    </w:p>
    <w:p w14:paraId="60C17D3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1.4.2投标计价方式：见供应商须知前附表。</w:t>
      </w:r>
    </w:p>
    <w:p w14:paraId="3BB8FF7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1.4.3定标方法：见供应商须知前附表。</w:t>
      </w:r>
    </w:p>
    <w:p w14:paraId="28D8830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1.5 联合体投标：见供应商须知前附表。</w:t>
      </w:r>
    </w:p>
    <w:p w14:paraId="3ECAEE1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1.6 供应商资格条件</w:t>
      </w:r>
    </w:p>
    <w:p w14:paraId="1DD30B8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1.6.1 供应商应具备承担本采购项目的资格条件和能力，具体要求见供应商须知前附表。</w:t>
      </w:r>
    </w:p>
    <w:p w14:paraId="4029D5F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1.6.2 供应商须知前附表规定接受联合体磋商投标的，除应符合本章第1.5.1款和供应商须知前附表的要求外，还应遵守以下规定：（1）联合体各方应按竞争性磋商文件提供的格式签订联合体协议书，明确联合体牵头人和各方权利义务；（2）联合体各方不得再以自己名义单独或参加其他联合体在本采购项目中投标。</w:t>
      </w:r>
    </w:p>
    <w:p w14:paraId="51C38CC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1.6.3 供应商不得存在下列情形之一，否则相关投标均应被否决：</w:t>
      </w:r>
    </w:p>
    <w:p w14:paraId="1807203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（1）单位负责人为同一人或者存在控股、管理关系的不同单位，参加同一标段投标或者未划分标段的同一采购项目投标的；</w:t>
      </w:r>
    </w:p>
    <w:p w14:paraId="7F6763C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（2）法定代表人为同一个人的两个及两个以上法人，母公司、全资子公司及其控股公司，参加同一标段投标或者未划分标段的同一采购项目投标的；</w:t>
      </w:r>
    </w:p>
    <w:p w14:paraId="4AD9CD4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（3）被责令停业的； </w:t>
      </w:r>
    </w:p>
    <w:p w14:paraId="13F6661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（4）被暂停或取消投标资格的； </w:t>
      </w:r>
    </w:p>
    <w:p w14:paraId="0DB4911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（5）财产被接管或冻结的；</w:t>
      </w:r>
    </w:p>
    <w:p w14:paraId="77326B9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（6）在最近三年内有骗取成交或严重违约或重大质量问题的；</w:t>
      </w:r>
    </w:p>
    <w:p w14:paraId="5AFCF05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1.7费用承担</w:t>
      </w:r>
    </w:p>
    <w:p w14:paraId="2513314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1.7.1竞争性磋商文件费：见供应商须知前附表。</w:t>
      </w:r>
    </w:p>
    <w:p w14:paraId="70B274E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1.7.2供应商应承担其编制响应文件与递交响应文件所涉及的一切费用，无论投标结果如何，采购人及采购代理机构对上述费用不作任何补偿。采购代理咨询费由成交供应商支付。</w:t>
      </w:r>
    </w:p>
    <w:p w14:paraId="4E832BC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1.8磋商保证金：见供应商须知前附表。</w:t>
      </w:r>
    </w:p>
    <w:p w14:paraId="5D7C254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1.9踏勘现场</w:t>
      </w:r>
    </w:p>
    <w:p w14:paraId="5FAF1EA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1.9.1 供应商须知前附表规定组织踏勘现场的，采购人或采购代理机构按供应商须知前附表规定的时间、地点组织供应商踏勘项目现场。 </w:t>
      </w:r>
    </w:p>
    <w:p w14:paraId="1553FE4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1.9.2 供应商踏勘现场发生的费用自理。</w:t>
      </w:r>
    </w:p>
    <w:p w14:paraId="092714B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1.9.3 除采购人或采购代理机构的原因外，供应商自行负责在踏勘现场中所发生的人员伤亡和财产损失。</w:t>
      </w:r>
    </w:p>
    <w:p w14:paraId="53ED547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1.9.4 采购人或采购代理机构在踏勘现场中介绍的项目有关情况，供应商在编制响应文件时参考，采购人或采购代理机构不对供应商据此作出的判断和决策负责。</w:t>
      </w:r>
    </w:p>
    <w:p w14:paraId="7B2A28B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1.10 采购答疑</w:t>
      </w:r>
    </w:p>
    <w:p w14:paraId="1B2961D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1.10.1 供应商须知前附表规定召开招标答疑会的，采购人或采购代理机构按照供应商须知前附表规定的时间和地点召开招标答疑会，澄清供应商提出的问题。</w:t>
      </w:r>
    </w:p>
    <w:p w14:paraId="00D8D10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1.10.2 供应商若有疑问，应按规定的时间、方式向采购人或采购代理机构提出，要求采购人对竞争性磋商文件予以澄清。</w:t>
      </w:r>
    </w:p>
    <w:p w14:paraId="7AEE360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1.10.3 采购人或采购代理机构将按规定的时间方式对供应商的疑问作出统一的解答。</w:t>
      </w:r>
    </w:p>
    <w:p w14:paraId="68F4368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1.11响应文件：见供应商须知前附表。</w:t>
      </w:r>
    </w:p>
    <w:p w14:paraId="46BD886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1.12递交：见供应商须知前附表。</w:t>
      </w:r>
    </w:p>
    <w:p w14:paraId="7BE9172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1.13开标：见供应商须知前附表。</w:t>
      </w:r>
    </w:p>
    <w:p w14:paraId="357D40D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1.14响应有效期：见供应商须知前附表。</w:t>
      </w:r>
    </w:p>
    <w:p w14:paraId="4A30514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1.15公告发布媒体：见供应商须知前附表。</w:t>
      </w:r>
    </w:p>
    <w:p w14:paraId="33276F2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1.16履约保证金：见供应商须知前附表。</w:t>
      </w:r>
    </w:p>
    <w:p w14:paraId="63B2154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1.17中小企业政策说明：见供应商须知前附表。</w:t>
      </w:r>
    </w:p>
    <w:p w14:paraId="278BAF5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1.18</w:t>
      </w:r>
      <w:r>
        <w:rPr>
          <w:rFonts w:hint="eastAsia" w:ascii="仿宋" w:hAnsi="仿宋" w:eastAsia="仿宋" w:cs="仿宋"/>
          <w:color w:val="auto"/>
          <w:kern w:val="0"/>
          <w:sz w:val="24"/>
          <w:szCs w:val="24"/>
          <w:highlight w:val="none"/>
        </w:rPr>
        <w:t>招标代理费</w:t>
      </w:r>
      <w:r>
        <w:rPr>
          <w:rFonts w:hint="eastAsia" w:ascii="仿宋" w:hAnsi="仿宋" w:eastAsia="仿宋" w:cs="仿宋"/>
          <w:color w:val="auto"/>
          <w:sz w:val="24"/>
          <w:szCs w:val="28"/>
          <w:highlight w:val="none"/>
        </w:rPr>
        <w:t>：见供应商须知前附表。</w:t>
      </w:r>
    </w:p>
    <w:p w14:paraId="6C5D81E0">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8"/>
          <w:highlight w:val="none"/>
        </w:rPr>
        <w:t>1.19付款方式：见供应商须知前附表。</w:t>
      </w:r>
    </w:p>
    <w:p w14:paraId="43C46D5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1.20保密</w:t>
      </w:r>
    </w:p>
    <w:p w14:paraId="001DAF0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参与招标投标活动的各方应当对竞争性磋商文件和响应文件中的商业和技术等秘密保密，否则应当承担相应的法律责任。</w:t>
      </w:r>
    </w:p>
    <w:p w14:paraId="69A85D3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1.21 语言文字</w:t>
      </w:r>
    </w:p>
    <w:p w14:paraId="70B6804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除专用术语外，与招标投标有关的语言均应当使用中文。必要时专用术语应附有中文注释。</w:t>
      </w:r>
    </w:p>
    <w:p w14:paraId="4A43E3C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r>
        <w:rPr>
          <w:rFonts w:hint="eastAsia" w:ascii="仿宋" w:hAnsi="仿宋" w:eastAsia="仿宋" w:cs="仿宋"/>
          <w:color w:val="auto"/>
          <w:sz w:val="24"/>
          <w:szCs w:val="28"/>
          <w:highlight w:val="none"/>
          <w:lang w:val="en-US" w:eastAsia="zh-CN"/>
        </w:rPr>
        <w:t xml:space="preserve">1.22 </w:t>
      </w:r>
      <w:r>
        <w:rPr>
          <w:rFonts w:hint="eastAsia" w:ascii="仿宋" w:hAnsi="仿宋" w:eastAsia="仿宋" w:cs="仿宋"/>
          <w:color w:val="auto"/>
          <w:sz w:val="24"/>
          <w:szCs w:val="28"/>
          <w:highlight w:val="none"/>
        </w:rPr>
        <w:t>计量单位</w:t>
      </w:r>
    </w:p>
    <w:p w14:paraId="446C683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所有计量均采用中华人民共和国法定计量单位。</w:t>
      </w:r>
    </w:p>
    <w:p w14:paraId="045C805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1.23</w:t>
      </w:r>
      <w:r>
        <w:rPr>
          <w:rFonts w:hint="eastAsia" w:ascii="仿宋" w:hAnsi="仿宋" w:eastAsia="仿宋" w:cs="仿宋"/>
          <w:color w:val="auto"/>
          <w:sz w:val="24"/>
          <w:szCs w:val="28"/>
          <w:highlight w:val="none"/>
        </w:rPr>
        <w:t>偏离</w:t>
      </w:r>
    </w:p>
    <w:p w14:paraId="56DE541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响应文件与竞争性磋商文件某些要求产生偏离的，偏离应当符合竞争性磋商文件规定的偏离范围和幅度。</w:t>
      </w:r>
    </w:p>
    <w:p w14:paraId="1493FA42">
      <w:pPr>
        <w:spacing w:line="360" w:lineRule="auto"/>
        <w:ind w:firstLine="482" w:firstLineChars="200"/>
        <w:rPr>
          <w:rFonts w:hint="eastAsia"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2．竞争性磋商文件</w:t>
      </w:r>
    </w:p>
    <w:p w14:paraId="1393047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2.1 竞争性磋商文件的组成</w:t>
      </w:r>
    </w:p>
    <w:p w14:paraId="30BC17B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（1）供应商须知；</w:t>
      </w:r>
    </w:p>
    <w:p w14:paraId="708FC88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（2）评审办法；</w:t>
      </w:r>
    </w:p>
    <w:p w14:paraId="4FA61CA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（3）合同格式；</w:t>
      </w:r>
    </w:p>
    <w:p w14:paraId="3D28F24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（4）技术标准和要求；</w:t>
      </w:r>
    </w:p>
    <w:p w14:paraId="0F0F6D8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（5）响应文件格式；</w:t>
      </w:r>
    </w:p>
    <w:p w14:paraId="2B7A07B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（6）补充条款。</w:t>
      </w:r>
    </w:p>
    <w:p w14:paraId="173D170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根据本章第2.3款和第2.4款对竞争性磋商文件所作的澄清、修改，构成竞争性磋商文件的组成部分。</w:t>
      </w:r>
    </w:p>
    <w:p w14:paraId="219C4B7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2.2 竞争性磋商文件的获取</w:t>
      </w:r>
    </w:p>
    <w:p w14:paraId="003A2CD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凡有意参加并符合供应商须知前附表“供应商资格条件和能力”的供应商，均可在采购代理机构获取竞争性磋商文件。</w:t>
      </w:r>
    </w:p>
    <w:p w14:paraId="1D35434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2.3 竞争性磋商文件的澄清</w:t>
      </w:r>
    </w:p>
    <w:p w14:paraId="2CBC4CD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68946CE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2.3.2 竞争性磋商文件的澄清将按照供应商须知前附表规定的时间、方式发布，但不指明澄清问题的来源。</w:t>
      </w:r>
    </w:p>
    <w:p w14:paraId="78B2990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2.4竞争性磋商文件的修改</w:t>
      </w:r>
    </w:p>
    <w:p w14:paraId="0D0F489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2.4.1 竞争性磋商文件的修改将按照供应商须知前附表规定的时间、方式发布，但不指明澄清问题的来源。</w:t>
      </w:r>
    </w:p>
    <w:p w14:paraId="437F358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2.4.2 在供应商须知前附表规定的截止时间前，无论出于何种原因，采购代理机构和采购人可主动地或在解答潜在供应商提出的澄清问题时对竞争性磋商文件进行修改。</w:t>
      </w:r>
    </w:p>
    <w:p w14:paraId="743F8EA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2.4.3 竞争性磋商文件的修改部分是竞争性磋商文件的组成部分对供应商具有约束力。</w:t>
      </w:r>
    </w:p>
    <w:p w14:paraId="14A4A64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2.4.4 为使供应商准备投标时有充分时间对竞争性磋商文件的修改部分进行研究，采购人可适当推迟投标截止期。</w:t>
      </w:r>
    </w:p>
    <w:p w14:paraId="030200A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2.4.5 当采购人发放的竞争性磋商文件及竞争性磋商文件的答疑文件、修改文件、补充文件前后不一致，发生矛盾情况时，以最后发出的为准。</w:t>
      </w:r>
    </w:p>
    <w:p w14:paraId="36B92B7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14:paraId="1AB480AA">
      <w:pPr>
        <w:spacing w:line="360" w:lineRule="auto"/>
        <w:ind w:firstLine="482" w:firstLineChars="200"/>
        <w:rPr>
          <w:rFonts w:hint="eastAsia" w:ascii="仿宋" w:hAnsi="仿宋" w:eastAsia="仿宋" w:cs="仿宋"/>
          <w:b/>
          <w:bCs/>
          <w:color w:val="auto"/>
          <w:sz w:val="24"/>
          <w:szCs w:val="28"/>
          <w:highlight w:val="none"/>
        </w:rPr>
      </w:pPr>
      <w:bookmarkStart w:id="8" w:name="_BookMark_6"/>
      <w:bookmarkEnd w:id="8"/>
      <w:r>
        <w:rPr>
          <w:rFonts w:hint="eastAsia" w:ascii="仿宋" w:hAnsi="仿宋" w:eastAsia="仿宋" w:cs="仿宋"/>
          <w:b/>
          <w:bCs/>
          <w:color w:val="auto"/>
          <w:sz w:val="24"/>
          <w:szCs w:val="28"/>
          <w:highlight w:val="none"/>
        </w:rPr>
        <w:t>3．响应文件</w:t>
      </w:r>
    </w:p>
    <w:p w14:paraId="2ED0532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3.1 响应文件的组成</w:t>
      </w:r>
    </w:p>
    <w:p w14:paraId="32A54CF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3.1.1响应文件应包括下列内容：</w:t>
      </w:r>
    </w:p>
    <w:p w14:paraId="0CBA552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（一）、投标函(一)</w:t>
      </w:r>
    </w:p>
    <w:p w14:paraId="7C4D34C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（二）、投标函（二）</w:t>
      </w:r>
    </w:p>
    <w:p w14:paraId="0CC8E33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（三）、商务条款偏离表</w:t>
      </w:r>
    </w:p>
    <w:p w14:paraId="6685BE9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（四）、技术条款偏离表</w:t>
      </w:r>
    </w:p>
    <w:p w14:paraId="0801768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（五）、法定代表人身份证明书</w:t>
      </w:r>
    </w:p>
    <w:p w14:paraId="01FCD2E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（六）、法定代表人授权委托书</w:t>
      </w:r>
    </w:p>
    <w:p w14:paraId="1DEFFA2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（七）、供应商基本情况表</w:t>
      </w:r>
    </w:p>
    <w:p w14:paraId="339B876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（八）、供应商资格条件证明材料</w:t>
      </w:r>
    </w:p>
    <w:p w14:paraId="34EA57A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（九）、供应商近</w:t>
      </w:r>
      <w:r>
        <w:rPr>
          <w:rFonts w:hint="eastAsia" w:ascii="仿宋" w:hAnsi="仿宋" w:eastAsia="仿宋" w:cs="仿宋"/>
          <w:color w:val="auto"/>
          <w:sz w:val="24"/>
          <w:szCs w:val="28"/>
          <w:highlight w:val="none"/>
          <w:lang w:val="en-US" w:eastAsia="zh-CN"/>
        </w:rPr>
        <w:t>三</w:t>
      </w:r>
      <w:r>
        <w:rPr>
          <w:rFonts w:hint="eastAsia" w:ascii="仿宋" w:hAnsi="仿宋" w:eastAsia="仿宋" w:cs="仿宋"/>
          <w:color w:val="auto"/>
          <w:sz w:val="24"/>
          <w:szCs w:val="28"/>
          <w:highlight w:val="none"/>
        </w:rPr>
        <w:t>年类似项目业绩表</w:t>
      </w:r>
    </w:p>
    <w:p w14:paraId="4A6DC3F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（十）、项目负责人简历表</w:t>
      </w:r>
    </w:p>
    <w:p w14:paraId="2203EC6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（十一）、主要项目管理人员表</w:t>
      </w:r>
    </w:p>
    <w:p w14:paraId="4ABEB62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（十二）、其他需要提交的资料</w:t>
      </w:r>
    </w:p>
    <w:p w14:paraId="7D92C31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（十三）、技术标</w:t>
      </w:r>
    </w:p>
    <w:p w14:paraId="11587BE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（十四）、经济标</w:t>
      </w:r>
      <w:r>
        <w:rPr>
          <w:rFonts w:hint="eastAsia" w:ascii="仿宋" w:hAnsi="仿宋" w:eastAsia="仿宋" w:cs="仿宋"/>
          <w:color w:val="auto"/>
          <w:sz w:val="24"/>
          <w:szCs w:val="28"/>
          <w:highlight w:val="none"/>
        </w:rPr>
        <w:tab/>
      </w:r>
    </w:p>
    <w:p w14:paraId="085DC7E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 磋商价格</w:t>
      </w:r>
    </w:p>
    <w:p w14:paraId="58E12CB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3.2.1 供应商应当按第四章“技术标准和要求”的规定进行报价，并填写第五章“响应文件格式”中的磋商价格明细表。</w:t>
      </w:r>
    </w:p>
    <w:p w14:paraId="4FFA6D6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3.2.2本次磋商采用二轮报价法，第二轮报价时长由磋商小组成员根据现场情况设定，供应商必须在规定时间内报价，超时无效；若供应商未进行第二轮报价，视为以第一轮报价为准。</w:t>
      </w:r>
    </w:p>
    <w:p w14:paraId="3612C8B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3.2.3供应商递交的响应文件中的报价为第一轮报价，第一轮报价与第二轮报价超出本项目采购预算金额的视为无效磋商。</w:t>
      </w:r>
    </w:p>
    <w:p w14:paraId="60E5F73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3.2.4供应商提供的服务一律用人民币报价。</w:t>
      </w:r>
    </w:p>
    <w:p w14:paraId="72F9D5E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4E508DC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3.3 响应有效期</w:t>
      </w:r>
    </w:p>
    <w:p w14:paraId="28036FC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3.3.1 在供应商须知前附表规定的响应有效期内，供应商不得要求撤销或修改其响应文件。</w:t>
      </w:r>
    </w:p>
    <w:p w14:paraId="067C4F2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3.3.2 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 </w:t>
      </w:r>
    </w:p>
    <w:p w14:paraId="3E50653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3.3.3 磋商保证金的有效期与响应有效期一致。</w:t>
      </w:r>
    </w:p>
    <w:p w14:paraId="4E4ED0B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 磋商保证金</w:t>
      </w:r>
    </w:p>
    <w:p w14:paraId="19C0072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3.4.1 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14:paraId="2BC3683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3.4.2磋商保证金以支票、汇票、本票或者金融机构、担保机构出具的保函等非现金形式提交至采购代理机构。</w:t>
      </w:r>
    </w:p>
    <w:p w14:paraId="29DE58B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采购代理机构名称：新疆新世纪招标有限公司</w:t>
      </w:r>
    </w:p>
    <w:p w14:paraId="21DEF96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纳税人识别号：91650100726988855F</w:t>
      </w:r>
    </w:p>
    <w:p w14:paraId="085DC7B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开户行：中国农业银行乌鲁木齐新民西街支行</w:t>
      </w:r>
    </w:p>
    <w:p w14:paraId="7B28CB7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账号：30014701040000595</w:t>
      </w:r>
    </w:p>
    <w:p w14:paraId="356C8B2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3.4.3 磋商保证金是为了保护采购人免遭因供应商的行为而蒙受损失。采购人在因供应商的行为受到损害时可根据相关法律规定没收供应商的磋商保证金。</w:t>
      </w:r>
    </w:p>
    <w:p w14:paraId="224770E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3.4.4 采购人或者采购代理机构应当自成交通知书发出之日起5个工作日内退还未成交供应商的磋商保证金，自采购合同签订之日起5个工作日内退还成交供应商的磋商保证金。</w:t>
      </w:r>
    </w:p>
    <w:p w14:paraId="5B8C557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rPr>
        <w:t>磋商保证金有效期与响应有效期一致。</w:t>
      </w:r>
    </w:p>
    <w:p w14:paraId="5BCF6FA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rPr>
        <w:t>有下列情形之一的，磋商保证金不予退还：</w:t>
      </w:r>
    </w:p>
    <w:p w14:paraId="1C602D0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（1）供应商在规定的响应有效期内撤销或修改其响应文件的；</w:t>
      </w:r>
    </w:p>
    <w:p w14:paraId="7A6C4C1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（2）成交供应商在收到成交通知书后，无正当理由拒签合同协议书或在签订合同时提出附加条件或者更改合同实质性内容的；</w:t>
      </w:r>
    </w:p>
    <w:p w14:paraId="27FFDEA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（3）未按竞争性磋商文件规定提交履约保证金的。</w:t>
      </w:r>
    </w:p>
    <w:p w14:paraId="750A4FD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 响应文件的编制</w:t>
      </w:r>
    </w:p>
    <w:p w14:paraId="2CBB29D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3.5.1响应文件应按第五章“响应文件格式”进行编写，如有必要，可以增加附页，作为响应文件的组成部分。</w:t>
      </w:r>
    </w:p>
    <w:p w14:paraId="102D858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3.5.2响应文件应当对竞争性磋商文件有关采购范围、技术与服务要求等实质性内容做出响应。</w:t>
      </w:r>
    </w:p>
    <w:p w14:paraId="5C85A7B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3.5.3电子响应文件使用政采云平台响应文件制作工具以及竞争性磋商文件要求进行制作编制。响应文件制作时，按照竞争性磋商文件中明确的响应文件目录和格式进行编制，保证目录清晰、内容完整。</w:t>
      </w:r>
    </w:p>
    <w:p w14:paraId="1209AE3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3.5.4电子响应文件须使用供应商电子公章及法定代表人的电子签名。若无电子签章和签名，则视为无效响应。</w:t>
      </w:r>
    </w:p>
    <w:p w14:paraId="492E793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3.5.5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14:paraId="1EF42F8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3.5.6未按竞争性磋商文件要求签署和盖章的响应文件，其投标将被认定为投标无效。</w:t>
      </w:r>
    </w:p>
    <w:p w14:paraId="2C5E309F">
      <w:pPr>
        <w:spacing w:line="360" w:lineRule="auto"/>
        <w:ind w:firstLine="480" w:firstLineChars="200"/>
        <w:rPr>
          <w:rFonts w:hint="eastAsia" w:ascii="仿宋" w:hAnsi="仿宋" w:eastAsia="仿宋" w:cs="仿宋"/>
          <w:color w:val="auto"/>
          <w:sz w:val="24"/>
          <w:szCs w:val="28"/>
          <w:highlight w:val="none"/>
        </w:rPr>
      </w:pPr>
      <w:bookmarkStart w:id="9" w:name="_BookMark_7"/>
      <w:bookmarkEnd w:id="9"/>
      <w:r>
        <w:rPr>
          <w:rFonts w:hint="eastAsia" w:ascii="仿宋" w:hAnsi="仿宋" w:eastAsia="仿宋" w:cs="仿宋"/>
          <w:color w:val="auto"/>
          <w:sz w:val="24"/>
          <w:szCs w:val="28"/>
          <w:highlight w:val="none"/>
        </w:rPr>
        <w:t>4．投标</w:t>
      </w:r>
    </w:p>
    <w:p w14:paraId="57EC5BB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6B07FC8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015A61D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4.3响应文件的递交</w:t>
      </w:r>
    </w:p>
    <w:p w14:paraId="6D512E4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4.3.1加密的电子响应文件应在响应文件递交截止时间前通过政采云平台上传完成。逾期上传或者未上传指定地点的响应文件，采购人不予受理。</w:t>
      </w:r>
    </w:p>
    <w:p w14:paraId="237811E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4.3.2采购人事先约定延长响应文件递交截止时间的，采购人与供应商以前的投标截止期方面的全部权利、责任和义务，将适用延长至新的投标截止期。</w:t>
      </w:r>
    </w:p>
    <w:p w14:paraId="6053F99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4.3.3供应商或其响应文件存在下列情形之一的，采购人对其响应文件不予受理：</w:t>
      </w:r>
    </w:p>
    <w:p w14:paraId="2D6C7C6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（1）逾期上传的响应文件；</w:t>
      </w:r>
    </w:p>
    <w:p w14:paraId="09C2369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（2）未按本章第4.2.1款要求加密的响应文件。</w:t>
      </w:r>
    </w:p>
    <w:p w14:paraId="6AC9E976">
      <w:pPr>
        <w:spacing w:line="360" w:lineRule="auto"/>
        <w:ind w:firstLine="480" w:firstLineChars="200"/>
        <w:rPr>
          <w:rFonts w:hint="eastAsia" w:ascii="仿宋" w:hAnsi="仿宋" w:eastAsia="仿宋" w:cs="仿宋"/>
          <w:color w:val="auto"/>
          <w:sz w:val="24"/>
          <w:szCs w:val="28"/>
          <w:highlight w:val="none"/>
        </w:rPr>
      </w:pPr>
      <w:bookmarkStart w:id="10" w:name="_BookMark_8"/>
      <w:bookmarkEnd w:id="10"/>
      <w:r>
        <w:rPr>
          <w:rFonts w:hint="eastAsia" w:ascii="仿宋" w:hAnsi="仿宋" w:eastAsia="仿宋" w:cs="仿宋"/>
          <w:color w:val="auto"/>
          <w:sz w:val="24"/>
          <w:szCs w:val="28"/>
          <w:highlight w:val="none"/>
        </w:rPr>
        <w:t>4.4响应文件的修改与撤回</w:t>
      </w:r>
    </w:p>
    <w:p w14:paraId="1437FEE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4.4.1供应商应在投标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79FAA26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4.5响应文件格式</w:t>
      </w:r>
    </w:p>
    <w:p w14:paraId="0435456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4.5.1响应文件格式见第五章。</w:t>
      </w:r>
    </w:p>
    <w:p w14:paraId="07AC3F9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4.5.2供应商应使用本竞争性磋商文件后面提供的响应文件格式填写，如不够用时，供应商可按同样格式自行编制和填补，如果本竞争性磋商文件未提供格式的，供应商可自行编制。</w:t>
      </w:r>
    </w:p>
    <w:p w14:paraId="7660172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5．开标</w:t>
      </w:r>
    </w:p>
    <w:p w14:paraId="25DE9A21">
      <w:pPr>
        <w:spacing w:line="360" w:lineRule="auto"/>
        <w:ind w:firstLine="480" w:firstLineChars="200"/>
        <w:rPr>
          <w:rFonts w:hint="eastAsia" w:ascii="仿宋" w:hAnsi="仿宋" w:eastAsia="仿宋" w:cs="仿宋"/>
          <w:color w:val="auto"/>
          <w:sz w:val="24"/>
          <w:szCs w:val="28"/>
          <w:highlight w:val="none"/>
        </w:rPr>
      </w:pPr>
      <w:bookmarkStart w:id="11" w:name="_BookMark_9"/>
      <w:bookmarkEnd w:id="11"/>
      <w:r>
        <w:rPr>
          <w:rFonts w:hint="eastAsia" w:ascii="仿宋" w:hAnsi="仿宋" w:eastAsia="仿宋" w:cs="仿宋"/>
          <w:color w:val="auto"/>
          <w:sz w:val="24"/>
          <w:szCs w:val="28"/>
          <w:highlight w:val="none"/>
        </w:rPr>
        <w:t>5.1开标时间和地点</w:t>
      </w:r>
    </w:p>
    <w:p w14:paraId="2B0C031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采购人在供应商须知前附表规定的时间、地点公开开标，并邀请所有供应商的法定代表人或其授权委托人参加。</w:t>
      </w:r>
    </w:p>
    <w:p w14:paraId="5191D13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5.2开标时，各供应商应对本单位的加密的电子响应文件现场解密，采购代理机构工作人员在监督人员或公证人员监督下解密所有响应文件。</w:t>
      </w:r>
    </w:p>
    <w:p w14:paraId="49C4173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5.3根据政府采购法及有关政策规定，不能公开供应商的技术资料、价格和其他信息，因此本项目不予唱标。</w:t>
      </w:r>
    </w:p>
    <w:p w14:paraId="048B0F0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6．评审</w:t>
      </w:r>
    </w:p>
    <w:p w14:paraId="5895717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6.1 磋商小组</w:t>
      </w:r>
    </w:p>
    <w:p w14:paraId="7D528E5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C4F894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6.2 评审原则 </w:t>
      </w:r>
    </w:p>
    <w:p w14:paraId="32A8C12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评审活动遵循公平、公正、科学和择优的原则。</w:t>
      </w:r>
    </w:p>
    <w:p w14:paraId="11E9668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6.3 评审</w:t>
      </w:r>
    </w:p>
    <w:p w14:paraId="578E9B9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磋商小组按照竞争性磋商文件中规定的方法、评审因素、标准和程序对响应文件进行评审。</w:t>
      </w:r>
    </w:p>
    <w:p w14:paraId="2AC81DA1">
      <w:pPr>
        <w:spacing w:line="360" w:lineRule="auto"/>
        <w:ind w:firstLine="480" w:firstLineChars="200"/>
        <w:rPr>
          <w:rFonts w:hint="eastAsia" w:ascii="仿宋" w:hAnsi="仿宋" w:eastAsia="仿宋" w:cs="仿宋"/>
          <w:color w:val="auto"/>
          <w:sz w:val="24"/>
          <w:szCs w:val="28"/>
          <w:highlight w:val="none"/>
        </w:rPr>
      </w:pPr>
      <w:bookmarkStart w:id="12" w:name="_BookMark_10"/>
      <w:bookmarkEnd w:id="12"/>
      <w:bookmarkStart w:id="13" w:name="_Toc113902767"/>
      <w:r>
        <w:rPr>
          <w:rFonts w:hint="eastAsia" w:ascii="仿宋" w:hAnsi="仿宋" w:eastAsia="仿宋" w:cs="仿宋"/>
          <w:color w:val="auto"/>
          <w:sz w:val="24"/>
          <w:szCs w:val="28"/>
          <w:highlight w:val="none"/>
        </w:rPr>
        <w:t>7．定标及合同授予</w:t>
      </w:r>
      <w:bookmarkEnd w:id="13"/>
    </w:p>
    <w:p w14:paraId="2FFF555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7.1 定标方法</w:t>
      </w:r>
    </w:p>
    <w:p w14:paraId="293D00D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7.1.1 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14:paraId="01B9891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7.1.2 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14:paraId="7E4DBD4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7.2成交结果公告</w:t>
      </w:r>
    </w:p>
    <w:p w14:paraId="49FEA4E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在公告成交结果的同时，采购人或者采购代理机构向成交供应商发出成交通知书；对未通过资格审查的供应商，应当告知其未通过的原因。</w:t>
      </w:r>
    </w:p>
    <w:p w14:paraId="46F04F3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7.3履约保证金</w:t>
      </w:r>
    </w:p>
    <w:p w14:paraId="4D99424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7.3.1 在签订合同前，成交供应商应按供应商须知前附表规定的金额、形式向采购人提交履约保证金。联合体成交的，其履约保证金由牵头人提交，并应符合供应商须知前附表的规定。</w:t>
      </w:r>
    </w:p>
    <w:p w14:paraId="1211EE1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7.3.2 成交供应商不能按本章第7.4.1款要求提交履约保证金的，视为放弃成交，其磋商保证金不予退还；给采购人造成的损失超过磋商保证金数额的，成交供应商还应当对超过部分予以赔偿。</w:t>
      </w:r>
    </w:p>
    <w:p w14:paraId="18BBE7F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7.4 签订合同</w:t>
      </w:r>
    </w:p>
    <w:p w14:paraId="5680A8B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7.4.1采购人应当自成交通知书发出之日起30日内，按照竞争性磋商文件和成交供应商响应文件的规定，与成交供应商签订书面合同。</w:t>
      </w:r>
    </w:p>
    <w:p w14:paraId="5ED3F5E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7.4.2发出成交通知书后，采购人无正当理由拒签合同的，给成交供应商造成损失的，还应当赔偿成交供应商损失。</w:t>
      </w:r>
    </w:p>
    <w:p w14:paraId="2165B05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7.4.3发出成交通知书后，成交供应商无正当理由拒签合同的，采购人取消其成交资格，其磋商保证金不予退还；给采购人造成的损失超过磋商保证金数额的，成交供应商还应当对超过部分予以赔偿。</w:t>
      </w:r>
    </w:p>
    <w:p w14:paraId="52F5F8B9">
      <w:pPr>
        <w:spacing w:line="360" w:lineRule="auto"/>
        <w:ind w:firstLine="480" w:firstLineChars="200"/>
        <w:rPr>
          <w:rFonts w:hint="eastAsia" w:ascii="仿宋" w:hAnsi="仿宋" w:eastAsia="仿宋" w:cs="仿宋"/>
          <w:color w:val="auto"/>
          <w:sz w:val="24"/>
          <w:szCs w:val="28"/>
          <w:highlight w:val="none"/>
        </w:rPr>
      </w:pPr>
      <w:bookmarkStart w:id="14" w:name="_BookMark_11"/>
      <w:bookmarkEnd w:id="14"/>
      <w:r>
        <w:rPr>
          <w:rFonts w:hint="eastAsia" w:ascii="仿宋" w:hAnsi="仿宋" w:eastAsia="仿宋" w:cs="仿宋"/>
          <w:color w:val="auto"/>
          <w:sz w:val="24"/>
          <w:szCs w:val="28"/>
          <w:highlight w:val="none"/>
        </w:rPr>
        <w:t>8．纪律和监督</w:t>
      </w:r>
    </w:p>
    <w:p w14:paraId="2DB484E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8.1 对采购人的纪律要求</w:t>
      </w:r>
    </w:p>
    <w:p w14:paraId="702F2D6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采购人不得泄漏招标投标活动中应当保密的情况和资料，不得与供应商串通损害国家利益、社会公共利益或者他人合法权益。</w:t>
      </w:r>
    </w:p>
    <w:p w14:paraId="6BAB5CB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8.2 对供应商的纪律要求</w:t>
      </w:r>
    </w:p>
    <w:p w14:paraId="54B394A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供应商不得相互串通投标或者与采购人串通投标，不得向采购人或者磋商小组成员行贿谋取成交，不得以他人名义投标或者以其他方式弄虚作假骗取成交；供应商不得以任何方式干扰、影响评审工作。</w:t>
      </w:r>
    </w:p>
    <w:p w14:paraId="4B2365D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8.3 对磋商小组成员的纪律要求</w:t>
      </w:r>
    </w:p>
    <w:p w14:paraId="6408BD7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54E92D0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8.4 对与评审活动有关的工作人员的纪律要求</w:t>
      </w:r>
    </w:p>
    <w:p w14:paraId="675E7AF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254D5A7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8.5 监督</w:t>
      </w:r>
    </w:p>
    <w:p w14:paraId="000539F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本项目的招标投标活动及其相关当事人应当接受有管辖权的监督部门依法实施的监督。</w:t>
      </w:r>
      <w:bookmarkStart w:id="15" w:name="_BookMark_12"/>
      <w:bookmarkEnd w:id="15"/>
    </w:p>
    <w:p w14:paraId="332265F2">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br w:type="page"/>
      </w:r>
      <w:bookmarkStart w:id="16" w:name="_Toc26598"/>
      <w:r>
        <w:rPr>
          <w:rFonts w:hint="eastAsia" w:ascii="仿宋" w:hAnsi="仿宋" w:eastAsia="仿宋" w:cs="仿宋"/>
          <w:b/>
          <w:color w:val="auto"/>
          <w:sz w:val="24"/>
          <w:szCs w:val="24"/>
          <w:highlight w:val="none"/>
          <w:shd w:val="clear" w:color="auto" w:fill="FFFFFF" w:themeFill="background1"/>
        </w:rPr>
        <w:t>第二章 评审办法</w:t>
      </w:r>
      <w:bookmarkEnd w:id="16"/>
    </w:p>
    <w:p w14:paraId="64C27763">
      <w:pPr>
        <w:tabs>
          <w:tab w:val="center" w:pos="4832"/>
          <w:tab w:val="left" w:pos="7140"/>
        </w:tabs>
        <w:spacing w:line="360" w:lineRule="auto"/>
        <w:jc w:val="center"/>
        <w:outlineLvl w:val="2"/>
        <w:rPr>
          <w:rFonts w:hint="eastAsia" w:ascii="仿宋" w:hAnsi="仿宋" w:eastAsia="仿宋" w:cs="仿宋"/>
          <w:b/>
          <w:color w:val="auto"/>
          <w:sz w:val="24"/>
          <w:szCs w:val="24"/>
          <w:highlight w:val="none"/>
          <w:shd w:val="clear" w:color="auto" w:fill="FFFFFF" w:themeFill="background1"/>
        </w:rPr>
      </w:pPr>
      <w:bookmarkStart w:id="17" w:name="_BookMark_1"/>
      <w:bookmarkEnd w:id="17"/>
      <w:bookmarkStart w:id="18" w:name="_Toc31946"/>
      <w:r>
        <w:rPr>
          <w:rFonts w:hint="eastAsia" w:ascii="仿宋" w:hAnsi="仿宋" w:eastAsia="仿宋" w:cs="仿宋"/>
          <w:b/>
          <w:color w:val="auto"/>
          <w:sz w:val="24"/>
          <w:szCs w:val="24"/>
          <w:highlight w:val="none"/>
          <w:shd w:val="clear" w:color="auto" w:fill="FFFFFF" w:themeFill="background1"/>
        </w:rPr>
        <w:t>评审办法前附表</w:t>
      </w:r>
      <w:bookmarkEnd w:id="18"/>
    </w:p>
    <w:tbl>
      <w:tblPr>
        <w:tblStyle w:val="38"/>
        <w:tblW w:w="9126" w:type="dxa"/>
        <w:jc w:val="center"/>
        <w:tblLayout w:type="fixed"/>
        <w:tblCellMar>
          <w:top w:w="0" w:type="dxa"/>
          <w:left w:w="0" w:type="dxa"/>
          <w:bottom w:w="0" w:type="dxa"/>
          <w:right w:w="0" w:type="dxa"/>
        </w:tblCellMar>
      </w:tblPr>
      <w:tblGrid>
        <w:gridCol w:w="611"/>
        <w:gridCol w:w="2771"/>
        <w:gridCol w:w="5744"/>
      </w:tblGrid>
      <w:tr w14:paraId="5B9ABCE1">
        <w:tblPrEx>
          <w:tblCellMar>
            <w:top w:w="0" w:type="dxa"/>
            <w:left w:w="0" w:type="dxa"/>
            <w:bottom w:w="0" w:type="dxa"/>
            <w:right w:w="0" w:type="dxa"/>
          </w:tblCellMar>
        </w:tblPrEx>
        <w:trPr>
          <w:cantSplit/>
          <w:trHeight w:val="47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7DE04A2">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序号</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10E79103">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条款内容</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098B02F6">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编列内容</w:t>
            </w:r>
          </w:p>
        </w:tc>
      </w:tr>
      <w:tr w14:paraId="20966AFA">
        <w:tblPrEx>
          <w:tblCellMar>
            <w:top w:w="0" w:type="dxa"/>
            <w:left w:w="0" w:type="dxa"/>
            <w:bottom w:w="0" w:type="dxa"/>
            <w:right w:w="0" w:type="dxa"/>
          </w:tblCellMar>
        </w:tblPrEx>
        <w:trPr>
          <w:cantSplit/>
          <w:trHeight w:val="567"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C27B5D9">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1</w:t>
            </w:r>
          </w:p>
        </w:tc>
        <w:tc>
          <w:tcPr>
            <w:tcW w:w="2771"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14:paraId="482BF103">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分值构成及权重</w:t>
            </w:r>
          </w:p>
          <w:p w14:paraId="2DA8F9E3">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(总分100分)</w:t>
            </w:r>
          </w:p>
        </w:tc>
        <w:tc>
          <w:tcPr>
            <w:tcW w:w="5744"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14:paraId="68D4D361">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1.详细评审部分</w:t>
            </w:r>
            <w:r>
              <w:rPr>
                <w:rFonts w:hint="eastAsia" w:ascii="仿宋" w:hAnsi="仿宋" w:eastAsia="仿宋" w:cs="仿宋"/>
                <w:color w:val="auto"/>
                <w:sz w:val="21"/>
                <w:szCs w:val="21"/>
                <w:highlight w:val="none"/>
                <w:shd w:val="clear" w:color="auto" w:fill="FFFFFF" w:themeFill="background1"/>
                <w:lang w:val="en-US" w:eastAsia="zh-CN"/>
              </w:rPr>
              <w:t>7</w:t>
            </w:r>
            <w:r>
              <w:rPr>
                <w:rFonts w:hint="eastAsia" w:ascii="仿宋" w:hAnsi="仿宋" w:eastAsia="仿宋" w:cs="仿宋"/>
                <w:color w:val="auto"/>
                <w:sz w:val="21"/>
                <w:szCs w:val="21"/>
                <w:highlight w:val="none"/>
                <w:shd w:val="clear" w:color="auto" w:fill="FFFFFF" w:themeFill="background1"/>
              </w:rPr>
              <w:t>0分</w:t>
            </w:r>
          </w:p>
          <w:p w14:paraId="57347155">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2.磋商报价</w:t>
            </w:r>
            <w:r>
              <w:rPr>
                <w:rFonts w:hint="eastAsia" w:ascii="仿宋" w:hAnsi="仿宋" w:eastAsia="仿宋" w:cs="仿宋"/>
                <w:color w:val="auto"/>
                <w:sz w:val="21"/>
                <w:szCs w:val="21"/>
                <w:highlight w:val="none"/>
                <w:shd w:val="clear" w:color="auto" w:fill="FFFFFF" w:themeFill="background1"/>
                <w:lang w:val="en-US" w:eastAsia="zh-CN"/>
              </w:rPr>
              <w:t>3</w:t>
            </w:r>
            <w:r>
              <w:rPr>
                <w:rFonts w:hint="eastAsia" w:ascii="仿宋" w:hAnsi="仿宋" w:eastAsia="仿宋" w:cs="仿宋"/>
                <w:color w:val="auto"/>
                <w:sz w:val="21"/>
                <w:szCs w:val="21"/>
                <w:highlight w:val="none"/>
                <w:shd w:val="clear" w:color="auto" w:fill="FFFFFF" w:themeFill="background1"/>
              </w:rPr>
              <w:t>0分</w:t>
            </w:r>
          </w:p>
        </w:tc>
      </w:tr>
      <w:tr w14:paraId="3161A1D8">
        <w:tblPrEx>
          <w:tblCellMar>
            <w:top w:w="0" w:type="dxa"/>
            <w:left w:w="0" w:type="dxa"/>
            <w:bottom w:w="0" w:type="dxa"/>
            <w:right w:w="0" w:type="dxa"/>
          </w:tblCellMar>
        </w:tblPrEx>
        <w:trPr>
          <w:cantSplit/>
          <w:trHeight w:val="405"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AB2E787">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2</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8E866BE">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资格审查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3AFCBE1">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详见《资格审查标准》</w:t>
            </w:r>
          </w:p>
        </w:tc>
      </w:tr>
      <w:tr w14:paraId="45FFD3F2">
        <w:tblPrEx>
          <w:tblCellMar>
            <w:top w:w="0" w:type="dxa"/>
            <w:left w:w="0" w:type="dxa"/>
            <w:bottom w:w="0" w:type="dxa"/>
            <w:right w:w="0" w:type="dxa"/>
          </w:tblCellMar>
        </w:tblPrEx>
        <w:trPr>
          <w:cantSplit/>
          <w:trHeight w:val="41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04032035">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3</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4CAF968">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完备性及符合性审查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09A3017">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详见《完备性及符合性审查标准》</w:t>
            </w:r>
          </w:p>
        </w:tc>
      </w:tr>
      <w:tr w14:paraId="11552086">
        <w:tblPrEx>
          <w:tblCellMar>
            <w:top w:w="0" w:type="dxa"/>
            <w:left w:w="0" w:type="dxa"/>
            <w:bottom w:w="0" w:type="dxa"/>
            <w:right w:w="0" w:type="dxa"/>
          </w:tblCellMar>
        </w:tblPrEx>
        <w:trPr>
          <w:cantSplit/>
          <w:trHeight w:val="402" w:hRule="atLeast"/>
          <w:jc w:val="center"/>
        </w:trPr>
        <w:tc>
          <w:tcPr>
            <w:tcW w:w="61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3450134C">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4</w:t>
            </w:r>
          </w:p>
        </w:tc>
        <w:tc>
          <w:tcPr>
            <w:tcW w:w="277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2B602757">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详细评审</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18098EC">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详见《详细评审标准》及本节第3.6款</w:t>
            </w:r>
          </w:p>
        </w:tc>
      </w:tr>
      <w:tr w14:paraId="5D242671">
        <w:tblPrEx>
          <w:tblCellMar>
            <w:top w:w="0" w:type="dxa"/>
            <w:left w:w="0" w:type="dxa"/>
            <w:bottom w:w="0" w:type="dxa"/>
            <w:right w:w="0" w:type="dxa"/>
          </w:tblCellMar>
        </w:tblPrEx>
        <w:trPr>
          <w:cantSplit/>
          <w:trHeight w:val="3082" w:hRule="atLeast"/>
          <w:jc w:val="center"/>
        </w:trPr>
        <w:tc>
          <w:tcPr>
            <w:tcW w:w="61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7FEF2738">
            <w:pPr>
              <w:spacing w:line="360" w:lineRule="auto"/>
              <w:jc w:val="center"/>
              <w:rPr>
                <w:rFonts w:hint="eastAsia" w:ascii="仿宋" w:hAnsi="仿宋" w:eastAsia="仿宋" w:cs="仿宋"/>
                <w:color w:val="auto"/>
                <w:sz w:val="21"/>
                <w:szCs w:val="21"/>
                <w:highlight w:val="none"/>
                <w:shd w:val="clear" w:color="auto" w:fill="FFFFFF" w:themeFill="background1"/>
              </w:rPr>
            </w:pPr>
          </w:p>
        </w:tc>
        <w:tc>
          <w:tcPr>
            <w:tcW w:w="277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6F46C8E6">
            <w:pPr>
              <w:spacing w:line="360" w:lineRule="auto"/>
              <w:jc w:val="center"/>
              <w:rPr>
                <w:rFonts w:hint="eastAsia" w:ascii="仿宋" w:hAnsi="仿宋" w:eastAsia="仿宋" w:cs="仿宋"/>
                <w:color w:val="auto"/>
                <w:sz w:val="21"/>
                <w:szCs w:val="21"/>
                <w:highlight w:val="none"/>
                <w:shd w:val="clear" w:color="auto" w:fill="FFFFFF" w:themeFill="background1"/>
              </w:rPr>
            </w:pP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3F15103">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磋商报价得分计算方法：</w:t>
            </w:r>
          </w:p>
          <w:p w14:paraId="5BB1DEF7">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1.磋商报价的确定</w:t>
            </w:r>
          </w:p>
          <w:p w14:paraId="5B57BDE8">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磋商报价是指经评审的且不超过采购预算金额的磋商价格</w:t>
            </w:r>
          </w:p>
          <w:p w14:paraId="7B6AE51D">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2.磋商基准价的确定</w:t>
            </w:r>
          </w:p>
          <w:p w14:paraId="590A4145">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满足竞争性磋商文件要求且最后磋商报价最低的供应商的价格为磋商基准价</w:t>
            </w:r>
          </w:p>
          <w:p w14:paraId="14BBC676">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3.磋商报价得分=(磋商基准价／磋商报价)×</w:t>
            </w:r>
            <w:r>
              <w:rPr>
                <w:rFonts w:hint="eastAsia" w:ascii="仿宋" w:hAnsi="仿宋" w:eastAsia="仿宋" w:cs="仿宋"/>
                <w:color w:val="auto"/>
                <w:sz w:val="21"/>
                <w:szCs w:val="21"/>
                <w:highlight w:val="none"/>
                <w:shd w:val="clear" w:color="auto" w:fill="FFFFFF" w:themeFill="background1"/>
                <w:lang w:val="en-US" w:eastAsia="zh-CN"/>
              </w:rPr>
              <w:t>3</w:t>
            </w:r>
            <w:r>
              <w:rPr>
                <w:rFonts w:hint="eastAsia" w:ascii="仿宋" w:hAnsi="仿宋" w:eastAsia="仿宋" w:cs="仿宋"/>
                <w:color w:val="auto"/>
                <w:sz w:val="21"/>
                <w:szCs w:val="21"/>
                <w:highlight w:val="none"/>
                <w:shd w:val="clear" w:color="auto" w:fill="FFFFFF" w:themeFill="background1"/>
              </w:rPr>
              <w:t>0</w:t>
            </w:r>
          </w:p>
          <w:p w14:paraId="28AD2906">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4.评分分值计算保留小数点后两位，小数点后三位“四舍五入”。</w:t>
            </w:r>
          </w:p>
        </w:tc>
      </w:tr>
    </w:tbl>
    <w:p w14:paraId="4754287C">
      <w:pPr>
        <w:widowControl/>
        <w:shd w:val="clear" w:color="auto" w:fill="FFFFFF"/>
        <w:snapToGrid w:val="0"/>
        <w:spacing w:line="360" w:lineRule="auto"/>
        <w:jc w:val="center"/>
        <w:rPr>
          <w:rFonts w:hint="eastAsia" w:ascii="仿宋" w:hAnsi="仿宋" w:eastAsia="仿宋" w:cs="仿宋"/>
          <w:b/>
          <w:color w:val="auto"/>
          <w:kern w:val="0"/>
          <w:sz w:val="24"/>
          <w:szCs w:val="24"/>
          <w:highlight w:val="none"/>
          <w:shd w:val="clear" w:color="auto" w:fill="FFFFFF" w:themeFill="background1"/>
        </w:rPr>
      </w:pPr>
      <w:bookmarkStart w:id="19" w:name="_Toc501719166"/>
    </w:p>
    <w:p w14:paraId="36872725">
      <w:pPr>
        <w:widowControl/>
        <w:shd w:val="clear" w:color="auto" w:fill="FFFFFF"/>
        <w:snapToGrid w:val="0"/>
        <w:spacing w:line="360" w:lineRule="auto"/>
        <w:jc w:val="center"/>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《资格审查标准》</w:t>
      </w:r>
      <w:bookmarkEnd w:id="19"/>
    </w:p>
    <w:tbl>
      <w:tblPr>
        <w:tblStyle w:val="38"/>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4"/>
        <w:gridCol w:w="3555"/>
        <w:gridCol w:w="4972"/>
      </w:tblGrid>
      <w:tr w14:paraId="0525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7" w:type="pct"/>
            <w:noWrap w:val="0"/>
            <w:vAlign w:val="center"/>
          </w:tcPr>
          <w:p w14:paraId="491F31CC">
            <w:pPr>
              <w:widowControl/>
              <w:shd w:val="clear" w:color="auto" w:fill="FFFFFF"/>
              <w:snapToGrid w:val="0"/>
              <w:spacing w:line="360" w:lineRule="auto"/>
              <w:jc w:val="center"/>
              <w:rPr>
                <w:rFonts w:hint="eastAsia" w:ascii="仿宋" w:hAnsi="仿宋" w:eastAsia="仿宋" w:cs="仿宋"/>
                <w:color w:val="auto"/>
                <w:kern w:val="0"/>
                <w:sz w:val="21"/>
                <w:szCs w:val="21"/>
                <w:highlight w:val="none"/>
              </w:rPr>
            </w:pPr>
            <w:bookmarkStart w:id="20" w:name="_Toc501719167"/>
            <w:r>
              <w:rPr>
                <w:rFonts w:hint="eastAsia" w:ascii="仿宋" w:hAnsi="仿宋" w:eastAsia="仿宋" w:cs="仿宋"/>
                <w:color w:val="auto"/>
                <w:kern w:val="0"/>
                <w:sz w:val="21"/>
                <w:szCs w:val="21"/>
                <w:highlight w:val="none"/>
              </w:rPr>
              <w:t>序号</w:t>
            </w:r>
          </w:p>
        </w:tc>
        <w:tc>
          <w:tcPr>
            <w:tcW w:w="1986" w:type="pct"/>
            <w:noWrap w:val="0"/>
            <w:vAlign w:val="center"/>
          </w:tcPr>
          <w:p w14:paraId="2734FD3D">
            <w:pPr>
              <w:widowControl/>
              <w:shd w:val="clear" w:color="auto" w:fill="FFFFFF"/>
              <w:snapToGrid w:val="0"/>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审查要求</w:t>
            </w:r>
          </w:p>
        </w:tc>
        <w:tc>
          <w:tcPr>
            <w:tcW w:w="2776" w:type="pct"/>
            <w:noWrap w:val="0"/>
            <w:vAlign w:val="center"/>
          </w:tcPr>
          <w:p w14:paraId="70CA8686">
            <w:pPr>
              <w:widowControl/>
              <w:shd w:val="clear" w:color="auto" w:fill="FFFFFF"/>
              <w:snapToGrid w:val="0"/>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要求说明</w:t>
            </w:r>
          </w:p>
        </w:tc>
      </w:tr>
      <w:tr w14:paraId="1E8A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7" w:type="pct"/>
            <w:noWrap w:val="0"/>
            <w:vAlign w:val="center"/>
          </w:tcPr>
          <w:p w14:paraId="325B243A">
            <w:pPr>
              <w:widowControl/>
              <w:shd w:val="clear" w:color="auto" w:fill="FFFFFF"/>
              <w:snapToGrid w:val="0"/>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986" w:type="pct"/>
            <w:noWrap w:val="0"/>
            <w:vAlign w:val="center"/>
          </w:tcPr>
          <w:p w14:paraId="5E68FF43">
            <w:pPr>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供应商须满足《中华人民共和国政府采购法》第二十二条规定。</w:t>
            </w:r>
          </w:p>
        </w:tc>
        <w:tc>
          <w:tcPr>
            <w:tcW w:w="2776" w:type="pct"/>
            <w:noWrap w:val="0"/>
            <w:vAlign w:val="center"/>
          </w:tcPr>
          <w:p w14:paraId="7F0B1C73">
            <w:pPr>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shd w:val="clear" w:color="auto" w:fill="FFFFFF"/>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3739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7" w:type="pct"/>
            <w:shd w:val="clear" w:color="auto" w:fill="auto"/>
            <w:noWrap w:val="0"/>
            <w:vAlign w:val="center"/>
          </w:tcPr>
          <w:p w14:paraId="44BC933D">
            <w:pPr>
              <w:widowControl/>
              <w:shd w:val="clear" w:color="auto" w:fill="FFFFFF"/>
              <w:snapToGrid w:val="0"/>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2</w:t>
            </w:r>
          </w:p>
        </w:tc>
        <w:tc>
          <w:tcPr>
            <w:tcW w:w="3552" w:type="dxa"/>
            <w:noWrap w:val="0"/>
            <w:vAlign w:val="center"/>
          </w:tcPr>
          <w:p w14:paraId="57E27AAD">
            <w:pPr>
              <w:spacing w:line="360" w:lineRule="auto"/>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本项目专门面向中小企业。</w:t>
            </w:r>
          </w:p>
        </w:tc>
        <w:tc>
          <w:tcPr>
            <w:tcW w:w="4965" w:type="dxa"/>
            <w:noWrap w:val="0"/>
            <w:vAlign w:val="center"/>
          </w:tcPr>
          <w:p w14:paraId="5E630596">
            <w:pPr>
              <w:spacing w:line="360" w:lineRule="auto"/>
              <w:jc w:val="left"/>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kern w:val="0"/>
                <w:sz w:val="21"/>
                <w:szCs w:val="21"/>
                <w:highlight w:val="none"/>
              </w:rPr>
              <w:t>本项目专门面向中小企业采购，供应商为中小企业或残疾人福利性单位的须提供声明函，为监狱企业的须提供由省级以上监狱管理局、戒毒管理局（含新疆生产建设兵团）出具的属于监狱企业的证明文件。</w:t>
            </w:r>
          </w:p>
        </w:tc>
      </w:tr>
      <w:tr w14:paraId="6D7B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7" w:type="pct"/>
            <w:shd w:val="clear" w:color="auto" w:fill="auto"/>
            <w:noWrap w:val="0"/>
            <w:vAlign w:val="center"/>
          </w:tcPr>
          <w:p w14:paraId="10FB19CC">
            <w:pPr>
              <w:widowControl/>
              <w:shd w:val="clear" w:color="auto" w:fill="FFFFFF"/>
              <w:snapToGrid w:val="0"/>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3</w:t>
            </w:r>
          </w:p>
        </w:tc>
        <w:tc>
          <w:tcPr>
            <w:tcW w:w="1986" w:type="pct"/>
            <w:noWrap w:val="0"/>
            <w:vAlign w:val="center"/>
          </w:tcPr>
          <w:p w14:paraId="49646792">
            <w:pPr>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供应商须具备有效的资质证书：建筑机电安装工程专业承包三级及以上资质</w:t>
            </w:r>
            <w:r>
              <w:rPr>
                <w:rFonts w:hint="eastAsia" w:ascii="仿宋" w:hAnsi="仿宋" w:eastAsia="仿宋" w:cs="仿宋"/>
                <w:color w:val="auto"/>
                <w:kern w:val="0"/>
                <w:sz w:val="21"/>
                <w:szCs w:val="21"/>
                <w:highlight w:val="none"/>
                <w:lang w:val="en-US" w:eastAsia="zh-CN"/>
              </w:rPr>
              <w:t>；</w:t>
            </w:r>
          </w:p>
        </w:tc>
        <w:tc>
          <w:tcPr>
            <w:tcW w:w="2776" w:type="pct"/>
            <w:noWrap w:val="0"/>
            <w:vAlign w:val="center"/>
          </w:tcPr>
          <w:p w14:paraId="00D46D72">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提供证书扫描件；</w:t>
            </w:r>
          </w:p>
        </w:tc>
      </w:tr>
      <w:tr w14:paraId="0D77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7" w:type="pct"/>
            <w:shd w:val="clear" w:color="auto" w:fill="auto"/>
            <w:noWrap w:val="0"/>
            <w:vAlign w:val="center"/>
          </w:tcPr>
          <w:p w14:paraId="4EB18F17">
            <w:pPr>
              <w:widowControl/>
              <w:shd w:val="clear" w:color="auto" w:fill="FFFFFF"/>
              <w:snapToGrid w:val="0"/>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4</w:t>
            </w:r>
          </w:p>
        </w:tc>
        <w:tc>
          <w:tcPr>
            <w:tcW w:w="1986" w:type="pct"/>
            <w:shd w:val="clear" w:color="auto" w:fill="auto"/>
            <w:noWrap w:val="0"/>
            <w:vAlign w:val="center"/>
          </w:tcPr>
          <w:p w14:paraId="08F2FE6B">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rPr>
              <w:t>供应商须具备有效的安全生产许可证；</w:t>
            </w:r>
          </w:p>
        </w:tc>
        <w:tc>
          <w:tcPr>
            <w:tcW w:w="2776" w:type="pct"/>
            <w:shd w:val="clear" w:color="auto" w:fill="auto"/>
            <w:noWrap w:val="0"/>
            <w:vAlign w:val="center"/>
          </w:tcPr>
          <w:p w14:paraId="26597C7C">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提供证书扫描件；</w:t>
            </w:r>
          </w:p>
        </w:tc>
      </w:tr>
      <w:tr w14:paraId="2846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7" w:type="pct"/>
            <w:shd w:val="clear" w:color="auto" w:fill="auto"/>
            <w:noWrap w:val="0"/>
            <w:vAlign w:val="center"/>
          </w:tcPr>
          <w:p w14:paraId="13630094">
            <w:pPr>
              <w:widowControl/>
              <w:shd w:val="clear" w:color="auto" w:fill="FFFFFF"/>
              <w:snapToGrid w:val="0"/>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5</w:t>
            </w:r>
          </w:p>
        </w:tc>
        <w:tc>
          <w:tcPr>
            <w:tcW w:w="1986" w:type="pct"/>
            <w:shd w:val="clear" w:color="auto" w:fill="auto"/>
            <w:noWrap w:val="0"/>
            <w:vAlign w:val="center"/>
          </w:tcPr>
          <w:p w14:paraId="4901447D">
            <w:pPr>
              <w:spacing w:line="36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项目负责人要求：</w:t>
            </w:r>
            <w:r>
              <w:rPr>
                <w:rFonts w:hint="eastAsia" w:ascii="仿宋" w:hAnsi="仿宋" w:eastAsia="仿宋" w:cs="仿宋"/>
                <w:color w:val="auto"/>
                <w:sz w:val="21"/>
                <w:szCs w:val="21"/>
                <w:highlight w:val="none"/>
                <w:lang w:eastAsia="zh-CN"/>
              </w:rPr>
              <w:t>注册建造师二级（机电工程）及以上</w:t>
            </w:r>
            <w:r>
              <w:rPr>
                <w:rFonts w:hint="eastAsia" w:ascii="仿宋" w:hAnsi="仿宋" w:eastAsia="仿宋" w:cs="仿宋"/>
                <w:color w:val="auto"/>
                <w:sz w:val="21"/>
                <w:szCs w:val="21"/>
                <w:highlight w:val="none"/>
              </w:rPr>
              <w:t>；</w:t>
            </w:r>
          </w:p>
        </w:tc>
        <w:tc>
          <w:tcPr>
            <w:tcW w:w="2776" w:type="pct"/>
            <w:shd w:val="clear" w:color="auto" w:fill="auto"/>
            <w:noWrap w:val="0"/>
            <w:vAlign w:val="center"/>
          </w:tcPr>
          <w:p w14:paraId="142CFE54">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提供证书扫描件；</w:t>
            </w:r>
          </w:p>
        </w:tc>
      </w:tr>
      <w:tr w14:paraId="237A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7" w:type="pct"/>
            <w:shd w:val="clear" w:color="auto" w:fill="auto"/>
            <w:noWrap w:val="0"/>
            <w:vAlign w:val="center"/>
          </w:tcPr>
          <w:p w14:paraId="226897DC">
            <w:pPr>
              <w:widowControl/>
              <w:shd w:val="clear" w:color="auto" w:fill="FFFFFF"/>
              <w:snapToGrid w:val="0"/>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6</w:t>
            </w:r>
          </w:p>
        </w:tc>
        <w:tc>
          <w:tcPr>
            <w:tcW w:w="1986" w:type="pct"/>
            <w:shd w:val="clear" w:color="auto" w:fill="auto"/>
            <w:noWrap w:val="0"/>
            <w:vAlign w:val="center"/>
          </w:tcPr>
          <w:p w14:paraId="7B0CC45A">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2776" w:type="pct"/>
            <w:shd w:val="clear" w:color="auto" w:fill="auto"/>
            <w:noWrap w:val="0"/>
            <w:vAlign w:val="center"/>
          </w:tcPr>
          <w:p w14:paraId="66758F29">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shd w:val="clear" w:color="auto" w:fill="FFFFFF"/>
              </w:rPr>
              <w:t>以采购人或者采购代理机构查询记录为准。</w:t>
            </w:r>
          </w:p>
        </w:tc>
      </w:tr>
      <w:tr w14:paraId="65B5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237" w:type="pct"/>
            <w:noWrap w:val="0"/>
            <w:vAlign w:val="center"/>
          </w:tcPr>
          <w:p w14:paraId="26D310F4">
            <w:pPr>
              <w:widowControl/>
              <w:shd w:val="clear" w:color="auto" w:fill="FFFFFF"/>
              <w:snapToGri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7</w:t>
            </w:r>
          </w:p>
        </w:tc>
        <w:tc>
          <w:tcPr>
            <w:tcW w:w="1986" w:type="pct"/>
            <w:shd w:val="clear" w:color="auto" w:fill="auto"/>
            <w:noWrap w:val="0"/>
            <w:vAlign w:val="center"/>
          </w:tcPr>
          <w:p w14:paraId="34E92BCC">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磋商保证金必须按照竞争性磋商文件要求缴纳。</w:t>
            </w:r>
          </w:p>
        </w:tc>
        <w:tc>
          <w:tcPr>
            <w:tcW w:w="2776" w:type="pct"/>
            <w:shd w:val="clear" w:color="auto" w:fill="auto"/>
            <w:noWrap w:val="0"/>
            <w:vAlign w:val="center"/>
          </w:tcPr>
          <w:p w14:paraId="5ABD0240">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保证金缴纳凭证：供应商须将本项目保证金支付的汇款凭证、支票、汇票或保证金收据的扫描件作为缴纳凭证制作在响应文件中。</w:t>
            </w:r>
          </w:p>
        </w:tc>
      </w:tr>
      <w:tr w14:paraId="74F3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000" w:type="pct"/>
            <w:gridSpan w:val="3"/>
            <w:noWrap w:val="0"/>
            <w:vAlign w:val="center"/>
          </w:tcPr>
          <w:p w14:paraId="0ACFBF47">
            <w:pPr>
              <w:widowControl/>
              <w:shd w:val="clear" w:color="auto" w:fill="FFFFFF"/>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备注： 如果资格评审中有一项不满足审查标准的，采购人将认定该供应商不通过资格审查，响应文件将被拒绝评审。并且不允许供应商通过修改或撤销其不符合要求的差异或保留，使之成为具有响应性的投标。</w:t>
            </w:r>
          </w:p>
        </w:tc>
      </w:tr>
    </w:tbl>
    <w:p w14:paraId="4469E957">
      <w:pPr>
        <w:widowControl/>
        <w:shd w:val="clear" w:color="auto" w:fill="FFFFFF"/>
        <w:snapToGrid w:val="0"/>
        <w:spacing w:line="360" w:lineRule="auto"/>
        <w:jc w:val="center"/>
        <w:rPr>
          <w:rFonts w:hint="eastAsia" w:ascii="仿宋" w:hAnsi="仿宋" w:eastAsia="仿宋" w:cs="仿宋"/>
          <w:b/>
          <w:color w:val="auto"/>
          <w:kern w:val="0"/>
          <w:sz w:val="24"/>
          <w:szCs w:val="24"/>
          <w:highlight w:val="none"/>
          <w:shd w:val="clear" w:color="auto" w:fill="FFFFFF" w:themeFill="background1"/>
        </w:rPr>
      </w:pPr>
    </w:p>
    <w:p w14:paraId="09034EED">
      <w:pPr>
        <w:widowControl/>
        <w:shd w:val="clear" w:color="auto" w:fill="FFFFFF"/>
        <w:snapToGrid w:val="0"/>
        <w:spacing w:line="360" w:lineRule="auto"/>
        <w:jc w:val="center"/>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《完备性及符合性审查标准》</w:t>
      </w:r>
      <w:bookmarkEnd w:id="20"/>
    </w:p>
    <w:tbl>
      <w:tblPr>
        <w:tblStyle w:val="38"/>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6638"/>
        <w:gridCol w:w="1868"/>
      </w:tblGrid>
      <w:tr w14:paraId="2884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23E60408">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序号</w:t>
            </w:r>
          </w:p>
        </w:tc>
        <w:tc>
          <w:tcPr>
            <w:tcW w:w="6638" w:type="dxa"/>
            <w:vAlign w:val="center"/>
          </w:tcPr>
          <w:p w14:paraId="397319CA">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审查要求</w:t>
            </w:r>
          </w:p>
        </w:tc>
        <w:tc>
          <w:tcPr>
            <w:tcW w:w="1868" w:type="dxa"/>
            <w:vAlign w:val="center"/>
          </w:tcPr>
          <w:p w14:paraId="1E6C58D2">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要求说明</w:t>
            </w:r>
          </w:p>
        </w:tc>
      </w:tr>
      <w:tr w14:paraId="0854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7A169779">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1</w:t>
            </w:r>
          </w:p>
        </w:tc>
        <w:tc>
          <w:tcPr>
            <w:tcW w:w="6638" w:type="dxa"/>
            <w:vAlign w:val="center"/>
          </w:tcPr>
          <w:p w14:paraId="7B296E42">
            <w:pPr>
              <w:spacing w:line="360" w:lineRule="auto"/>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响应文件必须按照竞争性磋商文件规定要求加盖供应商电子印章、法定代表人电子印章。</w:t>
            </w:r>
          </w:p>
        </w:tc>
        <w:tc>
          <w:tcPr>
            <w:tcW w:w="1868" w:type="dxa"/>
            <w:vAlign w:val="center"/>
          </w:tcPr>
          <w:p w14:paraId="0B2DB740">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w:t>
            </w:r>
          </w:p>
        </w:tc>
      </w:tr>
      <w:tr w14:paraId="4B71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14:paraId="7E0885FB">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2</w:t>
            </w:r>
          </w:p>
        </w:tc>
        <w:tc>
          <w:tcPr>
            <w:tcW w:w="6638" w:type="dxa"/>
            <w:vAlign w:val="center"/>
          </w:tcPr>
          <w:p w14:paraId="21FCC36F">
            <w:pPr>
              <w:spacing w:line="360" w:lineRule="auto"/>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供应商所报工期、质量标准必须满足磋商文件要求。</w:t>
            </w:r>
          </w:p>
        </w:tc>
        <w:tc>
          <w:tcPr>
            <w:tcW w:w="1868" w:type="dxa"/>
            <w:vAlign w:val="center"/>
          </w:tcPr>
          <w:p w14:paraId="6478779B">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w:t>
            </w:r>
          </w:p>
        </w:tc>
      </w:tr>
      <w:tr w14:paraId="7052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14:paraId="16A35C75">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3</w:t>
            </w:r>
          </w:p>
        </w:tc>
        <w:tc>
          <w:tcPr>
            <w:tcW w:w="6638" w:type="dxa"/>
            <w:vAlign w:val="center"/>
          </w:tcPr>
          <w:p w14:paraId="12EE0948">
            <w:pPr>
              <w:spacing w:line="360" w:lineRule="auto"/>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磋商价格不得超过供应商须知前附表中的招标控制价。</w:t>
            </w:r>
          </w:p>
        </w:tc>
        <w:tc>
          <w:tcPr>
            <w:tcW w:w="1868" w:type="dxa"/>
            <w:vAlign w:val="center"/>
          </w:tcPr>
          <w:p w14:paraId="1037E07D">
            <w:pPr>
              <w:spacing w:line="360" w:lineRule="auto"/>
              <w:jc w:val="center"/>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w:t>
            </w:r>
          </w:p>
        </w:tc>
      </w:tr>
      <w:tr w14:paraId="5A45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shd w:val="clear" w:color="auto" w:fill="auto"/>
            <w:vAlign w:val="center"/>
          </w:tcPr>
          <w:p w14:paraId="1F91C71C">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 w:val="21"/>
                <w:szCs w:val="21"/>
                <w:highlight w:val="none"/>
                <w:shd w:val="clear" w:color="auto" w:fill="FFFFFF" w:themeFill="background1"/>
              </w:rPr>
              <w:t>4</w:t>
            </w:r>
          </w:p>
        </w:tc>
        <w:tc>
          <w:tcPr>
            <w:tcW w:w="6638" w:type="dxa"/>
            <w:shd w:val="clear" w:color="auto" w:fill="auto"/>
            <w:vAlign w:val="center"/>
          </w:tcPr>
          <w:p w14:paraId="01D3E28C">
            <w:pPr>
              <w:spacing w:line="360" w:lineRule="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 w:val="21"/>
                <w:szCs w:val="21"/>
                <w:highlight w:val="none"/>
                <w:shd w:val="clear" w:color="auto" w:fill="FFFFFF" w:themeFill="background1"/>
              </w:rPr>
              <w:t>项目负责人简历表必须提供。</w:t>
            </w:r>
          </w:p>
        </w:tc>
        <w:tc>
          <w:tcPr>
            <w:tcW w:w="1868" w:type="dxa"/>
            <w:shd w:val="clear" w:color="auto" w:fill="auto"/>
            <w:vAlign w:val="center"/>
          </w:tcPr>
          <w:p w14:paraId="16CB5CA8">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 w:val="21"/>
                <w:szCs w:val="21"/>
                <w:highlight w:val="none"/>
                <w:shd w:val="clear" w:color="auto" w:fill="FFFFFF" w:themeFill="background1"/>
              </w:rPr>
              <w:t>/</w:t>
            </w:r>
          </w:p>
        </w:tc>
      </w:tr>
      <w:tr w14:paraId="3AE5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09F82197">
            <w:pPr>
              <w:spacing w:line="360" w:lineRule="auto"/>
              <w:jc w:val="center"/>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5</w:t>
            </w:r>
          </w:p>
        </w:tc>
        <w:tc>
          <w:tcPr>
            <w:tcW w:w="6638" w:type="dxa"/>
            <w:vAlign w:val="center"/>
          </w:tcPr>
          <w:p w14:paraId="56547DD8">
            <w:pPr>
              <w:spacing w:line="360" w:lineRule="auto"/>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主要项目管理人员表必须提供。</w:t>
            </w:r>
          </w:p>
        </w:tc>
        <w:tc>
          <w:tcPr>
            <w:tcW w:w="1868" w:type="dxa"/>
            <w:vAlign w:val="center"/>
          </w:tcPr>
          <w:p w14:paraId="1D2FE1E5">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w:t>
            </w:r>
          </w:p>
        </w:tc>
      </w:tr>
      <w:tr w14:paraId="3AEB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37BAC4AA">
            <w:pPr>
              <w:spacing w:line="360" w:lineRule="auto"/>
              <w:jc w:val="center"/>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6</w:t>
            </w:r>
          </w:p>
        </w:tc>
        <w:tc>
          <w:tcPr>
            <w:tcW w:w="6638" w:type="dxa"/>
            <w:vAlign w:val="center"/>
          </w:tcPr>
          <w:p w14:paraId="52B9C6FD">
            <w:pPr>
              <w:spacing w:line="360" w:lineRule="auto"/>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响应文件符合竞争性磋商文件全部实质性要求。</w:t>
            </w:r>
          </w:p>
        </w:tc>
        <w:tc>
          <w:tcPr>
            <w:tcW w:w="1868" w:type="dxa"/>
            <w:vAlign w:val="center"/>
          </w:tcPr>
          <w:p w14:paraId="0A234634">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w:t>
            </w:r>
          </w:p>
        </w:tc>
      </w:tr>
      <w:tr w14:paraId="1409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127" w:type="dxa"/>
            <w:gridSpan w:val="3"/>
            <w:vAlign w:val="center"/>
          </w:tcPr>
          <w:p w14:paraId="5BD0DDCC">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14:paraId="4AE6434C">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388489CD">
      <w:pPr>
        <w:ind w:left="1185" w:hanging="1185"/>
        <w:jc w:val="center"/>
        <w:rPr>
          <w:rFonts w:hint="eastAsia" w:ascii="仿宋" w:hAnsi="仿宋" w:eastAsia="仿宋" w:cs="仿宋"/>
          <w:b/>
          <w:color w:val="auto"/>
          <w:kern w:val="0"/>
          <w:sz w:val="24"/>
          <w:szCs w:val="24"/>
          <w:highlight w:val="none"/>
        </w:rPr>
      </w:pPr>
    </w:p>
    <w:p w14:paraId="145A3972">
      <w:pPr>
        <w:ind w:left="1185" w:hanging="1185"/>
        <w:jc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《详细评审标准》</w:t>
      </w:r>
    </w:p>
    <w:tbl>
      <w:tblPr>
        <w:tblStyle w:val="38"/>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0"/>
        <w:gridCol w:w="1414"/>
        <w:gridCol w:w="739"/>
        <w:gridCol w:w="6034"/>
      </w:tblGrid>
      <w:tr w14:paraId="1A5C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4" w:type="pct"/>
            <w:vAlign w:val="center"/>
          </w:tcPr>
          <w:p w14:paraId="3F21AB38">
            <w:pPr>
              <w:widowControl/>
              <w:shd w:val="clear" w:color="auto" w:fill="FFFFFF"/>
              <w:snapToGrid w:val="0"/>
              <w:spacing w:line="360" w:lineRule="auto"/>
              <w:jc w:val="center"/>
              <w:rPr>
                <w:rFonts w:hint="eastAsia" w:ascii="仿宋" w:hAnsi="仿宋" w:eastAsia="仿宋" w:cs="仿宋"/>
                <w:bCs/>
                <w:color w:val="auto"/>
                <w:kern w:val="0"/>
                <w:sz w:val="21"/>
                <w:szCs w:val="21"/>
                <w:shd w:val="clear" w:color="auto" w:fill="FFFFFF" w:themeFill="background1"/>
              </w:rPr>
            </w:pPr>
            <w:r>
              <w:rPr>
                <w:rFonts w:hint="eastAsia" w:ascii="仿宋" w:hAnsi="仿宋" w:eastAsia="仿宋" w:cs="仿宋"/>
                <w:bCs/>
                <w:color w:val="auto"/>
                <w:kern w:val="0"/>
                <w:sz w:val="21"/>
                <w:szCs w:val="21"/>
                <w:shd w:val="clear" w:color="auto" w:fill="FFFFFF" w:themeFill="background1"/>
              </w:rPr>
              <w:t>序号</w:t>
            </w:r>
          </w:p>
        </w:tc>
        <w:tc>
          <w:tcPr>
            <w:tcW w:w="793" w:type="pct"/>
            <w:vAlign w:val="center"/>
          </w:tcPr>
          <w:p w14:paraId="091F90F1">
            <w:pPr>
              <w:widowControl/>
              <w:shd w:val="clear" w:color="auto" w:fill="FFFFFF"/>
              <w:snapToGrid w:val="0"/>
              <w:spacing w:line="360" w:lineRule="auto"/>
              <w:jc w:val="center"/>
              <w:rPr>
                <w:rFonts w:hint="eastAsia" w:ascii="仿宋" w:hAnsi="仿宋" w:eastAsia="仿宋" w:cs="仿宋"/>
                <w:bCs/>
                <w:color w:val="auto"/>
                <w:kern w:val="0"/>
                <w:sz w:val="21"/>
                <w:szCs w:val="21"/>
                <w:shd w:val="clear" w:color="auto" w:fill="FFFFFF" w:themeFill="background1"/>
              </w:rPr>
            </w:pPr>
            <w:r>
              <w:rPr>
                <w:rFonts w:hint="eastAsia" w:ascii="仿宋" w:hAnsi="仿宋" w:eastAsia="仿宋" w:cs="仿宋"/>
                <w:bCs/>
                <w:color w:val="auto"/>
                <w:kern w:val="0"/>
                <w:sz w:val="21"/>
                <w:szCs w:val="21"/>
                <w:shd w:val="clear" w:color="auto" w:fill="FFFFFF" w:themeFill="background1"/>
              </w:rPr>
              <w:t>评审项目</w:t>
            </w:r>
          </w:p>
        </w:tc>
        <w:tc>
          <w:tcPr>
            <w:tcW w:w="415" w:type="pct"/>
            <w:vAlign w:val="center"/>
          </w:tcPr>
          <w:p w14:paraId="7FE0C943">
            <w:pPr>
              <w:widowControl/>
              <w:shd w:val="clear" w:color="auto" w:fill="FFFFFF"/>
              <w:snapToGrid w:val="0"/>
              <w:spacing w:line="360" w:lineRule="auto"/>
              <w:jc w:val="center"/>
              <w:rPr>
                <w:rFonts w:hint="eastAsia" w:ascii="仿宋" w:hAnsi="仿宋" w:eastAsia="仿宋" w:cs="仿宋"/>
                <w:bCs/>
                <w:color w:val="auto"/>
                <w:kern w:val="0"/>
                <w:sz w:val="21"/>
                <w:szCs w:val="21"/>
                <w:shd w:val="clear" w:color="auto" w:fill="FFFFFF" w:themeFill="background1"/>
              </w:rPr>
            </w:pPr>
            <w:r>
              <w:rPr>
                <w:rFonts w:hint="eastAsia" w:ascii="仿宋" w:hAnsi="仿宋" w:eastAsia="仿宋" w:cs="仿宋"/>
                <w:bCs/>
                <w:color w:val="auto"/>
                <w:kern w:val="0"/>
                <w:sz w:val="21"/>
                <w:szCs w:val="21"/>
                <w:shd w:val="clear" w:color="auto" w:fill="FFFFFF" w:themeFill="background1"/>
              </w:rPr>
              <w:t>标准分</w:t>
            </w:r>
          </w:p>
        </w:tc>
        <w:tc>
          <w:tcPr>
            <w:tcW w:w="3386" w:type="pct"/>
            <w:vAlign w:val="center"/>
          </w:tcPr>
          <w:p w14:paraId="59545416">
            <w:pPr>
              <w:widowControl/>
              <w:shd w:val="clear" w:color="auto" w:fill="FFFFFF"/>
              <w:snapToGrid w:val="0"/>
              <w:spacing w:line="360" w:lineRule="auto"/>
              <w:jc w:val="center"/>
              <w:rPr>
                <w:rFonts w:hint="eastAsia" w:ascii="仿宋" w:hAnsi="仿宋" w:eastAsia="仿宋" w:cs="仿宋"/>
                <w:bCs/>
                <w:color w:val="auto"/>
                <w:kern w:val="0"/>
                <w:sz w:val="21"/>
                <w:szCs w:val="21"/>
                <w:shd w:val="clear" w:color="auto" w:fill="FFFFFF" w:themeFill="background1"/>
              </w:rPr>
            </w:pPr>
            <w:r>
              <w:rPr>
                <w:rFonts w:hint="eastAsia" w:ascii="仿宋" w:hAnsi="仿宋" w:eastAsia="仿宋" w:cs="仿宋"/>
                <w:bCs/>
                <w:color w:val="auto"/>
                <w:kern w:val="0"/>
                <w:sz w:val="21"/>
                <w:szCs w:val="21"/>
                <w:shd w:val="clear" w:color="auto" w:fill="FFFFFF" w:themeFill="background1"/>
              </w:rPr>
              <w:t>评审标准</w:t>
            </w:r>
          </w:p>
        </w:tc>
      </w:tr>
      <w:tr w14:paraId="2E8F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4" w:type="pct"/>
            <w:vAlign w:val="center"/>
          </w:tcPr>
          <w:p w14:paraId="3BED54CB">
            <w:pPr>
              <w:widowControl/>
              <w:shd w:val="clear" w:color="auto" w:fill="FFFFFF"/>
              <w:snapToGrid w:val="0"/>
              <w:spacing w:line="360" w:lineRule="auto"/>
              <w:jc w:val="center"/>
              <w:rPr>
                <w:rFonts w:hint="eastAsia" w:ascii="仿宋" w:hAnsi="仿宋" w:eastAsia="仿宋" w:cs="仿宋"/>
                <w:bCs/>
                <w:color w:val="auto"/>
                <w:kern w:val="0"/>
                <w:sz w:val="21"/>
                <w:szCs w:val="21"/>
                <w:shd w:val="clear" w:color="auto" w:fill="FFFFFF" w:themeFill="background1"/>
                <w:lang w:val="en-US" w:eastAsia="zh-CN"/>
              </w:rPr>
            </w:pPr>
            <w:r>
              <w:rPr>
                <w:rFonts w:hint="eastAsia" w:ascii="仿宋" w:hAnsi="仿宋" w:eastAsia="仿宋" w:cs="仿宋"/>
                <w:bCs/>
                <w:color w:val="auto"/>
                <w:kern w:val="0"/>
                <w:sz w:val="21"/>
                <w:szCs w:val="21"/>
                <w:shd w:val="clear" w:color="auto" w:fill="FFFFFF" w:themeFill="background1"/>
                <w:lang w:val="en-US" w:eastAsia="zh-CN"/>
              </w:rPr>
              <w:t>1</w:t>
            </w:r>
          </w:p>
        </w:tc>
        <w:tc>
          <w:tcPr>
            <w:tcW w:w="793" w:type="pct"/>
            <w:vAlign w:val="center"/>
          </w:tcPr>
          <w:p w14:paraId="3303D4B9">
            <w:pPr>
              <w:widowControl/>
              <w:shd w:val="clear" w:color="auto" w:fill="FFFFFF"/>
              <w:snapToGrid w:val="0"/>
              <w:spacing w:line="360" w:lineRule="auto"/>
              <w:jc w:val="center"/>
              <w:rPr>
                <w:rFonts w:hint="eastAsia" w:ascii="仿宋" w:hAnsi="仿宋" w:eastAsia="仿宋" w:cs="仿宋"/>
                <w:bCs/>
                <w:color w:val="auto"/>
                <w:kern w:val="0"/>
                <w:sz w:val="21"/>
                <w:szCs w:val="21"/>
                <w:shd w:val="clear" w:color="auto" w:fill="FFFFFF" w:themeFill="background1"/>
                <w:lang w:val="en-US" w:eastAsia="zh-CN"/>
              </w:rPr>
            </w:pPr>
            <w:r>
              <w:rPr>
                <w:rFonts w:hint="eastAsia" w:ascii="仿宋" w:hAnsi="仿宋" w:eastAsia="仿宋" w:cs="仿宋"/>
                <w:bCs/>
                <w:color w:val="auto"/>
                <w:kern w:val="0"/>
                <w:sz w:val="21"/>
                <w:szCs w:val="21"/>
                <w:shd w:val="clear" w:color="auto" w:fill="FFFFFF" w:themeFill="background1"/>
                <w:lang w:val="en-US" w:eastAsia="zh-CN"/>
              </w:rPr>
              <w:t>类似业绩</w:t>
            </w:r>
          </w:p>
        </w:tc>
        <w:tc>
          <w:tcPr>
            <w:tcW w:w="415" w:type="pct"/>
            <w:vAlign w:val="center"/>
          </w:tcPr>
          <w:p w14:paraId="255934DA">
            <w:pPr>
              <w:widowControl/>
              <w:shd w:val="clear" w:color="auto" w:fill="FFFFFF"/>
              <w:snapToGrid w:val="0"/>
              <w:spacing w:line="360" w:lineRule="auto"/>
              <w:jc w:val="center"/>
              <w:rPr>
                <w:rFonts w:hint="eastAsia" w:ascii="仿宋" w:hAnsi="仿宋" w:eastAsia="仿宋" w:cs="仿宋"/>
                <w:bCs/>
                <w:color w:val="auto"/>
                <w:kern w:val="0"/>
                <w:sz w:val="21"/>
                <w:szCs w:val="21"/>
                <w:shd w:val="clear" w:color="auto" w:fill="FFFFFF" w:themeFill="background1"/>
                <w:lang w:val="en-US" w:eastAsia="zh-CN"/>
              </w:rPr>
            </w:pPr>
            <w:r>
              <w:rPr>
                <w:rFonts w:hint="eastAsia" w:ascii="仿宋" w:hAnsi="仿宋" w:eastAsia="仿宋" w:cs="仿宋"/>
                <w:bCs/>
                <w:color w:val="auto"/>
                <w:kern w:val="0"/>
                <w:sz w:val="21"/>
                <w:szCs w:val="21"/>
                <w:shd w:val="clear" w:color="auto" w:fill="FFFFFF" w:themeFill="background1"/>
                <w:lang w:val="en-US" w:eastAsia="zh-CN"/>
              </w:rPr>
              <w:t>10</w:t>
            </w:r>
          </w:p>
        </w:tc>
        <w:tc>
          <w:tcPr>
            <w:tcW w:w="3386" w:type="pct"/>
            <w:vAlign w:val="center"/>
          </w:tcPr>
          <w:p w14:paraId="6B7B8E10">
            <w:pPr>
              <w:widowControl/>
              <w:shd w:val="clear" w:color="auto" w:fill="FFFFFF"/>
              <w:snapToGrid w:val="0"/>
              <w:spacing w:line="360" w:lineRule="auto"/>
              <w:jc w:val="left"/>
              <w:rPr>
                <w:rFonts w:hint="eastAsia" w:ascii="仿宋" w:hAnsi="仿宋" w:eastAsia="仿宋" w:cs="仿宋"/>
                <w:bCs/>
                <w:color w:val="auto"/>
                <w:kern w:val="0"/>
                <w:sz w:val="21"/>
                <w:szCs w:val="21"/>
                <w:shd w:val="clear" w:color="auto" w:fill="FFFFFF" w:themeFill="background1"/>
              </w:rPr>
            </w:pPr>
            <w:r>
              <w:rPr>
                <w:rFonts w:hint="eastAsia" w:ascii="仿宋" w:hAnsi="仿宋" w:eastAsia="仿宋" w:cs="仿宋"/>
                <w:bCs/>
                <w:color w:val="auto"/>
                <w:kern w:val="0"/>
                <w:sz w:val="21"/>
                <w:szCs w:val="21"/>
                <w:shd w:val="clear" w:color="auto" w:fill="FFFFFF" w:themeFill="background1"/>
              </w:rPr>
              <w:t>供应商近三年内（202</w:t>
            </w:r>
            <w:r>
              <w:rPr>
                <w:rFonts w:hint="eastAsia" w:ascii="仿宋" w:hAnsi="仿宋" w:eastAsia="仿宋" w:cs="仿宋"/>
                <w:bCs/>
                <w:color w:val="auto"/>
                <w:kern w:val="0"/>
                <w:sz w:val="21"/>
                <w:szCs w:val="21"/>
                <w:shd w:val="clear" w:color="auto" w:fill="FFFFFF" w:themeFill="background1"/>
                <w:lang w:val="en-US" w:eastAsia="zh-CN"/>
              </w:rPr>
              <w:t>3</w:t>
            </w:r>
            <w:r>
              <w:rPr>
                <w:rFonts w:hint="eastAsia" w:ascii="仿宋" w:hAnsi="仿宋" w:eastAsia="仿宋" w:cs="仿宋"/>
                <w:bCs/>
                <w:color w:val="auto"/>
                <w:kern w:val="0"/>
                <w:sz w:val="21"/>
                <w:szCs w:val="21"/>
                <w:shd w:val="clear" w:color="auto" w:fill="FFFFFF" w:themeFill="background1"/>
              </w:rPr>
              <w:t>年1月至今）承揽的类似业绩</w:t>
            </w:r>
            <w:r>
              <w:rPr>
                <w:rFonts w:hint="eastAsia" w:ascii="仿宋" w:hAnsi="仿宋" w:eastAsia="仿宋" w:cs="仿宋"/>
                <w:bCs/>
                <w:color w:val="auto"/>
                <w:kern w:val="0"/>
                <w:sz w:val="21"/>
                <w:szCs w:val="21"/>
                <w:shd w:val="clear" w:color="auto" w:fill="FFFFFF" w:themeFill="background1"/>
                <w:lang w:val="en-US" w:eastAsia="zh-CN"/>
              </w:rPr>
              <w:t>1项</w:t>
            </w:r>
            <w:r>
              <w:rPr>
                <w:rFonts w:hint="eastAsia" w:ascii="仿宋" w:hAnsi="仿宋" w:eastAsia="仿宋" w:cs="仿宋"/>
                <w:bCs/>
                <w:color w:val="auto"/>
                <w:kern w:val="0"/>
                <w:sz w:val="21"/>
                <w:szCs w:val="21"/>
                <w:shd w:val="clear" w:color="auto" w:fill="FFFFFF" w:themeFill="background1"/>
              </w:rPr>
              <w:t>得2分，最高得10分。【业绩是以中标（成交）通知书、合同为依据</w:t>
            </w:r>
            <w:r>
              <w:rPr>
                <w:rFonts w:hint="eastAsia" w:ascii="仿宋" w:hAnsi="仿宋" w:eastAsia="仿宋" w:cs="仿宋"/>
                <w:bCs/>
                <w:color w:val="auto"/>
                <w:kern w:val="0"/>
                <w:sz w:val="21"/>
                <w:szCs w:val="21"/>
                <w:shd w:val="clear" w:color="auto" w:fill="FFFFFF" w:themeFill="background1"/>
                <w:lang w:eastAsia="zh-CN"/>
              </w:rPr>
              <w:t>。</w:t>
            </w:r>
            <w:r>
              <w:rPr>
                <w:rFonts w:hint="eastAsia" w:ascii="仿宋" w:hAnsi="仿宋" w:eastAsia="仿宋" w:cs="仿宋"/>
                <w:bCs/>
                <w:color w:val="auto"/>
                <w:kern w:val="0"/>
                <w:sz w:val="21"/>
                <w:szCs w:val="21"/>
                <w:shd w:val="clear" w:color="auto" w:fill="FFFFFF" w:themeFill="background1"/>
              </w:rPr>
              <w:t>】</w:t>
            </w:r>
          </w:p>
        </w:tc>
      </w:tr>
      <w:tr w14:paraId="2D6A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4" w:type="pct"/>
            <w:vAlign w:val="center"/>
          </w:tcPr>
          <w:p w14:paraId="1DBA8335">
            <w:pPr>
              <w:spacing w:line="360" w:lineRule="auto"/>
              <w:jc w:val="center"/>
              <w:rPr>
                <w:rFonts w:hint="eastAsia" w:ascii="仿宋" w:hAnsi="仿宋" w:eastAsia="仿宋" w:cs="仿宋"/>
                <w:color w:val="auto"/>
                <w:kern w:val="0"/>
                <w:sz w:val="21"/>
                <w:szCs w:val="21"/>
                <w:shd w:val="clear" w:color="auto" w:fill="FFFFFF" w:themeFill="background1"/>
                <w:lang w:val="en-US" w:eastAsia="zh-CN"/>
              </w:rPr>
            </w:pPr>
            <w:r>
              <w:rPr>
                <w:rFonts w:hint="eastAsia" w:ascii="仿宋" w:hAnsi="仿宋" w:eastAsia="仿宋" w:cs="仿宋"/>
                <w:color w:val="auto"/>
                <w:kern w:val="0"/>
                <w:sz w:val="21"/>
                <w:szCs w:val="21"/>
                <w:shd w:val="clear" w:color="auto" w:fill="FFFFFF" w:themeFill="background1"/>
                <w:lang w:val="en-US" w:eastAsia="zh-CN"/>
              </w:rPr>
              <w:t>2</w:t>
            </w:r>
          </w:p>
        </w:tc>
        <w:tc>
          <w:tcPr>
            <w:tcW w:w="793" w:type="pct"/>
            <w:vAlign w:val="center"/>
          </w:tcPr>
          <w:p w14:paraId="5C2E8653">
            <w:pPr>
              <w:spacing w:line="360" w:lineRule="auto"/>
              <w:jc w:val="center"/>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工程概况及特点</w:t>
            </w:r>
          </w:p>
        </w:tc>
        <w:tc>
          <w:tcPr>
            <w:tcW w:w="415" w:type="pct"/>
            <w:vAlign w:val="center"/>
          </w:tcPr>
          <w:p w14:paraId="71DD98BF">
            <w:pPr>
              <w:spacing w:line="360" w:lineRule="auto"/>
              <w:jc w:val="center"/>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2</w:t>
            </w:r>
          </w:p>
        </w:tc>
        <w:tc>
          <w:tcPr>
            <w:tcW w:w="3386" w:type="pct"/>
            <w:vAlign w:val="center"/>
          </w:tcPr>
          <w:p w14:paraId="2FE261E9">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工程概况及特点包括但不限于：①建设概况、②设计（建筑、结构、设备安装）特点、③工程施工特点、④建设地点特征；4部分要素。</w:t>
            </w:r>
          </w:p>
          <w:p w14:paraId="6E4FA849">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所有要素齐全且完全满足项目要求得2分，每缺一个要素扣0.5分，每个要素里每有一处内容缺陷扣0.25分（扣完为止）。</w:t>
            </w:r>
          </w:p>
          <w:p w14:paraId="22E66A67">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lang w:val="en-US" w:eastAsia="zh-CN"/>
              </w:rPr>
              <w:t>“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3A75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4" w:type="pct"/>
            <w:shd w:val="clear" w:color="auto" w:fill="auto"/>
            <w:vAlign w:val="center"/>
          </w:tcPr>
          <w:p w14:paraId="3E6CA7F2">
            <w:pPr>
              <w:spacing w:line="360" w:lineRule="auto"/>
              <w:jc w:val="center"/>
              <w:rPr>
                <w:rFonts w:hint="eastAsia" w:ascii="仿宋" w:hAnsi="仿宋" w:eastAsia="仿宋" w:cs="仿宋"/>
                <w:color w:val="auto"/>
                <w:kern w:val="0"/>
                <w:sz w:val="21"/>
                <w:szCs w:val="21"/>
                <w:shd w:val="clear" w:color="auto" w:fill="FFFFFF" w:themeFill="background1"/>
                <w:lang w:val="en-US" w:eastAsia="zh-CN"/>
              </w:rPr>
            </w:pPr>
            <w:r>
              <w:rPr>
                <w:rFonts w:hint="eastAsia" w:ascii="仿宋" w:hAnsi="仿宋" w:eastAsia="仿宋" w:cs="仿宋"/>
                <w:color w:val="auto"/>
                <w:kern w:val="0"/>
                <w:sz w:val="21"/>
                <w:szCs w:val="21"/>
                <w:shd w:val="clear" w:color="auto" w:fill="FFFFFF" w:themeFill="background1"/>
                <w:lang w:val="en-US" w:eastAsia="zh-CN"/>
              </w:rPr>
              <w:t>3</w:t>
            </w:r>
          </w:p>
        </w:tc>
        <w:tc>
          <w:tcPr>
            <w:tcW w:w="793" w:type="pct"/>
            <w:vAlign w:val="center"/>
          </w:tcPr>
          <w:p w14:paraId="6E4CA711">
            <w:pPr>
              <w:spacing w:line="360" w:lineRule="auto"/>
              <w:jc w:val="center"/>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施工准备计划</w:t>
            </w:r>
          </w:p>
        </w:tc>
        <w:tc>
          <w:tcPr>
            <w:tcW w:w="415" w:type="pct"/>
            <w:vAlign w:val="center"/>
          </w:tcPr>
          <w:p w14:paraId="66219DC8">
            <w:pPr>
              <w:spacing w:line="360" w:lineRule="auto"/>
              <w:jc w:val="center"/>
              <w:rPr>
                <w:rFonts w:hint="eastAsia" w:ascii="仿宋" w:hAnsi="仿宋" w:eastAsia="仿宋" w:cs="仿宋"/>
                <w:color w:val="auto"/>
                <w:kern w:val="0"/>
                <w:sz w:val="21"/>
                <w:szCs w:val="21"/>
                <w:shd w:val="clear" w:color="auto" w:fill="FFFFFF" w:themeFill="background1"/>
                <w:lang w:eastAsia="zh-CN"/>
              </w:rPr>
            </w:pPr>
            <w:r>
              <w:rPr>
                <w:rFonts w:hint="eastAsia" w:ascii="仿宋" w:hAnsi="仿宋" w:eastAsia="仿宋" w:cs="仿宋"/>
                <w:color w:val="auto"/>
                <w:kern w:val="0"/>
                <w:sz w:val="21"/>
                <w:szCs w:val="21"/>
                <w:shd w:val="clear" w:color="auto" w:fill="FFFFFF" w:themeFill="background1"/>
                <w:lang w:val="en-US" w:eastAsia="zh-CN"/>
              </w:rPr>
              <w:t>4</w:t>
            </w:r>
          </w:p>
        </w:tc>
        <w:tc>
          <w:tcPr>
            <w:tcW w:w="3386" w:type="pct"/>
            <w:vAlign w:val="center"/>
          </w:tcPr>
          <w:p w14:paraId="51B93B5E">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施工准备计划包括但不限于：①施工技术准备、②现场准备、③物资准备、④队伍准备；4部分要素。</w:t>
            </w:r>
          </w:p>
          <w:p w14:paraId="329C84C7">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所有要素齐全且完全满足项目要求得</w:t>
            </w:r>
            <w:r>
              <w:rPr>
                <w:rFonts w:hint="eastAsia" w:ascii="仿宋" w:hAnsi="仿宋" w:eastAsia="仿宋" w:cs="仿宋"/>
                <w:color w:val="auto"/>
                <w:kern w:val="0"/>
                <w:sz w:val="21"/>
                <w:szCs w:val="21"/>
                <w:shd w:val="clear" w:color="auto" w:fill="FFFFFF" w:themeFill="background1"/>
                <w:lang w:val="en-US" w:eastAsia="zh-CN"/>
              </w:rPr>
              <w:t>4</w:t>
            </w:r>
            <w:r>
              <w:rPr>
                <w:rFonts w:hint="eastAsia" w:ascii="仿宋" w:hAnsi="仿宋" w:eastAsia="仿宋" w:cs="仿宋"/>
                <w:color w:val="auto"/>
                <w:kern w:val="0"/>
                <w:sz w:val="21"/>
                <w:szCs w:val="21"/>
                <w:shd w:val="clear" w:color="auto" w:fill="FFFFFF" w:themeFill="background1"/>
              </w:rPr>
              <w:t>分，每缺一个要素扣</w:t>
            </w:r>
            <w:r>
              <w:rPr>
                <w:rFonts w:hint="eastAsia" w:ascii="仿宋" w:hAnsi="仿宋" w:eastAsia="仿宋" w:cs="仿宋"/>
                <w:color w:val="auto"/>
                <w:kern w:val="0"/>
                <w:sz w:val="21"/>
                <w:szCs w:val="21"/>
                <w:shd w:val="clear" w:color="auto" w:fill="FFFFFF" w:themeFill="background1"/>
                <w:lang w:val="en-US" w:eastAsia="zh-CN"/>
              </w:rPr>
              <w:t>1</w:t>
            </w:r>
            <w:r>
              <w:rPr>
                <w:rFonts w:hint="eastAsia" w:ascii="仿宋" w:hAnsi="仿宋" w:eastAsia="仿宋" w:cs="仿宋"/>
                <w:color w:val="auto"/>
                <w:kern w:val="0"/>
                <w:sz w:val="21"/>
                <w:szCs w:val="21"/>
                <w:shd w:val="clear" w:color="auto" w:fill="FFFFFF" w:themeFill="background1"/>
              </w:rPr>
              <w:t>分，每个要素里每有一处内容缺陷扣</w:t>
            </w:r>
            <w:r>
              <w:rPr>
                <w:rFonts w:hint="eastAsia" w:ascii="仿宋" w:hAnsi="仿宋" w:eastAsia="仿宋" w:cs="仿宋"/>
                <w:color w:val="auto"/>
                <w:kern w:val="0"/>
                <w:sz w:val="21"/>
                <w:szCs w:val="21"/>
                <w:shd w:val="clear" w:color="auto" w:fill="FFFFFF" w:themeFill="background1"/>
                <w:lang w:val="en-US" w:eastAsia="zh-CN"/>
              </w:rPr>
              <w:t>0.5</w:t>
            </w:r>
            <w:r>
              <w:rPr>
                <w:rFonts w:hint="eastAsia" w:ascii="仿宋" w:hAnsi="仿宋" w:eastAsia="仿宋" w:cs="仿宋"/>
                <w:color w:val="auto"/>
                <w:kern w:val="0"/>
                <w:sz w:val="21"/>
                <w:szCs w:val="21"/>
                <w:shd w:val="clear" w:color="auto" w:fill="FFFFFF" w:themeFill="background1"/>
              </w:rPr>
              <w:t>分（扣完为止）。</w:t>
            </w:r>
          </w:p>
          <w:p w14:paraId="19DFEB00">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lang w:val="en-US" w:eastAsia="zh-CN"/>
              </w:rPr>
              <w:t>“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7CE8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4" w:type="pct"/>
            <w:shd w:val="clear" w:color="auto" w:fill="auto"/>
            <w:vAlign w:val="center"/>
          </w:tcPr>
          <w:p w14:paraId="0488F6A3">
            <w:pPr>
              <w:spacing w:line="360" w:lineRule="auto"/>
              <w:jc w:val="center"/>
              <w:rPr>
                <w:rFonts w:hint="eastAsia" w:ascii="仿宋" w:hAnsi="仿宋" w:eastAsia="仿宋" w:cs="仿宋"/>
                <w:color w:val="auto"/>
                <w:kern w:val="0"/>
                <w:sz w:val="21"/>
                <w:szCs w:val="21"/>
                <w:shd w:val="clear" w:color="auto" w:fill="FFFFFF" w:themeFill="background1"/>
                <w:lang w:val="en-US" w:eastAsia="zh-CN"/>
              </w:rPr>
            </w:pPr>
            <w:r>
              <w:rPr>
                <w:rFonts w:hint="eastAsia" w:ascii="仿宋" w:hAnsi="仿宋" w:eastAsia="仿宋" w:cs="仿宋"/>
                <w:color w:val="auto"/>
                <w:kern w:val="0"/>
                <w:sz w:val="21"/>
                <w:szCs w:val="21"/>
                <w:shd w:val="clear" w:color="auto" w:fill="FFFFFF" w:themeFill="background1"/>
                <w:lang w:val="en-US" w:eastAsia="zh-CN"/>
              </w:rPr>
              <w:t>4</w:t>
            </w:r>
          </w:p>
        </w:tc>
        <w:tc>
          <w:tcPr>
            <w:tcW w:w="793" w:type="pct"/>
            <w:shd w:val="clear" w:color="auto" w:fill="auto"/>
            <w:vAlign w:val="center"/>
          </w:tcPr>
          <w:p w14:paraId="50BBD458">
            <w:pPr>
              <w:spacing w:line="360" w:lineRule="auto"/>
              <w:jc w:val="center"/>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施工方案</w:t>
            </w:r>
          </w:p>
        </w:tc>
        <w:tc>
          <w:tcPr>
            <w:tcW w:w="415" w:type="pct"/>
            <w:shd w:val="clear" w:color="auto" w:fill="auto"/>
            <w:vAlign w:val="center"/>
          </w:tcPr>
          <w:p w14:paraId="4C58F948">
            <w:pPr>
              <w:spacing w:line="360" w:lineRule="auto"/>
              <w:jc w:val="center"/>
              <w:rPr>
                <w:rFonts w:hint="eastAsia" w:ascii="仿宋" w:hAnsi="仿宋" w:eastAsia="仿宋" w:cs="仿宋"/>
                <w:color w:val="auto"/>
                <w:kern w:val="0"/>
                <w:sz w:val="21"/>
                <w:szCs w:val="21"/>
                <w:shd w:val="clear" w:color="auto" w:fill="FFFFFF" w:themeFill="background1"/>
                <w:lang w:eastAsia="zh-CN"/>
              </w:rPr>
            </w:pPr>
            <w:r>
              <w:rPr>
                <w:rFonts w:hint="eastAsia" w:ascii="仿宋" w:hAnsi="仿宋" w:eastAsia="仿宋" w:cs="仿宋"/>
                <w:color w:val="auto"/>
                <w:kern w:val="0"/>
                <w:sz w:val="21"/>
                <w:szCs w:val="21"/>
                <w:shd w:val="clear" w:color="auto" w:fill="FFFFFF" w:themeFill="background1"/>
                <w:lang w:val="en-US" w:eastAsia="zh-CN"/>
              </w:rPr>
              <w:t>8</w:t>
            </w:r>
          </w:p>
        </w:tc>
        <w:tc>
          <w:tcPr>
            <w:tcW w:w="3386" w:type="pct"/>
            <w:shd w:val="clear" w:color="auto" w:fill="auto"/>
            <w:vAlign w:val="center"/>
          </w:tcPr>
          <w:p w14:paraId="6968F792">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施工方案包括但不限于：①提高生产率措施、②缩短工期措施、③提高质量措施、④降低消耗措施；4部分要素。</w:t>
            </w:r>
          </w:p>
          <w:p w14:paraId="1D4848CD">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所有要素齐全且完全满足项目要求得</w:t>
            </w:r>
            <w:r>
              <w:rPr>
                <w:rFonts w:hint="eastAsia" w:ascii="仿宋" w:hAnsi="仿宋" w:eastAsia="仿宋" w:cs="仿宋"/>
                <w:color w:val="auto"/>
                <w:kern w:val="0"/>
                <w:sz w:val="21"/>
                <w:szCs w:val="21"/>
                <w:shd w:val="clear" w:color="auto" w:fill="FFFFFF" w:themeFill="background1"/>
                <w:lang w:val="en-US" w:eastAsia="zh-CN"/>
              </w:rPr>
              <w:t>8</w:t>
            </w:r>
            <w:r>
              <w:rPr>
                <w:rFonts w:hint="eastAsia" w:ascii="仿宋" w:hAnsi="仿宋" w:eastAsia="仿宋" w:cs="仿宋"/>
                <w:color w:val="auto"/>
                <w:kern w:val="0"/>
                <w:sz w:val="21"/>
                <w:szCs w:val="21"/>
                <w:shd w:val="clear" w:color="auto" w:fill="FFFFFF" w:themeFill="background1"/>
              </w:rPr>
              <w:t>分，每缺一个要素扣</w:t>
            </w:r>
            <w:r>
              <w:rPr>
                <w:rFonts w:hint="eastAsia" w:ascii="仿宋" w:hAnsi="仿宋" w:eastAsia="仿宋" w:cs="仿宋"/>
                <w:color w:val="auto"/>
                <w:kern w:val="0"/>
                <w:sz w:val="21"/>
                <w:szCs w:val="21"/>
                <w:shd w:val="clear" w:color="auto" w:fill="FFFFFF" w:themeFill="background1"/>
                <w:lang w:val="en-US" w:eastAsia="zh-CN"/>
              </w:rPr>
              <w:t>2</w:t>
            </w:r>
            <w:r>
              <w:rPr>
                <w:rFonts w:hint="eastAsia" w:ascii="仿宋" w:hAnsi="仿宋" w:eastAsia="仿宋" w:cs="仿宋"/>
                <w:color w:val="auto"/>
                <w:kern w:val="0"/>
                <w:sz w:val="21"/>
                <w:szCs w:val="21"/>
                <w:shd w:val="clear" w:color="auto" w:fill="FFFFFF" w:themeFill="background1"/>
              </w:rPr>
              <w:t>分，每个要素里每有一处内容缺陷扣1分（扣完为止）。</w:t>
            </w:r>
          </w:p>
          <w:p w14:paraId="0EF2ECC5">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lang w:val="en-US" w:eastAsia="zh-CN"/>
              </w:rPr>
              <w:t>“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7F3A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4" w:type="pct"/>
            <w:shd w:val="clear" w:color="auto" w:fill="auto"/>
            <w:vAlign w:val="center"/>
          </w:tcPr>
          <w:p w14:paraId="36A8E6F1">
            <w:pPr>
              <w:spacing w:line="360" w:lineRule="auto"/>
              <w:jc w:val="center"/>
              <w:rPr>
                <w:rFonts w:hint="eastAsia" w:ascii="仿宋" w:hAnsi="仿宋" w:eastAsia="仿宋" w:cs="仿宋"/>
                <w:color w:val="auto"/>
                <w:kern w:val="0"/>
                <w:sz w:val="21"/>
                <w:szCs w:val="21"/>
                <w:shd w:val="clear" w:color="auto" w:fill="FFFFFF" w:themeFill="background1"/>
                <w:lang w:eastAsia="zh-CN"/>
              </w:rPr>
            </w:pPr>
            <w:r>
              <w:rPr>
                <w:rFonts w:hint="eastAsia" w:ascii="仿宋" w:hAnsi="仿宋" w:eastAsia="仿宋" w:cs="仿宋"/>
                <w:color w:val="auto"/>
                <w:kern w:val="0"/>
                <w:sz w:val="21"/>
                <w:szCs w:val="21"/>
                <w:shd w:val="clear" w:color="auto" w:fill="FFFFFF" w:themeFill="background1"/>
                <w:lang w:val="en-US" w:eastAsia="zh-CN"/>
              </w:rPr>
              <w:t>5</w:t>
            </w:r>
          </w:p>
        </w:tc>
        <w:tc>
          <w:tcPr>
            <w:tcW w:w="793" w:type="pct"/>
            <w:shd w:val="clear" w:color="auto" w:fill="auto"/>
            <w:vAlign w:val="center"/>
          </w:tcPr>
          <w:p w14:paraId="6A386348">
            <w:pPr>
              <w:spacing w:line="360" w:lineRule="auto"/>
              <w:jc w:val="center"/>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施工进度计划</w:t>
            </w:r>
          </w:p>
        </w:tc>
        <w:tc>
          <w:tcPr>
            <w:tcW w:w="415" w:type="pct"/>
            <w:shd w:val="clear" w:color="auto" w:fill="auto"/>
            <w:vAlign w:val="center"/>
          </w:tcPr>
          <w:p w14:paraId="5A8A18CD">
            <w:pPr>
              <w:spacing w:line="360" w:lineRule="auto"/>
              <w:jc w:val="center"/>
              <w:rPr>
                <w:rFonts w:hint="eastAsia" w:ascii="仿宋" w:hAnsi="仿宋" w:eastAsia="仿宋" w:cs="仿宋"/>
                <w:color w:val="auto"/>
                <w:kern w:val="0"/>
                <w:sz w:val="21"/>
                <w:szCs w:val="21"/>
                <w:shd w:val="clear" w:color="auto" w:fill="FFFFFF" w:themeFill="background1"/>
                <w:lang w:eastAsia="zh-CN"/>
              </w:rPr>
            </w:pPr>
            <w:r>
              <w:rPr>
                <w:rFonts w:hint="eastAsia" w:ascii="仿宋" w:hAnsi="仿宋" w:eastAsia="仿宋" w:cs="仿宋"/>
                <w:color w:val="auto"/>
                <w:kern w:val="0"/>
                <w:sz w:val="21"/>
                <w:szCs w:val="21"/>
                <w:shd w:val="clear" w:color="auto" w:fill="FFFFFF" w:themeFill="background1"/>
                <w:lang w:val="en-US" w:eastAsia="zh-CN"/>
              </w:rPr>
              <w:t>4</w:t>
            </w:r>
          </w:p>
        </w:tc>
        <w:tc>
          <w:tcPr>
            <w:tcW w:w="3386" w:type="pct"/>
            <w:shd w:val="clear" w:color="auto" w:fill="auto"/>
            <w:vAlign w:val="center"/>
          </w:tcPr>
          <w:p w14:paraId="0C195381">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施工进度计划包括但不限于：①空间计划、②时间计划；2部分要素。</w:t>
            </w:r>
          </w:p>
          <w:p w14:paraId="5DB52368">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所有要素齐全且完全满足项目要求得</w:t>
            </w:r>
            <w:r>
              <w:rPr>
                <w:rFonts w:hint="eastAsia" w:ascii="仿宋" w:hAnsi="仿宋" w:eastAsia="仿宋" w:cs="仿宋"/>
                <w:color w:val="auto"/>
                <w:kern w:val="0"/>
                <w:sz w:val="21"/>
                <w:szCs w:val="21"/>
                <w:shd w:val="clear" w:color="auto" w:fill="FFFFFF" w:themeFill="background1"/>
                <w:lang w:val="en-US" w:eastAsia="zh-CN"/>
              </w:rPr>
              <w:t>4</w:t>
            </w:r>
            <w:r>
              <w:rPr>
                <w:rFonts w:hint="eastAsia" w:ascii="仿宋" w:hAnsi="仿宋" w:eastAsia="仿宋" w:cs="仿宋"/>
                <w:color w:val="auto"/>
                <w:kern w:val="0"/>
                <w:sz w:val="21"/>
                <w:szCs w:val="21"/>
                <w:shd w:val="clear" w:color="auto" w:fill="FFFFFF" w:themeFill="background1"/>
              </w:rPr>
              <w:t>分，每缺一个要素扣</w:t>
            </w:r>
            <w:r>
              <w:rPr>
                <w:rFonts w:hint="eastAsia" w:ascii="仿宋" w:hAnsi="仿宋" w:eastAsia="仿宋" w:cs="仿宋"/>
                <w:color w:val="auto"/>
                <w:kern w:val="0"/>
                <w:sz w:val="21"/>
                <w:szCs w:val="21"/>
                <w:shd w:val="clear" w:color="auto" w:fill="FFFFFF" w:themeFill="background1"/>
                <w:lang w:val="en-US" w:eastAsia="zh-CN"/>
              </w:rPr>
              <w:t>2</w:t>
            </w:r>
            <w:r>
              <w:rPr>
                <w:rFonts w:hint="eastAsia" w:ascii="仿宋" w:hAnsi="仿宋" w:eastAsia="仿宋" w:cs="仿宋"/>
                <w:color w:val="auto"/>
                <w:kern w:val="0"/>
                <w:sz w:val="21"/>
                <w:szCs w:val="21"/>
                <w:shd w:val="clear" w:color="auto" w:fill="FFFFFF" w:themeFill="background1"/>
              </w:rPr>
              <w:t>分，每个要素里每有一处内容缺陷扣1分（扣完为止）。</w:t>
            </w:r>
          </w:p>
          <w:p w14:paraId="53E977D1">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lang w:val="en-US" w:eastAsia="zh-CN"/>
              </w:rPr>
              <w:t>“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6118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4" w:type="pct"/>
            <w:shd w:val="clear" w:color="auto" w:fill="auto"/>
            <w:vAlign w:val="center"/>
          </w:tcPr>
          <w:p w14:paraId="519697A9">
            <w:pPr>
              <w:spacing w:line="360" w:lineRule="auto"/>
              <w:jc w:val="center"/>
              <w:rPr>
                <w:rFonts w:hint="eastAsia" w:ascii="仿宋" w:hAnsi="仿宋" w:eastAsia="仿宋" w:cs="仿宋"/>
                <w:color w:val="auto"/>
                <w:kern w:val="0"/>
                <w:sz w:val="21"/>
                <w:szCs w:val="21"/>
                <w:shd w:val="clear" w:color="auto" w:fill="FFFFFF" w:themeFill="background1"/>
                <w:lang w:eastAsia="zh-CN"/>
              </w:rPr>
            </w:pPr>
            <w:r>
              <w:rPr>
                <w:rFonts w:hint="eastAsia" w:ascii="仿宋" w:hAnsi="仿宋" w:eastAsia="仿宋" w:cs="仿宋"/>
                <w:color w:val="auto"/>
                <w:kern w:val="0"/>
                <w:sz w:val="21"/>
                <w:szCs w:val="21"/>
                <w:shd w:val="clear" w:color="auto" w:fill="FFFFFF" w:themeFill="background1"/>
                <w:lang w:val="en-US" w:eastAsia="zh-CN"/>
              </w:rPr>
              <w:t>6</w:t>
            </w:r>
          </w:p>
        </w:tc>
        <w:tc>
          <w:tcPr>
            <w:tcW w:w="793" w:type="pct"/>
            <w:shd w:val="clear" w:color="auto" w:fill="auto"/>
            <w:vAlign w:val="center"/>
          </w:tcPr>
          <w:p w14:paraId="5AA23B90">
            <w:pPr>
              <w:spacing w:line="360" w:lineRule="auto"/>
              <w:jc w:val="center"/>
              <w:rPr>
                <w:rFonts w:hint="eastAsia" w:ascii="仿宋" w:hAnsi="仿宋" w:eastAsia="仿宋" w:cs="仿宋"/>
                <w:color w:val="auto"/>
                <w:kern w:val="0"/>
                <w:sz w:val="21"/>
                <w:szCs w:val="21"/>
                <w:shd w:val="clear" w:color="auto" w:fill="FFFFFF" w:themeFill="background1"/>
                <w:lang w:val="en-US" w:eastAsia="zh-CN" w:bidi="ar-SA"/>
              </w:rPr>
            </w:pPr>
            <w:r>
              <w:rPr>
                <w:rFonts w:hint="eastAsia" w:ascii="仿宋" w:hAnsi="仿宋" w:eastAsia="仿宋" w:cs="仿宋"/>
                <w:color w:val="auto"/>
                <w:kern w:val="0"/>
                <w:sz w:val="21"/>
                <w:szCs w:val="21"/>
                <w:shd w:val="clear" w:color="auto" w:fill="FFFFFF" w:themeFill="background1"/>
              </w:rPr>
              <w:t>需用量计划</w:t>
            </w:r>
          </w:p>
        </w:tc>
        <w:tc>
          <w:tcPr>
            <w:tcW w:w="415" w:type="pct"/>
            <w:shd w:val="clear" w:color="auto" w:fill="auto"/>
            <w:vAlign w:val="center"/>
          </w:tcPr>
          <w:p w14:paraId="08F732CF">
            <w:pPr>
              <w:spacing w:line="360" w:lineRule="auto"/>
              <w:jc w:val="center"/>
              <w:rPr>
                <w:rFonts w:hint="eastAsia" w:ascii="仿宋" w:hAnsi="仿宋" w:eastAsia="仿宋" w:cs="仿宋"/>
                <w:color w:val="auto"/>
                <w:kern w:val="0"/>
                <w:sz w:val="21"/>
                <w:szCs w:val="21"/>
                <w:shd w:val="clear" w:color="auto" w:fill="FFFFFF" w:themeFill="background1"/>
                <w:lang w:val="en-US" w:eastAsia="zh-CN" w:bidi="ar-SA"/>
              </w:rPr>
            </w:pPr>
            <w:r>
              <w:rPr>
                <w:rFonts w:hint="eastAsia" w:ascii="仿宋" w:hAnsi="仿宋" w:eastAsia="仿宋" w:cs="仿宋"/>
                <w:color w:val="auto"/>
                <w:kern w:val="0"/>
                <w:sz w:val="21"/>
                <w:szCs w:val="21"/>
                <w:shd w:val="clear" w:color="auto" w:fill="FFFFFF" w:themeFill="background1"/>
              </w:rPr>
              <w:t>9</w:t>
            </w:r>
          </w:p>
        </w:tc>
        <w:tc>
          <w:tcPr>
            <w:tcW w:w="3386" w:type="pct"/>
            <w:shd w:val="clear" w:color="auto" w:fill="auto"/>
            <w:vAlign w:val="center"/>
          </w:tcPr>
          <w:p w14:paraId="6723E930">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需用量计划包括但不限于：①劳动力需用量计划、②材料需用量计划、③机械设备需用量计划；3部分要素。</w:t>
            </w:r>
          </w:p>
          <w:p w14:paraId="1EAA034F">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所有要素齐全且完全满足项目要求得9分，每缺一个要素扣3分，每个要素里每有一处内容缺陷扣1分（扣完为止）。</w:t>
            </w:r>
          </w:p>
          <w:p w14:paraId="58A2A28C">
            <w:pPr>
              <w:spacing w:line="360" w:lineRule="auto"/>
              <w:ind w:firstLine="210" w:firstLineChars="100"/>
              <w:rPr>
                <w:rFonts w:hint="eastAsia" w:ascii="仿宋" w:hAnsi="仿宋" w:eastAsia="仿宋" w:cs="仿宋"/>
                <w:color w:val="auto"/>
                <w:kern w:val="0"/>
                <w:sz w:val="21"/>
                <w:szCs w:val="21"/>
                <w:shd w:val="clear" w:color="auto" w:fill="FFFFFF" w:themeFill="background1"/>
                <w:lang w:val="en-US" w:eastAsia="zh-CN" w:bidi="ar-SA"/>
              </w:rPr>
            </w:pPr>
            <w:r>
              <w:rPr>
                <w:rFonts w:hint="eastAsia" w:ascii="仿宋" w:hAnsi="仿宋" w:eastAsia="仿宋" w:cs="仿宋"/>
                <w:color w:val="auto"/>
                <w:kern w:val="0"/>
                <w:sz w:val="21"/>
                <w:szCs w:val="21"/>
                <w:shd w:val="clear" w:color="auto" w:fill="FFFFFF" w:themeFill="background1"/>
                <w:lang w:val="en-US" w:eastAsia="zh-CN"/>
              </w:rPr>
              <w:t>“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3293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4" w:type="pct"/>
            <w:shd w:val="clear" w:color="auto" w:fill="auto"/>
            <w:vAlign w:val="center"/>
          </w:tcPr>
          <w:p w14:paraId="1D600E46">
            <w:pPr>
              <w:spacing w:line="360" w:lineRule="auto"/>
              <w:jc w:val="center"/>
              <w:rPr>
                <w:rFonts w:hint="eastAsia" w:ascii="仿宋" w:hAnsi="仿宋" w:eastAsia="仿宋" w:cs="仿宋"/>
                <w:color w:val="auto"/>
                <w:kern w:val="0"/>
                <w:sz w:val="21"/>
                <w:szCs w:val="21"/>
                <w:shd w:val="clear" w:color="auto" w:fill="FFFFFF" w:themeFill="background1"/>
                <w:lang w:eastAsia="zh-CN"/>
              </w:rPr>
            </w:pPr>
            <w:r>
              <w:rPr>
                <w:rFonts w:hint="eastAsia" w:ascii="仿宋" w:hAnsi="仿宋" w:eastAsia="仿宋" w:cs="仿宋"/>
                <w:color w:val="auto"/>
                <w:kern w:val="0"/>
                <w:sz w:val="21"/>
                <w:szCs w:val="21"/>
                <w:shd w:val="clear" w:color="auto" w:fill="FFFFFF" w:themeFill="background1"/>
                <w:lang w:val="en-US" w:eastAsia="zh-CN"/>
              </w:rPr>
              <w:t>7</w:t>
            </w:r>
          </w:p>
        </w:tc>
        <w:tc>
          <w:tcPr>
            <w:tcW w:w="793" w:type="pct"/>
            <w:shd w:val="clear" w:color="auto" w:fill="auto"/>
            <w:vAlign w:val="center"/>
          </w:tcPr>
          <w:p w14:paraId="2548235A">
            <w:pPr>
              <w:spacing w:line="360" w:lineRule="auto"/>
              <w:jc w:val="center"/>
              <w:rPr>
                <w:rFonts w:hint="eastAsia" w:ascii="仿宋" w:hAnsi="仿宋" w:eastAsia="仿宋" w:cs="仿宋"/>
                <w:color w:val="auto"/>
                <w:kern w:val="0"/>
                <w:sz w:val="21"/>
                <w:szCs w:val="21"/>
                <w:shd w:val="clear" w:color="auto" w:fill="FFFFFF" w:themeFill="background1"/>
                <w:lang w:val="en-US" w:eastAsia="zh-CN" w:bidi="ar-SA"/>
              </w:rPr>
            </w:pPr>
            <w:r>
              <w:rPr>
                <w:rFonts w:hint="eastAsia" w:ascii="仿宋" w:hAnsi="仿宋" w:eastAsia="仿宋" w:cs="仿宋"/>
                <w:color w:val="auto"/>
                <w:kern w:val="0"/>
                <w:sz w:val="21"/>
                <w:szCs w:val="21"/>
                <w:shd w:val="clear" w:color="auto" w:fill="FFFFFF" w:themeFill="background1"/>
              </w:rPr>
              <w:t>质量保证措施和体系</w:t>
            </w:r>
          </w:p>
        </w:tc>
        <w:tc>
          <w:tcPr>
            <w:tcW w:w="415" w:type="pct"/>
            <w:shd w:val="clear" w:color="auto" w:fill="auto"/>
            <w:vAlign w:val="center"/>
          </w:tcPr>
          <w:p w14:paraId="01C94FEE">
            <w:pPr>
              <w:spacing w:line="360" w:lineRule="auto"/>
              <w:jc w:val="center"/>
              <w:rPr>
                <w:rFonts w:hint="eastAsia" w:ascii="仿宋" w:hAnsi="仿宋" w:eastAsia="仿宋" w:cs="仿宋"/>
                <w:color w:val="auto"/>
                <w:kern w:val="0"/>
                <w:sz w:val="21"/>
                <w:szCs w:val="21"/>
                <w:shd w:val="clear" w:color="auto" w:fill="FFFFFF" w:themeFill="background1"/>
                <w:lang w:val="en-US" w:eastAsia="zh-CN" w:bidi="ar-SA"/>
              </w:rPr>
            </w:pPr>
            <w:r>
              <w:rPr>
                <w:rFonts w:hint="eastAsia" w:ascii="仿宋" w:hAnsi="仿宋" w:eastAsia="仿宋" w:cs="仿宋"/>
                <w:color w:val="auto"/>
                <w:kern w:val="0"/>
                <w:sz w:val="21"/>
                <w:szCs w:val="21"/>
                <w:shd w:val="clear" w:color="auto" w:fill="FFFFFF" w:themeFill="background1"/>
              </w:rPr>
              <w:t>8</w:t>
            </w:r>
          </w:p>
        </w:tc>
        <w:tc>
          <w:tcPr>
            <w:tcW w:w="3386" w:type="pct"/>
            <w:shd w:val="clear" w:color="auto" w:fill="auto"/>
            <w:vAlign w:val="center"/>
          </w:tcPr>
          <w:p w14:paraId="6236EA05">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质量保证措施和体系包括但不限于：①技术组织措施、②保证体系；2部分要素。</w:t>
            </w:r>
          </w:p>
          <w:p w14:paraId="08C3555A">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所有要素齐全且完全满足项目要求得8分，每缺一个要素扣4分，每个要素里每有一处内容缺陷扣2分（扣完为止）。</w:t>
            </w:r>
          </w:p>
          <w:p w14:paraId="41A730E0">
            <w:pPr>
              <w:spacing w:line="360" w:lineRule="auto"/>
              <w:ind w:firstLine="210" w:firstLineChars="100"/>
              <w:rPr>
                <w:rFonts w:hint="eastAsia" w:ascii="仿宋" w:hAnsi="仿宋" w:eastAsia="仿宋" w:cs="仿宋"/>
                <w:color w:val="auto"/>
                <w:kern w:val="0"/>
                <w:sz w:val="21"/>
                <w:szCs w:val="21"/>
                <w:shd w:val="clear" w:color="auto" w:fill="FFFFFF" w:themeFill="background1"/>
                <w:lang w:val="en-US" w:eastAsia="zh-CN" w:bidi="ar-SA"/>
              </w:rPr>
            </w:pPr>
            <w:r>
              <w:rPr>
                <w:rFonts w:hint="eastAsia" w:ascii="仿宋" w:hAnsi="仿宋" w:eastAsia="仿宋" w:cs="仿宋"/>
                <w:color w:val="auto"/>
                <w:kern w:val="0"/>
                <w:sz w:val="21"/>
                <w:szCs w:val="21"/>
                <w:shd w:val="clear" w:color="auto" w:fill="FFFFFF" w:themeFill="background1"/>
                <w:lang w:val="en-US" w:eastAsia="zh-CN"/>
              </w:rPr>
              <w:t>“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32A4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4" w:type="pct"/>
            <w:shd w:val="clear" w:color="auto" w:fill="auto"/>
            <w:vAlign w:val="center"/>
          </w:tcPr>
          <w:p w14:paraId="62A97982">
            <w:pPr>
              <w:spacing w:line="360" w:lineRule="auto"/>
              <w:jc w:val="center"/>
              <w:rPr>
                <w:rFonts w:hint="eastAsia" w:ascii="仿宋" w:hAnsi="仿宋" w:eastAsia="仿宋" w:cs="仿宋"/>
                <w:color w:val="auto"/>
                <w:kern w:val="0"/>
                <w:sz w:val="21"/>
                <w:szCs w:val="21"/>
                <w:shd w:val="clear" w:color="auto" w:fill="FFFFFF" w:themeFill="background1"/>
                <w:lang w:eastAsia="zh-CN"/>
              </w:rPr>
            </w:pPr>
            <w:r>
              <w:rPr>
                <w:rFonts w:hint="eastAsia" w:ascii="仿宋" w:hAnsi="仿宋" w:eastAsia="仿宋" w:cs="仿宋"/>
                <w:color w:val="auto"/>
                <w:kern w:val="0"/>
                <w:sz w:val="21"/>
                <w:szCs w:val="21"/>
                <w:shd w:val="clear" w:color="auto" w:fill="FFFFFF" w:themeFill="background1"/>
                <w:lang w:val="en-US" w:eastAsia="zh-CN"/>
              </w:rPr>
              <w:t>8</w:t>
            </w:r>
          </w:p>
        </w:tc>
        <w:tc>
          <w:tcPr>
            <w:tcW w:w="793" w:type="pct"/>
            <w:shd w:val="clear" w:color="auto" w:fill="auto"/>
            <w:vAlign w:val="center"/>
          </w:tcPr>
          <w:p w14:paraId="5110E57D">
            <w:pPr>
              <w:spacing w:line="360" w:lineRule="auto"/>
              <w:jc w:val="center"/>
              <w:rPr>
                <w:rFonts w:hint="eastAsia" w:ascii="仿宋" w:hAnsi="仿宋" w:eastAsia="仿宋" w:cs="仿宋"/>
                <w:color w:val="auto"/>
                <w:kern w:val="0"/>
                <w:sz w:val="21"/>
                <w:szCs w:val="21"/>
                <w:shd w:val="clear" w:color="auto" w:fill="FFFFFF" w:themeFill="background1"/>
                <w:lang w:val="en-US" w:eastAsia="zh-CN" w:bidi="ar-SA"/>
              </w:rPr>
            </w:pPr>
            <w:r>
              <w:rPr>
                <w:rFonts w:hint="eastAsia" w:ascii="仿宋" w:hAnsi="仿宋" w:eastAsia="仿宋" w:cs="仿宋"/>
                <w:color w:val="auto"/>
                <w:kern w:val="0"/>
                <w:sz w:val="21"/>
                <w:szCs w:val="21"/>
                <w:shd w:val="clear" w:color="auto" w:fill="FFFFFF" w:themeFill="background1"/>
              </w:rPr>
              <w:t>工期保证措施和体系</w:t>
            </w:r>
          </w:p>
        </w:tc>
        <w:tc>
          <w:tcPr>
            <w:tcW w:w="415" w:type="pct"/>
            <w:shd w:val="clear" w:color="auto" w:fill="auto"/>
            <w:vAlign w:val="center"/>
          </w:tcPr>
          <w:p w14:paraId="5EBBC991">
            <w:pPr>
              <w:spacing w:line="360" w:lineRule="auto"/>
              <w:jc w:val="center"/>
              <w:rPr>
                <w:rFonts w:hint="eastAsia" w:ascii="仿宋" w:hAnsi="仿宋" w:eastAsia="仿宋" w:cs="仿宋"/>
                <w:color w:val="auto"/>
                <w:kern w:val="0"/>
                <w:sz w:val="21"/>
                <w:szCs w:val="21"/>
                <w:shd w:val="clear" w:color="auto" w:fill="FFFFFF" w:themeFill="background1"/>
                <w:lang w:val="en-US" w:eastAsia="zh-CN" w:bidi="ar-SA"/>
              </w:rPr>
            </w:pPr>
            <w:r>
              <w:rPr>
                <w:rFonts w:hint="eastAsia" w:ascii="仿宋" w:hAnsi="仿宋" w:eastAsia="仿宋" w:cs="仿宋"/>
                <w:color w:val="auto"/>
                <w:kern w:val="0"/>
                <w:sz w:val="21"/>
                <w:szCs w:val="21"/>
                <w:shd w:val="clear" w:color="auto" w:fill="FFFFFF" w:themeFill="background1"/>
              </w:rPr>
              <w:t>8</w:t>
            </w:r>
          </w:p>
        </w:tc>
        <w:tc>
          <w:tcPr>
            <w:tcW w:w="3386" w:type="pct"/>
            <w:shd w:val="clear" w:color="auto" w:fill="auto"/>
            <w:vAlign w:val="center"/>
          </w:tcPr>
          <w:p w14:paraId="03DD3A72">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工期保证措施和体系包括但不限于：①技术组织措施、②保证体系；2部分要素。</w:t>
            </w:r>
          </w:p>
          <w:p w14:paraId="71EE4538">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所有要素齐全且完全满足项目要求得8分，每缺一个要素扣4分，每个要素里每有一处内容缺陷扣2分（扣完为止）。</w:t>
            </w:r>
          </w:p>
          <w:p w14:paraId="3BDD13E3">
            <w:pPr>
              <w:spacing w:line="360" w:lineRule="auto"/>
              <w:ind w:firstLine="210" w:firstLineChars="100"/>
              <w:rPr>
                <w:rFonts w:hint="eastAsia" w:ascii="仿宋" w:hAnsi="仿宋" w:eastAsia="仿宋" w:cs="仿宋"/>
                <w:color w:val="auto"/>
                <w:kern w:val="0"/>
                <w:sz w:val="21"/>
                <w:szCs w:val="21"/>
                <w:shd w:val="clear" w:color="auto" w:fill="FFFFFF" w:themeFill="background1"/>
                <w:lang w:val="en-US" w:eastAsia="zh-CN" w:bidi="ar-SA"/>
              </w:rPr>
            </w:pPr>
            <w:r>
              <w:rPr>
                <w:rFonts w:hint="eastAsia" w:ascii="仿宋" w:hAnsi="仿宋" w:eastAsia="仿宋" w:cs="仿宋"/>
                <w:color w:val="auto"/>
                <w:kern w:val="0"/>
                <w:sz w:val="21"/>
                <w:szCs w:val="21"/>
                <w:shd w:val="clear" w:color="auto" w:fill="FFFFFF" w:themeFill="background1"/>
                <w:lang w:val="en-US" w:eastAsia="zh-CN"/>
              </w:rPr>
              <w:t>“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3500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4" w:type="pct"/>
            <w:shd w:val="clear" w:color="auto" w:fill="auto"/>
            <w:vAlign w:val="center"/>
          </w:tcPr>
          <w:p w14:paraId="436897C4">
            <w:pPr>
              <w:spacing w:line="360" w:lineRule="auto"/>
              <w:jc w:val="center"/>
              <w:rPr>
                <w:rFonts w:hint="eastAsia" w:ascii="仿宋" w:hAnsi="仿宋" w:eastAsia="仿宋" w:cs="仿宋"/>
                <w:color w:val="auto"/>
                <w:kern w:val="0"/>
                <w:sz w:val="21"/>
                <w:szCs w:val="21"/>
                <w:shd w:val="clear" w:color="auto" w:fill="FFFFFF" w:themeFill="background1"/>
                <w:lang w:eastAsia="zh-CN"/>
              </w:rPr>
            </w:pPr>
            <w:r>
              <w:rPr>
                <w:rFonts w:hint="eastAsia" w:ascii="仿宋" w:hAnsi="仿宋" w:eastAsia="仿宋" w:cs="仿宋"/>
                <w:color w:val="auto"/>
                <w:kern w:val="0"/>
                <w:sz w:val="21"/>
                <w:szCs w:val="21"/>
                <w:shd w:val="clear" w:color="auto" w:fill="FFFFFF" w:themeFill="background1"/>
                <w:lang w:val="en-US" w:eastAsia="zh-CN"/>
              </w:rPr>
              <w:t>9</w:t>
            </w:r>
          </w:p>
        </w:tc>
        <w:tc>
          <w:tcPr>
            <w:tcW w:w="793" w:type="pct"/>
            <w:shd w:val="clear" w:color="auto" w:fill="auto"/>
            <w:vAlign w:val="center"/>
          </w:tcPr>
          <w:p w14:paraId="5145CA42">
            <w:pPr>
              <w:spacing w:line="360" w:lineRule="auto"/>
              <w:jc w:val="center"/>
              <w:rPr>
                <w:rFonts w:hint="eastAsia" w:ascii="仿宋" w:hAnsi="仿宋" w:eastAsia="仿宋" w:cs="仿宋"/>
                <w:color w:val="auto"/>
                <w:kern w:val="0"/>
                <w:sz w:val="21"/>
                <w:szCs w:val="21"/>
                <w:shd w:val="clear" w:color="auto" w:fill="FFFFFF" w:themeFill="background1"/>
                <w:lang w:val="en-US" w:eastAsia="zh-CN" w:bidi="ar-SA"/>
              </w:rPr>
            </w:pPr>
            <w:r>
              <w:rPr>
                <w:rFonts w:hint="eastAsia" w:ascii="仿宋" w:hAnsi="仿宋" w:eastAsia="仿宋" w:cs="仿宋"/>
                <w:color w:val="auto"/>
                <w:kern w:val="0"/>
                <w:sz w:val="21"/>
                <w:szCs w:val="21"/>
                <w:shd w:val="clear" w:color="auto" w:fill="FFFFFF" w:themeFill="background1"/>
              </w:rPr>
              <w:t>安全保证措施和体系</w:t>
            </w:r>
          </w:p>
        </w:tc>
        <w:tc>
          <w:tcPr>
            <w:tcW w:w="415" w:type="pct"/>
            <w:shd w:val="clear" w:color="auto" w:fill="auto"/>
            <w:vAlign w:val="center"/>
          </w:tcPr>
          <w:p w14:paraId="2D536C96">
            <w:pPr>
              <w:spacing w:line="360" w:lineRule="auto"/>
              <w:jc w:val="center"/>
              <w:rPr>
                <w:rFonts w:hint="eastAsia" w:ascii="仿宋" w:hAnsi="仿宋" w:eastAsia="仿宋" w:cs="仿宋"/>
                <w:color w:val="auto"/>
                <w:kern w:val="0"/>
                <w:sz w:val="21"/>
                <w:szCs w:val="21"/>
                <w:shd w:val="clear" w:color="auto" w:fill="FFFFFF" w:themeFill="background1"/>
                <w:lang w:val="en-US" w:eastAsia="zh-CN" w:bidi="ar-SA"/>
              </w:rPr>
            </w:pPr>
            <w:r>
              <w:rPr>
                <w:rFonts w:hint="eastAsia" w:ascii="仿宋" w:hAnsi="仿宋" w:eastAsia="仿宋" w:cs="仿宋"/>
                <w:color w:val="auto"/>
                <w:kern w:val="0"/>
                <w:sz w:val="21"/>
                <w:szCs w:val="21"/>
                <w:shd w:val="clear" w:color="auto" w:fill="FFFFFF" w:themeFill="background1"/>
              </w:rPr>
              <w:t>8</w:t>
            </w:r>
          </w:p>
        </w:tc>
        <w:tc>
          <w:tcPr>
            <w:tcW w:w="3386" w:type="pct"/>
            <w:shd w:val="clear" w:color="auto" w:fill="auto"/>
            <w:vAlign w:val="center"/>
          </w:tcPr>
          <w:p w14:paraId="46154BFE">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安全保证措施和体系包括但不限于：①技术组织措施、②保证体系；2部分要素。</w:t>
            </w:r>
          </w:p>
          <w:p w14:paraId="1F9485EF">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所有要素齐全且完全满足项目要求得8分，每缺一个要素扣4分，每个要素里每有一处内容缺陷扣2分（扣完为止）。</w:t>
            </w:r>
          </w:p>
          <w:p w14:paraId="5A401C96">
            <w:pPr>
              <w:spacing w:line="360" w:lineRule="auto"/>
              <w:ind w:firstLine="210" w:firstLineChars="100"/>
              <w:rPr>
                <w:rFonts w:hint="eastAsia" w:ascii="仿宋" w:hAnsi="仿宋" w:eastAsia="仿宋" w:cs="仿宋"/>
                <w:color w:val="auto"/>
                <w:kern w:val="0"/>
                <w:sz w:val="21"/>
                <w:szCs w:val="21"/>
                <w:shd w:val="clear" w:color="auto" w:fill="FFFFFF" w:themeFill="background1"/>
                <w:lang w:val="en-US" w:eastAsia="zh-CN" w:bidi="ar-SA"/>
              </w:rPr>
            </w:pPr>
            <w:r>
              <w:rPr>
                <w:rFonts w:hint="eastAsia" w:ascii="仿宋" w:hAnsi="仿宋" w:eastAsia="仿宋" w:cs="仿宋"/>
                <w:color w:val="auto"/>
                <w:kern w:val="0"/>
                <w:sz w:val="21"/>
                <w:szCs w:val="21"/>
                <w:shd w:val="clear" w:color="auto" w:fill="FFFFFF" w:themeFill="background1"/>
                <w:lang w:val="en-US" w:eastAsia="zh-CN"/>
              </w:rPr>
              <w:t>“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31D7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4" w:type="pct"/>
            <w:shd w:val="clear" w:color="auto" w:fill="auto"/>
            <w:vAlign w:val="center"/>
          </w:tcPr>
          <w:p w14:paraId="5E2245E7">
            <w:pPr>
              <w:spacing w:line="360" w:lineRule="auto"/>
              <w:jc w:val="center"/>
              <w:rPr>
                <w:rFonts w:hint="eastAsia" w:ascii="仿宋" w:hAnsi="仿宋" w:eastAsia="仿宋" w:cs="仿宋"/>
                <w:color w:val="auto"/>
                <w:kern w:val="0"/>
                <w:sz w:val="21"/>
                <w:szCs w:val="21"/>
                <w:shd w:val="clear" w:color="auto" w:fill="FFFFFF" w:themeFill="background1"/>
                <w:lang w:val="en-US" w:eastAsia="zh-CN"/>
              </w:rPr>
            </w:pPr>
            <w:r>
              <w:rPr>
                <w:rFonts w:hint="eastAsia" w:ascii="仿宋" w:hAnsi="仿宋" w:eastAsia="仿宋" w:cs="仿宋"/>
                <w:color w:val="auto"/>
                <w:kern w:val="0"/>
                <w:sz w:val="21"/>
                <w:szCs w:val="21"/>
                <w:shd w:val="clear" w:color="auto" w:fill="FFFFFF" w:themeFill="background1"/>
                <w:lang w:val="en-US" w:eastAsia="zh-CN"/>
              </w:rPr>
              <w:t>10</w:t>
            </w:r>
          </w:p>
        </w:tc>
        <w:tc>
          <w:tcPr>
            <w:tcW w:w="793" w:type="pct"/>
            <w:shd w:val="clear" w:color="auto" w:fill="auto"/>
            <w:vAlign w:val="center"/>
          </w:tcPr>
          <w:p w14:paraId="062B072C">
            <w:pPr>
              <w:spacing w:line="360" w:lineRule="auto"/>
              <w:jc w:val="center"/>
              <w:rPr>
                <w:rFonts w:hint="eastAsia" w:ascii="仿宋" w:hAnsi="仿宋" w:eastAsia="仿宋" w:cs="仿宋"/>
                <w:color w:val="auto"/>
                <w:kern w:val="0"/>
                <w:sz w:val="21"/>
                <w:szCs w:val="21"/>
                <w:shd w:val="clear" w:color="auto" w:fill="FFFFFF" w:themeFill="background1"/>
                <w:lang w:val="en-US" w:eastAsia="zh-CN" w:bidi="ar-SA"/>
              </w:rPr>
            </w:pPr>
            <w:r>
              <w:rPr>
                <w:rFonts w:hint="eastAsia" w:ascii="仿宋" w:hAnsi="仿宋" w:eastAsia="仿宋" w:cs="仿宋"/>
                <w:color w:val="auto"/>
                <w:kern w:val="0"/>
                <w:sz w:val="21"/>
                <w:szCs w:val="21"/>
                <w:shd w:val="clear" w:color="auto" w:fill="FFFFFF" w:themeFill="background1"/>
              </w:rPr>
              <w:t>现场文明施工措施</w:t>
            </w:r>
          </w:p>
        </w:tc>
        <w:tc>
          <w:tcPr>
            <w:tcW w:w="415" w:type="pct"/>
            <w:shd w:val="clear" w:color="auto" w:fill="auto"/>
            <w:vAlign w:val="center"/>
          </w:tcPr>
          <w:p w14:paraId="3126FC10">
            <w:pPr>
              <w:spacing w:line="360" w:lineRule="auto"/>
              <w:jc w:val="center"/>
              <w:rPr>
                <w:rFonts w:hint="eastAsia" w:ascii="仿宋" w:hAnsi="仿宋" w:eastAsia="仿宋" w:cs="仿宋"/>
                <w:color w:val="auto"/>
                <w:kern w:val="0"/>
                <w:sz w:val="21"/>
                <w:szCs w:val="21"/>
                <w:shd w:val="clear" w:color="auto" w:fill="FFFFFF" w:themeFill="background1"/>
                <w:lang w:val="en-US" w:eastAsia="zh-CN" w:bidi="ar-SA"/>
              </w:rPr>
            </w:pPr>
            <w:r>
              <w:rPr>
                <w:rFonts w:hint="eastAsia" w:ascii="仿宋" w:hAnsi="仿宋" w:eastAsia="仿宋" w:cs="仿宋"/>
                <w:color w:val="auto"/>
                <w:kern w:val="0"/>
                <w:sz w:val="21"/>
                <w:szCs w:val="21"/>
                <w:shd w:val="clear" w:color="auto" w:fill="FFFFFF" w:themeFill="background1"/>
              </w:rPr>
              <w:t>3</w:t>
            </w:r>
          </w:p>
        </w:tc>
        <w:tc>
          <w:tcPr>
            <w:tcW w:w="3386" w:type="pct"/>
            <w:shd w:val="clear" w:color="auto" w:fill="auto"/>
            <w:vAlign w:val="center"/>
          </w:tcPr>
          <w:p w14:paraId="3D2F5C82">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现场文明施工措施包括但不限于：①文明施工目标、②文明施工要点；2部分要素。</w:t>
            </w:r>
          </w:p>
          <w:p w14:paraId="5E60D3F4">
            <w:pPr>
              <w:spacing w:line="360" w:lineRule="auto"/>
              <w:ind w:firstLine="210" w:firstLineChars="100"/>
              <w:rPr>
                <w:rFonts w:hint="eastAsia" w:ascii="仿宋" w:hAnsi="仿宋" w:eastAsia="仿宋" w:cs="仿宋"/>
                <w:color w:val="auto"/>
                <w:kern w:val="0"/>
                <w:sz w:val="21"/>
                <w:szCs w:val="21"/>
                <w:shd w:val="clear" w:color="auto" w:fill="FFFFFF" w:themeFill="background1"/>
                <w:lang w:val="en-US" w:eastAsia="zh-CN"/>
              </w:rPr>
            </w:pPr>
            <w:r>
              <w:rPr>
                <w:rFonts w:hint="eastAsia" w:ascii="仿宋" w:hAnsi="仿宋" w:eastAsia="仿宋" w:cs="仿宋"/>
                <w:color w:val="auto"/>
                <w:kern w:val="0"/>
                <w:sz w:val="21"/>
                <w:szCs w:val="21"/>
                <w:shd w:val="clear" w:color="auto" w:fill="FFFFFF" w:themeFill="background1"/>
              </w:rPr>
              <w:t>所有要素齐全且完全满足项目要求得3分，每缺一个要素扣1.5分，</w:t>
            </w:r>
            <w:r>
              <w:rPr>
                <w:rFonts w:hint="eastAsia" w:ascii="仿宋" w:hAnsi="仿宋" w:eastAsia="仿宋" w:cs="仿宋"/>
                <w:color w:val="auto"/>
                <w:kern w:val="0"/>
                <w:sz w:val="21"/>
                <w:szCs w:val="21"/>
                <w:shd w:val="clear" w:color="auto" w:fill="FFFFFF" w:themeFill="background1"/>
                <w:lang w:val="en-US" w:eastAsia="zh-CN"/>
              </w:rPr>
              <w:t>每个要素里每有一处内容缺陷扣0.5分（扣完为止）。</w:t>
            </w:r>
          </w:p>
          <w:p w14:paraId="7B8D0A0F">
            <w:pPr>
              <w:spacing w:line="360" w:lineRule="auto"/>
              <w:ind w:firstLine="210" w:firstLineChars="100"/>
              <w:rPr>
                <w:rFonts w:hint="eastAsia"/>
                <w:color w:val="auto"/>
                <w:lang w:val="en-US" w:eastAsia="zh-CN"/>
              </w:rPr>
            </w:pPr>
            <w:r>
              <w:rPr>
                <w:rFonts w:hint="eastAsia" w:ascii="仿宋" w:hAnsi="仿宋" w:eastAsia="仿宋" w:cs="仿宋"/>
                <w:color w:val="auto"/>
                <w:kern w:val="0"/>
                <w:sz w:val="21"/>
                <w:szCs w:val="21"/>
                <w:shd w:val="clear" w:color="auto" w:fill="FFFFFF" w:themeFill="background1"/>
                <w:lang w:val="en-US" w:eastAsia="zh-CN"/>
              </w:rPr>
              <w:t>“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0DB8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4" w:type="pct"/>
            <w:shd w:val="clear" w:color="auto" w:fill="auto"/>
            <w:vAlign w:val="center"/>
          </w:tcPr>
          <w:p w14:paraId="4732EEA9">
            <w:pPr>
              <w:spacing w:line="360" w:lineRule="auto"/>
              <w:jc w:val="center"/>
              <w:rPr>
                <w:rFonts w:hint="default" w:ascii="仿宋" w:hAnsi="仿宋" w:eastAsia="仿宋" w:cs="仿宋"/>
                <w:color w:val="auto"/>
                <w:kern w:val="0"/>
                <w:sz w:val="21"/>
                <w:szCs w:val="21"/>
                <w:shd w:val="clear" w:color="auto" w:fill="FFFFFF" w:themeFill="background1"/>
                <w:lang w:val="en-US" w:eastAsia="zh-CN"/>
              </w:rPr>
            </w:pPr>
            <w:r>
              <w:rPr>
                <w:rFonts w:hint="eastAsia" w:ascii="仿宋" w:hAnsi="仿宋" w:eastAsia="仿宋" w:cs="仿宋"/>
                <w:color w:val="auto"/>
                <w:kern w:val="0"/>
                <w:sz w:val="21"/>
                <w:szCs w:val="21"/>
                <w:shd w:val="clear" w:color="auto" w:fill="FFFFFF" w:themeFill="background1"/>
                <w:lang w:val="en-US" w:eastAsia="zh-CN"/>
              </w:rPr>
              <w:t>11</w:t>
            </w:r>
          </w:p>
        </w:tc>
        <w:tc>
          <w:tcPr>
            <w:tcW w:w="793" w:type="pct"/>
            <w:shd w:val="clear" w:color="auto" w:fill="auto"/>
            <w:vAlign w:val="center"/>
          </w:tcPr>
          <w:p w14:paraId="5DEDC333">
            <w:pPr>
              <w:spacing w:line="360" w:lineRule="auto"/>
              <w:jc w:val="center"/>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实施方案</w:t>
            </w:r>
          </w:p>
        </w:tc>
        <w:tc>
          <w:tcPr>
            <w:tcW w:w="415" w:type="pct"/>
            <w:shd w:val="clear" w:color="auto" w:fill="auto"/>
            <w:vAlign w:val="center"/>
          </w:tcPr>
          <w:p w14:paraId="5100ED6C">
            <w:pPr>
              <w:spacing w:line="360" w:lineRule="auto"/>
              <w:jc w:val="center"/>
              <w:rPr>
                <w:rFonts w:hint="eastAsia" w:ascii="仿宋" w:hAnsi="仿宋" w:eastAsia="仿宋" w:cs="仿宋"/>
                <w:color w:val="auto"/>
                <w:kern w:val="0"/>
                <w:sz w:val="21"/>
                <w:szCs w:val="21"/>
                <w:shd w:val="clear" w:color="auto" w:fill="FFFFFF" w:themeFill="background1"/>
                <w:lang w:val="en-US" w:eastAsia="zh-CN"/>
              </w:rPr>
            </w:pPr>
            <w:r>
              <w:rPr>
                <w:rFonts w:hint="eastAsia" w:ascii="仿宋" w:hAnsi="仿宋" w:eastAsia="仿宋" w:cs="仿宋"/>
                <w:color w:val="auto"/>
                <w:kern w:val="0"/>
                <w:sz w:val="21"/>
                <w:szCs w:val="21"/>
                <w:shd w:val="clear" w:color="auto" w:fill="FFFFFF" w:themeFill="background1"/>
                <w:lang w:val="en-US" w:eastAsia="zh-CN"/>
              </w:rPr>
              <w:t>6</w:t>
            </w:r>
          </w:p>
        </w:tc>
        <w:tc>
          <w:tcPr>
            <w:tcW w:w="3386" w:type="pct"/>
            <w:shd w:val="clear" w:color="auto" w:fill="auto"/>
            <w:vAlign w:val="center"/>
          </w:tcPr>
          <w:p w14:paraId="29F38C55">
            <w:pPr>
              <w:spacing w:line="360" w:lineRule="auto"/>
              <w:ind w:firstLine="210" w:firstLineChars="100"/>
              <w:rPr>
                <w:rFonts w:hint="eastAsia" w:ascii="仿宋" w:hAnsi="仿宋" w:eastAsia="仿宋" w:cs="仿宋"/>
                <w:color w:val="auto"/>
                <w:kern w:val="0"/>
                <w:sz w:val="21"/>
                <w:szCs w:val="21"/>
                <w:shd w:val="clear" w:color="auto" w:fill="FFFFFF" w:themeFill="background1"/>
                <w:lang w:eastAsia="zh-CN"/>
              </w:rPr>
            </w:pPr>
            <w:r>
              <w:rPr>
                <w:rFonts w:hint="eastAsia" w:ascii="仿宋" w:hAnsi="仿宋" w:eastAsia="仿宋" w:cs="仿宋"/>
                <w:color w:val="auto"/>
                <w:kern w:val="0"/>
                <w:sz w:val="21"/>
                <w:szCs w:val="21"/>
                <w:shd w:val="clear" w:color="auto" w:fill="FFFFFF" w:themeFill="background1"/>
              </w:rPr>
              <w:t>方案内容包含但不限于：①产品备货方案；②产品配送及安装调试方案；③质量保障措施</w:t>
            </w:r>
            <w:r>
              <w:rPr>
                <w:rFonts w:hint="eastAsia" w:ascii="仿宋" w:hAnsi="仿宋" w:eastAsia="仿宋" w:cs="仿宋"/>
                <w:color w:val="auto"/>
                <w:kern w:val="0"/>
                <w:sz w:val="21"/>
                <w:szCs w:val="21"/>
                <w:shd w:val="clear" w:color="auto" w:fill="FFFFFF" w:themeFill="background1"/>
                <w:lang w:eastAsia="zh-CN"/>
              </w:rPr>
              <w:t>。</w:t>
            </w:r>
          </w:p>
          <w:p w14:paraId="3C856A2B">
            <w:pPr>
              <w:spacing w:line="360" w:lineRule="auto"/>
              <w:ind w:firstLine="210" w:firstLineChars="100"/>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所有要素齐全且完全满足项目要求得</w:t>
            </w:r>
            <w:r>
              <w:rPr>
                <w:rFonts w:hint="eastAsia" w:ascii="仿宋" w:hAnsi="仿宋" w:eastAsia="仿宋" w:cs="仿宋"/>
                <w:color w:val="auto"/>
                <w:kern w:val="0"/>
                <w:sz w:val="21"/>
                <w:szCs w:val="21"/>
                <w:shd w:val="clear" w:color="auto" w:fill="FFFFFF" w:themeFill="background1"/>
                <w:lang w:val="en-US" w:eastAsia="zh-CN"/>
              </w:rPr>
              <w:t>6</w:t>
            </w:r>
            <w:r>
              <w:rPr>
                <w:rFonts w:hint="eastAsia" w:ascii="仿宋" w:hAnsi="仿宋" w:eastAsia="仿宋" w:cs="仿宋"/>
                <w:color w:val="auto"/>
                <w:kern w:val="0"/>
                <w:sz w:val="21"/>
                <w:szCs w:val="21"/>
                <w:shd w:val="clear" w:color="auto" w:fill="FFFFFF" w:themeFill="background1"/>
              </w:rPr>
              <w:t>分，每缺一个要素扣</w:t>
            </w:r>
            <w:r>
              <w:rPr>
                <w:rFonts w:hint="eastAsia" w:ascii="仿宋" w:hAnsi="仿宋" w:eastAsia="仿宋" w:cs="仿宋"/>
                <w:color w:val="auto"/>
                <w:kern w:val="0"/>
                <w:sz w:val="21"/>
                <w:szCs w:val="21"/>
                <w:shd w:val="clear" w:color="auto" w:fill="FFFFFF" w:themeFill="background1"/>
                <w:lang w:val="en-US" w:eastAsia="zh-CN"/>
              </w:rPr>
              <w:t>2</w:t>
            </w:r>
            <w:r>
              <w:rPr>
                <w:rFonts w:hint="eastAsia" w:ascii="仿宋" w:hAnsi="仿宋" w:eastAsia="仿宋" w:cs="仿宋"/>
                <w:color w:val="auto"/>
                <w:kern w:val="0"/>
                <w:sz w:val="21"/>
                <w:szCs w:val="21"/>
                <w:shd w:val="clear" w:color="auto" w:fill="FFFFFF" w:themeFill="background1"/>
              </w:rPr>
              <w:t>分，</w:t>
            </w:r>
            <w:r>
              <w:rPr>
                <w:rFonts w:hint="eastAsia" w:ascii="仿宋" w:hAnsi="仿宋" w:eastAsia="仿宋" w:cs="仿宋"/>
                <w:color w:val="auto"/>
                <w:kern w:val="0"/>
                <w:sz w:val="21"/>
                <w:szCs w:val="21"/>
                <w:shd w:val="clear" w:color="auto" w:fill="FFFFFF" w:themeFill="background1"/>
                <w:lang w:val="en-US" w:eastAsia="zh-CN"/>
              </w:rPr>
              <w:t>每个要素里每有一处内容缺陷扣1分（扣完为止）。</w:t>
            </w:r>
          </w:p>
          <w:p w14:paraId="2D4A2ED9">
            <w:pPr>
              <w:spacing w:line="360" w:lineRule="auto"/>
              <w:ind w:firstLine="210" w:firstLineChars="100"/>
              <w:rPr>
                <w:rFonts w:hint="eastAsia"/>
                <w:color w:val="auto"/>
              </w:rPr>
            </w:pPr>
            <w:r>
              <w:rPr>
                <w:rFonts w:hint="eastAsia" w:ascii="仿宋" w:hAnsi="仿宋" w:eastAsia="仿宋" w:cs="仿宋"/>
                <w:color w:val="auto"/>
                <w:kern w:val="0"/>
                <w:sz w:val="21"/>
                <w:szCs w:val="21"/>
                <w:shd w:val="clear" w:color="auto" w:fill="FFFFFF" w:themeFill="background1"/>
                <w:lang w:val="en-US" w:eastAsia="zh-CN"/>
              </w:rPr>
              <w:t>“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10C0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198" w:type="pct"/>
            <w:gridSpan w:val="2"/>
            <w:tcMar>
              <w:top w:w="0" w:type="dxa"/>
              <w:left w:w="108" w:type="dxa"/>
              <w:bottom w:w="0" w:type="dxa"/>
              <w:right w:w="108" w:type="dxa"/>
            </w:tcMar>
            <w:vAlign w:val="center"/>
          </w:tcPr>
          <w:p w14:paraId="0B55F746">
            <w:pPr>
              <w:spacing w:line="360" w:lineRule="auto"/>
              <w:jc w:val="center"/>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合计</w:t>
            </w:r>
          </w:p>
        </w:tc>
        <w:tc>
          <w:tcPr>
            <w:tcW w:w="415" w:type="pct"/>
            <w:tcMar>
              <w:top w:w="0" w:type="dxa"/>
              <w:left w:w="108" w:type="dxa"/>
              <w:bottom w:w="0" w:type="dxa"/>
              <w:right w:w="108" w:type="dxa"/>
            </w:tcMar>
            <w:vAlign w:val="center"/>
          </w:tcPr>
          <w:p w14:paraId="5348C23E">
            <w:pPr>
              <w:spacing w:line="360" w:lineRule="auto"/>
              <w:jc w:val="center"/>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70</w:t>
            </w:r>
          </w:p>
        </w:tc>
        <w:tc>
          <w:tcPr>
            <w:tcW w:w="3386" w:type="pct"/>
            <w:tcMar>
              <w:top w:w="0" w:type="dxa"/>
              <w:left w:w="108" w:type="dxa"/>
              <w:bottom w:w="0" w:type="dxa"/>
              <w:right w:w="108" w:type="dxa"/>
            </w:tcMar>
            <w:vAlign w:val="center"/>
          </w:tcPr>
          <w:p w14:paraId="57BA0CBB">
            <w:pPr>
              <w:spacing w:line="360" w:lineRule="auto"/>
              <w:rPr>
                <w:rFonts w:hint="eastAsia" w:ascii="仿宋" w:hAnsi="仿宋" w:eastAsia="仿宋" w:cs="仿宋"/>
                <w:color w:val="auto"/>
                <w:kern w:val="0"/>
                <w:sz w:val="21"/>
                <w:szCs w:val="21"/>
                <w:shd w:val="clear" w:color="auto" w:fill="FFFFFF" w:themeFill="background1"/>
              </w:rPr>
            </w:pPr>
          </w:p>
        </w:tc>
      </w:tr>
      <w:tr w14:paraId="498A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000" w:type="pct"/>
            <w:gridSpan w:val="4"/>
            <w:tcMar>
              <w:top w:w="0" w:type="dxa"/>
              <w:left w:w="108" w:type="dxa"/>
              <w:bottom w:w="0" w:type="dxa"/>
              <w:right w:w="108" w:type="dxa"/>
            </w:tcMar>
            <w:vAlign w:val="center"/>
          </w:tcPr>
          <w:p w14:paraId="5F2C8FBD">
            <w:pPr>
              <w:spacing w:line="360" w:lineRule="auto"/>
              <w:rPr>
                <w:rFonts w:hint="eastAsia" w:ascii="仿宋" w:hAnsi="仿宋" w:eastAsia="仿宋" w:cs="仿宋"/>
                <w:color w:val="auto"/>
                <w:kern w:val="0"/>
                <w:sz w:val="21"/>
                <w:szCs w:val="21"/>
                <w:shd w:val="clear" w:color="auto" w:fill="FFFFFF" w:themeFill="background1"/>
              </w:rPr>
            </w:pPr>
            <w:r>
              <w:rPr>
                <w:rFonts w:hint="eastAsia" w:ascii="仿宋" w:hAnsi="仿宋" w:eastAsia="仿宋" w:cs="仿宋"/>
                <w:color w:val="auto"/>
                <w:kern w:val="0"/>
                <w:sz w:val="21"/>
                <w:szCs w:val="21"/>
                <w:shd w:val="clear" w:color="auto" w:fill="FFFFFF" w:themeFill="background1"/>
              </w:rPr>
              <w:t>说明：“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bl>
    <w:p w14:paraId="0775DA7C">
      <w:pPr>
        <w:pStyle w:val="8"/>
        <w:ind w:left="0" w:leftChars="0" w:firstLine="0" w:firstLineChars="0"/>
        <w:jc w:val="both"/>
        <w:rPr>
          <w:rFonts w:hint="eastAsia" w:ascii="仿宋" w:hAnsi="仿宋" w:eastAsia="仿宋" w:cs="仿宋"/>
          <w:color w:val="auto"/>
          <w:highlight w:val="none"/>
        </w:rPr>
      </w:pPr>
    </w:p>
    <w:p w14:paraId="1D4E9278">
      <w:pPr>
        <w:tabs>
          <w:tab w:val="center" w:pos="4832"/>
          <w:tab w:val="left" w:pos="7140"/>
        </w:tabs>
        <w:spacing w:line="360" w:lineRule="auto"/>
        <w:ind w:firstLine="472" w:firstLineChars="196"/>
        <w:jc w:val="left"/>
        <w:outlineLvl w:val="2"/>
        <w:rPr>
          <w:rFonts w:hint="eastAsia" w:ascii="仿宋" w:hAnsi="仿宋" w:eastAsia="仿宋" w:cs="仿宋"/>
          <w:b/>
          <w:color w:val="auto"/>
          <w:sz w:val="24"/>
          <w:szCs w:val="24"/>
          <w:highlight w:val="none"/>
          <w:shd w:val="clear" w:color="auto" w:fill="FFFFFF" w:themeFill="background1"/>
        </w:rPr>
      </w:pPr>
      <w:bookmarkStart w:id="21" w:name="_Toc4037"/>
      <w:r>
        <w:rPr>
          <w:rFonts w:hint="eastAsia" w:ascii="仿宋" w:hAnsi="仿宋" w:eastAsia="仿宋" w:cs="仿宋"/>
          <w:b/>
          <w:color w:val="auto"/>
          <w:sz w:val="24"/>
          <w:szCs w:val="24"/>
          <w:highlight w:val="none"/>
          <w:shd w:val="clear" w:color="auto" w:fill="FFFFFF" w:themeFill="background1"/>
        </w:rPr>
        <w:t>1. 评审方法</w:t>
      </w:r>
      <w:bookmarkEnd w:id="21"/>
    </w:p>
    <w:p w14:paraId="42AC52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14:paraId="08DD9D62">
      <w:pPr>
        <w:tabs>
          <w:tab w:val="center" w:pos="4832"/>
          <w:tab w:val="left" w:pos="7140"/>
        </w:tabs>
        <w:spacing w:line="360" w:lineRule="auto"/>
        <w:ind w:firstLine="472" w:firstLineChars="196"/>
        <w:jc w:val="left"/>
        <w:outlineLvl w:val="2"/>
        <w:rPr>
          <w:rFonts w:hint="eastAsia" w:ascii="仿宋" w:hAnsi="仿宋" w:eastAsia="仿宋" w:cs="仿宋"/>
          <w:b/>
          <w:color w:val="auto"/>
          <w:sz w:val="24"/>
          <w:szCs w:val="24"/>
          <w:highlight w:val="none"/>
          <w:shd w:val="clear" w:color="auto" w:fill="FFFFFF" w:themeFill="background1"/>
        </w:rPr>
      </w:pPr>
      <w:bookmarkStart w:id="22" w:name="_Toc31187"/>
      <w:r>
        <w:rPr>
          <w:rFonts w:hint="eastAsia" w:ascii="仿宋" w:hAnsi="仿宋" w:eastAsia="仿宋" w:cs="仿宋"/>
          <w:b/>
          <w:color w:val="auto"/>
          <w:sz w:val="24"/>
          <w:szCs w:val="24"/>
          <w:highlight w:val="none"/>
          <w:shd w:val="clear" w:color="auto" w:fill="FFFFFF" w:themeFill="background1"/>
        </w:rPr>
        <w:t>2. 评审标准</w:t>
      </w:r>
      <w:bookmarkEnd w:id="22"/>
    </w:p>
    <w:p w14:paraId="2960EA7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2.1 资格审查：评审因素和评审标准见《资格审查标准》。</w:t>
      </w:r>
    </w:p>
    <w:p w14:paraId="34684E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2.2 完备性及符合性审查：评审因素和评审标准见《完备性及符合性审查标准》。</w:t>
      </w:r>
    </w:p>
    <w:p w14:paraId="37E41D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2.3详细评审：</w:t>
      </w:r>
    </w:p>
    <w:p w14:paraId="10829B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2.3.1详细评审：评审因素和评审标准见《详细评审标准》及本节第3.6款。</w:t>
      </w:r>
    </w:p>
    <w:p w14:paraId="37DFBD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2.3.2 磋商报价评分标准：</w:t>
      </w:r>
    </w:p>
    <w:p w14:paraId="20EE83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（1）分值构成及权重：见评审办法前附表。</w:t>
      </w:r>
    </w:p>
    <w:p w14:paraId="31DF6F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（2）磋商基准价计算：见评审办法前附表。</w:t>
      </w:r>
    </w:p>
    <w:p w14:paraId="75D17E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（3）磋商报价得分的计算：见评审办法前附表。</w:t>
      </w:r>
    </w:p>
    <w:p w14:paraId="4CF4D4E5">
      <w:pPr>
        <w:tabs>
          <w:tab w:val="center" w:pos="4832"/>
          <w:tab w:val="left" w:pos="7140"/>
        </w:tabs>
        <w:spacing w:line="360" w:lineRule="auto"/>
        <w:ind w:firstLine="472" w:firstLineChars="196"/>
        <w:jc w:val="left"/>
        <w:outlineLvl w:val="2"/>
        <w:rPr>
          <w:rFonts w:hint="eastAsia" w:ascii="仿宋" w:hAnsi="仿宋" w:eastAsia="仿宋" w:cs="仿宋"/>
          <w:b/>
          <w:color w:val="auto"/>
          <w:sz w:val="24"/>
          <w:szCs w:val="24"/>
          <w:highlight w:val="none"/>
          <w:shd w:val="clear" w:color="auto" w:fill="FFFFFF" w:themeFill="background1"/>
        </w:rPr>
      </w:pPr>
      <w:bookmarkStart w:id="23" w:name="_Toc19159"/>
      <w:r>
        <w:rPr>
          <w:rFonts w:hint="eastAsia" w:ascii="仿宋" w:hAnsi="仿宋" w:eastAsia="仿宋" w:cs="仿宋"/>
          <w:b/>
          <w:color w:val="auto"/>
          <w:sz w:val="24"/>
          <w:szCs w:val="24"/>
          <w:highlight w:val="none"/>
          <w:shd w:val="clear" w:color="auto" w:fill="FFFFFF" w:themeFill="background1"/>
        </w:rPr>
        <w:t>3. 评审程序</w:t>
      </w:r>
      <w:bookmarkEnd w:id="23"/>
    </w:p>
    <w:p w14:paraId="758A20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 基本程序</w:t>
      </w:r>
    </w:p>
    <w:p w14:paraId="3EF093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评审活动将按以下步骤进行：</w:t>
      </w:r>
    </w:p>
    <w:p w14:paraId="1ED5CEE0">
      <w:pPr>
        <w:pStyle w:val="63"/>
        <w:widowControl/>
        <w:numPr>
          <w:ilvl w:val="0"/>
          <w:numId w:val="1"/>
        </w:numPr>
        <w:shd w:val="clear" w:color="auto" w:fill="FFFFFF"/>
        <w:snapToGrid w:val="0"/>
        <w:spacing w:line="360" w:lineRule="auto"/>
        <w:ind w:firstLineChars="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评审准备</w:t>
      </w:r>
    </w:p>
    <w:p w14:paraId="447AC8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 资格审查</w:t>
      </w:r>
    </w:p>
    <w:p w14:paraId="41A6BB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 完备性及符合性审查</w:t>
      </w:r>
    </w:p>
    <w:p w14:paraId="1575C4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 第二轮报价</w:t>
      </w:r>
    </w:p>
    <w:p w14:paraId="7745BE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 详细评审</w:t>
      </w:r>
    </w:p>
    <w:p w14:paraId="1FB4E7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 澄清、说明或补正</w:t>
      </w:r>
    </w:p>
    <w:p w14:paraId="5180EE1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 推荐成交候选人及提交评审报告</w:t>
      </w:r>
    </w:p>
    <w:p w14:paraId="49F2DF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 评审准备</w:t>
      </w:r>
    </w:p>
    <w:p w14:paraId="3B8F85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3.2.1磋商小组成员签到</w:t>
      </w:r>
    </w:p>
    <w:p w14:paraId="49CEAA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磋商小组成员到达评审现场时应当在签到表上签到以证明其出席。</w:t>
      </w:r>
    </w:p>
    <w:p w14:paraId="164D7A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 磋商小组的分工</w:t>
      </w:r>
    </w:p>
    <w:p w14:paraId="584FE1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3.2.2.1磋商小组首先推选一名磋商小组组长。磋商小组组长负责评审活动的组织领导工作。磋商小组组长与磋商小组其他成员具有同等的评审权力。</w:t>
      </w:r>
    </w:p>
    <w:p w14:paraId="367FEE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3.2.2.2 磋商小组组长除履行自己作为磋商小组成员独立评审的职责外，主要负责以下工作： </w:t>
      </w:r>
    </w:p>
    <w:p w14:paraId="30BFCE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（1）组织磋商小组成员学习竞争性磋商文件；</w:t>
      </w:r>
    </w:p>
    <w:p w14:paraId="61DE20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（2）汇总各磋商小组成员认为需要供应商澄清、说明或者补正的问题；</w:t>
      </w:r>
    </w:p>
    <w:p w14:paraId="202971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（3）组织磋商小组对供应商质询并对供应商的答复进行评审；</w:t>
      </w:r>
    </w:p>
    <w:p w14:paraId="5B2C61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（4）对出现较大争议的事项进行书面记录；</w:t>
      </w:r>
    </w:p>
    <w:p w14:paraId="54703C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（5）组织收回评审过程中使用的文件、表格和评审记录以及其他资料，并查验评审记录的完整性及有效性；</w:t>
      </w:r>
    </w:p>
    <w:p w14:paraId="3789B0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（6）组织对评审结论进行复核确认；</w:t>
      </w:r>
    </w:p>
    <w:p w14:paraId="5C8B44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（7）组织编写评审报告。</w:t>
      </w:r>
    </w:p>
    <w:p w14:paraId="23648A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 熟悉文件资料</w:t>
      </w:r>
    </w:p>
    <w:p w14:paraId="33F244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3.2.3.1 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0DFE63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3.2.3.2 采购人或采购代理机构应当向磋商小组提供评审所需的信息和数据，包括：</w:t>
      </w:r>
    </w:p>
    <w:p w14:paraId="7D8CE1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（1）竞争性磋商文件及其澄清修改等竞争性磋商文件补充；</w:t>
      </w:r>
    </w:p>
    <w:p w14:paraId="0F8953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（2）未在开标会上当场拒绝的各响应文件；</w:t>
      </w:r>
    </w:p>
    <w:p w14:paraId="7BA1FB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（3）开标会记录；</w:t>
      </w:r>
    </w:p>
    <w:p w14:paraId="4F9B2A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（4）评审表格；</w:t>
      </w:r>
    </w:p>
    <w:p w14:paraId="63DA87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（5）其他信息和数据。</w:t>
      </w:r>
    </w:p>
    <w:p w14:paraId="5BAF15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3.3资格审查（适用于资格后审）</w:t>
      </w:r>
    </w:p>
    <w:p w14:paraId="7056EC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14:paraId="3EDA1B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3.4完备性及符合性审查</w:t>
      </w:r>
    </w:p>
    <w:p w14:paraId="7E71BA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3.4.1 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14:paraId="7C8B52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3.4.2 完备性及符合性审查条款是指对本采购项目产生了重大影响的重大偏差，而且纠正此类偏差将会对响应本次招标的其他供应商的竞争地位产生不公正的影响。</w:t>
      </w:r>
    </w:p>
    <w:p w14:paraId="208E22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3.4.3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474DF7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3.5第二轮报价</w:t>
      </w:r>
    </w:p>
    <w:p w14:paraId="615557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3.5.1、供应商分别进行各自第二轮磋商报价，作为最终磋商报价的依据。</w:t>
      </w:r>
    </w:p>
    <w:p w14:paraId="443174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3.6、详细评审</w:t>
      </w:r>
    </w:p>
    <w:p w14:paraId="022E87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3.6.1.澄清、说明和补正</w:t>
      </w:r>
    </w:p>
    <w:p w14:paraId="7E0375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1933E5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3.6.1.2澄清、说明和补正内容不得改变响应文件的实质性内容（算术性错误修正的除外）。供应商的书面澄清、说明和补正属于响应文件的组成部分。</w:t>
      </w:r>
    </w:p>
    <w:p w14:paraId="3C6500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1959211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3.6.1.4磋商小组对供应商提交的澄清、说明或补正有疑问的，可以要求供应商进一步澄清、说明或补正，直至满足磋商小组的要求。</w:t>
      </w:r>
    </w:p>
    <w:p w14:paraId="0DBFCB5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3.6.2评审专家评分：评审专家按照《详细评审标准》评分，供应商详细评审得分等于全部评审专家评分的算术平均值。</w:t>
      </w:r>
    </w:p>
    <w:p w14:paraId="76DE77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3.6.3 算术错误修正：磋商价格有算术错误的，磋商小组按以下原则对磋商价格进行修正，修正的价格经供应商书面确认后具有约束力。供应商不接受修正价格的，其投标将被否决。</w:t>
      </w:r>
    </w:p>
    <w:p w14:paraId="5B1849E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（1）响应文件中的大写金额与小写金额不一致的，以大写金额为准；</w:t>
      </w:r>
    </w:p>
    <w:p w14:paraId="369887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（2）总价金额与依据单价计算出的结果不一致的，以单价金额为准修正总价，但单价金额小数点有明显错误的除外。</w:t>
      </w:r>
    </w:p>
    <w:p w14:paraId="1ADD90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 xml:space="preserve">3.6.4 </w:t>
      </w:r>
      <w:r>
        <w:rPr>
          <w:rFonts w:hint="eastAsia" w:ascii="仿宋" w:hAnsi="仿宋" w:eastAsia="仿宋" w:cs="仿宋"/>
          <w:color w:val="auto"/>
          <w:kern w:val="0"/>
          <w:sz w:val="24"/>
          <w:szCs w:val="24"/>
          <w:highlight w:val="none"/>
        </w:rPr>
        <w:t>政府采购评审中出现下列情形之一的，</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应当启动异常低价投标（响应）审查程序：</w:t>
      </w:r>
    </w:p>
    <w:p w14:paraId="153F47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低于全部通过符合性审查供应商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平均值50%的，即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&lt;全部通过符合性审查供应商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平均值×50%；</w:t>
      </w:r>
    </w:p>
    <w:p w14:paraId="4F2BAE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低于通过符合性审查的次低报价供应商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50%的，即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&lt;通过符合性审查的次低报价供应商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×50%；</w:t>
      </w:r>
    </w:p>
    <w:p w14:paraId="26E532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低于采购项目最高限价45%的，即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&lt;采购项目最高限价×45%；</w:t>
      </w:r>
    </w:p>
    <w:p w14:paraId="6C29217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基于专业判断，认为供应商报价过低，有可能影响产品质量或者不能诚信履约的其他情形。</w:t>
      </w:r>
    </w:p>
    <w:p w14:paraId="150BE4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3.6.5 磋商报价评分：对磋商报价进行磋商报价得分计算，计算方法详见评审办法前附表。</w:t>
      </w:r>
    </w:p>
    <w:p w14:paraId="53D966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3.6.6 汇总评分结果，评分分值计算保留小数点后两位，小数点后第三位“四舍五入”。</w:t>
      </w:r>
    </w:p>
    <w:p w14:paraId="1E7B8EF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3.6.7 详细评审工作全部结束后，供应商总得分排序按照以下原则进行。</w:t>
      </w:r>
    </w:p>
    <w:p w14:paraId="26C781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3.6.7.1按照总得分由高到低顺序对供应商进行排序；</w:t>
      </w:r>
    </w:p>
    <w:p w14:paraId="6FCC290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3.6.7.2总得分相同时报价低的供应商排序靠前；</w:t>
      </w:r>
    </w:p>
    <w:p w14:paraId="3D02B2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3.7 推荐成交候选人及提交评审报告</w:t>
      </w:r>
      <w:r>
        <w:rPr>
          <w:rFonts w:hint="eastAsia" w:ascii="仿宋" w:hAnsi="仿宋" w:eastAsia="仿宋" w:cs="仿宋"/>
          <w:color w:val="auto"/>
          <w:kern w:val="0"/>
          <w:sz w:val="24"/>
          <w:szCs w:val="24"/>
          <w:highlight w:val="none"/>
          <w:shd w:val="clear" w:color="auto" w:fill="FFFFFF" w:themeFill="background1"/>
          <w:lang w:val="en-US" w:eastAsia="zh-CN"/>
        </w:rPr>
        <w:t xml:space="preserve"> </w:t>
      </w:r>
    </w:p>
    <w:p w14:paraId="7DCDA7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3.7.1磋商小组推荐成交候选人，总得分排序第一的供应商将被确定为第一成交候选人（总得分排序最高的供应商获得成交候选人推荐资格，其他供应商不作为成交候选人），以此类推确定出规定数量的的成交候选人。</w:t>
      </w:r>
    </w:p>
    <w:p w14:paraId="1D895B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3.7.2当通过了资格审查、完备性及符合性审查后，供应商少于3个时，采购人应当依法重新招标。</w:t>
      </w:r>
    </w:p>
    <w:p w14:paraId="2F97D94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3.7.3 磋商小组完成评审后，应当向采购人提交书面评审报告。</w:t>
      </w:r>
    </w:p>
    <w:p w14:paraId="7920A5E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 特殊情况的处置程序</w:t>
      </w:r>
    </w:p>
    <w:p w14:paraId="682408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3.8.1 关于评审活动暂停</w:t>
      </w:r>
    </w:p>
    <w:p w14:paraId="62BAAC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1D3F2E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3.8.2关于评审中途更换评审专家</w:t>
      </w:r>
    </w:p>
    <w:p w14:paraId="2884547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3.8.2.1 除非发生下列情况之一，磋商小组成员不得在评审中途更换：</w:t>
      </w:r>
    </w:p>
    <w:p w14:paraId="03610D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（1）因不可抗拒的客观原因，不能到场或需在评审中途退出评审活动。</w:t>
      </w:r>
    </w:p>
    <w:p w14:paraId="6BBFF7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（2）根据法律法规规定，某个或某几个磋商小组成员需要回避。</w:t>
      </w:r>
    </w:p>
    <w:p w14:paraId="6422A6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3.8.2.2 退出评审的磋商小组成员，其已完成的评审行为无效，由更换的评审专家进行评审。</w:t>
      </w:r>
    </w:p>
    <w:p w14:paraId="522072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3.8.3 在评审环节中，需磋商小组就某项定性的评审结论做出表决的，由磋商小组全体成员按照少数服从多数的原则确定。</w:t>
      </w:r>
    </w:p>
    <w:p w14:paraId="65EC40F5">
      <w:pPr>
        <w:rPr>
          <w:rFonts w:hint="eastAsia" w:ascii="仿宋" w:hAnsi="仿宋" w:eastAsia="仿宋" w:cs="仿宋"/>
          <w:b/>
          <w:color w:val="auto"/>
          <w:sz w:val="24"/>
          <w:szCs w:val="24"/>
          <w:highlight w:val="none"/>
          <w:shd w:val="clear" w:color="auto" w:fill="FFFFFF" w:themeFill="background1"/>
        </w:rPr>
      </w:pPr>
      <w:bookmarkStart w:id="24" w:name="_Toc485312286"/>
      <w:r>
        <w:rPr>
          <w:rFonts w:hint="eastAsia" w:ascii="仿宋" w:hAnsi="仿宋" w:eastAsia="仿宋" w:cs="仿宋"/>
          <w:b/>
          <w:color w:val="auto"/>
          <w:sz w:val="24"/>
          <w:szCs w:val="24"/>
          <w:highlight w:val="none"/>
          <w:shd w:val="clear" w:color="auto" w:fill="FFFFFF" w:themeFill="background1"/>
        </w:rPr>
        <w:br w:type="page"/>
      </w:r>
    </w:p>
    <w:p w14:paraId="6B098984">
      <w:pPr>
        <w:widowControl/>
        <w:shd w:val="clear" w:color="auto" w:fill="FFFFFF"/>
        <w:snapToGrid w:val="0"/>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问题澄清通知</w:t>
      </w:r>
    </w:p>
    <w:p w14:paraId="35A1A161">
      <w:pPr>
        <w:spacing w:line="360" w:lineRule="auto"/>
        <w:rPr>
          <w:rFonts w:hint="eastAsia" w:ascii="仿宋" w:hAnsi="仿宋" w:eastAsia="仿宋" w:cs="仿宋"/>
          <w:color w:val="auto"/>
          <w:sz w:val="24"/>
          <w:szCs w:val="24"/>
          <w:highlight w:val="none"/>
          <w:shd w:val="clear" w:color="auto" w:fill="FFFFFF" w:themeFill="background1"/>
        </w:rPr>
      </w:pPr>
    </w:p>
    <w:p w14:paraId="367DF6E9">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w:t>
      </w:r>
    </w:p>
    <w:p w14:paraId="7DEFF20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（采购项目名称）招标的磋商小组，对你方的响应文件进行了仔细的审查，现需你方对本通知所附质疑问卷中的问题以书面形式予以澄清、说明或者补正。</w:t>
      </w:r>
    </w:p>
    <w:p w14:paraId="26A0FAC0">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质疑问题：</w:t>
      </w:r>
    </w:p>
    <w:p w14:paraId="5F591DB6">
      <w:pPr>
        <w:spacing w:line="360" w:lineRule="auto"/>
        <w:rPr>
          <w:rFonts w:hint="eastAsia" w:ascii="仿宋" w:hAnsi="仿宋" w:eastAsia="仿宋" w:cs="仿宋"/>
          <w:color w:val="auto"/>
          <w:kern w:val="0"/>
          <w:sz w:val="24"/>
          <w:szCs w:val="24"/>
          <w:highlight w:val="none"/>
          <w:shd w:val="clear" w:color="auto" w:fill="FFFFFF" w:themeFill="background1"/>
        </w:rPr>
      </w:pPr>
    </w:p>
    <w:p w14:paraId="525B2259">
      <w:pPr>
        <w:spacing w:line="360" w:lineRule="auto"/>
        <w:rPr>
          <w:rFonts w:hint="eastAsia" w:ascii="仿宋" w:hAnsi="仿宋" w:eastAsia="仿宋" w:cs="仿宋"/>
          <w:color w:val="auto"/>
          <w:kern w:val="0"/>
          <w:sz w:val="24"/>
          <w:szCs w:val="24"/>
          <w:highlight w:val="none"/>
          <w:shd w:val="clear" w:color="auto" w:fill="FFFFFF" w:themeFill="background1"/>
        </w:rPr>
      </w:pPr>
    </w:p>
    <w:p w14:paraId="013D6AB9">
      <w:pPr>
        <w:spacing w:line="360" w:lineRule="auto"/>
        <w:rPr>
          <w:rFonts w:hint="eastAsia" w:ascii="仿宋" w:hAnsi="仿宋" w:eastAsia="仿宋" w:cs="仿宋"/>
          <w:color w:val="auto"/>
          <w:kern w:val="0"/>
          <w:sz w:val="24"/>
          <w:szCs w:val="24"/>
          <w:highlight w:val="none"/>
          <w:shd w:val="clear" w:color="auto" w:fill="FFFFFF" w:themeFill="background1"/>
        </w:rPr>
      </w:pPr>
    </w:p>
    <w:p w14:paraId="3D6B5BB2">
      <w:pPr>
        <w:spacing w:line="360" w:lineRule="auto"/>
        <w:rPr>
          <w:rFonts w:hint="eastAsia" w:ascii="仿宋" w:hAnsi="仿宋" w:eastAsia="仿宋" w:cs="仿宋"/>
          <w:color w:val="auto"/>
          <w:kern w:val="0"/>
          <w:sz w:val="24"/>
          <w:szCs w:val="24"/>
          <w:highlight w:val="none"/>
          <w:shd w:val="clear" w:color="auto" w:fill="FFFFFF" w:themeFill="background1"/>
        </w:rPr>
      </w:pPr>
    </w:p>
    <w:p w14:paraId="1EAD4D43">
      <w:pPr>
        <w:spacing w:line="360" w:lineRule="auto"/>
        <w:rPr>
          <w:rFonts w:hint="eastAsia" w:ascii="仿宋" w:hAnsi="仿宋" w:eastAsia="仿宋" w:cs="仿宋"/>
          <w:color w:val="auto"/>
          <w:kern w:val="0"/>
          <w:sz w:val="24"/>
          <w:szCs w:val="24"/>
          <w:highlight w:val="none"/>
          <w:shd w:val="clear" w:color="auto" w:fill="FFFFFF" w:themeFill="background1"/>
        </w:rPr>
      </w:pPr>
    </w:p>
    <w:p w14:paraId="3089407E">
      <w:pPr>
        <w:spacing w:line="360" w:lineRule="auto"/>
        <w:rPr>
          <w:rFonts w:hint="eastAsia" w:ascii="仿宋" w:hAnsi="仿宋" w:eastAsia="仿宋" w:cs="仿宋"/>
          <w:color w:val="auto"/>
          <w:kern w:val="0"/>
          <w:sz w:val="24"/>
          <w:szCs w:val="24"/>
          <w:highlight w:val="none"/>
          <w:shd w:val="clear" w:color="auto" w:fill="FFFFFF" w:themeFill="background1"/>
        </w:rPr>
      </w:pPr>
    </w:p>
    <w:p w14:paraId="4820116A">
      <w:pPr>
        <w:spacing w:line="360" w:lineRule="auto"/>
        <w:rPr>
          <w:rFonts w:hint="eastAsia" w:ascii="仿宋" w:hAnsi="仿宋" w:eastAsia="仿宋" w:cs="仿宋"/>
          <w:color w:val="auto"/>
          <w:kern w:val="0"/>
          <w:sz w:val="24"/>
          <w:szCs w:val="24"/>
          <w:highlight w:val="none"/>
          <w:shd w:val="clear" w:color="auto" w:fill="FFFFFF" w:themeFill="background1"/>
        </w:rPr>
      </w:pPr>
    </w:p>
    <w:p w14:paraId="538955F7">
      <w:pPr>
        <w:spacing w:line="360" w:lineRule="auto"/>
        <w:rPr>
          <w:rFonts w:hint="eastAsia" w:ascii="仿宋" w:hAnsi="仿宋" w:eastAsia="仿宋" w:cs="仿宋"/>
          <w:color w:val="auto"/>
          <w:kern w:val="0"/>
          <w:sz w:val="24"/>
          <w:szCs w:val="24"/>
          <w:highlight w:val="none"/>
          <w:shd w:val="clear" w:color="auto" w:fill="FFFFFF" w:themeFill="background1"/>
        </w:rPr>
      </w:pPr>
    </w:p>
    <w:p w14:paraId="76BD79BA">
      <w:pPr>
        <w:spacing w:line="360" w:lineRule="auto"/>
        <w:rPr>
          <w:rFonts w:hint="eastAsia" w:ascii="仿宋" w:hAnsi="仿宋" w:eastAsia="仿宋" w:cs="仿宋"/>
          <w:color w:val="auto"/>
          <w:kern w:val="0"/>
          <w:sz w:val="24"/>
          <w:szCs w:val="24"/>
          <w:highlight w:val="none"/>
          <w:shd w:val="clear" w:color="auto" w:fill="FFFFFF" w:themeFill="background1"/>
        </w:rPr>
      </w:pPr>
    </w:p>
    <w:p w14:paraId="11A514F3">
      <w:pPr>
        <w:spacing w:line="360" w:lineRule="auto"/>
        <w:rPr>
          <w:rFonts w:hint="eastAsia" w:ascii="仿宋" w:hAnsi="仿宋" w:eastAsia="仿宋" w:cs="仿宋"/>
          <w:color w:val="auto"/>
          <w:kern w:val="0"/>
          <w:sz w:val="24"/>
          <w:szCs w:val="24"/>
          <w:highlight w:val="none"/>
          <w:shd w:val="clear" w:color="auto" w:fill="FFFFFF" w:themeFill="background1"/>
        </w:rPr>
      </w:pPr>
    </w:p>
    <w:p w14:paraId="5827768E">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磋商小组成员（签字）：</w:t>
      </w:r>
    </w:p>
    <w:p w14:paraId="533678FC">
      <w:pPr>
        <w:spacing w:line="360" w:lineRule="auto"/>
        <w:rPr>
          <w:rFonts w:hint="eastAsia" w:ascii="仿宋" w:hAnsi="仿宋" w:eastAsia="仿宋" w:cs="仿宋"/>
          <w:color w:val="auto"/>
          <w:kern w:val="0"/>
          <w:sz w:val="24"/>
          <w:szCs w:val="24"/>
          <w:highlight w:val="none"/>
          <w:shd w:val="clear" w:color="auto" w:fill="FFFFFF" w:themeFill="background1"/>
        </w:rPr>
      </w:pPr>
    </w:p>
    <w:p w14:paraId="7B80E250">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1C886B03">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r>
        <w:rPr>
          <w:rFonts w:hint="eastAsia" w:ascii="仿宋" w:hAnsi="仿宋" w:eastAsia="仿宋" w:cs="仿宋"/>
          <w:b/>
          <w:color w:val="auto"/>
          <w:sz w:val="24"/>
          <w:szCs w:val="24"/>
          <w:highlight w:val="none"/>
          <w:shd w:val="clear" w:color="auto" w:fill="FFFFFF" w:themeFill="background1"/>
        </w:rPr>
        <w:t>问题的澄清、说明或补正</w:t>
      </w:r>
    </w:p>
    <w:p w14:paraId="624AB60F">
      <w:pPr>
        <w:spacing w:line="360" w:lineRule="auto"/>
        <w:rPr>
          <w:rFonts w:hint="eastAsia" w:ascii="仿宋" w:hAnsi="仿宋" w:eastAsia="仿宋" w:cs="仿宋"/>
          <w:color w:val="auto"/>
          <w:kern w:val="0"/>
          <w:sz w:val="24"/>
          <w:szCs w:val="24"/>
          <w:highlight w:val="none"/>
          <w:shd w:val="clear" w:color="auto" w:fill="FFFFFF" w:themeFill="background1"/>
        </w:rPr>
      </w:pPr>
    </w:p>
    <w:p w14:paraId="3BF5843C">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w:t>
      </w:r>
    </w:p>
    <w:p w14:paraId="147B1040">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（采购项目名称）的问题澄清通知已收悉，现澄清、说明或者补正如下：</w:t>
      </w:r>
    </w:p>
    <w:p w14:paraId="016E45D3">
      <w:pPr>
        <w:spacing w:line="360" w:lineRule="auto"/>
        <w:rPr>
          <w:rFonts w:hint="eastAsia" w:ascii="仿宋" w:hAnsi="仿宋" w:eastAsia="仿宋" w:cs="仿宋"/>
          <w:color w:val="auto"/>
          <w:kern w:val="0"/>
          <w:sz w:val="24"/>
          <w:szCs w:val="24"/>
          <w:highlight w:val="none"/>
          <w:shd w:val="clear" w:color="auto" w:fill="FFFFFF" w:themeFill="background1"/>
        </w:rPr>
      </w:pPr>
    </w:p>
    <w:p w14:paraId="5D76CF5E">
      <w:pPr>
        <w:spacing w:line="360" w:lineRule="auto"/>
        <w:rPr>
          <w:rFonts w:hint="eastAsia" w:ascii="仿宋" w:hAnsi="仿宋" w:eastAsia="仿宋" w:cs="仿宋"/>
          <w:color w:val="auto"/>
          <w:kern w:val="0"/>
          <w:sz w:val="24"/>
          <w:szCs w:val="24"/>
          <w:highlight w:val="none"/>
          <w:shd w:val="clear" w:color="auto" w:fill="FFFFFF" w:themeFill="background1"/>
        </w:rPr>
      </w:pPr>
    </w:p>
    <w:p w14:paraId="5B57629F">
      <w:pPr>
        <w:spacing w:line="360" w:lineRule="auto"/>
        <w:rPr>
          <w:rFonts w:hint="eastAsia" w:ascii="仿宋" w:hAnsi="仿宋" w:eastAsia="仿宋" w:cs="仿宋"/>
          <w:color w:val="auto"/>
          <w:kern w:val="0"/>
          <w:sz w:val="24"/>
          <w:szCs w:val="24"/>
          <w:highlight w:val="none"/>
          <w:shd w:val="clear" w:color="auto" w:fill="FFFFFF" w:themeFill="background1"/>
        </w:rPr>
      </w:pPr>
    </w:p>
    <w:p w14:paraId="1C7FF7F7">
      <w:pPr>
        <w:spacing w:line="360" w:lineRule="auto"/>
        <w:rPr>
          <w:rFonts w:hint="eastAsia" w:ascii="仿宋" w:hAnsi="仿宋" w:eastAsia="仿宋" w:cs="仿宋"/>
          <w:color w:val="auto"/>
          <w:kern w:val="0"/>
          <w:sz w:val="24"/>
          <w:szCs w:val="24"/>
          <w:highlight w:val="none"/>
          <w:shd w:val="clear" w:color="auto" w:fill="FFFFFF" w:themeFill="background1"/>
        </w:rPr>
      </w:pPr>
    </w:p>
    <w:p w14:paraId="4F0B6774">
      <w:pPr>
        <w:spacing w:line="360" w:lineRule="auto"/>
        <w:rPr>
          <w:rFonts w:hint="eastAsia" w:ascii="仿宋" w:hAnsi="仿宋" w:eastAsia="仿宋" w:cs="仿宋"/>
          <w:color w:val="auto"/>
          <w:kern w:val="0"/>
          <w:sz w:val="24"/>
          <w:szCs w:val="24"/>
          <w:highlight w:val="none"/>
          <w:shd w:val="clear" w:color="auto" w:fill="FFFFFF" w:themeFill="background1"/>
        </w:rPr>
      </w:pPr>
    </w:p>
    <w:p w14:paraId="0B48C147">
      <w:pPr>
        <w:spacing w:line="360" w:lineRule="auto"/>
        <w:rPr>
          <w:rFonts w:hint="eastAsia" w:ascii="仿宋" w:hAnsi="仿宋" w:eastAsia="仿宋" w:cs="仿宋"/>
          <w:color w:val="auto"/>
          <w:kern w:val="0"/>
          <w:sz w:val="24"/>
          <w:szCs w:val="24"/>
          <w:highlight w:val="none"/>
          <w:shd w:val="clear" w:color="auto" w:fill="FFFFFF" w:themeFill="background1"/>
        </w:rPr>
      </w:pPr>
    </w:p>
    <w:p w14:paraId="297DEB54">
      <w:pPr>
        <w:spacing w:line="360" w:lineRule="auto"/>
        <w:rPr>
          <w:rFonts w:hint="eastAsia" w:ascii="仿宋" w:hAnsi="仿宋" w:eastAsia="仿宋" w:cs="仿宋"/>
          <w:color w:val="auto"/>
          <w:kern w:val="0"/>
          <w:sz w:val="24"/>
          <w:szCs w:val="24"/>
          <w:highlight w:val="none"/>
          <w:shd w:val="clear" w:color="auto" w:fill="FFFFFF" w:themeFill="background1"/>
        </w:rPr>
      </w:pPr>
    </w:p>
    <w:p w14:paraId="51D17631">
      <w:pPr>
        <w:spacing w:line="360" w:lineRule="auto"/>
        <w:rPr>
          <w:rFonts w:hint="eastAsia" w:ascii="仿宋" w:hAnsi="仿宋" w:eastAsia="仿宋" w:cs="仿宋"/>
          <w:color w:val="auto"/>
          <w:kern w:val="0"/>
          <w:sz w:val="24"/>
          <w:szCs w:val="24"/>
          <w:highlight w:val="none"/>
          <w:shd w:val="clear" w:color="auto" w:fill="FFFFFF" w:themeFill="background1"/>
        </w:rPr>
      </w:pPr>
    </w:p>
    <w:p w14:paraId="246E9BCC">
      <w:pPr>
        <w:spacing w:line="360" w:lineRule="auto"/>
        <w:rPr>
          <w:rFonts w:hint="eastAsia" w:ascii="仿宋" w:hAnsi="仿宋" w:eastAsia="仿宋" w:cs="仿宋"/>
          <w:color w:val="auto"/>
          <w:kern w:val="0"/>
          <w:sz w:val="24"/>
          <w:szCs w:val="24"/>
          <w:highlight w:val="none"/>
          <w:shd w:val="clear" w:color="auto" w:fill="FFFFFF" w:themeFill="background1"/>
        </w:rPr>
      </w:pPr>
    </w:p>
    <w:p w14:paraId="62C9814B">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法定代表人或其授权委托人（签字）：</w:t>
      </w:r>
    </w:p>
    <w:p w14:paraId="45C9DB49">
      <w:pPr>
        <w:spacing w:line="360" w:lineRule="auto"/>
        <w:rPr>
          <w:rFonts w:hint="eastAsia" w:ascii="仿宋" w:hAnsi="仿宋" w:eastAsia="仿宋" w:cs="仿宋"/>
          <w:color w:val="auto"/>
          <w:kern w:val="0"/>
          <w:sz w:val="24"/>
          <w:szCs w:val="24"/>
          <w:highlight w:val="none"/>
          <w:shd w:val="clear" w:color="auto" w:fill="FFFFFF" w:themeFill="background1"/>
        </w:rPr>
      </w:pPr>
    </w:p>
    <w:p w14:paraId="63431BCD">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0ADDB428">
      <w:pPr>
        <w:widowControl/>
        <w:spacing w:line="360" w:lineRule="auto"/>
        <w:jc w:val="center"/>
        <w:outlineLvl w:val="0"/>
        <w:rPr>
          <w:rFonts w:hint="eastAsia" w:ascii="仿宋" w:hAnsi="仿宋" w:eastAsia="仿宋" w:cs="仿宋"/>
          <w:color w:val="auto"/>
          <w:sz w:val="24"/>
          <w:szCs w:val="24"/>
          <w:highlight w:val="none"/>
          <w:shd w:val="clear" w:color="auto" w:fill="FFFFFF" w:themeFill="background1"/>
          <w:lang w:bidi="ar"/>
        </w:rPr>
      </w:pPr>
      <w:r>
        <w:rPr>
          <w:rFonts w:hint="eastAsia" w:ascii="仿宋" w:hAnsi="仿宋" w:eastAsia="仿宋" w:cs="仿宋"/>
          <w:color w:val="auto"/>
          <w:kern w:val="0"/>
          <w:sz w:val="24"/>
          <w:szCs w:val="24"/>
          <w:highlight w:val="none"/>
          <w:shd w:val="clear" w:color="auto" w:fill="FFFFFF" w:themeFill="background1"/>
        </w:rPr>
        <w:br w:type="page"/>
      </w:r>
      <w:bookmarkEnd w:id="24"/>
      <w:bookmarkStart w:id="25" w:name="_Toc507586162"/>
      <w:bookmarkStart w:id="26" w:name="_Toc38446459"/>
      <w:bookmarkStart w:id="27" w:name="_Toc430"/>
      <w:r>
        <w:rPr>
          <w:rFonts w:hint="eastAsia" w:ascii="仿宋" w:hAnsi="仿宋" w:eastAsia="仿宋" w:cs="仿宋"/>
          <w:b/>
          <w:color w:val="auto"/>
          <w:sz w:val="24"/>
          <w:szCs w:val="24"/>
          <w:highlight w:val="none"/>
          <w:shd w:val="clear" w:color="auto" w:fill="FFFFFF" w:themeFill="background1"/>
        </w:rPr>
        <w:t>第三章 合同格式</w:t>
      </w:r>
      <w:bookmarkEnd w:id="25"/>
      <w:bookmarkEnd w:id="26"/>
      <w:bookmarkEnd w:id="27"/>
    </w:p>
    <w:p w14:paraId="423BE9BC">
      <w:pPr>
        <w:pStyle w:val="8"/>
        <w:rPr>
          <w:rFonts w:hint="eastAsia" w:ascii="仿宋" w:hAnsi="仿宋" w:eastAsia="仿宋" w:cs="仿宋"/>
          <w:color w:val="auto"/>
          <w:highlight w:val="none"/>
        </w:rPr>
      </w:pPr>
      <w:bookmarkStart w:id="28" w:name="_Hlk162434931"/>
      <w:r>
        <w:rPr>
          <w:rFonts w:hint="eastAsia" w:ascii="仿宋" w:hAnsi="仿宋" w:eastAsia="仿宋" w:cs="仿宋"/>
          <w:color w:val="auto"/>
          <w:highlight w:val="none"/>
        </w:rPr>
        <w:t>注：具体内容以双方</w:t>
      </w:r>
      <w:r>
        <w:rPr>
          <w:rFonts w:hint="eastAsia" w:ascii="仿宋" w:hAnsi="仿宋" w:eastAsia="仿宋" w:cs="仿宋"/>
          <w:color w:val="auto"/>
          <w:highlight w:val="none"/>
          <w:lang w:eastAsia="zh-CN"/>
        </w:rPr>
        <w:t>最终</w:t>
      </w:r>
      <w:r>
        <w:rPr>
          <w:rFonts w:hint="eastAsia" w:ascii="仿宋" w:hAnsi="仿宋" w:eastAsia="仿宋" w:cs="仿宋"/>
          <w:color w:val="auto"/>
          <w:highlight w:val="none"/>
        </w:rPr>
        <w:t>签订的为准。</w:t>
      </w:r>
      <w:bookmarkEnd w:id="28"/>
    </w:p>
    <w:p w14:paraId="0B0653CC">
      <w:pPr>
        <w:spacing w:line="360" w:lineRule="auto"/>
        <w:rPr>
          <w:rFonts w:hint="eastAsia" w:ascii="仿宋" w:hAnsi="仿宋" w:eastAsia="仿宋" w:cs="仿宋"/>
          <w:color w:val="auto"/>
          <w:sz w:val="24"/>
          <w:szCs w:val="24"/>
          <w:highlight w:val="none"/>
          <w:shd w:val="clear" w:color="auto" w:fill="FFFFFF" w:themeFill="background1"/>
        </w:rPr>
      </w:pPr>
    </w:p>
    <w:p w14:paraId="7BA55E93">
      <w:pPr>
        <w:spacing w:line="360" w:lineRule="auto"/>
        <w:rPr>
          <w:rFonts w:hint="eastAsia" w:ascii="仿宋" w:hAnsi="仿宋" w:eastAsia="仿宋" w:cs="仿宋"/>
          <w:color w:val="auto"/>
          <w:sz w:val="24"/>
          <w:szCs w:val="24"/>
          <w:highlight w:val="none"/>
          <w:shd w:val="clear" w:color="auto" w:fill="FFFFFF" w:themeFill="background1"/>
        </w:rPr>
        <w:sectPr>
          <w:footerReference r:id="rId8" w:type="default"/>
          <w:pgSz w:w="11910" w:h="16840"/>
          <w:pgMar w:top="1460" w:right="1360" w:bottom="1380" w:left="1680" w:header="0" w:footer="1178" w:gutter="0"/>
          <w:cols w:space="720" w:num="1"/>
        </w:sectPr>
      </w:pPr>
    </w:p>
    <w:p w14:paraId="38CDFECF">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29" w:name="_Toc6449"/>
      <w:r>
        <w:rPr>
          <w:rFonts w:hint="eastAsia" w:ascii="仿宋" w:hAnsi="仿宋" w:eastAsia="仿宋" w:cs="仿宋"/>
          <w:b/>
          <w:color w:val="auto"/>
          <w:sz w:val="24"/>
          <w:szCs w:val="24"/>
          <w:highlight w:val="none"/>
          <w:shd w:val="clear" w:color="auto" w:fill="FFFFFF" w:themeFill="background1"/>
        </w:rPr>
        <w:t>第四章 技术标准和要求</w:t>
      </w:r>
      <w:bookmarkEnd w:id="29"/>
    </w:p>
    <w:p w14:paraId="6A0EDEE9">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1.1、本工程完成必须符合国家和地方现行相关质量评定标准和施工技术规范、施工图设计要求。</w:t>
      </w:r>
    </w:p>
    <w:p w14:paraId="062E7302">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1.2、本工程的材料检验和质量、工艺试验按国家、地方现行相关规定执行。</w:t>
      </w:r>
    </w:p>
    <w:p w14:paraId="671C7BB9">
      <w:pPr>
        <w:spacing w:line="360" w:lineRule="auto"/>
        <w:ind w:firstLine="480" w:firstLineChars="200"/>
        <w:rPr>
          <w:rFonts w:hint="eastAsia" w:ascii="仿宋" w:hAnsi="仿宋" w:eastAsia="仿宋" w:cs="仿宋"/>
          <w:color w:val="auto"/>
          <w:sz w:val="24"/>
          <w:szCs w:val="24"/>
          <w:highlight w:val="none"/>
          <w:shd w:val="clear" w:color="auto" w:fill="FFFFFF" w:themeFill="background1"/>
          <w:lang w:val="zh-CN"/>
        </w:rPr>
      </w:pPr>
      <w:r>
        <w:rPr>
          <w:rFonts w:hint="eastAsia" w:ascii="仿宋" w:hAnsi="仿宋" w:eastAsia="仿宋" w:cs="仿宋"/>
          <w:color w:val="auto"/>
          <w:sz w:val="24"/>
          <w:szCs w:val="24"/>
          <w:highlight w:val="none"/>
          <w:shd w:val="clear" w:color="auto" w:fill="FFFFFF" w:themeFill="background1"/>
          <w:lang w:val="zh-CN"/>
        </w:rPr>
        <w:t>1.</w:t>
      </w:r>
      <w:r>
        <w:rPr>
          <w:rFonts w:hint="eastAsia" w:ascii="仿宋" w:hAnsi="仿宋" w:eastAsia="仿宋" w:cs="仿宋"/>
          <w:color w:val="auto"/>
          <w:sz w:val="24"/>
          <w:szCs w:val="24"/>
          <w:highlight w:val="none"/>
          <w:shd w:val="clear" w:color="auto" w:fill="FFFFFF" w:themeFill="background1"/>
        </w:rPr>
        <w:t>3</w:t>
      </w:r>
      <w:r>
        <w:rPr>
          <w:rFonts w:hint="eastAsia" w:ascii="仿宋" w:hAnsi="仿宋" w:eastAsia="仿宋" w:cs="仿宋"/>
          <w:color w:val="auto"/>
          <w:sz w:val="24"/>
          <w:szCs w:val="24"/>
          <w:highlight w:val="none"/>
          <w:shd w:val="clear" w:color="auto" w:fill="FFFFFF" w:themeFill="background1"/>
          <w:lang w:val="zh-CN"/>
        </w:rPr>
        <w:t>、工程量清单</w:t>
      </w:r>
      <w:r>
        <w:rPr>
          <w:rFonts w:hint="eastAsia" w:ascii="仿宋" w:hAnsi="仿宋" w:eastAsia="仿宋" w:cs="仿宋"/>
          <w:color w:val="auto"/>
          <w:sz w:val="24"/>
          <w:szCs w:val="24"/>
          <w:highlight w:val="none"/>
          <w:shd w:val="clear" w:color="auto" w:fill="FFFFFF" w:themeFill="background1"/>
        </w:rPr>
        <w:t>及经济标</w:t>
      </w:r>
      <w:r>
        <w:rPr>
          <w:rFonts w:hint="eastAsia" w:ascii="仿宋" w:hAnsi="仿宋" w:eastAsia="仿宋" w:cs="仿宋"/>
          <w:color w:val="auto"/>
          <w:sz w:val="24"/>
          <w:szCs w:val="24"/>
          <w:highlight w:val="none"/>
          <w:shd w:val="clear" w:color="auto" w:fill="FFFFFF" w:themeFill="background1"/>
          <w:lang w:val="zh-CN"/>
        </w:rPr>
        <w:t>应当按照《建设工程工程量清单计价规范》（GB50500-2013）有关规定编制；</w:t>
      </w:r>
    </w:p>
    <w:p w14:paraId="0EE61602">
      <w:pPr>
        <w:spacing w:line="360" w:lineRule="auto"/>
        <w:ind w:firstLine="480" w:firstLineChars="200"/>
        <w:rPr>
          <w:rFonts w:hint="eastAsia" w:ascii="仿宋" w:hAnsi="仿宋" w:eastAsia="仿宋" w:cs="仿宋"/>
          <w:color w:val="auto"/>
          <w:sz w:val="24"/>
          <w:szCs w:val="24"/>
          <w:highlight w:val="none"/>
          <w:shd w:val="clear" w:color="auto" w:fill="FFFFFF" w:themeFill="background1"/>
          <w:lang w:val="zh-CN"/>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1.4</w:t>
      </w:r>
      <w:r>
        <w:rPr>
          <w:rFonts w:hint="eastAsia" w:ascii="仿宋" w:hAnsi="仿宋" w:eastAsia="仿宋" w:cs="仿宋"/>
          <w:color w:val="auto"/>
          <w:sz w:val="24"/>
          <w:szCs w:val="24"/>
          <w:highlight w:val="none"/>
          <w:shd w:val="clear" w:color="auto" w:fill="FFFFFF" w:themeFill="background1"/>
          <w:lang w:val="zh-CN"/>
        </w:rPr>
        <w:t>符合生物安全要求规范，达到功能使用要求，与既有工程实现功能对接。</w:t>
      </w:r>
    </w:p>
    <w:p w14:paraId="242003A0">
      <w:pPr>
        <w:pStyle w:val="5"/>
        <w:pageBreakBefore w:val="0"/>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1.5项目背景</w:t>
      </w:r>
    </w:p>
    <w:p w14:paraId="7C77AE9F">
      <w:pPr>
        <w:pStyle w:val="5"/>
        <w:pageBreakBefore w:val="0"/>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监控系统为中心高等级生物安全实验室核心功能之一，是实验室系统监测、监视、控制、指挥、决策、调度、协调的中枢。该实验室2019年通过国家认可委、国家卫健委评审，2020年投入正式运行，目前是新疆唯一一个运行的人感染高致病性病原微生物高等级实验室，实验室已经具备多种病原微生物体外实验及动物感染实验，近年来持续接受国家认可委、国家卫健委监督评审及飞行检查，各项参数均满足国家法律法规及规范条件。</w:t>
      </w:r>
    </w:p>
    <w:p w14:paraId="2DC2E68A">
      <w:pPr>
        <w:pStyle w:val="5"/>
        <w:pageBreakBefore w:val="0"/>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项目基本要求：项目此次因监控数量、监控覆盖范围、监控清晰度、监控文件备份功能改善、UPS及柴油发电机监控等不能满足工作及相关规范要求，设备间及弱电间送排风不满足温度及环境控制要求而进行的系统改造，监控改造过程及改造后，其性能、质量、功能、安全、参数不得低于</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安全防范工程技术标准》、《人间传染的病原微生物菌（毒）种保藏机构设置技术标准》、《易制爆危险化学品储存场所治安防范要求》、《医疗废物集中处置技术规范》、《生物安全实验室建筑技术规范》（GB50346-2011）、《通风与空调工程施工工程质量验收规范》、《</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公共场所集中空调通风系统卫生规范</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》、《实验室生物安全通用要求》、《病原微生物实验室生物安全通用准则》、《生物安全领域反恐怖防范要求</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 xml:space="preserve"> </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第1部分:高等级病原微生物实验室》；</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改造完成后，涉及到的项目及其关联的生物安全</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、消防、环保、</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安全、信息化、实验室建筑、实验室保障、实验室配套设施、自动化控制等功能应能满足相关要求，且不得低于改造前功能性状，所有性能不得低于招标参数要求。</w:t>
      </w:r>
    </w:p>
    <w:p w14:paraId="1A67C141">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0" w:hanging="360"/>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验收及投标要求基本要求：项目不接受不符客观事实、不符合技术参数、不符合基本要求的应标，改造完成后项目应能够通过综合性能全面检测和验收，达到安全正常使用标准和满足国家规范及标准要求，项目应能够通过属地及国家相关实验室备案、认可、飞行检查。凡伪造或变造检验报告、业绩合同、认证证书、虚假相应等，以及投标书中实际不满足招标文件的技术要求，但在技术偏离表中填写“无偏离”或“满足”，虚假或不实应标后，不符合实验室相关标准的建设及改造后期整改、维护、检测、误工等所发生的直接及间接费用由中标方承担。</w:t>
      </w:r>
    </w:p>
    <w:p w14:paraId="3A9B6226">
      <w:pPr>
        <w:pageBreakBefore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 xml:space="preserve">施工图设计文件应满足设备材料采购、非标准设备制作和施工的需要。施工图设计文件应包括设计说明、施工图设计图纸、设备材料清单及工程预算书等。 </w:t>
      </w:r>
    </w:p>
    <w:p w14:paraId="5911110E">
      <w:pPr>
        <w:pageBreakBefore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p>
    <w:p w14:paraId="17D44941">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一、监控系统改造</w:t>
      </w:r>
    </w:p>
    <w:p w14:paraId="22846D32">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视频监控系统应对监控区域和目标进行实时、有效的视频采集和监视，对视频采集设备及其信息进行控制，对视频信息进行记录与回放，监视效果应满足实际应用需求。</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br w:type="textWrapping"/>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 xml:space="preserve">    视频监控系统设计内容应包括视频／音频采集、传输、切换</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br w:type="textWrapping"/>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调度、远程控制、视频显示和声音展示、存储／回放／检索、视频／音频分析、多摄像机协同、系统管理、独立运行、集成与联网等，并应符合下列规定：</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br w:type="textWrapping"/>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 xml:space="preserve">    1.视频采集设备的监控范围应有效覆盖被保护部位、区域或目标，监视效果应满足场景和目标特征识别的不同需求。视频采集设备的灵敏度和动态范围应满足现场图像采集的要求。</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br w:type="textWrapping"/>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 xml:space="preserve">    2.系统的传输装置应从传输信道的衰耗、带宽、信噪比，误码率、时延、时延抖动等方面，确保视频图像信息和其他相关信息在前端采集设备到显示设备、存储设备等各设备之间的安全有效及时传递。视频传输应支持对同一视频资源的信号分配或数据分发的能力。</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br w:type="textWrapping"/>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 xml:space="preserve">    3.系统应具备按照授权实时切换调度指定视频信号到指定终端的能力。</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br w:type="textWrapping"/>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 xml:space="preserve">    4.系统应具备按照授权对选定的前端视频采集设备进行PTZ 实时控制和（或）工作参数调整的能力。</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br w:type="textWrapping"/>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 xml:space="preserve">    5.系统应能实时显示系统内的所有视频图像，系统图像质量应满足安全管理要求。    </w:t>
      </w:r>
    </w:p>
    <w:p w14:paraId="54CD738E">
      <w:pPr>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6.存储／回放／检索应符合下列规定：</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br w:type="textWrapping"/>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 xml:space="preserve">    ①存储设备应能完整记录指定的视频图像信息，其容量设计应综 合考虑记录视频的路数、存储格式、存储周期长度、数据更新等因素．确保存储的视频图像信息质量满足安全管理要求：</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br w:type="textWrapping"/>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 xml:space="preserve">    ②视频存储设备应具有足够的能力支持视频图像信息的及时保存、连续回放、多用户实时检索和数据导出等；</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br w:type="textWrapping"/>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 xml:space="preserve">    ③视频图像信息宜与相关音频信息同步记录、同步回放。</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br w:type="textWrapping"/>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 xml:space="preserve">  7.视频图像信息保存期限不应少于90d。</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br w:type="textWrapping"/>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 xml:space="preserve">  </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8</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系统可设置多台摄像机协同工作。</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br w:type="textWrapping"/>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 xml:space="preserve">  9.</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系统应具有用户权限管理、操作与运行日志管理、设备管理和自我诊断等功能。</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br w:type="textWrapping"/>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 xml:space="preserve">  </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1</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0.</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安全防范系统的其他子系统和安全防范管理平台（非依赖于视频监控系统的安全防范管理平台）的故障均应不影响视频监控系统的运行；视频监控系统的故障应不影响安全防范系统其他子系统的运行。</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br w:type="textWrapping"/>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 xml:space="preserve">    </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1</w:t>
      </w: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1.</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系统应具有与其他子系统集成和进行多级联网的能力。</w:t>
      </w:r>
    </w:p>
    <w:p w14:paraId="0E16A98A">
      <w:pPr>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 xml:space="preserve">安全防拖系统的集成设计应包括子系统的集成设计、总系统的集成设计，必要时还应考虑总系统与上一级管理系统的集成设计。安全防范系统可通过独立设置的安全防范管理平台进行集成，也可基于某一子系统的管理平台进行集成。 </w:t>
      </w:r>
    </w:p>
    <w:p w14:paraId="5CAA9D6B">
      <w:pPr>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12.监控显示器安装须增加3根≥100mm的方管（厚度2.0-2.5mm）</w:t>
      </w:r>
    </w:p>
    <w:p w14:paraId="7FC268D4">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p>
    <w:p w14:paraId="734AD887">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二、UPS及柴油发电机状态改造</w:t>
      </w:r>
    </w:p>
    <w:p w14:paraId="2489BBA3">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1.总体验收要求</w:t>
      </w:r>
    </w:p>
    <w:p w14:paraId="16931667">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① 本次改造须完整实现 UPS、柴油发电机运行状态及相关参数的实时采集、集中显示、状态联动，所有功能满足本文件及招标文件约定要求，系统运行稳定可靠。</w:t>
      </w:r>
    </w:p>
    <w:p w14:paraId="7069DB46">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② 系统数据采集准确、刷新及时，界面显示清晰直观，状态切换逻辑正确，无卡顿、无延迟、无数据丢失。</w:t>
      </w:r>
    </w:p>
    <w:p w14:paraId="47B9C67D">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③所有硬件接入、通讯协议配置、软件界面修改均须完成调试，达到可正常投入使用的标准，方可通过验收。</w:t>
      </w:r>
    </w:p>
    <w:p w14:paraId="1B3B2136">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④UPS、柴油发电机所有工作状态都能导出并打印记录。</w:t>
      </w:r>
    </w:p>
    <w:p w14:paraId="6C80527F">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2.UPS 监控功能验收标准</w:t>
      </w:r>
    </w:p>
    <w:p w14:paraId="25670828">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①市电及供电状态显示</w:t>
      </w:r>
    </w:p>
    <w:p w14:paraId="25024750">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1）</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能准确显示实验室双回路市电正常/停电状态。</w:t>
      </w:r>
    </w:p>
    <w:p w14:paraId="539CBF2C">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2）</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正确显示 UPS 当前工作模式：市电供电、电池逆变供电、旁路模式、故障状态。</w:t>
      </w:r>
    </w:p>
    <w:p w14:paraId="091A74B4">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3）</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状态切换与实际工况一致，无滞后、无误判。</w:t>
      </w:r>
    </w:p>
    <w:p w14:paraId="20E40BB1">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p>
    <w:p w14:paraId="700A7B61">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② UPS 实时电量及放电状态</w:t>
      </w:r>
    </w:p>
    <w:p w14:paraId="5CFD14F6">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1）</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实时显示 UPS 电池剩余容量百分比，数据准确、刷新及时。</w:t>
      </w:r>
    </w:p>
    <w:p w14:paraId="44AC52E3">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2）</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市电中断后，系统自动识别 UPS 进入放电状态，并清晰标识。</w:t>
      </w:r>
    </w:p>
    <w:p w14:paraId="511AECBC">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3）</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实时显示放电过程中剩余电量变化，数据连续、无跳变。</w:t>
      </w:r>
    </w:p>
    <w:p w14:paraId="622C89D2">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③ 市电恢复及充电状态</w:t>
      </w:r>
    </w:p>
    <w:p w14:paraId="215F6147">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1）</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市电恢复后，系统准确识别并提示市电恢复。</w:t>
      </w:r>
    </w:p>
    <w:p w14:paraId="21666B35">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2）</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实时显示 UPS 电池充电中/充电完成状态及充电进度。</w:t>
      </w:r>
    </w:p>
    <w:p w14:paraId="01DC8A8F">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3）</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充电过程电量曲线连续，状态更新及时准确。</w:t>
      </w:r>
    </w:p>
    <w:p w14:paraId="08346B2D">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④告警与提示</w:t>
      </w:r>
    </w:p>
    <w:p w14:paraId="075E9A17">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市电中断、UPS 逆变、低电量、故障等事件应有明显状态颜色区分或文字提示。</w:t>
      </w:r>
    </w:p>
    <w:p w14:paraId="4F64A1D0">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3.柴油发电机监控功能验收标准</w:t>
      </w:r>
    </w:p>
    <w:p w14:paraId="0B90DCE4">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① 运行状态显示</w:t>
      </w:r>
    </w:p>
    <w:p w14:paraId="30EA0FB7">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1）</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准确显示柴油发电机待机、启动中、运行中、停机状态。</w:t>
      </w:r>
    </w:p>
    <w:p w14:paraId="4CD9E94D">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2）</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支持自动/手动启动状态识别，显示与实际工况一致。</w:t>
      </w:r>
    </w:p>
    <w:p w14:paraId="7874FCE9">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②供电与切换状态</w:t>
      </w:r>
    </w:p>
    <w:p w14:paraId="4384E476">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1）</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清晰显示发电机对外供电中或停机断电状态。</w:t>
      </w:r>
    </w:p>
    <w:p w14:paraId="58CD15FF">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2）</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发电机投入/退出供电时，界面状态同步更新，无延迟、无错误。</w:t>
      </w:r>
    </w:p>
    <w:p w14:paraId="6D2EC9DE">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③ 柴油剩余量监测</w:t>
      </w:r>
    </w:p>
    <w:p w14:paraId="6BA09229">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1）</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实时显示剩余柴油量（百分比或油量数值）。</w:t>
      </w:r>
    </w:p>
    <w:p w14:paraId="2CDD7F3E">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2）</w:t>
      </w: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油量数据采集准确，低油位状态可正确识别并提示。</w:t>
      </w:r>
    </w:p>
    <w:p w14:paraId="17AC4D2B">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4、界面与系统性能验收标准</w:t>
      </w:r>
    </w:p>
    <w:p w14:paraId="1340FF2F">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①界面集成</w:t>
      </w:r>
    </w:p>
    <w:p w14:paraId="51BD8F8D">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UPS、发电机状态模块已完整集成至原有供排风控制系统画面，布局合理、操作友好。</w:t>
      </w:r>
    </w:p>
    <w:p w14:paraId="54942183">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②实时性</w:t>
      </w:r>
    </w:p>
    <w:p w14:paraId="50683D4C">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所有状态及参数实时刷新，关键状态变化响应延迟不超过 3 秒。</w:t>
      </w:r>
    </w:p>
    <w:p w14:paraId="0784E84E">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③稳定性：连续运行测试期间，系统无死机、无闪退、无通讯中断、无数据异常。</w:t>
      </w:r>
    </w:p>
    <w:p w14:paraId="5C834B44">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④兼容性</w:t>
      </w:r>
    </w:p>
    <w:p w14:paraId="18C031EE">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zh-CN" w:eastAsia="zh-CN" w:bidi="ar-SA"/>
        </w:rPr>
      </w:pPr>
      <w:r>
        <w:rPr>
          <w:rFonts w:hint="eastAsia" w:ascii="仿宋" w:hAnsi="仿宋" w:eastAsia="仿宋" w:cs="仿宋"/>
          <w:b w:val="0"/>
          <w:bCs w:val="0"/>
          <w:color w:val="auto"/>
          <w:kern w:val="2"/>
          <w:sz w:val="24"/>
          <w:szCs w:val="24"/>
          <w:highlight w:val="none"/>
          <w:shd w:val="clear" w:color="auto" w:fill="FFFFFF" w:themeFill="background1"/>
          <w:lang w:val="zh-CN" w:eastAsia="zh-CN" w:bidi="ar-SA"/>
        </w:rPr>
        <w:t>改造后不影响原有供排风控制系统的正常功能，不产生冲突与干扰。</w:t>
      </w:r>
    </w:p>
    <w:p w14:paraId="1D96673E">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三、中控室、弱电间、垫料间排风改造</w:t>
      </w:r>
    </w:p>
    <w:p w14:paraId="449B2308">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1、验收前提条件</w:t>
      </w:r>
    </w:p>
    <w:p w14:paraId="4410FA6B">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①所有设备、材料均已按合同及技术标准完成供货、安装、调试，系统整体试运行≥72小时，运行稳定无异常。</w:t>
      </w:r>
    </w:p>
    <w:p w14:paraId="353A05A7">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②中标方已提交完整的竣工资料，包括：设备合格证、检测报告、安装图纸、接线图、操作维护手册等。</w:t>
      </w:r>
    </w:p>
    <w:p w14:paraId="78ECDC1C">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③现场安全防护措施到位，无遗留施工隐患，符合实验室安全管理规范。</w:t>
      </w:r>
    </w:p>
    <w:p w14:paraId="29212E44">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2、系统功能与性能验收</w:t>
      </w:r>
    </w:p>
    <w:p w14:paraId="751C0D8D">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①排风效果：各房间排风口风量实测满足设计要求，室内空气流通顺畅，无明显异味、积尘；系统整体风压平衡，无倒灌、串风现象。</w:t>
      </w:r>
    </w:p>
    <w:p w14:paraId="4A4B0857">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②噪声与振动：风机运行时，现场噪声检测≤55dB(A)，无明显振动传递至墙体或吊顶，不影响实验室日常操作。</w:t>
      </w:r>
    </w:p>
    <w:p w14:paraId="4FCA44FC">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val="0"/>
          <w:bCs w:val="0"/>
          <w:color w:val="auto"/>
          <w:kern w:val="2"/>
          <w:sz w:val="24"/>
          <w:szCs w:val="24"/>
          <w:highlight w:val="none"/>
          <w:shd w:val="clear" w:color="auto" w:fill="FFFFFF" w:themeFill="background1"/>
          <w:lang w:val="en-US" w:eastAsia="zh-CN" w:bidi="ar-SA"/>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③控制可靠性：各风机启停按钮操作灵敏，可独立控制，电气线路无短路、漏电风险，接地保护可靠。</w:t>
      </w:r>
    </w:p>
    <w:p w14:paraId="2481C06A">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eastAsia="仿宋"/>
          <w:color w:val="auto"/>
          <w:lang w:val="en-US" w:eastAsia="zh-CN"/>
        </w:rPr>
      </w:pPr>
      <w:r>
        <w:rPr>
          <w:rFonts w:hint="eastAsia" w:ascii="仿宋" w:hAnsi="仿宋" w:eastAsia="仿宋" w:cs="仿宋"/>
          <w:b w:val="0"/>
          <w:bCs w:val="0"/>
          <w:color w:val="auto"/>
          <w:kern w:val="2"/>
          <w:sz w:val="24"/>
          <w:szCs w:val="24"/>
          <w:highlight w:val="none"/>
          <w:shd w:val="clear" w:color="auto" w:fill="FFFFFF" w:themeFill="background1"/>
          <w:lang w:val="en-US" w:eastAsia="zh-CN" w:bidi="ar-SA"/>
        </w:rPr>
        <w:t>④密封性与耐久性：风管、静压箱、软接头等部位无漏风、漏声；材料耐腐蚀、耐老化性能满足长期运行要求。</w:t>
      </w:r>
    </w:p>
    <w:p w14:paraId="43888CFD">
      <w:pPr>
        <w:spacing w:line="360" w:lineRule="auto"/>
        <w:ind w:firstLine="480" w:firstLineChars="200"/>
        <w:rPr>
          <w:rFonts w:hint="eastAsia" w:ascii="仿宋" w:hAnsi="仿宋" w:eastAsia="仿宋" w:cs="仿宋"/>
          <w:color w:val="auto"/>
          <w:sz w:val="24"/>
          <w:szCs w:val="24"/>
          <w:highlight w:val="none"/>
          <w:shd w:val="clear" w:color="auto" w:fill="FFFFFF" w:themeFill="background1"/>
          <w:lang w:eastAsia="zh-CN"/>
        </w:rPr>
      </w:pPr>
      <w:r>
        <w:rPr>
          <w:rFonts w:hint="eastAsia" w:ascii="仿宋" w:hAnsi="仿宋" w:eastAsia="仿宋" w:cs="仿宋"/>
          <w:color w:val="auto"/>
          <w:sz w:val="24"/>
          <w:szCs w:val="24"/>
          <w:highlight w:val="none"/>
          <w:shd w:val="clear" w:color="auto" w:fill="FFFFFF" w:themeFill="background1"/>
          <w:lang w:eastAsia="zh-CN"/>
        </w:rPr>
        <w:t>⑤设备支持手动控制与自动控制两种运行模式自由切换；自动控制模式下，可实时进行运行参数的设置、修改与保存，适配不同工况需求。自动模式依托温度感应模块实现智能启停与逻辑调控，可稳定满足7×24小时不间断连续运行要求；整体兼容人工手动操作、温度感应自动调控双重控制方式，运行模式灵活、切换便捷。</w:t>
      </w:r>
    </w:p>
    <w:p w14:paraId="2FE0DF11">
      <w:pPr>
        <w:spacing w:line="360" w:lineRule="auto"/>
        <w:ind w:firstLine="480" w:firstLineChars="200"/>
        <w:rPr>
          <w:rFonts w:hint="default" w:ascii="仿宋" w:hAnsi="仿宋" w:eastAsia="仿宋" w:cs="仿宋"/>
          <w:color w:val="auto"/>
          <w:sz w:val="24"/>
          <w:szCs w:val="24"/>
          <w:highlight w:val="none"/>
          <w:shd w:val="clear" w:color="auto" w:fill="FFFFFF" w:themeFill="background1"/>
          <w:lang w:val="en-US" w:eastAsia="zh-CN"/>
        </w:rPr>
      </w:pPr>
      <w:r>
        <w:rPr>
          <w:rFonts w:hint="eastAsia" w:ascii="仿宋" w:hAnsi="仿宋" w:eastAsia="仿宋" w:cs="仿宋"/>
          <w:color w:val="auto"/>
          <w:sz w:val="24"/>
          <w:szCs w:val="24"/>
          <w:highlight w:val="none"/>
          <w:shd w:val="clear" w:color="auto" w:fill="FFFFFF" w:themeFill="background1"/>
          <w:lang w:val="en-US" w:eastAsia="zh-CN"/>
        </w:rPr>
        <w:t>四、供应商交付的设备及提供的服务，在质量、性能、规格、功能、服务标准等方面，不得低于采购需求及工程量清单的要求。</w:t>
      </w:r>
    </w:p>
    <w:p w14:paraId="5AD04ADF">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0A0ABCF5">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C939DB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0936F98F">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5B2FE05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6347F3B6">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00C945E0">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0E713B56">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2F11840C">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30" w:name="_Toc12673"/>
      <w:r>
        <w:rPr>
          <w:rFonts w:hint="eastAsia" w:ascii="仿宋" w:hAnsi="仿宋" w:eastAsia="仿宋" w:cs="仿宋"/>
          <w:b/>
          <w:color w:val="auto"/>
          <w:sz w:val="24"/>
          <w:szCs w:val="24"/>
          <w:highlight w:val="none"/>
          <w:shd w:val="clear" w:color="auto" w:fill="FFFFFF" w:themeFill="background1"/>
        </w:rPr>
        <w:t>第五章 响应文件格式</w:t>
      </w:r>
      <w:bookmarkEnd w:id="30"/>
    </w:p>
    <w:p w14:paraId="49CCC1CF">
      <w:pPr>
        <w:spacing w:line="360" w:lineRule="auto"/>
        <w:rPr>
          <w:rFonts w:hint="eastAsia" w:ascii="仿宋" w:hAnsi="仿宋" w:eastAsia="仿宋" w:cs="仿宋"/>
          <w:b/>
          <w:color w:val="auto"/>
          <w:sz w:val="24"/>
          <w:szCs w:val="24"/>
          <w:highlight w:val="none"/>
          <w:shd w:val="clear" w:color="auto" w:fill="FFFFFF" w:themeFill="background1"/>
        </w:rPr>
      </w:pPr>
    </w:p>
    <w:p w14:paraId="2894699F">
      <w:pPr>
        <w:spacing w:line="360" w:lineRule="auto"/>
        <w:rPr>
          <w:rFonts w:hint="eastAsia" w:ascii="仿宋" w:hAnsi="仿宋" w:eastAsia="仿宋" w:cs="仿宋"/>
          <w:b/>
          <w:color w:val="auto"/>
          <w:sz w:val="24"/>
          <w:szCs w:val="24"/>
          <w:highlight w:val="none"/>
          <w:shd w:val="clear" w:color="auto" w:fill="FFFFFF" w:themeFill="background1"/>
        </w:rPr>
      </w:pPr>
    </w:p>
    <w:p w14:paraId="418BFCA0">
      <w:pPr>
        <w:spacing w:line="360" w:lineRule="auto"/>
        <w:rPr>
          <w:rFonts w:hint="eastAsia" w:ascii="仿宋" w:hAnsi="仿宋" w:eastAsia="仿宋" w:cs="仿宋"/>
          <w:color w:val="auto"/>
          <w:sz w:val="24"/>
          <w:szCs w:val="24"/>
          <w:highlight w:val="none"/>
          <w:u w:val="single"/>
          <w:shd w:val="clear" w:color="auto" w:fill="FFFFFF" w:themeFill="background1"/>
        </w:rPr>
      </w:pPr>
      <w:r>
        <w:rPr>
          <w:rFonts w:hint="eastAsia" w:ascii="仿宋" w:hAnsi="仿宋" w:eastAsia="仿宋" w:cs="仿宋"/>
          <w:color w:val="auto"/>
          <w:sz w:val="24"/>
          <w:szCs w:val="24"/>
          <w:highlight w:val="none"/>
          <w:u w:val="single"/>
          <w:shd w:val="clear" w:color="auto" w:fill="FFFFFF" w:themeFill="background1"/>
        </w:rPr>
        <w:t>响应文件封面示例</w:t>
      </w:r>
    </w:p>
    <w:p w14:paraId="66CC7E6E">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38F1CC5C">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79FA71A6">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4DC2A00D">
      <w:pPr>
        <w:spacing w:line="360" w:lineRule="auto"/>
        <w:jc w:val="center"/>
        <w:rPr>
          <w:rFonts w:hint="eastAsia"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（项目名称）</w:t>
      </w:r>
    </w:p>
    <w:p w14:paraId="3A7CE382">
      <w:pPr>
        <w:spacing w:line="360" w:lineRule="auto"/>
        <w:jc w:val="center"/>
        <w:rPr>
          <w:rFonts w:hint="eastAsia"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（项目编号）</w:t>
      </w:r>
    </w:p>
    <w:p w14:paraId="3EFD5BF5">
      <w:pPr>
        <w:spacing w:line="360" w:lineRule="auto"/>
        <w:jc w:val="center"/>
        <w:rPr>
          <w:rFonts w:hint="eastAsia" w:ascii="仿宋" w:hAnsi="仿宋" w:eastAsia="仿宋" w:cs="仿宋"/>
          <w:b/>
          <w:bCs/>
          <w:color w:val="auto"/>
          <w:sz w:val="24"/>
          <w:szCs w:val="24"/>
          <w:highlight w:val="none"/>
          <w:shd w:val="clear" w:color="auto" w:fill="FFFFFF" w:themeFill="background1"/>
        </w:rPr>
      </w:pPr>
    </w:p>
    <w:p w14:paraId="7E0FBF0D">
      <w:pPr>
        <w:spacing w:line="360" w:lineRule="auto"/>
        <w:jc w:val="center"/>
        <w:rPr>
          <w:rFonts w:hint="eastAsia" w:ascii="仿宋" w:hAnsi="仿宋" w:eastAsia="仿宋" w:cs="仿宋"/>
          <w:b/>
          <w:bCs/>
          <w:color w:val="auto"/>
          <w:sz w:val="24"/>
          <w:szCs w:val="24"/>
          <w:highlight w:val="none"/>
          <w:shd w:val="clear" w:color="auto" w:fill="FFFFFF" w:themeFill="background1"/>
        </w:rPr>
      </w:pPr>
    </w:p>
    <w:p w14:paraId="0F9B15B4">
      <w:pPr>
        <w:spacing w:line="360" w:lineRule="auto"/>
        <w:jc w:val="center"/>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响应文件</w:t>
      </w:r>
    </w:p>
    <w:p w14:paraId="3AFB6F02">
      <w:pPr>
        <w:spacing w:line="360" w:lineRule="auto"/>
        <w:rPr>
          <w:rFonts w:hint="eastAsia" w:ascii="仿宋" w:hAnsi="仿宋" w:eastAsia="仿宋" w:cs="仿宋"/>
          <w:color w:val="auto"/>
          <w:sz w:val="24"/>
          <w:szCs w:val="24"/>
          <w:highlight w:val="none"/>
          <w:shd w:val="clear" w:color="auto" w:fill="FFFFFF" w:themeFill="background1"/>
        </w:rPr>
      </w:pPr>
    </w:p>
    <w:p w14:paraId="0B87236B">
      <w:pPr>
        <w:spacing w:line="360" w:lineRule="auto"/>
        <w:rPr>
          <w:rFonts w:hint="eastAsia" w:ascii="仿宋" w:hAnsi="仿宋" w:eastAsia="仿宋" w:cs="仿宋"/>
          <w:color w:val="auto"/>
          <w:sz w:val="24"/>
          <w:szCs w:val="24"/>
          <w:highlight w:val="none"/>
          <w:shd w:val="clear" w:color="auto" w:fill="FFFFFF" w:themeFill="background1"/>
        </w:rPr>
      </w:pPr>
    </w:p>
    <w:p w14:paraId="79C28E7D">
      <w:pPr>
        <w:spacing w:line="360" w:lineRule="auto"/>
        <w:rPr>
          <w:rFonts w:hint="eastAsia" w:ascii="仿宋" w:hAnsi="仿宋" w:eastAsia="仿宋" w:cs="仿宋"/>
          <w:color w:val="auto"/>
          <w:sz w:val="24"/>
          <w:szCs w:val="24"/>
          <w:highlight w:val="none"/>
          <w:shd w:val="clear" w:color="auto" w:fill="FFFFFF" w:themeFill="background1"/>
        </w:rPr>
      </w:pPr>
    </w:p>
    <w:p w14:paraId="05B61889">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供应商：（盖章）</w:t>
      </w:r>
    </w:p>
    <w:p w14:paraId="508DE4CB">
      <w:pPr>
        <w:spacing w:line="360" w:lineRule="auto"/>
        <w:rPr>
          <w:rFonts w:hint="eastAsia" w:ascii="仿宋" w:hAnsi="仿宋" w:eastAsia="仿宋" w:cs="仿宋"/>
          <w:color w:val="auto"/>
          <w:sz w:val="24"/>
          <w:szCs w:val="24"/>
          <w:highlight w:val="none"/>
          <w:shd w:val="clear" w:color="auto" w:fill="FFFFFF" w:themeFill="background1"/>
        </w:rPr>
      </w:pPr>
    </w:p>
    <w:p w14:paraId="240C7433">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shd w:val="clear" w:color="auto" w:fill="FFFFFF" w:themeFill="background1"/>
        </w:rPr>
        <w:t>（盖章）</w:t>
      </w:r>
    </w:p>
    <w:p w14:paraId="708C4063">
      <w:pPr>
        <w:spacing w:line="360" w:lineRule="auto"/>
        <w:rPr>
          <w:rFonts w:hint="eastAsia" w:ascii="仿宋" w:hAnsi="仿宋" w:eastAsia="仿宋" w:cs="仿宋"/>
          <w:color w:val="auto"/>
          <w:sz w:val="24"/>
          <w:szCs w:val="24"/>
          <w:highlight w:val="none"/>
          <w:shd w:val="clear" w:color="auto" w:fill="FFFFFF" w:themeFill="background1"/>
        </w:rPr>
      </w:pPr>
    </w:p>
    <w:p w14:paraId="57BBD2C5">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单位地址：</w:t>
      </w:r>
    </w:p>
    <w:p w14:paraId="184C6B3D">
      <w:pPr>
        <w:spacing w:line="360" w:lineRule="auto"/>
        <w:rPr>
          <w:rFonts w:hint="eastAsia" w:ascii="仿宋" w:hAnsi="仿宋" w:eastAsia="仿宋" w:cs="仿宋"/>
          <w:color w:val="auto"/>
          <w:sz w:val="24"/>
          <w:szCs w:val="24"/>
          <w:highlight w:val="none"/>
          <w:shd w:val="clear" w:color="auto" w:fill="FFFFFF" w:themeFill="background1"/>
        </w:rPr>
      </w:pPr>
    </w:p>
    <w:p w14:paraId="0EAF71A5">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邮政编码：</w:t>
      </w:r>
    </w:p>
    <w:p w14:paraId="698C22B6">
      <w:pPr>
        <w:spacing w:line="360" w:lineRule="auto"/>
        <w:rPr>
          <w:rFonts w:hint="eastAsia" w:ascii="仿宋" w:hAnsi="仿宋" w:eastAsia="仿宋" w:cs="仿宋"/>
          <w:color w:val="auto"/>
          <w:sz w:val="24"/>
          <w:szCs w:val="24"/>
          <w:highlight w:val="none"/>
          <w:shd w:val="clear" w:color="auto" w:fill="FFFFFF" w:themeFill="background1"/>
        </w:rPr>
      </w:pPr>
    </w:p>
    <w:p w14:paraId="49AC5343">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联系人：</w:t>
      </w:r>
    </w:p>
    <w:p w14:paraId="6CB52E94">
      <w:pPr>
        <w:spacing w:line="360" w:lineRule="auto"/>
        <w:rPr>
          <w:rFonts w:hint="eastAsia" w:ascii="仿宋" w:hAnsi="仿宋" w:eastAsia="仿宋" w:cs="仿宋"/>
          <w:color w:val="auto"/>
          <w:sz w:val="24"/>
          <w:szCs w:val="24"/>
          <w:highlight w:val="none"/>
          <w:shd w:val="clear" w:color="auto" w:fill="FFFFFF" w:themeFill="background1"/>
        </w:rPr>
      </w:pPr>
    </w:p>
    <w:p w14:paraId="5174AE3E">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联系电话：</w:t>
      </w:r>
    </w:p>
    <w:p w14:paraId="1E40B739">
      <w:pPr>
        <w:spacing w:line="360" w:lineRule="auto"/>
        <w:rPr>
          <w:rFonts w:hint="eastAsia" w:ascii="仿宋" w:hAnsi="仿宋" w:eastAsia="仿宋" w:cs="仿宋"/>
          <w:color w:val="auto"/>
          <w:sz w:val="24"/>
          <w:szCs w:val="24"/>
          <w:highlight w:val="none"/>
          <w:shd w:val="clear" w:color="auto" w:fill="FFFFFF" w:themeFill="background1"/>
        </w:rPr>
      </w:pPr>
    </w:p>
    <w:p w14:paraId="56CB4666">
      <w:pPr>
        <w:spacing w:line="360" w:lineRule="auto"/>
        <w:ind w:firstLine="2" w:firstLineChars="1"/>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年  月  日</w:t>
      </w:r>
    </w:p>
    <w:p w14:paraId="327068D0">
      <w:pPr>
        <w:spacing w:line="360" w:lineRule="auto"/>
        <w:ind w:firstLine="2" w:firstLineChars="1"/>
        <w:jc w:val="center"/>
        <w:rPr>
          <w:rFonts w:hint="eastAsia" w:ascii="仿宋" w:hAnsi="仿宋" w:eastAsia="仿宋" w:cs="仿宋"/>
          <w:color w:val="auto"/>
          <w:sz w:val="24"/>
          <w:szCs w:val="24"/>
          <w:highlight w:val="none"/>
          <w:shd w:val="clear" w:color="auto" w:fill="FFFFFF" w:themeFill="background1"/>
        </w:rPr>
      </w:pPr>
    </w:p>
    <w:p w14:paraId="7FA47E8D">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bookmarkStart w:id="31" w:name="_Toc38910521"/>
      <w:bookmarkStart w:id="32" w:name="_Toc38446469"/>
      <w:r>
        <w:rPr>
          <w:rFonts w:hint="eastAsia" w:ascii="仿宋" w:hAnsi="仿宋" w:eastAsia="仿宋" w:cs="仿宋"/>
          <w:color w:val="auto"/>
          <w:sz w:val="24"/>
          <w:szCs w:val="24"/>
          <w:highlight w:val="none"/>
          <w:shd w:val="clear" w:color="auto" w:fill="FFFFFF" w:themeFill="background1"/>
        </w:rPr>
        <w:t>目录</w:t>
      </w:r>
      <w:bookmarkEnd w:id="31"/>
      <w:bookmarkEnd w:id="32"/>
    </w:p>
    <w:p w14:paraId="13D66B97">
      <w:pPr>
        <w:spacing w:line="360" w:lineRule="auto"/>
        <w:rPr>
          <w:rFonts w:hint="eastAsia" w:ascii="仿宋" w:hAnsi="仿宋" w:eastAsia="仿宋" w:cs="仿宋"/>
          <w:bCs/>
          <w:color w:val="auto"/>
          <w:sz w:val="24"/>
          <w:szCs w:val="24"/>
          <w:highlight w:val="none"/>
          <w:shd w:val="clear" w:color="auto" w:fill="FFFFFF" w:themeFill="background1"/>
        </w:rPr>
      </w:pPr>
    </w:p>
    <w:p w14:paraId="085649F6">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一、投标函(一)</w:t>
      </w:r>
    </w:p>
    <w:p w14:paraId="6E15ABCF">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二、投标函（二）</w:t>
      </w:r>
    </w:p>
    <w:p w14:paraId="36B7EC6D">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三、商务条款偏离表</w:t>
      </w:r>
    </w:p>
    <w:p w14:paraId="3309B6F0">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四、技术条款偏离表</w:t>
      </w:r>
    </w:p>
    <w:p w14:paraId="137D6184">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五、法定代表人身份证明书</w:t>
      </w:r>
    </w:p>
    <w:p w14:paraId="724C718C">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六、法定代表人授权委托书</w:t>
      </w:r>
    </w:p>
    <w:p w14:paraId="696C99BA">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七、供应商基本情况表</w:t>
      </w:r>
    </w:p>
    <w:p w14:paraId="318794B9">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八、供应商资格条件证明材料</w:t>
      </w:r>
    </w:p>
    <w:p w14:paraId="1D92646B">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九、供应商近</w:t>
      </w:r>
      <w:r>
        <w:rPr>
          <w:rFonts w:hint="eastAsia" w:ascii="仿宋" w:hAnsi="仿宋" w:eastAsia="仿宋" w:cs="仿宋"/>
          <w:bCs/>
          <w:color w:val="auto"/>
          <w:sz w:val="24"/>
          <w:szCs w:val="24"/>
          <w:highlight w:val="none"/>
          <w:shd w:val="clear" w:color="auto" w:fill="FFFFFF" w:themeFill="background1"/>
          <w:lang w:val="en-US" w:eastAsia="zh-CN"/>
        </w:rPr>
        <w:t>三</w:t>
      </w:r>
      <w:r>
        <w:rPr>
          <w:rFonts w:hint="eastAsia" w:ascii="仿宋" w:hAnsi="仿宋" w:eastAsia="仿宋" w:cs="仿宋"/>
          <w:bCs/>
          <w:color w:val="auto"/>
          <w:sz w:val="24"/>
          <w:szCs w:val="24"/>
          <w:highlight w:val="none"/>
          <w:shd w:val="clear" w:color="auto" w:fill="FFFFFF" w:themeFill="background1"/>
        </w:rPr>
        <w:t>年类似项目业绩表</w:t>
      </w:r>
    </w:p>
    <w:p w14:paraId="5DDE6A9E">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十、项目负责人简历表</w:t>
      </w:r>
    </w:p>
    <w:p w14:paraId="52FE62E5">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十一、主要项目管理人员表</w:t>
      </w:r>
    </w:p>
    <w:p w14:paraId="4AC7D0C5">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十二、其他需要提交的资料</w:t>
      </w:r>
      <w:r>
        <w:rPr>
          <w:rFonts w:hint="eastAsia" w:ascii="仿宋" w:hAnsi="仿宋" w:eastAsia="仿宋" w:cs="仿宋"/>
          <w:bCs/>
          <w:color w:val="auto"/>
          <w:sz w:val="24"/>
          <w:szCs w:val="24"/>
          <w:highlight w:val="none"/>
          <w:shd w:val="clear" w:color="auto" w:fill="FFFFFF" w:themeFill="background1"/>
        </w:rPr>
        <w:tab/>
      </w:r>
    </w:p>
    <w:p w14:paraId="6CADC3A0">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十三、技术标</w:t>
      </w:r>
    </w:p>
    <w:p w14:paraId="784565C1">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十四、经济标</w:t>
      </w:r>
    </w:p>
    <w:p w14:paraId="4A5DC5CF">
      <w:pPr>
        <w:spacing w:line="360" w:lineRule="auto"/>
        <w:rPr>
          <w:rFonts w:hint="eastAsia" w:ascii="仿宋" w:hAnsi="仿宋" w:eastAsia="仿宋" w:cs="仿宋"/>
          <w:bCs/>
          <w:color w:val="auto"/>
          <w:sz w:val="24"/>
          <w:szCs w:val="24"/>
          <w:highlight w:val="none"/>
          <w:shd w:val="clear" w:color="auto" w:fill="FFFFFF" w:themeFill="background1"/>
        </w:rPr>
      </w:pPr>
    </w:p>
    <w:p w14:paraId="6C7E374B">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注：为了便于查找，请按上述顺序编制</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bCs/>
          <w:color w:val="auto"/>
          <w:sz w:val="24"/>
          <w:szCs w:val="24"/>
          <w:highlight w:val="none"/>
          <w:shd w:val="clear" w:color="auto" w:fill="FFFFFF" w:themeFill="background1"/>
        </w:rPr>
        <w:t>内容，并在目录中标明每项内容的起始页码。</w:t>
      </w:r>
    </w:p>
    <w:p w14:paraId="32A8F1FE">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bookmarkStart w:id="33" w:name="_Toc38446470"/>
      <w:bookmarkStart w:id="34" w:name="_Toc533503181"/>
      <w:bookmarkStart w:id="35" w:name="_Toc507586166"/>
      <w:bookmarkStart w:id="36" w:name="_Toc21306"/>
      <w:r>
        <w:rPr>
          <w:rFonts w:hint="eastAsia" w:ascii="仿宋" w:hAnsi="仿宋" w:eastAsia="仿宋" w:cs="仿宋"/>
          <w:b/>
          <w:color w:val="auto"/>
          <w:sz w:val="24"/>
          <w:szCs w:val="24"/>
          <w:highlight w:val="none"/>
          <w:shd w:val="clear" w:color="auto" w:fill="FFFFFF" w:themeFill="background1"/>
        </w:rPr>
        <w:t>一、投标函</w:t>
      </w:r>
      <w:bookmarkEnd w:id="33"/>
      <w:bookmarkEnd w:id="34"/>
      <w:bookmarkEnd w:id="35"/>
      <w:r>
        <w:rPr>
          <w:rFonts w:hint="eastAsia" w:ascii="仿宋" w:hAnsi="仿宋" w:eastAsia="仿宋" w:cs="仿宋"/>
          <w:b/>
          <w:color w:val="auto"/>
          <w:sz w:val="24"/>
          <w:szCs w:val="24"/>
          <w:highlight w:val="none"/>
          <w:shd w:val="clear" w:color="auto" w:fill="FFFFFF" w:themeFill="background1"/>
        </w:rPr>
        <w:t>(一)</w:t>
      </w:r>
      <w:bookmarkEnd w:id="36"/>
    </w:p>
    <w:p w14:paraId="0EB93D7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44B8C5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2845C46E">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根据已收到的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项目的</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，遵照《中华人民共和国政府采购法》等有关法律法规的规定，经考察现场和充分研究贵方的</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的全部内容后，我方郑重承诺如下：</w:t>
      </w:r>
    </w:p>
    <w:p w14:paraId="14B5B890">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1.我方投标价格为人民币</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元（大写：</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）；工期为：</w:t>
      </w:r>
      <w:r>
        <w:rPr>
          <w:rFonts w:hint="eastAsia" w:ascii="仿宋" w:hAnsi="仿宋" w:eastAsia="仿宋" w:cs="仿宋"/>
          <w:color w:val="auto"/>
          <w:kern w:val="0"/>
          <w:sz w:val="24"/>
          <w:szCs w:val="24"/>
          <w:highlight w:val="none"/>
          <w:u w:val="single"/>
          <w:shd w:val="clear" w:color="auto" w:fill="FFFFFF" w:themeFill="background1"/>
        </w:rPr>
        <w:t>自合同签订之日起   日历日</w:t>
      </w:r>
      <w:r>
        <w:rPr>
          <w:rFonts w:hint="eastAsia" w:ascii="仿宋" w:hAnsi="仿宋" w:eastAsia="仿宋" w:cs="仿宋"/>
          <w:color w:val="auto"/>
          <w:kern w:val="0"/>
          <w:sz w:val="24"/>
          <w:szCs w:val="24"/>
          <w:highlight w:val="none"/>
          <w:shd w:val="clear" w:color="auto" w:fill="FFFFFF" w:themeFill="background1"/>
        </w:rPr>
        <w:t>；质量等级为：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w:t>
      </w:r>
    </w:p>
    <w:p w14:paraId="21F78D5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2.如果我方成交，我方将在</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规定的时间内签订合同。如果我方违约，除没收投标保证金外，贵方有权终止我方成交并选择其它成交供应商。</w:t>
      </w:r>
    </w:p>
    <w:p w14:paraId="7C2E62F1">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3.本</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37B734C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4.我方已详细阅读</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全部内容且完全理解，同意放弃对这方面有不明及误解的权力。若有违反，同意被废除投标资格并接受处罚。</w:t>
      </w:r>
    </w:p>
    <w:p w14:paraId="50BDD904">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5.我方保证</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color w:val="auto"/>
          <w:kern w:val="0"/>
          <w:sz w:val="24"/>
          <w:szCs w:val="24"/>
          <w:highlight w:val="none"/>
          <w:shd w:val="clear" w:color="auto" w:fill="FFFFFF" w:themeFill="background1"/>
        </w:rPr>
        <w:t>内容无任何虚假、未侵犯他人知识产权。如有虚假，同意废除成交资格并被没收投标担保，承担因侵犯他人知识产权而由此引起的全部法律责任和经济责任。</w:t>
      </w:r>
    </w:p>
    <w:p w14:paraId="46FD7B42">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6.我方愿意提供贵方可能要求的与投标有关的一切数据或资料，完全理解贵方不一定接受最低投标报价的投标或收到的任何投标。</w:t>
      </w:r>
    </w:p>
    <w:p w14:paraId="62D71CAA">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7.我方派法定代表人或其授权委托人作为我方代表，负责按时参加开标会并签署与投标有关的相关文件等。</w:t>
      </w:r>
    </w:p>
    <w:p w14:paraId="4539C937">
      <w:pPr>
        <w:widowControl/>
        <w:shd w:val="clear" w:color="auto" w:fill="FFFFFF"/>
        <w:snapToGrid w:val="0"/>
        <w:spacing w:line="360" w:lineRule="auto"/>
        <w:ind w:firstLine="42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w:t>
      </w:r>
      <w:r>
        <w:rPr>
          <w:rFonts w:hint="eastAsia" w:ascii="仿宋" w:hAnsi="仿宋" w:eastAsia="仿宋" w:cs="仿宋"/>
          <w:color w:val="auto"/>
          <w:sz w:val="24"/>
          <w:szCs w:val="24"/>
          <w:highlight w:val="none"/>
          <w:shd w:val="clear" w:color="auto" w:fill="FFFFFF" w:themeFill="background1"/>
        </w:rPr>
        <w:t>保证按磋商文件及合同约定原则处理因采购人原因增加或调整的工作量及其他事宜。</w:t>
      </w:r>
    </w:p>
    <w:p w14:paraId="69C78C19">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9. 如我方成交，我方自愿向采购代理机构支付咨询费，并在合同签订后3个工作日内向采购代理机构提供采购合同原件一份用于采购资料备案工作。</w:t>
      </w:r>
    </w:p>
    <w:p w14:paraId="6481632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F9AA5FB">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58DFC6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（盖章）                       </w:t>
      </w:r>
    </w:p>
    <w:p w14:paraId="34753987">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32CA076C">
      <w:pPr>
        <w:tabs>
          <w:tab w:val="center" w:pos="4832"/>
          <w:tab w:val="left" w:pos="7140"/>
        </w:tabs>
        <w:spacing w:line="360" w:lineRule="auto"/>
        <w:ind w:firstLine="470" w:firstLineChars="196"/>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bookmarkStart w:id="37" w:name="_Toc513457079"/>
      <w:bookmarkStart w:id="38" w:name="_Toc22662"/>
      <w:bookmarkStart w:id="39" w:name="_Toc505080059"/>
      <w:bookmarkStart w:id="40" w:name="_Toc531016896"/>
      <w:bookmarkStart w:id="41" w:name="_Toc98925230"/>
      <w:r>
        <w:rPr>
          <w:rFonts w:hint="eastAsia" w:ascii="仿宋" w:hAnsi="仿宋" w:eastAsia="仿宋" w:cs="仿宋"/>
          <w:b/>
          <w:color w:val="auto"/>
          <w:sz w:val="24"/>
          <w:szCs w:val="24"/>
          <w:highlight w:val="none"/>
          <w:shd w:val="clear" w:color="auto" w:fill="FFFFFF" w:themeFill="background1"/>
        </w:rPr>
        <w:t>二、投标函（二）</w:t>
      </w:r>
      <w:bookmarkEnd w:id="37"/>
      <w:bookmarkEnd w:id="38"/>
      <w:bookmarkEnd w:id="39"/>
      <w:bookmarkEnd w:id="40"/>
      <w:bookmarkEnd w:id="41"/>
    </w:p>
    <w:p w14:paraId="3EB8801E">
      <w:pPr>
        <w:spacing w:line="360" w:lineRule="auto"/>
        <w:ind w:left="424" w:leftChars="202"/>
        <w:jc w:val="center"/>
        <w:rPr>
          <w:rFonts w:hint="eastAsia" w:ascii="仿宋" w:hAnsi="仿宋" w:eastAsia="仿宋" w:cs="仿宋"/>
          <w:b/>
          <w:color w:val="auto"/>
          <w:sz w:val="24"/>
          <w:szCs w:val="24"/>
          <w:highlight w:val="none"/>
          <w:shd w:val="clear" w:color="auto" w:fill="FFFFFF" w:themeFill="background1"/>
        </w:rPr>
      </w:pPr>
    </w:p>
    <w:p w14:paraId="0959A76D">
      <w:pPr>
        <w:spacing w:line="360" w:lineRule="auto"/>
        <w:ind w:left="424" w:leftChars="202"/>
        <w:rPr>
          <w:rFonts w:hint="eastAsia" w:ascii="仿宋" w:hAnsi="仿宋" w:eastAsia="仿宋" w:cs="仿宋"/>
          <w:color w:val="auto"/>
          <w:sz w:val="24"/>
          <w:szCs w:val="24"/>
          <w:highlight w:val="none"/>
          <w:u w:val="singl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采购人：</w:t>
      </w:r>
      <w:r>
        <w:rPr>
          <w:rFonts w:hint="eastAsia" w:ascii="仿宋" w:hAnsi="仿宋" w:eastAsia="仿宋" w:cs="仿宋"/>
          <w:color w:val="auto"/>
          <w:sz w:val="24"/>
          <w:szCs w:val="24"/>
          <w:highlight w:val="none"/>
          <w:u w:val="single"/>
          <w:shd w:val="clear" w:color="auto" w:fill="FFFFFF" w:themeFill="background1"/>
        </w:rPr>
        <w:t xml:space="preserve">                   </w:t>
      </w:r>
    </w:p>
    <w:p w14:paraId="0585264F">
      <w:pPr>
        <w:shd w:val="clear" w:color="auto" w:fill="FFFFFF"/>
        <w:snapToGrid w:val="0"/>
        <w:spacing w:line="360" w:lineRule="auto"/>
        <w:ind w:left="424"/>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若我公司成交后，项目负责人为：</w:t>
      </w:r>
    </w:p>
    <w:tbl>
      <w:tblPr>
        <w:tblStyle w:val="38"/>
        <w:tblW w:w="8868"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390"/>
        <w:gridCol w:w="2396"/>
        <w:gridCol w:w="2000"/>
      </w:tblGrid>
      <w:tr w14:paraId="66A1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082" w:type="dxa"/>
            <w:vAlign w:val="center"/>
          </w:tcPr>
          <w:p w14:paraId="7BF5FF1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2390" w:type="dxa"/>
            <w:vAlign w:val="center"/>
          </w:tcPr>
          <w:p w14:paraId="18138D19">
            <w:pPr>
              <w:jc w:val="center"/>
              <w:rPr>
                <w:rFonts w:hint="eastAsia" w:ascii="仿宋" w:hAnsi="仿宋" w:eastAsia="仿宋" w:cs="仿宋"/>
                <w:color w:val="auto"/>
                <w:sz w:val="24"/>
                <w:szCs w:val="24"/>
                <w:highlight w:val="none"/>
              </w:rPr>
            </w:pPr>
          </w:p>
        </w:tc>
        <w:tc>
          <w:tcPr>
            <w:tcW w:w="2396" w:type="dxa"/>
            <w:vAlign w:val="center"/>
          </w:tcPr>
          <w:p w14:paraId="742FD94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2000" w:type="dxa"/>
            <w:vAlign w:val="center"/>
          </w:tcPr>
          <w:p w14:paraId="285ECDAA">
            <w:pPr>
              <w:jc w:val="center"/>
              <w:rPr>
                <w:rFonts w:hint="eastAsia" w:ascii="仿宋" w:hAnsi="仿宋" w:eastAsia="仿宋" w:cs="仿宋"/>
                <w:color w:val="auto"/>
                <w:sz w:val="24"/>
                <w:szCs w:val="24"/>
                <w:highlight w:val="none"/>
              </w:rPr>
            </w:pPr>
          </w:p>
        </w:tc>
      </w:tr>
      <w:tr w14:paraId="51AB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82" w:type="dxa"/>
            <w:vAlign w:val="center"/>
          </w:tcPr>
          <w:p w14:paraId="29A26B0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项目负责人等级</w:t>
            </w:r>
          </w:p>
        </w:tc>
        <w:tc>
          <w:tcPr>
            <w:tcW w:w="2390" w:type="dxa"/>
            <w:vAlign w:val="center"/>
          </w:tcPr>
          <w:p w14:paraId="53A95DE3">
            <w:pPr>
              <w:jc w:val="center"/>
              <w:rPr>
                <w:rFonts w:hint="eastAsia" w:ascii="仿宋" w:hAnsi="仿宋" w:eastAsia="仿宋" w:cs="仿宋"/>
                <w:color w:val="auto"/>
                <w:sz w:val="24"/>
                <w:szCs w:val="24"/>
                <w:highlight w:val="none"/>
              </w:rPr>
            </w:pPr>
          </w:p>
        </w:tc>
        <w:tc>
          <w:tcPr>
            <w:tcW w:w="2396" w:type="dxa"/>
            <w:vAlign w:val="center"/>
          </w:tcPr>
          <w:p w14:paraId="5D57FF1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证书编号</w:t>
            </w:r>
          </w:p>
        </w:tc>
        <w:tc>
          <w:tcPr>
            <w:tcW w:w="2000" w:type="dxa"/>
            <w:vAlign w:val="center"/>
          </w:tcPr>
          <w:p w14:paraId="1F5389F3">
            <w:pPr>
              <w:jc w:val="center"/>
              <w:rPr>
                <w:rFonts w:hint="eastAsia" w:ascii="仿宋" w:hAnsi="仿宋" w:eastAsia="仿宋" w:cs="仿宋"/>
                <w:color w:val="auto"/>
                <w:sz w:val="24"/>
                <w:szCs w:val="24"/>
                <w:highlight w:val="none"/>
              </w:rPr>
            </w:pPr>
          </w:p>
        </w:tc>
      </w:tr>
      <w:tr w14:paraId="0C2F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082" w:type="dxa"/>
            <w:vAlign w:val="center"/>
          </w:tcPr>
          <w:p w14:paraId="0783490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6786" w:type="dxa"/>
            <w:gridSpan w:val="3"/>
            <w:vAlign w:val="center"/>
          </w:tcPr>
          <w:p w14:paraId="7A0C9A66">
            <w:pPr>
              <w:jc w:val="center"/>
              <w:rPr>
                <w:rFonts w:hint="eastAsia" w:ascii="仿宋" w:hAnsi="仿宋" w:eastAsia="仿宋" w:cs="仿宋"/>
                <w:color w:val="auto"/>
                <w:sz w:val="24"/>
                <w:szCs w:val="24"/>
                <w:highlight w:val="none"/>
              </w:rPr>
            </w:pPr>
          </w:p>
        </w:tc>
      </w:tr>
    </w:tbl>
    <w:p w14:paraId="3E040D79">
      <w:pPr>
        <w:pStyle w:val="12"/>
        <w:spacing w:line="360" w:lineRule="auto"/>
        <w:rPr>
          <w:rFonts w:hint="eastAsia" w:ascii="仿宋" w:hAnsi="仿宋" w:eastAsia="仿宋" w:cs="仿宋"/>
          <w:color w:val="auto"/>
          <w:szCs w:val="24"/>
          <w:highlight w:val="none"/>
          <w:shd w:val="clear" w:color="auto" w:fill="FFFFFF" w:themeFill="background1"/>
        </w:rPr>
      </w:pPr>
    </w:p>
    <w:p w14:paraId="690896E5">
      <w:pPr>
        <w:shd w:val="clear" w:color="auto" w:fill="FFFFFF"/>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成交后，若由于特殊原因须更换时，我方将以不低于此项目负责人资历的人员替换，并报业主审查。经审查通过后，方可更换。若未经采购人批准，我方擅自更换，我方愿以合同价的</w:t>
      </w:r>
      <w:r>
        <w:rPr>
          <w:rFonts w:hint="eastAsia" w:ascii="仿宋" w:hAnsi="仿宋" w:eastAsia="仿宋" w:cs="仿宋"/>
          <w:color w:val="auto"/>
          <w:sz w:val="24"/>
          <w:szCs w:val="24"/>
          <w:highlight w:val="none"/>
          <w:u w:val="single"/>
          <w:shd w:val="clear" w:color="auto" w:fill="FFFFFF" w:themeFill="background1"/>
        </w:rPr>
        <w:t xml:space="preserve">      </w:t>
      </w:r>
      <w:r>
        <w:rPr>
          <w:rFonts w:hint="eastAsia" w:ascii="仿宋" w:hAnsi="仿宋" w:eastAsia="仿宋" w:cs="仿宋"/>
          <w:color w:val="auto"/>
          <w:sz w:val="24"/>
          <w:szCs w:val="24"/>
          <w:highlight w:val="none"/>
          <w:shd w:val="clear" w:color="auto" w:fill="FFFFFF" w:themeFill="background1"/>
        </w:rPr>
        <w:t>%作为赔偿金。</w:t>
      </w:r>
    </w:p>
    <w:p w14:paraId="4E53DEC9">
      <w:pPr>
        <w:spacing w:line="360" w:lineRule="auto"/>
        <w:rPr>
          <w:rFonts w:hint="eastAsia" w:ascii="仿宋" w:hAnsi="仿宋" w:eastAsia="仿宋" w:cs="仿宋"/>
          <w:color w:val="auto"/>
          <w:sz w:val="24"/>
          <w:szCs w:val="24"/>
          <w:highlight w:val="none"/>
          <w:shd w:val="clear" w:color="auto" w:fill="FFFFFF" w:themeFill="background1"/>
        </w:rPr>
      </w:pPr>
    </w:p>
    <w:p w14:paraId="6C8264EA">
      <w:pPr>
        <w:spacing w:line="360" w:lineRule="auto"/>
        <w:rPr>
          <w:rFonts w:hint="eastAsia" w:ascii="仿宋" w:hAnsi="仿宋" w:eastAsia="仿宋" w:cs="仿宋"/>
          <w:color w:val="auto"/>
          <w:sz w:val="24"/>
          <w:szCs w:val="24"/>
          <w:highlight w:val="none"/>
          <w:shd w:val="clear" w:color="auto" w:fill="FFFFFF" w:themeFill="background1"/>
        </w:rPr>
      </w:pPr>
    </w:p>
    <w:p w14:paraId="568FAD8A">
      <w:pPr>
        <w:spacing w:line="360" w:lineRule="auto"/>
        <w:rPr>
          <w:rFonts w:hint="eastAsia" w:ascii="仿宋" w:hAnsi="仿宋" w:eastAsia="仿宋" w:cs="仿宋"/>
          <w:color w:val="auto"/>
          <w:sz w:val="24"/>
          <w:szCs w:val="24"/>
          <w:highlight w:val="none"/>
          <w:shd w:val="clear" w:color="auto" w:fill="FFFFFF" w:themeFill="background1"/>
        </w:rPr>
      </w:pPr>
    </w:p>
    <w:p w14:paraId="7D4E824A">
      <w:pPr>
        <w:spacing w:line="360" w:lineRule="auto"/>
        <w:rPr>
          <w:rFonts w:hint="eastAsia" w:ascii="仿宋" w:hAnsi="仿宋" w:eastAsia="仿宋" w:cs="仿宋"/>
          <w:color w:val="auto"/>
          <w:sz w:val="24"/>
          <w:szCs w:val="24"/>
          <w:highlight w:val="none"/>
          <w:shd w:val="clear" w:color="auto" w:fill="FFFFFF" w:themeFill="background1"/>
        </w:rPr>
      </w:pPr>
    </w:p>
    <w:p w14:paraId="5AA9EE8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2DF188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D61B28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444F3D9B">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1CBB4076">
      <w:pPr>
        <w:widowControl/>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4BCE837">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0CCD8FB4">
      <w:pPr>
        <w:spacing w:line="360" w:lineRule="auto"/>
        <w:rPr>
          <w:rFonts w:hint="eastAsia" w:ascii="仿宋" w:hAnsi="仿宋" w:eastAsia="仿宋" w:cs="仿宋"/>
          <w:color w:val="auto"/>
          <w:sz w:val="24"/>
          <w:szCs w:val="24"/>
          <w:highlight w:val="none"/>
          <w:shd w:val="clear" w:color="auto" w:fill="FFFFFF" w:themeFill="background1"/>
        </w:rPr>
      </w:pPr>
      <w:bookmarkStart w:id="42" w:name="_Toc533503184"/>
      <w:bookmarkStart w:id="43" w:name="_Toc507586169"/>
      <w:bookmarkStart w:id="44" w:name="_Toc38446474"/>
    </w:p>
    <w:p w14:paraId="3AA86309">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7935EE52">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5E4559E1">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45" w:name="_Toc18921"/>
      <w:r>
        <w:rPr>
          <w:rFonts w:hint="eastAsia" w:ascii="仿宋" w:hAnsi="仿宋" w:eastAsia="仿宋" w:cs="仿宋"/>
          <w:b/>
          <w:color w:val="auto"/>
          <w:sz w:val="24"/>
          <w:szCs w:val="24"/>
          <w:highlight w:val="none"/>
          <w:shd w:val="clear" w:color="auto" w:fill="FFFFFF" w:themeFill="background1"/>
        </w:rPr>
        <w:t>三、商务条款偏离表</w:t>
      </w:r>
      <w:bookmarkEnd w:id="42"/>
      <w:bookmarkEnd w:id="43"/>
      <w:bookmarkEnd w:id="44"/>
      <w:bookmarkEnd w:id="45"/>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749C0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9661C15">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序号</w:t>
            </w:r>
          </w:p>
        </w:tc>
        <w:tc>
          <w:tcPr>
            <w:tcW w:w="1814" w:type="dxa"/>
            <w:vAlign w:val="center"/>
          </w:tcPr>
          <w:p w14:paraId="20D7FE63">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竞争性磋商文件条目号</w:t>
            </w:r>
          </w:p>
        </w:tc>
        <w:tc>
          <w:tcPr>
            <w:tcW w:w="2083" w:type="dxa"/>
            <w:vAlign w:val="center"/>
          </w:tcPr>
          <w:p w14:paraId="17E0E3C4">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竞争性磋商文件的商务条款</w:t>
            </w:r>
          </w:p>
        </w:tc>
        <w:tc>
          <w:tcPr>
            <w:tcW w:w="2182" w:type="dxa"/>
            <w:vAlign w:val="center"/>
          </w:tcPr>
          <w:p w14:paraId="068D28B3">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响应文件的商务条款</w:t>
            </w:r>
          </w:p>
        </w:tc>
        <w:tc>
          <w:tcPr>
            <w:tcW w:w="1155" w:type="dxa"/>
            <w:vAlign w:val="center"/>
          </w:tcPr>
          <w:p w14:paraId="73678BDC">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偏离</w:t>
            </w:r>
          </w:p>
        </w:tc>
        <w:tc>
          <w:tcPr>
            <w:tcW w:w="1219" w:type="dxa"/>
            <w:vAlign w:val="center"/>
          </w:tcPr>
          <w:p w14:paraId="0B07376F">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说明</w:t>
            </w:r>
          </w:p>
        </w:tc>
      </w:tr>
      <w:tr w14:paraId="26622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5D7D7B1">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4A6C959D">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2EC4F09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76F2A90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2B02AB44">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489FA15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49453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AD702B4">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089661C0">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2A221FF4">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773AF97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1A984B3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36EE977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3C059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6BC0400">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6E11837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34608103">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04395B2A">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430294EF">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501EF388">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5108C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3DED2B2">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63569B53">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02A9DBD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610C391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699B4D7A">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36C4241F">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345E1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B5006E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276B64B4">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6395C38A">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23EA223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17619DCD">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28F6527D">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bl>
    <w:p w14:paraId="10C32BC1">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备注：供应商对磋商文件商务条款有偏离的，应在此表中列明实际响应的内容并加以说明，以便查对。请在此偏离表“偏离”中填写无偏离或正偏离或负偏离。</w:t>
      </w:r>
    </w:p>
    <w:p w14:paraId="3880ABB6">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59F91F6F">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31F77557">
      <w:pPr>
        <w:spacing w:line="360" w:lineRule="auto"/>
        <w:jc w:val="left"/>
        <w:rPr>
          <w:rFonts w:hint="eastAsia" w:ascii="仿宋" w:hAnsi="仿宋" w:eastAsia="仿宋" w:cs="仿宋"/>
          <w:color w:val="auto"/>
          <w:sz w:val="24"/>
          <w:szCs w:val="24"/>
          <w:highlight w:val="none"/>
          <w:shd w:val="clear" w:color="auto" w:fill="FFFFFF" w:themeFill="background1"/>
        </w:rPr>
      </w:pPr>
    </w:p>
    <w:p w14:paraId="37D24F8E">
      <w:pPr>
        <w:spacing w:line="360" w:lineRule="auto"/>
        <w:jc w:val="left"/>
        <w:rPr>
          <w:rFonts w:hint="eastAsia" w:ascii="仿宋" w:hAnsi="仿宋" w:eastAsia="仿宋" w:cs="仿宋"/>
          <w:color w:val="auto"/>
          <w:sz w:val="24"/>
          <w:szCs w:val="24"/>
          <w:highlight w:val="none"/>
          <w:shd w:val="clear" w:color="auto" w:fill="FFFFFF" w:themeFill="background1"/>
        </w:rPr>
      </w:pPr>
    </w:p>
    <w:p w14:paraId="5AB3A837">
      <w:pPr>
        <w:spacing w:line="360" w:lineRule="auto"/>
        <w:jc w:val="left"/>
        <w:rPr>
          <w:rFonts w:hint="eastAsia" w:ascii="仿宋" w:hAnsi="仿宋" w:eastAsia="仿宋" w:cs="仿宋"/>
          <w:color w:val="auto"/>
          <w:sz w:val="24"/>
          <w:szCs w:val="24"/>
          <w:highlight w:val="none"/>
          <w:shd w:val="clear" w:color="auto" w:fill="FFFFFF" w:themeFill="background1"/>
        </w:rPr>
      </w:pPr>
    </w:p>
    <w:p w14:paraId="6C72C8E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DEED02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C25FFC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DAE4474">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6D718B8">
      <w:pPr>
        <w:widowControl/>
        <w:spacing w:line="360" w:lineRule="auto"/>
        <w:jc w:val="left"/>
        <w:rPr>
          <w:rFonts w:hint="eastAsia" w:ascii="仿宋" w:hAnsi="仿宋" w:eastAsia="仿宋" w:cs="仿宋"/>
          <w:b/>
          <w:bCs/>
          <w:color w:val="auto"/>
          <w:kern w:val="36"/>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60B35157">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46" w:name="_Toc28635"/>
      <w:r>
        <w:rPr>
          <w:rFonts w:hint="eastAsia" w:ascii="仿宋" w:hAnsi="仿宋" w:eastAsia="仿宋" w:cs="仿宋"/>
          <w:b/>
          <w:color w:val="auto"/>
          <w:sz w:val="24"/>
          <w:szCs w:val="24"/>
          <w:highlight w:val="none"/>
          <w:shd w:val="clear" w:color="auto" w:fill="FFFFFF" w:themeFill="background1"/>
        </w:rPr>
        <w:t>四、技术条款偏离表</w:t>
      </w:r>
      <w:bookmarkEnd w:id="46"/>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67CC6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9240A0A">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序号</w:t>
            </w:r>
          </w:p>
        </w:tc>
        <w:tc>
          <w:tcPr>
            <w:tcW w:w="1814" w:type="dxa"/>
            <w:vAlign w:val="center"/>
          </w:tcPr>
          <w:p w14:paraId="0750315A">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竞争性磋商文件条目号</w:t>
            </w:r>
          </w:p>
        </w:tc>
        <w:tc>
          <w:tcPr>
            <w:tcW w:w="2083" w:type="dxa"/>
            <w:vAlign w:val="center"/>
          </w:tcPr>
          <w:p w14:paraId="797074D1">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竞争性磋商文件的技术条款</w:t>
            </w:r>
          </w:p>
        </w:tc>
        <w:tc>
          <w:tcPr>
            <w:tcW w:w="2182" w:type="dxa"/>
            <w:vAlign w:val="center"/>
          </w:tcPr>
          <w:p w14:paraId="69B0BAF8">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响应文件的技术条款</w:t>
            </w:r>
          </w:p>
        </w:tc>
        <w:tc>
          <w:tcPr>
            <w:tcW w:w="1155" w:type="dxa"/>
            <w:vAlign w:val="center"/>
          </w:tcPr>
          <w:p w14:paraId="48CD0575">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偏离</w:t>
            </w:r>
          </w:p>
        </w:tc>
        <w:tc>
          <w:tcPr>
            <w:tcW w:w="1219" w:type="dxa"/>
            <w:vAlign w:val="center"/>
          </w:tcPr>
          <w:p w14:paraId="73654216">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说明</w:t>
            </w:r>
          </w:p>
        </w:tc>
      </w:tr>
      <w:tr w14:paraId="1EDB2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E6FF1E0">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636CE00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6390D047">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0411CC8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5BE11F24">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297EBE1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23805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C329172">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5C663C6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4A37EE9E">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1EC0704A">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746A4ECF">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2C8DE15F">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3D46C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A93DF51">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57C4570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4E4E15B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61CAA0C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4F3C309A">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715A2E0D">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6AFC2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47B049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67EF3201">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3145ABA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0906A57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4769B9C9">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3788AFD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55EB8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14CE022">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7EAC05D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41FCBA13">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717B43A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47AE051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657CF521">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bl>
    <w:p w14:paraId="455968FE">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备注：供应商对磋商文件</w:t>
      </w:r>
      <w:r>
        <w:rPr>
          <w:rFonts w:hint="eastAsia" w:ascii="仿宋" w:hAnsi="仿宋" w:eastAsia="仿宋" w:cs="仿宋"/>
          <w:bCs/>
          <w:color w:val="auto"/>
          <w:sz w:val="24"/>
          <w:szCs w:val="24"/>
          <w:highlight w:val="none"/>
          <w:shd w:val="clear" w:color="auto" w:fill="FFFFFF" w:themeFill="background1"/>
        </w:rPr>
        <w:t>技术</w:t>
      </w:r>
      <w:r>
        <w:rPr>
          <w:rFonts w:hint="eastAsia" w:ascii="仿宋" w:hAnsi="仿宋" w:eastAsia="仿宋" w:cs="仿宋"/>
          <w:color w:val="auto"/>
          <w:sz w:val="24"/>
          <w:szCs w:val="24"/>
          <w:highlight w:val="none"/>
          <w:shd w:val="clear" w:color="auto" w:fill="FFFFFF" w:themeFill="background1"/>
        </w:rPr>
        <w:t>条款有偏离的，应在此表中列明实际响应的内容并加以说明，以便查对。请在此偏离表“偏离”中填写无偏离或正偏离或负偏离。</w:t>
      </w:r>
    </w:p>
    <w:p w14:paraId="35454BCC">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24F59585">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6D868515">
      <w:pPr>
        <w:spacing w:line="360" w:lineRule="auto"/>
        <w:jc w:val="left"/>
        <w:rPr>
          <w:rFonts w:hint="eastAsia" w:ascii="仿宋" w:hAnsi="仿宋" w:eastAsia="仿宋" w:cs="仿宋"/>
          <w:color w:val="auto"/>
          <w:sz w:val="24"/>
          <w:szCs w:val="24"/>
          <w:highlight w:val="none"/>
          <w:shd w:val="clear" w:color="auto" w:fill="FFFFFF" w:themeFill="background1"/>
        </w:rPr>
      </w:pPr>
    </w:p>
    <w:p w14:paraId="0D2EC522">
      <w:pPr>
        <w:spacing w:line="360" w:lineRule="auto"/>
        <w:jc w:val="left"/>
        <w:rPr>
          <w:rFonts w:hint="eastAsia" w:ascii="仿宋" w:hAnsi="仿宋" w:eastAsia="仿宋" w:cs="仿宋"/>
          <w:color w:val="auto"/>
          <w:sz w:val="24"/>
          <w:szCs w:val="24"/>
          <w:highlight w:val="none"/>
          <w:shd w:val="clear" w:color="auto" w:fill="FFFFFF" w:themeFill="background1"/>
        </w:rPr>
      </w:pPr>
    </w:p>
    <w:p w14:paraId="40E5008E">
      <w:pPr>
        <w:spacing w:line="360" w:lineRule="auto"/>
        <w:jc w:val="left"/>
        <w:rPr>
          <w:rFonts w:hint="eastAsia" w:ascii="仿宋" w:hAnsi="仿宋" w:eastAsia="仿宋" w:cs="仿宋"/>
          <w:color w:val="auto"/>
          <w:sz w:val="24"/>
          <w:szCs w:val="24"/>
          <w:highlight w:val="none"/>
          <w:shd w:val="clear" w:color="auto" w:fill="FFFFFF" w:themeFill="background1"/>
        </w:rPr>
      </w:pPr>
    </w:p>
    <w:p w14:paraId="338A61A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4710C2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00CECD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4F948A4">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7F0750D3">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bookmarkStart w:id="47" w:name="_Toc38446475"/>
      <w:bookmarkStart w:id="48" w:name="_Toc507586170"/>
      <w:bookmarkStart w:id="49" w:name="_Toc533503185"/>
      <w:bookmarkStart w:id="50" w:name="_Toc21986"/>
      <w:r>
        <w:rPr>
          <w:rFonts w:hint="eastAsia" w:ascii="仿宋" w:hAnsi="仿宋" w:eastAsia="仿宋" w:cs="仿宋"/>
          <w:b/>
          <w:color w:val="auto"/>
          <w:sz w:val="24"/>
          <w:szCs w:val="24"/>
          <w:highlight w:val="none"/>
          <w:shd w:val="clear" w:color="auto" w:fill="FFFFFF" w:themeFill="background1"/>
        </w:rPr>
        <w:t>五、法定代表人身份证明书</w:t>
      </w:r>
      <w:bookmarkEnd w:id="47"/>
      <w:bookmarkEnd w:id="48"/>
      <w:bookmarkEnd w:id="49"/>
      <w:bookmarkEnd w:id="50"/>
    </w:p>
    <w:p w14:paraId="2B09E70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5C3F41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 标 人：</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1156F52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单位性质：</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2E204FA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61D90AB4">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日</w:t>
      </w:r>
    </w:p>
    <w:p w14:paraId="337EBA1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经营期限：</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764378A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407DAAD">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姓名：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职务：</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（供应商名称）的法定代表人。</w:t>
      </w:r>
    </w:p>
    <w:p w14:paraId="72CF5BDC">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特此证明。</w:t>
      </w:r>
    </w:p>
    <w:p w14:paraId="699C624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1B444A0">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附：法定代表人身份证明</w:t>
      </w:r>
    </w:p>
    <w:p w14:paraId="1A92F87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9D94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F71DB8A">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法定代表人身份证复印件（正面）</w:t>
            </w:r>
          </w:p>
        </w:tc>
      </w:tr>
    </w:tbl>
    <w:p w14:paraId="0CC6CE51">
      <w:pPr>
        <w:spacing w:line="360" w:lineRule="auto"/>
        <w:rPr>
          <w:rFonts w:hint="eastAsia" w:ascii="仿宋" w:hAnsi="仿宋" w:eastAsia="仿宋" w:cs="仿宋"/>
          <w:vanish/>
          <w:color w:val="auto"/>
          <w:sz w:val="24"/>
          <w:szCs w:val="24"/>
          <w:highlight w:val="none"/>
          <w:shd w:val="clear" w:color="auto" w:fill="FFFFFF" w:themeFill="background1"/>
        </w:rPr>
      </w:pPr>
    </w:p>
    <w:tbl>
      <w:tblPr>
        <w:tblStyle w:val="38"/>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8FD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9BE56A6">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法定代表人身份证复印件（反面）</w:t>
            </w:r>
          </w:p>
        </w:tc>
      </w:tr>
    </w:tbl>
    <w:p w14:paraId="7E8ADAE1">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w:t>
      </w:r>
    </w:p>
    <w:p w14:paraId="042E7C9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FBAEA0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441CD6D">
      <w:pPr>
        <w:widowControl/>
        <w:shd w:val="clear" w:color="auto" w:fill="FFFFFF"/>
        <w:wordWrap w:val="0"/>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日 </w:t>
      </w:r>
    </w:p>
    <w:p w14:paraId="3C5897E6">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6958CFCF">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6E104CEA">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3AA719F3">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0"/>
          <w:sz w:val="24"/>
          <w:szCs w:val="24"/>
          <w:highlight w:val="none"/>
          <w:shd w:val="clear" w:color="auto" w:fill="FFFFFF" w:themeFill="background1"/>
        </w:rPr>
        <w:br w:type="page"/>
      </w:r>
      <w:bookmarkStart w:id="51" w:name="_Toc533503186"/>
      <w:bookmarkStart w:id="52" w:name="_Toc38446476"/>
      <w:bookmarkStart w:id="53" w:name="_Toc2470"/>
      <w:bookmarkStart w:id="54" w:name="_Toc507586171"/>
      <w:r>
        <w:rPr>
          <w:rFonts w:hint="eastAsia" w:ascii="仿宋" w:hAnsi="仿宋" w:eastAsia="仿宋" w:cs="仿宋"/>
          <w:b/>
          <w:color w:val="auto"/>
          <w:sz w:val="24"/>
          <w:szCs w:val="24"/>
          <w:highlight w:val="none"/>
          <w:shd w:val="clear" w:color="auto" w:fill="FFFFFF" w:themeFill="background1"/>
        </w:rPr>
        <w:t>六、法定代表人授权委托书</w:t>
      </w:r>
      <w:bookmarkEnd w:id="51"/>
      <w:bookmarkEnd w:id="52"/>
      <w:bookmarkEnd w:id="53"/>
      <w:bookmarkEnd w:id="54"/>
    </w:p>
    <w:p w14:paraId="5EE5FD4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082E52F">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（供应商名称）的法定代表人，现拟派我单位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（姓名）为我方委托代理人。委托代理人根据授权，就</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（项目名称）的投标，以本公司名义处理一切与之有关的事务，其法律后果由我方承担。</w:t>
      </w:r>
    </w:p>
    <w:p w14:paraId="067AAF44">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u w:val="singl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w:t>
      </w:r>
      <w:r>
        <w:rPr>
          <w:rFonts w:hint="eastAsia" w:ascii="仿宋" w:hAnsi="仿宋" w:eastAsia="仿宋" w:cs="仿宋"/>
          <w:i/>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年龄：</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726FD1A6">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  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部门：</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职务：</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7AC485D8">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代理人无转委权，特此申明。</w:t>
      </w:r>
    </w:p>
    <w:p w14:paraId="0E80FFC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6D9CE5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附：委托代理人身份证明。</w:t>
      </w: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D091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5ABB693">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委托代理人身份证复印件（正面）</w:t>
            </w:r>
          </w:p>
        </w:tc>
      </w:tr>
    </w:tbl>
    <w:p w14:paraId="3B8E281C">
      <w:pPr>
        <w:spacing w:line="360" w:lineRule="auto"/>
        <w:rPr>
          <w:rFonts w:hint="eastAsia" w:ascii="仿宋" w:hAnsi="仿宋" w:eastAsia="仿宋" w:cs="仿宋"/>
          <w:vanish/>
          <w:color w:val="auto"/>
          <w:sz w:val="24"/>
          <w:szCs w:val="24"/>
          <w:highlight w:val="none"/>
          <w:shd w:val="clear" w:color="auto" w:fill="FFFFFF" w:themeFill="background1"/>
        </w:rPr>
      </w:pPr>
    </w:p>
    <w:tbl>
      <w:tblPr>
        <w:tblStyle w:val="3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89D7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5626FCD">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委托代理人身份证复印件（反面）</w:t>
            </w:r>
          </w:p>
        </w:tc>
      </w:tr>
    </w:tbl>
    <w:p w14:paraId="287C21DB">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28D5E6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A9E6F5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640E6B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29415E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68D0BA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083120B">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4770E4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A791CD6">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 xml:space="preserve"> </w:t>
      </w:r>
    </w:p>
    <w:p w14:paraId="48051A31">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55" w:name="_Toc507586173"/>
      <w:r>
        <w:rPr>
          <w:rFonts w:hint="eastAsia" w:ascii="仿宋" w:hAnsi="仿宋" w:eastAsia="仿宋" w:cs="仿宋"/>
          <w:b/>
          <w:color w:val="auto"/>
          <w:sz w:val="24"/>
          <w:szCs w:val="24"/>
          <w:highlight w:val="none"/>
          <w:shd w:val="clear" w:color="auto" w:fill="FFFFFF" w:themeFill="background1"/>
        </w:rPr>
        <w:br w:type="page"/>
      </w:r>
      <w:bookmarkStart w:id="56" w:name="_Toc13436"/>
      <w:bookmarkStart w:id="57" w:name="_Toc533503189"/>
      <w:bookmarkStart w:id="58" w:name="_Toc38446478"/>
      <w:r>
        <w:rPr>
          <w:rFonts w:hint="eastAsia" w:ascii="仿宋" w:hAnsi="仿宋" w:eastAsia="仿宋" w:cs="仿宋"/>
          <w:b/>
          <w:color w:val="auto"/>
          <w:sz w:val="24"/>
          <w:szCs w:val="24"/>
          <w:highlight w:val="none"/>
          <w:shd w:val="clear" w:color="auto" w:fill="FFFFFF" w:themeFill="background1"/>
        </w:rPr>
        <w:t>七、供应商基本情况表</w:t>
      </w:r>
      <w:bookmarkEnd w:id="55"/>
      <w:bookmarkEnd w:id="56"/>
      <w:bookmarkEnd w:id="57"/>
      <w:bookmarkEnd w:id="58"/>
    </w:p>
    <w:p w14:paraId="42DF7715">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3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68E2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24BDE9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供应商名称</w:t>
            </w:r>
          </w:p>
        </w:tc>
        <w:tc>
          <w:tcPr>
            <w:tcW w:w="7300" w:type="dxa"/>
            <w:gridSpan w:val="3"/>
            <w:vAlign w:val="center"/>
          </w:tcPr>
          <w:p w14:paraId="2C408D7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0B4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282D22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注册地址</w:t>
            </w:r>
          </w:p>
        </w:tc>
        <w:tc>
          <w:tcPr>
            <w:tcW w:w="3165" w:type="dxa"/>
            <w:vAlign w:val="center"/>
          </w:tcPr>
          <w:p w14:paraId="7820770B">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7CE21E8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邮政编码</w:t>
            </w:r>
          </w:p>
        </w:tc>
        <w:tc>
          <w:tcPr>
            <w:tcW w:w="2140" w:type="dxa"/>
            <w:vAlign w:val="center"/>
          </w:tcPr>
          <w:p w14:paraId="07E7508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146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784534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p>
        </w:tc>
        <w:tc>
          <w:tcPr>
            <w:tcW w:w="3165" w:type="dxa"/>
            <w:vAlign w:val="center"/>
          </w:tcPr>
          <w:p w14:paraId="1E7F9E2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1225EDF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企业性质</w:t>
            </w:r>
          </w:p>
        </w:tc>
        <w:tc>
          <w:tcPr>
            <w:tcW w:w="2140" w:type="dxa"/>
            <w:vAlign w:val="center"/>
          </w:tcPr>
          <w:p w14:paraId="1FD9F83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F09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AA3E43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营业执照号</w:t>
            </w:r>
          </w:p>
        </w:tc>
        <w:tc>
          <w:tcPr>
            <w:tcW w:w="3165" w:type="dxa"/>
            <w:vAlign w:val="center"/>
          </w:tcPr>
          <w:p w14:paraId="1AB991D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79C3CD4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注册资金</w:t>
            </w:r>
          </w:p>
        </w:tc>
        <w:tc>
          <w:tcPr>
            <w:tcW w:w="2140" w:type="dxa"/>
            <w:vAlign w:val="center"/>
          </w:tcPr>
          <w:p w14:paraId="15DB3AE9">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CC4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A0C2D3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p>
        </w:tc>
        <w:tc>
          <w:tcPr>
            <w:tcW w:w="3165" w:type="dxa"/>
            <w:vAlign w:val="center"/>
          </w:tcPr>
          <w:p w14:paraId="45D9EF2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1E4A338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电话</w:t>
            </w:r>
          </w:p>
        </w:tc>
        <w:tc>
          <w:tcPr>
            <w:tcW w:w="2140" w:type="dxa"/>
            <w:vAlign w:val="center"/>
          </w:tcPr>
          <w:p w14:paraId="387F413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94E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2C027E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联系人</w:t>
            </w:r>
          </w:p>
        </w:tc>
        <w:tc>
          <w:tcPr>
            <w:tcW w:w="3165" w:type="dxa"/>
            <w:vAlign w:val="center"/>
          </w:tcPr>
          <w:p w14:paraId="5C7D77EB">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448D947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电话</w:t>
            </w:r>
          </w:p>
        </w:tc>
        <w:tc>
          <w:tcPr>
            <w:tcW w:w="2140" w:type="dxa"/>
            <w:vAlign w:val="center"/>
          </w:tcPr>
          <w:p w14:paraId="4DAD783A">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3D8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6B2315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传真</w:t>
            </w:r>
          </w:p>
        </w:tc>
        <w:tc>
          <w:tcPr>
            <w:tcW w:w="3165" w:type="dxa"/>
            <w:vAlign w:val="center"/>
          </w:tcPr>
          <w:p w14:paraId="4A5147B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5E46416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网址</w:t>
            </w:r>
          </w:p>
        </w:tc>
        <w:tc>
          <w:tcPr>
            <w:tcW w:w="2140" w:type="dxa"/>
            <w:vAlign w:val="center"/>
          </w:tcPr>
          <w:p w14:paraId="5AA744A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6EE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072D66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开户银行</w:t>
            </w:r>
          </w:p>
        </w:tc>
        <w:tc>
          <w:tcPr>
            <w:tcW w:w="3165" w:type="dxa"/>
            <w:vAlign w:val="center"/>
          </w:tcPr>
          <w:p w14:paraId="6760A9B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2787186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银行帐号</w:t>
            </w:r>
          </w:p>
        </w:tc>
        <w:tc>
          <w:tcPr>
            <w:tcW w:w="2140" w:type="dxa"/>
            <w:vAlign w:val="center"/>
          </w:tcPr>
          <w:p w14:paraId="3FC2C68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3A3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26D920A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职工概况</w:t>
            </w:r>
          </w:p>
        </w:tc>
        <w:tc>
          <w:tcPr>
            <w:tcW w:w="7300" w:type="dxa"/>
            <w:gridSpan w:val="3"/>
            <w:vAlign w:val="center"/>
          </w:tcPr>
          <w:p w14:paraId="35871F9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941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0C3397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经营范围</w:t>
            </w:r>
          </w:p>
        </w:tc>
        <w:tc>
          <w:tcPr>
            <w:tcW w:w="7300" w:type="dxa"/>
            <w:gridSpan w:val="3"/>
            <w:vAlign w:val="center"/>
          </w:tcPr>
          <w:p w14:paraId="44B6E010">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bl>
    <w:p w14:paraId="25B11B97">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030AF2EE">
      <w:pPr>
        <w:widowControl/>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647D3F01">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59" w:name="_Toc14981"/>
      <w:bookmarkStart w:id="60" w:name="_Toc113901848"/>
      <w:r>
        <w:rPr>
          <w:rFonts w:hint="eastAsia" w:ascii="仿宋" w:hAnsi="仿宋" w:eastAsia="仿宋" w:cs="仿宋"/>
          <w:b/>
          <w:color w:val="auto"/>
          <w:sz w:val="24"/>
          <w:szCs w:val="24"/>
          <w:highlight w:val="none"/>
          <w:shd w:val="clear" w:color="auto" w:fill="FFFFFF" w:themeFill="background1"/>
        </w:rPr>
        <w:t>八、</w:t>
      </w:r>
      <w:r>
        <w:rPr>
          <w:rFonts w:hint="eastAsia" w:ascii="仿宋" w:hAnsi="仿宋" w:eastAsia="仿宋" w:cs="仿宋"/>
          <w:b/>
          <w:bCs/>
          <w:color w:val="auto"/>
          <w:sz w:val="24"/>
          <w:szCs w:val="24"/>
          <w:highlight w:val="none"/>
          <w:shd w:val="clear" w:color="auto" w:fill="FFFFFF" w:themeFill="background1"/>
        </w:rPr>
        <w:t>供应商资格条件证明材料</w:t>
      </w:r>
      <w:bookmarkEnd w:id="59"/>
      <w:bookmarkEnd w:id="60"/>
    </w:p>
    <w:p w14:paraId="7016DC06">
      <w:pPr>
        <w:rPr>
          <w:rFonts w:hint="eastAsia" w:ascii="仿宋" w:hAnsi="仿宋" w:eastAsia="仿宋" w:cs="仿宋"/>
          <w:color w:val="auto"/>
          <w:highlight w:val="none"/>
          <w:shd w:val="clear" w:color="auto" w:fill="FFFFFF" w:themeFill="background1"/>
        </w:rPr>
      </w:pPr>
      <w:bookmarkStart w:id="61" w:name="_Toc109143671"/>
      <w:bookmarkStart w:id="62" w:name="_Toc107422184"/>
      <w:bookmarkStart w:id="63" w:name="_Toc32366"/>
      <w:bookmarkStart w:id="64" w:name="_Toc11207"/>
      <w:bookmarkStart w:id="65" w:name="_Toc111556487"/>
    </w:p>
    <w:p w14:paraId="4F57C56C">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66" w:name="_Toc128476878"/>
      <w:bookmarkStart w:id="67" w:name="_Toc113901849"/>
      <w:bookmarkStart w:id="68" w:name="_Toc18936"/>
      <w:bookmarkStart w:id="69" w:name="_Toc20683"/>
      <w:bookmarkStart w:id="70" w:name="_Toc26949"/>
      <w:r>
        <w:rPr>
          <w:rFonts w:hint="eastAsia" w:ascii="仿宋" w:hAnsi="仿宋" w:eastAsia="仿宋" w:cs="仿宋"/>
          <w:b/>
          <w:color w:val="auto"/>
          <w:sz w:val="24"/>
          <w:szCs w:val="24"/>
          <w:highlight w:val="none"/>
          <w:shd w:val="clear" w:color="auto" w:fill="FFFFFF" w:themeFill="background1"/>
        </w:rPr>
        <w:t>8.1、</w:t>
      </w:r>
      <w:bookmarkEnd w:id="61"/>
      <w:bookmarkEnd w:id="62"/>
      <w:bookmarkEnd w:id="63"/>
      <w:bookmarkEnd w:id="64"/>
      <w:r>
        <w:rPr>
          <w:rFonts w:hint="eastAsia" w:ascii="仿宋" w:hAnsi="仿宋" w:eastAsia="仿宋" w:cs="仿宋"/>
          <w:b/>
          <w:color w:val="auto"/>
          <w:sz w:val="24"/>
          <w:szCs w:val="24"/>
          <w:highlight w:val="none"/>
          <w:shd w:val="clear" w:color="auto" w:fill="FFFFFF" w:themeFill="background1"/>
        </w:rPr>
        <w:t>法人或者其他组织的营业执照等证明文件，自然人的身份证明</w:t>
      </w:r>
      <w:bookmarkEnd w:id="66"/>
      <w:bookmarkEnd w:id="67"/>
      <w:bookmarkEnd w:id="68"/>
      <w:bookmarkEnd w:id="69"/>
      <w:bookmarkEnd w:id="70"/>
    </w:p>
    <w:p w14:paraId="49716A4F">
      <w:pPr>
        <w:spacing w:line="360" w:lineRule="auto"/>
        <w:rPr>
          <w:rFonts w:hint="eastAsia" w:ascii="仿宋" w:hAnsi="仿宋" w:eastAsia="仿宋" w:cs="仿宋"/>
          <w:color w:val="auto"/>
          <w:sz w:val="24"/>
          <w:szCs w:val="24"/>
          <w:highlight w:val="none"/>
          <w:shd w:val="clear" w:color="auto" w:fill="FFFFFF" w:themeFill="background1"/>
        </w:rPr>
      </w:pPr>
    </w:p>
    <w:p w14:paraId="021483C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一、如供应商是企业（包括合伙企业)，应提供在工商部门注册的有效“企业法人营业执照”或“营业执照”;</w:t>
      </w:r>
    </w:p>
    <w:p w14:paraId="4D04CF92">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二、如供应商是事业单位，应提供有效的“事业单位法人证书”;</w:t>
      </w:r>
    </w:p>
    <w:p w14:paraId="088969F0">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三、供应商是非企业专业服务机构的，应提供执业许可证等证明文件;</w:t>
      </w:r>
    </w:p>
    <w:p w14:paraId="524D9A0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四、如供应商是个体工商户，应提供有效的“个体工商户营业执照”;</w:t>
      </w:r>
    </w:p>
    <w:p w14:paraId="5994119B">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五、如供应商是自然人，应提供有效的自然人身份证明。</w:t>
      </w:r>
    </w:p>
    <w:p w14:paraId="6D3FA76D">
      <w:pPr>
        <w:spacing w:line="360" w:lineRule="auto"/>
        <w:rPr>
          <w:rFonts w:hint="eastAsia" w:ascii="仿宋" w:hAnsi="仿宋" w:eastAsia="仿宋" w:cs="仿宋"/>
          <w:color w:val="auto"/>
          <w:sz w:val="24"/>
          <w:szCs w:val="24"/>
          <w:highlight w:val="none"/>
          <w:shd w:val="clear" w:color="auto" w:fill="FFFFFF" w:themeFill="background1"/>
        </w:rPr>
      </w:pPr>
    </w:p>
    <w:p w14:paraId="5685B370">
      <w:pPr>
        <w:spacing w:line="360" w:lineRule="auto"/>
        <w:rPr>
          <w:rFonts w:hint="eastAsia" w:ascii="仿宋" w:hAnsi="仿宋" w:eastAsia="仿宋" w:cs="仿宋"/>
          <w:color w:val="auto"/>
          <w:sz w:val="24"/>
          <w:szCs w:val="24"/>
          <w:highlight w:val="none"/>
          <w:shd w:val="clear" w:color="auto" w:fill="FFFFFF" w:themeFill="background1"/>
        </w:rPr>
      </w:pPr>
    </w:p>
    <w:p w14:paraId="22AF5DDF">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6078A7FE">
      <w:pPr>
        <w:rPr>
          <w:rFonts w:hint="eastAsia" w:ascii="仿宋" w:hAnsi="仿宋" w:eastAsia="仿宋" w:cs="仿宋"/>
          <w:color w:val="auto"/>
          <w:highlight w:val="none"/>
          <w:shd w:val="clear" w:color="auto" w:fill="FFFFFF" w:themeFill="background1"/>
        </w:rPr>
      </w:pPr>
    </w:p>
    <w:p w14:paraId="438918B9">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71" w:name="_Toc14049"/>
      <w:bookmarkStart w:id="72" w:name="_Toc128476879"/>
      <w:bookmarkStart w:id="73" w:name="_Toc10010"/>
      <w:bookmarkStart w:id="74" w:name="_Toc113901850"/>
      <w:bookmarkStart w:id="75" w:name="_Toc22376"/>
      <w:r>
        <w:rPr>
          <w:rFonts w:hint="eastAsia" w:ascii="仿宋" w:hAnsi="仿宋" w:eastAsia="仿宋" w:cs="仿宋"/>
          <w:b/>
          <w:color w:val="auto"/>
          <w:sz w:val="24"/>
          <w:szCs w:val="24"/>
          <w:highlight w:val="none"/>
          <w:shd w:val="clear" w:color="auto" w:fill="FFFFFF" w:themeFill="background1"/>
        </w:rPr>
        <w:t>8.2、</w:t>
      </w:r>
      <w:bookmarkEnd w:id="65"/>
      <w:r>
        <w:rPr>
          <w:rFonts w:hint="eastAsia" w:ascii="仿宋" w:hAnsi="仿宋" w:eastAsia="仿宋" w:cs="仿宋"/>
          <w:b/>
          <w:color w:val="auto"/>
          <w:sz w:val="24"/>
          <w:szCs w:val="24"/>
          <w:highlight w:val="none"/>
          <w:shd w:val="clear" w:color="auto" w:fill="FFFFFF" w:themeFill="background1"/>
        </w:rPr>
        <w:t>财务状况报告，依法缴纳税收和社会保障资金的相关材料</w:t>
      </w:r>
      <w:bookmarkEnd w:id="71"/>
      <w:bookmarkEnd w:id="72"/>
      <w:bookmarkEnd w:id="73"/>
      <w:bookmarkEnd w:id="74"/>
      <w:bookmarkEnd w:id="75"/>
    </w:p>
    <w:p w14:paraId="67EC9612">
      <w:pPr>
        <w:pStyle w:val="12"/>
        <w:spacing w:line="360" w:lineRule="auto"/>
        <w:rPr>
          <w:rFonts w:hint="eastAsia" w:ascii="仿宋" w:hAnsi="仿宋" w:eastAsia="仿宋" w:cs="仿宋"/>
          <w:color w:val="auto"/>
          <w:spacing w:val="10"/>
          <w:szCs w:val="24"/>
          <w:highlight w:val="none"/>
          <w:shd w:val="clear" w:color="auto" w:fill="FFFFFF" w:themeFill="background1"/>
        </w:rPr>
      </w:pPr>
    </w:p>
    <w:p w14:paraId="17FD3036">
      <w:pPr>
        <w:pStyle w:val="12"/>
        <w:spacing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w:t>
      </w:r>
      <w:r>
        <w:rPr>
          <w:rFonts w:hint="eastAsia" w:ascii="仿宋" w:hAnsi="仿宋" w:eastAsia="仿宋" w:cs="仿宋"/>
          <w:color w:val="auto"/>
          <w:szCs w:val="24"/>
          <w:highlight w:val="none"/>
          <w:shd w:val="clear" w:color="auto" w:fill="FFFFFF" w:themeFill="background1"/>
        </w:rPr>
        <w:t>满足下述一条要求即可</w:t>
      </w:r>
      <w:r>
        <w:rPr>
          <w:rFonts w:hint="eastAsia" w:ascii="仿宋" w:hAnsi="仿宋" w:eastAsia="仿宋" w:cs="仿宋"/>
          <w:color w:val="auto"/>
          <w:spacing w:val="10"/>
          <w:szCs w:val="24"/>
          <w:highlight w:val="none"/>
          <w:shd w:val="clear" w:color="auto" w:fill="FFFFFF" w:themeFill="background1"/>
        </w:rPr>
        <w:t>）：</w:t>
      </w:r>
    </w:p>
    <w:p w14:paraId="5DEF5308">
      <w:pPr>
        <w:pStyle w:val="12"/>
        <w:spacing w:line="360" w:lineRule="auto"/>
        <w:ind w:firstLine="48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要求1</w:t>
      </w:r>
      <w:r>
        <w:rPr>
          <w:rFonts w:hint="eastAsia" w:ascii="仿宋" w:hAnsi="仿宋" w:eastAsia="仿宋" w:cs="仿宋"/>
          <w:color w:val="auto"/>
          <w:spacing w:val="10"/>
          <w:szCs w:val="24"/>
          <w:highlight w:val="none"/>
          <w:shd w:val="clear" w:color="auto" w:fill="FFFFFF" w:themeFill="background1"/>
        </w:rPr>
        <w:t>、供应商是法人的，应提供经审计的财务报告（202</w:t>
      </w:r>
      <w:r>
        <w:rPr>
          <w:rFonts w:hint="eastAsia" w:ascii="仿宋" w:hAnsi="仿宋" w:eastAsia="仿宋" w:cs="仿宋"/>
          <w:color w:val="auto"/>
          <w:spacing w:val="10"/>
          <w:szCs w:val="24"/>
          <w:highlight w:val="none"/>
          <w:shd w:val="clear" w:color="auto" w:fill="FFFFFF" w:themeFill="background1"/>
          <w:lang w:val="en-US" w:eastAsia="zh-CN"/>
        </w:rPr>
        <w:t>4</w:t>
      </w:r>
      <w:r>
        <w:rPr>
          <w:rFonts w:hint="eastAsia" w:ascii="仿宋" w:hAnsi="仿宋" w:eastAsia="仿宋" w:cs="仿宋"/>
          <w:color w:val="auto"/>
          <w:spacing w:val="10"/>
          <w:szCs w:val="24"/>
          <w:highlight w:val="none"/>
          <w:shd w:val="clear" w:color="auto" w:fill="FFFFFF" w:themeFill="background1"/>
        </w:rPr>
        <w:t>年度</w:t>
      </w:r>
      <w:r>
        <w:rPr>
          <w:rFonts w:hint="eastAsia" w:ascii="仿宋" w:hAnsi="仿宋" w:eastAsia="仿宋" w:cs="仿宋"/>
          <w:color w:val="auto"/>
          <w:spacing w:val="10"/>
          <w:szCs w:val="24"/>
          <w:highlight w:val="none"/>
          <w:shd w:val="clear" w:color="auto" w:fill="FFFFFF" w:themeFill="background1"/>
          <w:lang w:val="en-US" w:eastAsia="zh-CN"/>
        </w:rPr>
        <w:t>或</w:t>
      </w:r>
      <w:r>
        <w:rPr>
          <w:rFonts w:hint="eastAsia" w:ascii="仿宋" w:hAnsi="仿宋" w:eastAsia="仿宋" w:cs="仿宋"/>
          <w:color w:val="auto"/>
          <w:spacing w:val="10"/>
          <w:szCs w:val="24"/>
          <w:highlight w:val="none"/>
          <w:shd w:val="clear" w:color="auto" w:fill="FFFFFF" w:themeFill="background1"/>
        </w:rPr>
        <w:t>202</w:t>
      </w:r>
      <w:r>
        <w:rPr>
          <w:rFonts w:hint="eastAsia" w:ascii="仿宋" w:hAnsi="仿宋" w:eastAsia="仿宋" w:cs="仿宋"/>
          <w:color w:val="auto"/>
          <w:spacing w:val="10"/>
          <w:szCs w:val="24"/>
          <w:highlight w:val="none"/>
          <w:shd w:val="clear" w:color="auto" w:fill="FFFFFF" w:themeFill="background1"/>
          <w:lang w:val="en-US" w:eastAsia="zh-CN"/>
        </w:rPr>
        <w:t>5</w:t>
      </w:r>
      <w:r>
        <w:rPr>
          <w:rFonts w:hint="eastAsia" w:ascii="仿宋" w:hAnsi="仿宋" w:eastAsia="仿宋" w:cs="仿宋"/>
          <w:color w:val="auto"/>
          <w:spacing w:val="10"/>
          <w:szCs w:val="24"/>
          <w:highlight w:val="none"/>
          <w:shd w:val="clear" w:color="auto" w:fill="FFFFFF" w:themeFill="background1"/>
        </w:rPr>
        <w:t>年度），包括“四表-注”，即资产负债表、利润表、现金流量表、所有者权益变动表及其附注，或其基本开户银行出具的资信证明。部分其他组织和自然人，没有经审计的财务报告，可以提供银行出具的资信证明。</w:t>
      </w:r>
    </w:p>
    <w:p w14:paraId="1389DD67">
      <w:pPr>
        <w:pStyle w:val="12"/>
        <w:spacing w:line="360" w:lineRule="auto"/>
        <w:ind w:firstLine="48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要求2</w:t>
      </w:r>
      <w:r>
        <w:rPr>
          <w:rFonts w:hint="eastAsia" w:ascii="仿宋" w:hAnsi="仿宋" w:eastAsia="仿宋" w:cs="仿宋"/>
          <w:color w:val="auto"/>
          <w:spacing w:val="10"/>
          <w:szCs w:val="24"/>
          <w:highlight w:val="none"/>
          <w:shd w:val="clear" w:color="auto" w:fill="FFFFFF" w:themeFill="background1"/>
        </w:rPr>
        <w:t>、财政部门认可的政府采购专业担保机构出具的有效期内的投标担保函。</w:t>
      </w:r>
    </w:p>
    <w:p w14:paraId="146BD26D">
      <w:pPr>
        <w:pStyle w:val="12"/>
        <w:spacing w:line="360" w:lineRule="auto"/>
        <w:ind w:firstLine="48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要求3</w:t>
      </w:r>
      <w:r>
        <w:rPr>
          <w:rFonts w:hint="eastAsia" w:ascii="仿宋" w:hAnsi="仿宋" w:eastAsia="仿宋" w:cs="仿宋"/>
          <w:color w:val="auto"/>
          <w:spacing w:val="10"/>
          <w:szCs w:val="24"/>
          <w:highlight w:val="none"/>
          <w:shd w:val="clear" w:color="auto" w:fill="FFFFFF" w:themeFill="background1"/>
        </w:rPr>
        <w:t>、</w:t>
      </w:r>
      <w:r>
        <w:rPr>
          <w:rFonts w:hint="eastAsia" w:ascii="仿宋" w:hAnsi="仿宋" w:eastAsia="仿宋" w:cs="仿宋"/>
          <w:color w:val="auto"/>
          <w:spacing w:val="10"/>
          <w:szCs w:val="24"/>
          <w:highlight w:val="none"/>
          <w:shd w:val="clear" w:color="auto" w:fill="FFFFFF" w:themeFill="background1"/>
          <w:lang w:val="en-US" w:eastAsia="zh-CN"/>
        </w:rPr>
        <w:t>本年度</w:t>
      </w:r>
      <w:r>
        <w:rPr>
          <w:rFonts w:hint="eastAsia" w:ascii="仿宋" w:hAnsi="仿宋" w:eastAsia="仿宋" w:cs="仿宋"/>
          <w:color w:val="auto"/>
          <w:spacing w:val="10"/>
          <w:szCs w:val="24"/>
          <w:highlight w:val="none"/>
          <w:shd w:val="clear" w:color="auto" w:fill="FFFFFF" w:themeFill="background1"/>
        </w:rPr>
        <w:t>成立的</w:t>
      </w:r>
      <w:r>
        <w:rPr>
          <w:rFonts w:hint="eastAsia" w:ascii="仿宋" w:hAnsi="仿宋" w:eastAsia="仿宋" w:cs="仿宋"/>
          <w:color w:val="auto"/>
          <w:spacing w:val="10"/>
          <w:szCs w:val="24"/>
          <w:highlight w:val="none"/>
          <w:shd w:val="clear" w:color="auto" w:fill="FFFFFF" w:themeFill="background1"/>
          <w:lang w:val="en-US" w:eastAsia="zh-CN"/>
        </w:rPr>
        <w:t>供应商</w:t>
      </w:r>
      <w:r>
        <w:rPr>
          <w:rFonts w:hint="eastAsia" w:ascii="仿宋" w:hAnsi="仿宋" w:eastAsia="仿宋" w:cs="仿宋"/>
          <w:color w:val="auto"/>
          <w:spacing w:val="10"/>
          <w:szCs w:val="24"/>
          <w:highlight w:val="none"/>
          <w:shd w:val="clear" w:color="auto" w:fill="FFFFFF" w:themeFill="background1"/>
        </w:rPr>
        <w:t>无需提供。</w:t>
      </w:r>
    </w:p>
    <w:p w14:paraId="1434DAD7">
      <w:pPr>
        <w:pStyle w:val="12"/>
        <w:spacing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42F8ABA7">
      <w:pPr>
        <w:pStyle w:val="12"/>
        <w:spacing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02C0B2E2">
      <w:pPr>
        <w:pStyle w:val="12"/>
        <w:spacing w:line="360" w:lineRule="auto"/>
        <w:ind w:firstLine="48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14:paraId="688C8A6E">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280EC8E1">
      <w:pPr>
        <w:pStyle w:val="12"/>
        <w:spacing w:line="360" w:lineRule="auto"/>
        <w:ind w:right="516" w:firstLine="48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14:paraId="74475365">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2.3、依法免税或不需要缴纳社会保障资金的供应商，应提供相应文件证明其依法免税或不需要缴纳社会保障资金。</w:t>
      </w:r>
    </w:p>
    <w:p w14:paraId="62E2D181">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0CA55FE6">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53189B3E">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3.2、如供应商所在地有关主管部门反馈的证明材料与本文中要求不一致时，以当地要求为准，但须供应商提供文字说明。</w:t>
      </w:r>
    </w:p>
    <w:p w14:paraId="4F9A30C3">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76" w:name="_Toc30348"/>
      <w:bookmarkStart w:id="77" w:name="_Toc113901851"/>
      <w:bookmarkStart w:id="78" w:name="_Toc128476880"/>
      <w:bookmarkStart w:id="79" w:name="_Toc23152"/>
      <w:bookmarkStart w:id="80" w:name="_Toc7014"/>
      <w:bookmarkStart w:id="81" w:name="_Toc111556488"/>
      <w:r>
        <w:rPr>
          <w:rFonts w:hint="eastAsia" w:ascii="仿宋" w:hAnsi="仿宋" w:eastAsia="仿宋" w:cs="仿宋"/>
          <w:b/>
          <w:color w:val="auto"/>
          <w:sz w:val="24"/>
          <w:szCs w:val="24"/>
          <w:highlight w:val="none"/>
          <w:shd w:val="clear" w:color="auto" w:fill="FFFFFF" w:themeFill="background1"/>
        </w:rPr>
        <w:t>8.3、具备履行合同所必需的设备和专业技术能力的证明材料</w:t>
      </w:r>
      <w:bookmarkEnd w:id="76"/>
      <w:bookmarkEnd w:id="77"/>
      <w:bookmarkEnd w:id="78"/>
      <w:bookmarkEnd w:id="79"/>
      <w:bookmarkEnd w:id="80"/>
    </w:p>
    <w:p w14:paraId="36FE4367">
      <w:pPr>
        <w:spacing w:line="360" w:lineRule="auto"/>
        <w:rPr>
          <w:rFonts w:hint="eastAsia" w:ascii="仿宋" w:hAnsi="仿宋" w:eastAsia="仿宋" w:cs="仿宋"/>
          <w:color w:val="auto"/>
          <w:sz w:val="24"/>
          <w:szCs w:val="24"/>
          <w:highlight w:val="none"/>
          <w:shd w:val="clear" w:color="auto" w:fill="FFFFFF" w:themeFill="background1"/>
        </w:rPr>
      </w:pPr>
    </w:p>
    <w:p w14:paraId="19935EBC">
      <w:pPr>
        <w:spacing w:line="360" w:lineRule="auto"/>
        <w:rPr>
          <w:rFonts w:hint="eastAsia" w:ascii="仿宋" w:hAnsi="仿宋" w:eastAsia="仿宋" w:cs="仿宋"/>
          <w:color w:val="auto"/>
          <w:sz w:val="24"/>
          <w:szCs w:val="24"/>
          <w:highlight w:val="none"/>
          <w:shd w:val="clear" w:color="auto" w:fill="FFFFFF" w:themeFill="background1"/>
        </w:rPr>
      </w:pPr>
    </w:p>
    <w:p w14:paraId="448FA7CD">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具有履行合同所必需的设备和专业技术能力的承诺</w:t>
      </w:r>
      <w:bookmarkEnd w:id="81"/>
      <w:r>
        <w:rPr>
          <w:rFonts w:hint="eastAsia" w:ascii="仿宋" w:hAnsi="仿宋" w:eastAsia="仿宋" w:cs="仿宋"/>
          <w:b/>
          <w:color w:val="auto"/>
          <w:sz w:val="24"/>
          <w:szCs w:val="24"/>
          <w:highlight w:val="none"/>
          <w:shd w:val="clear" w:color="auto" w:fill="FFFFFF" w:themeFill="background1"/>
        </w:rPr>
        <w:t>函</w:t>
      </w:r>
    </w:p>
    <w:p w14:paraId="2FDDFC0E">
      <w:pPr>
        <w:adjustRightInd w:val="0"/>
        <w:snapToGrid w:val="0"/>
        <w:spacing w:line="360" w:lineRule="auto"/>
        <w:ind w:firstLine="480" w:firstLineChars="200"/>
        <w:jc w:val="center"/>
        <w:rPr>
          <w:rFonts w:hint="eastAsia" w:ascii="仿宋" w:hAnsi="仿宋" w:eastAsia="仿宋" w:cs="仿宋"/>
          <w:color w:val="auto"/>
          <w:sz w:val="24"/>
          <w:szCs w:val="24"/>
          <w:highlight w:val="none"/>
          <w:shd w:val="clear" w:color="auto" w:fill="FFFFFF" w:themeFill="background1"/>
        </w:rPr>
      </w:pPr>
    </w:p>
    <w:p w14:paraId="4E80FF95">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4942808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p>
    <w:p w14:paraId="630F5BD5">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我单位郑重承诺： </w:t>
      </w:r>
    </w:p>
    <w:p w14:paraId="71E7E1AC">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我单位具备履行</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（项目名称）合同所必需的设备和专业技术能力；</w:t>
      </w:r>
    </w:p>
    <w:p w14:paraId="2679333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特此承诺。 </w:t>
      </w:r>
    </w:p>
    <w:p w14:paraId="75E910AA">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416467A">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907C9A6">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347CF31">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7063B9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7E2ED5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339F164">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A5975D9">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6222CCF2">
      <w:pPr>
        <w:adjustRightInd w:val="0"/>
        <w:snapToGrid w:val="0"/>
        <w:spacing w:line="360" w:lineRule="auto"/>
        <w:rPr>
          <w:rFonts w:hint="eastAsia" w:ascii="仿宋" w:hAnsi="仿宋" w:eastAsia="仿宋" w:cs="仿宋"/>
          <w:bCs/>
          <w:color w:val="auto"/>
          <w:sz w:val="24"/>
          <w:szCs w:val="24"/>
          <w:highlight w:val="none"/>
          <w:shd w:val="clear" w:color="auto" w:fill="FFFFFF" w:themeFill="background1"/>
        </w:rPr>
      </w:pPr>
    </w:p>
    <w:p w14:paraId="58EC2C77">
      <w:pPr>
        <w:spacing w:line="360" w:lineRule="auto"/>
        <w:rPr>
          <w:rFonts w:hint="eastAsia" w:ascii="仿宋" w:hAnsi="仿宋" w:eastAsia="仿宋" w:cs="仿宋"/>
          <w:color w:val="auto"/>
          <w:sz w:val="24"/>
          <w:szCs w:val="24"/>
          <w:highlight w:val="none"/>
          <w:shd w:val="clear" w:color="auto" w:fill="FFFFFF" w:themeFill="background1"/>
        </w:rPr>
      </w:pPr>
    </w:p>
    <w:p w14:paraId="77BD6235">
      <w:pPr>
        <w:spacing w:line="360" w:lineRule="auto"/>
        <w:rPr>
          <w:rFonts w:hint="eastAsia" w:ascii="仿宋" w:hAnsi="仿宋" w:eastAsia="仿宋" w:cs="仿宋"/>
          <w:color w:val="auto"/>
          <w:sz w:val="24"/>
          <w:szCs w:val="24"/>
          <w:highlight w:val="none"/>
          <w:shd w:val="clear" w:color="auto" w:fill="FFFFFF" w:themeFill="background1"/>
        </w:rPr>
      </w:pPr>
    </w:p>
    <w:p w14:paraId="253423D0">
      <w:pPr>
        <w:spacing w:line="360" w:lineRule="auto"/>
        <w:rPr>
          <w:rFonts w:hint="eastAsia" w:ascii="仿宋" w:hAnsi="仿宋" w:eastAsia="仿宋" w:cs="仿宋"/>
          <w:color w:val="auto"/>
          <w:sz w:val="24"/>
          <w:szCs w:val="24"/>
          <w:highlight w:val="none"/>
          <w:shd w:val="clear" w:color="auto" w:fill="FFFFFF" w:themeFill="background1"/>
        </w:rPr>
      </w:pPr>
    </w:p>
    <w:p w14:paraId="36522354">
      <w:pPr>
        <w:spacing w:line="360" w:lineRule="auto"/>
        <w:rPr>
          <w:rFonts w:hint="eastAsia" w:ascii="仿宋" w:hAnsi="仿宋" w:eastAsia="仿宋" w:cs="仿宋"/>
          <w:color w:val="auto"/>
          <w:sz w:val="24"/>
          <w:szCs w:val="24"/>
          <w:highlight w:val="none"/>
          <w:shd w:val="clear" w:color="auto" w:fill="FFFFFF" w:themeFill="background1"/>
        </w:rPr>
      </w:pPr>
    </w:p>
    <w:p w14:paraId="107702A2">
      <w:pPr>
        <w:spacing w:line="360" w:lineRule="auto"/>
        <w:rPr>
          <w:rFonts w:hint="eastAsia" w:ascii="仿宋" w:hAnsi="仿宋" w:eastAsia="仿宋" w:cs="仿宋"/>
          <w:color w:val="auto"/>
          <w:sz w:val="24"/>
          <w:szCs w:val="24"/>
          <w:highlight w:val="none"/>
          <w:shd w:val="clear" w:color="auto" w:fill="FFFFFF" w:themeFill="background1"/>
        </w:rPr>
      </w:pPr>
    </w:p>
    <w:p w14:paraId="38DFB1AE">
      <w:pPr>
        <w:spacing w:line="360" w:lineRule="auto"/>
        <w:rPr>
          <w:rFonts w:hint="eastAsia" w:ascii="仿宋" w:hAnsi="仿宋" w:eastAsia="仿宋" w:cs="仿宋"/>
          <w:color w:val="auto"/>
          <w:sz w:val="24"/>
          <w:szCs w:val="24"/>
          <w:highlight w:val="none"/>
          <w:shd w:val="clear" w:color="auto" w:fill="FFFFFF" w:themeFill="background1"/>
        </w:rPr>
      </w:pPr>
    </w:p>
    <w:p w14:paraId="7A358803">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0CB2F686">
      <w:pPr>
        <w:spacing w:line="360" w:lineRule="auto"/>
        <w:rPr>
          <w:rFonts w:hint="eastAsia" w:ascii="仿宋" w:hAnsi="仿宋" w:eastAsia="仿宋" w:cs="仿宋"/>
          <w:color w:val="auto"/>
          <w:sz w:val="24"/>
          <w:szCs w:val="24"/>
          <w:highlight w:val="none"/>
          <w:shd w:val="clear" w:color="auto" w:fill="FFFFFF" w:themeFill="background1"/>
        </w:rPr>
      </w:pPr>
    </w:p>
    <w:p w14:paraId="33A37FA2">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82" w:name="_Toc5703"/>
      <w:bookmarkStart w:id="83" w:name="_Toc19387"/>
      <w:bookmarkStart w:id="84" w:name="_Toc29504"/>
      <w:bookmarkStart w:id="85" w:name="_Toc128476881"/>
      <w:bookmarkStart w:id="86" w:name="_Toc113901852"/>
      <w:bookmarkStart w:id="87" w:name="_Toc111556490"/>
      <w:r>
        <w:rPr>
          <w:rFonts w:hint="eastAsia" w:ascii="仿宋" w:hAnsi="仿宋" w:eastAsia="仿宋" w:cs="仿宋"/>
          <w:b/>
          <w:color w:val="auto"/>
          <w:sz w:val="24"/>
          <w:szCs w:val="24"/>
          <w:highlight w:val="none"/>
          <w:shd w:val="clear" w:color="auto" w:fill="FFFFFF" w:themeFill="background1"/>
        </w:rPr>
        <w:t>8.4、参加政府采购活动前3年内在经营活动中没有重大违法记录的书面声明</w:t>
      </w:r>
      <w:bookmarkEnd w:id="82"/>
      <w:bookmarkEnd w:id="83"/>
      <w:bookmarkEnd w:id="84"/>
      <w:bookmarkEnd w:id="85"/>
      <w:bookmarkEnd w:id="86"/>
    </w:p>
    <w:bookmarkEnd w:id="87"/>
    <w:p w14:paraId="2664D77D">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0617203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40A3A69B">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7416AD2B">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我单位在参与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sz w:val="24"/>
          <w:szCs w:val="24"/>
          <w:highlight w:val="non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前三年内（以</w:t>
      </w:r>
      <w:r>
        <w:rPr>
          <w:rFonts w:hint="eastAsia" w:ascii="仿宋" w:hAnsi="仿宋" w:eastAsia="仿宋" w:cs="仿宋"/>
          <w:color w:val="auto"/>
          <w:sz w:val="24"/>
          <w:szCs w:val="24"/>
          <w:highlight w:val="none"/>
          <w:shd w:val="clear" w:color="auto" w:fill="FFFFFF" w:themeFill="background1"/>
        </w:rPr>
        <w:t>响应文件递交截止之日为期限</w:t>
      </w:r>
      <w:r>
        <w:rPr>
          <w:rFonts w:hint="eastAsia" w:ascii="仿宋" w:hAnsi="仿宋" w:eastAsia="仿宋" w:cs="仿宋"/>
          <w:color w:val="auto"/>
          <w:kern w:val="0"/>
          <w:sz w:val="24"/>
          <w:szCs w:val="24"/>
          <w:highlight w:val="none"/>
          <w:shd w:val="clear" w:color="auto" w:fill="FFFFFF" w:themeFill="background1"/>
        </w:rPr>
        <w:t>）在经营活动中没有重大违法记录。</w:t>
      </w:r>
    </w:p>
    <w:p w14:paraId="20ABB30F">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color w:val="auto"/>
          <w:kern w:val="0"/>
          <w:sz w:val="24"/>
          <w:szCs w:val="24"/>
          <w:highlight w:val="none"/>
          <w:shd w:val="clear" w:color="auto" w:fill="FFFFFF" w:themeFill="background1"/>
        </w:rPr>
        <w:t>我单位</w:t>
      </w:r>
      <w:r>
        <w:rPr>
          <w:rFonts w:hint="eastAsia" w:ascii="仿宋" w:hAnsi="仿宋" w:eastAsia="仿宋" w:cs="仿宋"/>
          <w:color w:val="auto"/>
          <w:sz w:val="24"/>
          <w:szCs w:val="24"/>
          <w:highlight w:val="none"/>
          <w:shd w:val="clear" w:color="auto" w:fill="FFFFFF" w:themeFill="background1"/>
        </w:rPr>
        <w:t>将无条件退出本项目的投标，并承担因此引起的一切后果。我方对此声明负全部法律责任。</w:t>
      </w:r>
    </w:p>
    <w:p w14:paraId="6CBD326F">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特此声明！</w:t>
      </w:r>
    </w:p>
    <w:p w14:paraId="2E292215">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1BE9458">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6CB05C5D">
      <w:pPr>
        <w:adjustRightInd w:val="0"/>
        <w:snapToGrid w:val="0"/>
        <w:spacing w:line="360" w:lineRule="auto"/>
        <w:ind w:firstLine="420" w:firstLineChars="200"/>
        <w:rPr>
          <w:rFonts w:hint="eastAsia" w:ascii="仿宋" w:hAnsi="仿宋" w:eastAsia="仿宋" w:cs="仿宋"/>
          <w:color w:val="auto"/>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w:t>
      </w:r>
    </w:p>
    <w:p w14:paraId="324CC208">
      <w:pPr>
        <w:adjustRightInd w:val="0"/>
        <w:snapToGrid w:val="0"/>
        <w:spacing w:line="360" w:lineRule="auto"/>
        <w:ind w:firstLine="42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若供应商在响应文件递交截止之日成立时间不足三年，以自成立以来的时间计取。</w:t>
      </w:r>
    </w:p>
    <w:p w14:paraId="51FE2F1D">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p>
    <w:p w14:paraId="18FFDDDB">
      <w:pPr>
        <w:adjustRightInd w:val="0"/>
        <w:snapToGrid w:val="0"/>
        <w:spacing w:line="360" w:lineRule="auto"/>
        <w:ind w:firstLine="3112" w:firstLineChars="1297"/>
        <w:rPr>
          <w:rFonts w:hint="eastAsia" w:ascii="仿宋" w:hAnsi="仿宋" w:eastAsia="仿宋" w:cs="仿宋"/>
          <w:color w:val="auto"/>
          <w:sz w:val="24"/>
          <w:szCs w:val="24"/>
          <w:highlight w:val="none"/>
          <w:shd w:val="clear" w:color="auto" w:fill="FFFFFF" w:themeFill="background1"/>
        </w:rPr>
      </w:pPr>
    </w:p>
    <w:p w14:paraId="491DB42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29101473">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26357DF1">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788C0B23">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09909BD">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13D4D199">
      <w:pPr>
        <w:widowControl/>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607B09A5">
      <w:pPr>
        <w:spacing w:line="360" w:lineRule="auto"/>
        <w:rPr>
          <w:rFonts w:hint="eastAsia" w:ascii="仿宋" w:hAnsi="仿宋" w:eastAsia="仿宋" w:cs="仿宋"/>
          <w:color w:val="auto"/>
          <w:sz w:val="24"/>
          <w:szCs w:val="24"/>
          <w:highlight w:val="none"/>
          <w:shd w:val="clear" w:color="auto" w:fill="FFFFFF" w:themeFill="background1"/>
        </w:rPr>
      </w:pPr>
    </w:p>
    <w:p w14:paraId="21BA05DF">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88" w:name="_Toc113901853"/>
      <w:bookmarkStart w:id="89" w:name="_Toc5962"/>
      <w:bookmarkStart w:id="90" w:name="_Toc15699"/>
      <w:bookmarkStart w:id="91" w:name="_Toc128476882"/>
      <w:bookmarkStart w:id="92" w:name="_Toc3900"/>
      <w:r>
        <w:rPr>
          <w:rFonts w:hint="eastAsia" w:ascii="仿宋" w:hAnsi="仿宋" w:eastAsia="仿宋" w:cs="仿宋"/>
          <w:b/>
          <w:color w:val="auto"/>
          <w:sz w:val="24"/>
          <w:szCs w:val="24"/>
          <w:highlight w:val="none"/>
          <w:shd w:val="clear" w:color="auto" w:fill="FFFFFF" w:themeFill="background1"/>
        </w:rPr>
        <w:t>8.5、具备法律、行政法规规定的其他条件的证明材料</w:t>
      </w:r>
      <w:bookmarkEnd w:id="88"/>
      <w:bookmarkEnd w:id="89"/>
      <w:bookmarkEnd w:id="90"/>
      <w:bookmarkEnd w:id="91"/>
      <w:bookmarkEnd w:id="92"/>
    </w:p>
    <w:p w14:paraId="1DEB943E">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4C8F32F5">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1、本项目专门面向</w:t>
      </w:r>
      <w:r>
        <w:rPr>
          <w:rFonts w:hint="eastAsia" w:ascii="仿宋" w:hAnsi="仿宋" w:eastAsia="仿宋" w:cs="仿宋"/>
          <w:color w:val="auto"/>
          <w:sz w:val="24"/>
          <w:szCs w:val="24"/>
          <w:highlight w:val="none"/>
          <w:shd w:val="clear" w:color="auto" w:fill="FFFFFF" w:themeFill="background1"/>
          <w:lang w:val="en-US" w:eastAsia="zh-CN"/>
        </w:rPr>
        <w:t>中</w:t>
      </w:r>
      <w:r>
        <w:rPr>
          <w:rFonts w:hint="eastAsia" w:ascii="仿宋" w:hAnsi="仿宋" w:eastAsia="仿宋" w:cs="仿宋"/>
          <w:color w:val="auto"/>
          <w:sz w:val="24"/>
          <w:szCs w:val="24"/>
          <w:highlight w:val="none"/>
          <w:shd w:val="clear" w:color="auto" w:fill="FFFFFF" w:themeFill="background1"/>
        </w:rPr>
        <w:t>小企业采购，供应商为</w:t>
      </w:r>
      <w:r>
        <w:rPr>
          <w:rFonts w:hint="eastAsia" w:ascii="仿宋" w:hAnsi="仿宋" w:eastAsia="仿宋" w:cs="仿宋"/>
          <w:color w:val="auto"/>
          <w:sz w:val="24"/>
          <w:szCs w:val="24"/>
          <w:highlight w:val="none"/>
          <w:shd w:val="clear" w:color="auto" w:fill="FFFFFF" w:themeFill="background1"/>
          <w:lang w:val="en-US" w:eastAsia="zh-CN"/>
        </w:rPr>
        <w:t>中</w:t>
      </w:r>
      <w:r>
        <w:rPr>
          <w:rFonts w:hint="eastAsia" w:ascii="仿宋" w:hAnsi="仿宋" w:eastAsia="仿宋" w:cs="仿宋"/>
          <w:color w:val="auto"/>
          <w:sz w:val="24"/>
          <w:szCs w:val="24"/>
          <w:highlight w:val="none"/>
          <w:shd w:val="clear" w:color="auto" w:fill="FFFFFF" w:themeFill="background1"/>
        </w:rPr>
        <w:t>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11D42726">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2、国家有关主管部门的行政许可（如有时）。</w:t>
      </w:r>
    </w:p>
    <w:p w14:paraId="7261DE13">
      <w:pPr>
        <w:widowControl/>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14A1478B">
      <w:pPr>
        <w:pStyle w:val="33"/>
        <w:spacing w:line="360" w:lineRule="auto"/>
        <w:rPr>
          <w:rStyle w:val="41"/>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 xml:space="preserve"> </w:t>
      </w:r>
      <w:r>
        <w:rPr>
          <w:rStyle w:val="41"/>
          <w:rFonts w:hint="eastAsia" w:ascii="仿宋" w:hAnsi="仿宋" w:eastAsia="仿宋" w:cs="仿宋"/>
          <w:color w:val="auto"/>
          <w:highlight w:val="none"/>
          <w:shd w:val="clear" w:color="auto" w:fill="FFFFFF" w:themeFill="background1"/>
        </w:rPr>
        <w:t xml:space="preserve">附表一、                  </w:t>
      </w:r>
    </w:p>
    <w:p w14:paraId="05720D45">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中小企业声明函（工程、服务）</w:t>
      </w:r>
    </w:p>
    <w:p w14:paraId="166A19DC">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p>
    <w:p w14:paraId="74022A83">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rPr>
        <w:t>（联合体）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rPr>
        <w:t>（单位名称）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19AFCD89">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064E27F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25014561">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242A13D5">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115BB39D">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30F8A4F1">
      <w:pPr>
        <w:spacing w:line="360" w:lineRule="auto"/>
        <w:ind w:firstLine="480" w:firstLineChars="200"/>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企业名称（盖章）：</w:t>
      </w:r>
    </w:p>
    <w:p w14:paraId="75055BDA">
      <w:pPr>
        <w:spacing w:line="360" w:lineRule="auto"/>
        <w:ind w:right="480" w:firstLine="480" w:firstLineChars="200"/>
        <w:jc w:val="righ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w:t>
      </w:r>
    </w:p>
    <w:p w14:paraId="7A751841">
      <w:pPr>
        <w:spacing w:line="360" w:lineRule="auto"/>
        <w:rPr>
          <w:rStyle w:val="41"/>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p>
    <w:p w14:paraId="5B45D5B9">
      <w:pPr>
        <w:widowControl/>
        <w:spacing w:line="360" w:lineRule="auto"/>
        <w:jc w:val="left"/>
        <w:rPr>
          <w:rStyle w:val="41"/>
          <w:rFonts w:hint="eastAsia" w:ascii="仿宋" w:hAnsi="仿宋" w:eastAsia="仿宋" w:cs="仿宋"/>
          <w:color w:val="auto"/>
          <w:kern w:val="0"/>
          <w:sz w:val="24"/>
          <w:szCs w:val="24"/>
          <w:highlight w:val="none"/>
          <w:shd w:val="clear" w:color="auto" w:fill="FFFFFF" w:themeFill="background1"/>
        </w:rPr>
      </w:pPr>
      <w:r>
        <w:rPr>
          <w:rStyle w:val="41"/>
          <w:rFonts w:hint="eastAsia" w:ascii="仿宋" w:hAnsi="仿宋" w:eastAsia="仿宋" w:cs="仿宋"/>
          <w:color w:val="auto"/>
          <w:kern w:val="0"/>
          <w:sz w:val="24"/>
          <w:szCs w:val="24"/>
          <w:highlight w:val="none"/>
          <w:shd w:val="clear" w:color="auto" w:fill="FFFFFF" w:themeFill="background1"/>
        </w:rPr>
        <w:br w:type="page"/>
      </w:r>
    </w:p>
    <w:p w14:paraId="43C68D92">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Style w:val="41"/>
          <w:rFonts w:hint="eastAsia" w:ascii="仿宋" w:hAnsi="仿宋" w:eastAsia="仿宋" w:cs="仿宋"/>
          <w:color w:val="auto"/>
          <w:kern w:val="0"/>
          <w:sz w:val="24"/>
          <w:szCs w:val="24"/>
          <w:highlight w:val="none"/>
          <w:shd w:val="clear" w:color="auto" w:fill="FFFFFF" w:themeFill="background1"/>
        </w:rPr>
        <w:t>附表二、</w:t>
      </w:r>
    </w:p>
    <w:p w14:paraId="4E735458">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残疾人福利性单位声明函</w:t>
      </w:r>
    </w:p>
    <w:p w14:paraId="132592A0">
      <w:pPr>
        <w:spacing w:line="360" w:lineRule="auto"/>
        <w:rPr>
          <w:rFonts w:hint="eastAsia" w:ascii="仿宋" w:hAnsi="仿宋" w:eastAsia="仿宋" w:cs="仿宋"/>
          <w:b/>
          <w:color w:val="auto"/>
          <w:spacing w:val="6"/>
          <w:sz w:val="24"/>
          <w:szCs w:val="24"/>
          <w:highlight w:val="none"/>
          <w:shd w:val="clear" w:color="auto" w:fill="FFFFFF" w:themeFill="background1"/>
        </w:rPr>
      </w:pPr>
    </w:p>
    <w:p w14:paraId="79A16E75">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shd w:val="clear" w:color="auto" w:fill="FFFFFF" w:themeFill="background1"/>
        </w:rPr>
        <w:t>〔2017〕 141</w:t>
      </w:r>
      <w:r>
        <w:rPr>
          <w:rFonts w:hint="eastAsia" w:ascii="仿宋" w:hAnsi="仿宋" w:eastAsia="仿宋" w:cs="仿宋"/>
          <w:color w:val="auto"/>
          <w:spacing w:val="6"/>
          <w:sz w:val="24"/>
          <w:szCs w:val="24"/>
          <w:highlight w:val="none"/>
          <w:shd w:val="clear" w:color="auto" w:fill="FFFFFF" w:themeFill="background1"/>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___</w:t>
      </w:r>
      <w:r>
        <w:rPr>
          <w:rFonts w:hint="eastAsia" w:ascii="仿宋" w:hAnsi="仿宋" w:eastAsia="仿宋" w:cs="仿宋"/>
          <w:color w:val="auto"/>
          <w:spacing w:val="6"/>
          <w:sz w:val="24"/>
          <w:szCs w:val="24"/>
          <w:highlight w:val="none"/>
          <w:u w:val="single"/>
          <w:shd w:val="clear" w:color="auto" w:fill="FFFFFF" w:themeFill="background1"/>
          <w:lang w:val="en-US" w:eastAsia="zh-CN"/>
        </w:rPr>
        <w:t xml:space="preserve"> </w:t>
      </w:r>
      <w:r>
        <w:rPr>
          <w:rFonts w:hint="eastAsia" w:ascii="仿宋" w:hAnsi="仿宋" w:eastAsia="仿宋" w:cs="仿宋"/>
          <w:color w:val="auto"/>
          <w:spacing w:val="6"/>
          <w:sz w:val="24"/>
          <w:szCs w:val="24"/>
          <w:highlight w:val="none"/>
          <w:u w:val="single"/>
          <w:shd w:val="clear" w:color="auto" w:fill="FFFFFF" w:themeFill="background1"/>
        </w:rPr>
        <w:t>___</w:t>
      </w:r>
      <w:r>
        <w:rPr>
          <w:rFonts w:hint="eastAsia" w:ascii="仿宋" w:hAnsi="仿宋" w:eastAsia="仿宋" w:cs="仿宋"/>
          <w:color w:val="auto"/>
          <w:spacing w:val="6"/>
          <w:sz w:val="24"/>
          <w:szCs w:val="24"/>
          <w:highlight w:val="none"/>
          <w:shd w:val="clear" w:color="auto" w:fill="FFFFFF" w:themeFill="background1"/>
        </w:rPr>
        <w:t>单位的</w:t>
      </w:r>
      <w:r>
        <w:rPr>
          <w:rFonts w:hint="eastAsia" w:ascii="仿宋" w:hAnsi="仿宋" w:eastAsia="仿宋" w:cs="仿宋"/>
          <w:color w:val="auto"/>
          <w:spacing w:val="6"/>
          <w:sz w:val="24"/>
          <w:szCs w:val="24"/>
          <w:highlight w:val="none"/>
          <w:u w:val="single"/>
          <w:shd w:val="clear" w:color="auto" w:fill="FFFFFF" w:themeFill="background1"/>
        </w:rPr>
        <w:t>_____</w:t>
      </w:r>
      <w:r>
        <w:rPr>
          <w:rFonts w:hint="eastAsia" w:ascii="仿宋" w:hAnsi="仿宋" w:eastAsia="仿宋" w:cs="仿宋"/>
          <w:color w:val="auto"/>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12529A34">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本单位对上述声明的真实性负责。如有虚假，将依法承担相应责任。</w:t>
      </w:r>
    </w:p>
    <w:p w14:paraId="4733C5CF">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732EAB3C">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57082111">
      <w:pPr>
        <w:tabs>
          <w:tab w:val="left" w:pos="4860"/>
        </w:tabs>
        <w:spacing w:line="360" w:lineRule="auto"/>
        <w:ind w:right="1560"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单位名称（盖章）：</w:t>
      </w:r>
    </w:p>
    <w:p w14:paraId="1CFF2461">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 xml:space="preserve">                                           日  期：</w:t>
      </w:r>
    </w:p>
    <w:p w14:paraId="7B120302">
      <w:pPr>
        <w:spacing w:line="360" w:lineRule="auto"/>
        <w:rPr>
          <w:rFonts w:hint="eastAsia" w:ascii="仿宋" w:hAnsi="仿宋" w:eastAsia="仿宋" w:cs="仿宋"/>
          <w:color w:val="auto"/>
          <w:sz w:val="24"/>
          <w:szCs w:val="24"/>
          <w:highlight w:val="none"/>
          <w:shd w:val="clear" w:color="auto" w:fill="FFFFFF" w:themeFill="background1"/>
        </w:rPr>
      </w:pPr>
    </w:p>
    <w:p w14:paraId="787D68F6">
      <w:pPr>
        <w:spacing w:line="360" w:lineRule="auto"/>
        <w:rPr>
          <w:rFonts w:hint="eastAsia" w:ascii="仿宋" w:hAnsi="仿宋" w:eastAsia="仿宋" w:cs="仿宋"/>
          <w:color w:val="auto"/>
          <w:sz w:val="24"/>
          <w:szCs w:val="24"/>
          <w:highlight w:val="none"/>
          <w:shd w:val="clear" w:color="auto" w:fill="FFFFFF" w:themeFill="background1"/>
        </w:rPr>
      </w:pPr>
    </w:p>
    <w:p w14:paraId="2E6FB96D">
      <w:pPr>
        <w:spacing w:line="360" w:lineRule="auto"/>
        <w:rPr>
          <w:rFonts w:hint="eastAsia" w:ascii="仿宋" w:hAnsi="仿宋" w:eastAsia="仿宋" w:cs="仿宋"/>
          <w:color w:val="auto"/>
          <w:sz w:val="24"/>
          <w:szCs w:val="24"/>
          <w:highlight w:val="none"/>
          <w:shd w:val="clear" w:color="auto" w:fill="FFFFFF" w:themeFill="background1"/>
        </w:rPr>
      </w:pPr>
    </w:p>
    <w:p w14:paraId="27DE605E">
      <w:pPr>
        <w:widowControl/>
        <w:spacing w:line="360" w:lineRule="auto"/>
        <w:jc w:val="left"/>
        <w:rPr>
          <w:rStyle w:val="41"/>
          <w:rFonts w:hint="eastAsia" w:ascii="仿宋" w:hAnsi="仿宋" w:eastAsia="仿宋" w:cs="仿宋"/>
          <w:b w:val="0"/>
          <w:color w:val="auto"/>
          <w:sz w:val="24"/>
          <w:szCs w:val="24"/>
          <w:highlight w:val="none"/>
          <w:shd w:val="clear" w:color="auto" w:fill="FFFFFF" w:themeFill="background1"/>
        </w:rPr>
      </w:pPr>
      <w:r>
        <w:rPr>
          <w:rStyle w:val="41"/>
          <w:rFonts w:hint="eastAsia" w:ascii="仿宋" w:hAnsi="仿宋" w:eastAsia="仿宋" w:cs="仿宋"/>
          <w:color w:val="auto"/>
          <w:kern w:val="0"/>
          <w:sz w:val="24"/>
          <w:szCs w:val="24"/>
          <w:highlight w:val="none"/>
          <w:shd w:val="clear" w:color="auto" w:fill="FFFFFF" w:themeFill="background1"/>
        </w:rPr>
        <w:t>附表三、</w:t>
      </w:r>
    </w:p>
    <w:p w14:paraId="7B9D52B6">
      <w:pPr>
        <w:spacing w:line="360" w:lineRule="auto"/>
        <w:jc w:val="center"/>
        <w:rPr>
          <w:rStyle w:val="41"/>
          <w:rFonts w:hint="eastAsia" w:ascii="仿宋" w:hAnsi="仿宋" w:eastAsia="仿宋" w:cs="仿宋"/>
          <w:b w:val="0"/>
          <w:color w:val="auto"/>
          <w:kern w:val="0"/>
          <w:sz w:val="24"/>
          <w:szCs w:val="24"/>
          <w:highlight w:val="none"/>
          <w:shd w:val="clear" w:color="auto" w:fill="FFFFFF" w:themeFill="background1"/>
        </w:rPr>
      </w:pPr>
      <w:r>
        <w:rPr>
          <w:rStyle w:val="41"/>
          <w:rFonts w:hint="eastAsia" w:ascii="仿宋" w:hAnsi="仿宋" w:eastAsia="仿宋" w:cs="仿宋"/>
          <w:color w:val="auto"/>
          <w:kern w:val="0"/>
          <w:sz w:val="24"/>
          <w:szCs w:val="24"/>
          <w:highlight w:val="none"/>
          <w:shd w:val="clear" w:color="auto" w:fill="FFFFFF" w:themeFill="background1"/>
        </w:rPr>
        <w:t>监狱企业证明文件</w:t>
      </w:r>
    </w:p>
    <w:p w14:paraId="33D77D47">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3AE45757">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1F5D5BCB">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56EFECF1">
      <w:pPr>
        <w:widowControl/>
        <w:spacing w:line="360" w:lineRule="auto"/>
        <w:jc w:val="left"/>
        <w:rPr>
          <w:rFonts w:hint="eastAsia" w:ascii="仿宋" w:hAnsi="仿宋" w:eastAsia="仿宋" w:cs="仿宋"/>
          <w:color w:val="auto"/>
          <w:sz w:val="24"/>
          <w:szCs w:val="24"/>
          <w:highlight w:val="none"/>
          <w:shd w:val="clear" w:color="auto" w:fill="FFFFFF" w:themeFill="background1"/>
        </w:rPr>
      </w:pPr>
    </w:p>
    <w:p w14:paraId="3F582CEF">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3BB61385">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701676D8">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25901D3A">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2453B3A0">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29D7C5CB">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2F436E99">
      <w:pPr>
        <w:widowControl/>
        <w:jc w:val="left"/>
        <w:rPr>
          <w:rFonts w:hint="eastAsia" w:ascii="仿宋" w:hAnsi="仿宋" w:eastAsia="仿宋" w:cs="仿宋"/>
          <w:b/>
          <w:color w:val="auto"/>
          <w:sz w:val="24"/>
          <w:szCs w:val="24"/>
          <w:highlight w:val="none"/>
          <w:shd w:val="clear" w:color="auto" w:fill="FFFFFF" w:themeFill="background1"/>
        </w:rPr>
      </w:pPr>
      <w:bookmarkStart w:id="93" w:name="_Toc533503190"/>
      <w:bookmarkStart w:id="94" w:name="_Toc507586174"/>
      <w:bookmarkStart w:id="95" w:name="_Toc38446479"/>
      <w:r>
        <w:rPr>
          <w:rFonts w:hint="eastAsia" w:ascii="仿宋" w:hAnsi="仿宋" w:eastAsia="仿宋" w:cs="仿宋"/>
          <w:b/>
          <w:color w:val="auto"/>
          <w:sz w:val="24"/>
          <w:szCs w:val="24"/>
          <w:highlight w:val="none"/>
          <w:shd w:val="clear" w:color="auto" w:fill="FFFFFF" w:themeFill="background1"/>
        </w:rPr>
        <w:br w:type="page"/>
      </w:r>
    </w:p>
    <w:p w14:paraId="593AEA74">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96" w:name="_Toc9004"/>
      <w:r>
        <w:rPr>
          <w:rFonts w:hint="eastAsia" w:ascii="仿宋" w:hAnsi="仿宋" w:eastAsia="仿宋" w:cs="仿宋"/>
          <w:b/>
          <w:color w:val="auto"/>
          <w:sz w:val="24"/>
          <w:szCs w:val="24"/>
          <w:highlight w:val="none"/>
          <w:shd w:val="clear" w:color="auto" w:fill="FFFFFF" w:themeFill="background1"/>
        </w:rPr>
        <w:t>九、</w:t>
      </w:r>
      <w:r>
        <w:rPr>
          <w:rFonts w:hint="eastAsia" w:ascii="仿宋" w:hAnsi="仿宋" w:eastAsia="仿宋" w:cs="仿宋"/>
          <w:b/>
          <w:bCs/>
          <w:color w:val="auto"/>
          <w:sz w:val="24"/>
          <w:szCs w:val="24"/>
          <w:highlight w:val="none"/>
          <w:shd w:val="clear" w:color="auto" w:fill="FFFFFF" w:themeFill="background1"/>
        </w:rPr>
        <w:t>供应商近</w:t>
      </w:r>
      <w:r>
        <w:rPr>
          <w:rFonts w:hint="eastAsia" w:ascii="仿宋" w:hAnsi="仿宋" w:eastAsia="仿宋" w:cs="仿宋"/>
          <w:b/>
          <w:bCs/>
          <w:color w:val="auto"/>
          <w:sz w:val="24"/>
          <w:szCs w:val="24"/>
          <w:highlight w:val="none"/>
          <w:shd w:val="clear" w:color="auto" w:fill="FFFFFF" w:themeFill="background1"/>
          <w:lang w:val="en-US" w:eastAsia="zh-CN"/>
        </w:rPr>
        <w:t>三</w:t>
      </w:r>
      <w:r>
        <w:rPr>
          <w:rFonts w:hint="eastAsia" w:ascii="仿宋" w:hAnsi="仿宋" w:eastAsia="仿宋" w:cs="仿宋"/>
          <w:b/>
          <w:bCs/>
          <w:color w:val="auto"/>
          <w:sz w:val="24"/>
          <w:szCs w:val="24"/>
          <w:highlight w:val="none"/>
          <w:shd w:val="clear" w:color="auto" w:fill="FFFFFF" w:themeFill="background1"/>
        </w:rPr>
        <w:t>年类似项目业绩表</w:t>
      </w:r>
      <w:bookmarkEnd w:id="93"/>
      <w:bookmarkEnd w:id="94"/>
      <w:bookmarkEnd w:id="95"/>
      <w:bookmarkEnd w:id="96"/>
    </w:p>
    <w:p w14:paraId="1E33CD17">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39"/>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14:paraId="28A0C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DCF05E7">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7E1352BA">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29AC907B">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2BE0C80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p w14:paraId="676598AB">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51BEA865">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714C7767">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6B28F0ED">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2AE63976">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备注</w:t>
            </w:r>
          </w:p>
        </w:tc>
      </w:tr>
      <w:tr w14:paraId="4A037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4ACA9A6">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ED5D5AE">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30FD00">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173A08E">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FAB2EF9">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5AC2DBD">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58B9220">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B84CD3C">
            <w:pPr>
              <w:jc w:val="center"/>
              <w:rPr>
                <w:rFonts w:hint="eastAsia" w:ascii="仿宋" w:hAnsi="仿宋" w:eastAsia="仿宋" w:cs="仿宋"/>
                <w:color w:val="auto"/>
                <w:kern w:val="0"/>
                <w:sz w:val="24"/>
                <w:szCs w:val="24"/>
                <w:highlight w:val="none"/>
                <w:shd w:val="clear" w:color="auto" w:fill="FFFFFF" w:themeFill="background1"/>
              </w:rPr>
            </w:pPr>
          </w:p>
        </w:tc>
      </w:tr>
      <w:tr w14:paraId="385BA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2280A16">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AB7E75A">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2AD9E4D">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025B914">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B162176">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7E1E3EC">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EBBCB7B">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299BEFB">
            <w:pPr>
              <w:jc w:val="center"/>
              <w:rPr>
                <w:rFonts w:hint="eastAsia" w:ascii="仿宋" w:hAnsi="仿宋" w:eastAsia="仿宋" w:cs="仿宋"/>
                <w:color w:val="auto"/>
                <w:kern w:val="0"/>
                <w:sz w:val="24"/>
                <w:szCs w:val="24"/>
                <w:highlight w:val="none"/>
                <w:shd w:val="clear" w:color="auto" w:fill="FFFFFF" w:themeFill="background1"/>
              </w:rPr>
            </w:pPr>
          </w:p>
        </w:tc>
      </w:tr>
      <w:tr w14:paraId="426A7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1B00B6D">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F7BD04D">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DCB40EE">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F7596E6">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3C7B1A9">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465E4CB">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AC05A4A">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33BD74A">
            <w:pPr>
              <w:jc w:val="center"/>
              <w:rPr>
                <w:rFonts w:hint="eastAsia" w:ascii="仿宋" w:hAnsi="仿宋" w:eastAsia="仿宋" w:cs="仿宋"/>
                <w:color w:val="auto"/>
                <w:kern w:val="0"/>
                <w:sz w:val="24"/>
                <w:szCs w:val="24"/>
                <w:highlight w:val="none"/>
                <w:shd w:val="clear" w:color="auto" w:fill="FFFFFF" w:themeFill="background1"/>
              </w:rPr>
            </w:pPr>
          </w:p>
        </w:tc>
      </w:tr>
      <w:tr w14:paraId="3540C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2BD18E1">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7A2EDE0">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9F02823">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E6E6BE2">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C08F285">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BF8F1D8">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947114F">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F620B41">
            <w:pPr>
              <w:jc w:val="center"/>
              <w:rPr>
                <w:rFonts w:hint="eastAsia" w:ascii="仿宋" w:hAnsi="仿宋" w:eastAsia="仿宋" w:cs="仿宋"/>
                <w:color w:val="auto"/>
                <w:kern w:val="0"/>
                <w:sz w:val="24"/>
                <w:szCs w:val="24"/>
                <w:highlight w:val="none"/>
                <w:shd w:val="clear" w:color="auto" w:fill="FFFFFF" w:themeFill="background1"/>
              </w:rPr>
            </w:pPr>
          </w:p>
        </w:tc>
      </w:tr>
      <w:tr w14:paraId="1FC16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F0B4D47">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36B9574">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BE1639">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3658906">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34368BC">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6BD1BB1">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005AA80">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B210593">
            <w:pPr>
              <w:jc w:val="center"/>
              <w:rPr>
                <w:rFonts w:hint="eastAsia" w:ascii="仿宋" w:hAnsi="仿宋" w:eastAsia="仿宋" w:cs="仿宋"/>
                <w:color w:val="auto"/>
                <w:kern w:val="0"/>
                <w:sz w:val="24"/>
                <w:szCs w:val="24"/>
                <w:highlight w:val="none"/>
                <w:shd w:val="clear" w:color="auto" w:fill="FFFFFF" w:themeFill="background1"/>
              </w:rPr>
            </w:pPr>
          </w:p>
        </w:tc>
      </w:tr>
    </w:tbl>
    <w:p w14:paraId="12709ADE">
      <w:pPr>
        <w:spacing w:line="360" w:lineRule="auto"/>
        <w:jc w:val="left"/>
        <w:rPr>
          <w:rFonts w:hint="eastAsia" w:ascii="仿宋" w:hAnsi="仿宋" w:eastAsia="仿宋" w:cs="仿宋"/>
          <w:color w:val="auto"/>
          <w:sz w:val="24"/>
          <w:szCs w:val="24"/>
          <w:highlight w:val="none"/>
          <w:shd w:val="clear" w:color="auto" w:fill="FFFFFF"/>
        </w:rPr>
      </w:pPr>
    </w:p>
    <w:p w14:paraId="3BB938A7">
      <w:pPr>
        <w:spacing w:line="360" w:lineRule="auto"/>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备注：</w:t>
      </w:r>
    </w:p>
    <w:p w14:paraId="2C6B20A1">
      <w:pPr>
        <w:spacing w:line="360" w:lineRule="auto"/>
        <w:ind w:firstLine="480" w:firstLineChars="200"/>
        <w:rPr>
          <w:rFonts w:hint="eastAsia" w:ascii="仿宋" w:hAnsi="仿宋" w:eastAsia="仿宋" w:cs="仿宋"/>
          <w:color w:val="auto"/>
          <w:sz w:val="24"/>
          <w:szCs w:val="32"/>
          <w:highlight w:val="none"/>
          <w:shd w:val="clear" w:color="auto" w:fill="FFFFFF"/>
        </w:rPr>
      </w:pPr>
      <w:r>
        <w:rPr>
          <w:rFonts w:hint="eastAsia" w:ascii="仿宋" w:hAnsi="仿宋" w:eastAsia="仿宋" w:cs="仿宋"/>
          <w:color w:val="auto"/>
          <w:sz w:val="24"/>
          <w:szCs w:val="32"/>
          <w:highlight w:val="none"/>
          <w:shd w:val="clear" w:color="auto" w:fill="FFFFFF"/>
        </w:rPr>
        <w:t>1、本表后须附业绩的证明资料：</w:t>
      </w:r>
      <w:r>
        <w:rPr>
          <w:rFonts w:hint="eastAsia" w:ascii="仿宋" w:hAnsi="仿宋" w:eastAsia="仿宋" w:cs="仿宋"/>
          <w:color w:val="auto"/>
          <w:sz w:val="24"/>
          <w:szCs w:val="32"/>
          <w:highlight w:val="none"/>
          <w:u w:val="single"/>
          <w:shd w:val="clear" w:color="auto" w:fill="FFFFFF"/>
        </w:rPr>
        <w:t>需提供</w:t>
      </w:r>
      <w:r>
        <w:rPr>
          <w:rFonts w:hint="eastAsia" w:ascii="仿宋" w:hAnsi="仿宋" w:eastAsia="仿宋" w:cs="仿宋"/>
          <w:color w:val="auto"/>
          <w:sz w:val="24"/>
          <w:szCs w:val="32"/>
          <w:highlight w:val="none"/>
          <w:u w:val="single"/>
          <w:shd w:val="clear" w:color="auto" w:fill="FFFFFF"/>
          <w:lang w:val="en-US" w:eastAsia="zh-CN"/>
        </w:rPr>
        <w:t>磋商</w:t>
      </w:r>
      <w:r>
        <w:rPr>
          <w:rFonts w:hint="eastAsia" w:ascii="仿宋" w:hAnsi="仿宋" w:eastAsia="仿宋" w:cs="仿宋"/>
          <w:color w:val="auto"/>
          <w:sz w:val="24"/>
          <w:szCs w:val="32"/>
          <w:highlight w:val="none"/>
          <w:u w:val="single"/>
          <w:shd w:val="clear" w:color="auto" w:fill="FFFFFF"/>
        </w:rPr>
        <w:t>文件要求的有关书面证明材料。</w:t>
      </w:r>
    </w:p>
    <w:p w14:paraId="145567EF">
      <w:pPr>
        <w:spacing w:line="360" w:lineRule="auto"/>
        <w:ind w:firstLine="420" w:firstLineChars="200"/>
        <w:rPr>
          <w:rFonts w:hint="eastAsia" w:ascii="仿宋" w:hAnsi="仿宋" w:eastAsia="仿宋" w:cs="仿宋"/>
          <w:color w:val="auto"/>
          <w:szCs w:val="24"/>
          <w:highlight w:val="none"/>
          <w:u w:val="single"/>
          <w:shd w:val="clear" w:color="auto" w:fill="FFFFFF" w:themeFill="background1"/>
        </w:rPr>
      </w:pPr>
    </w:p>
    <w:p w14:paraId="347EA8BB">
      <w:pPr>
        <w:spacing w:line="360" w:lineRule="auto"/>
        <w:ind w:firstLine="480" w:firstLineChars="200"/>
        <w:rPr>
          <w:rFonts w:hint="eastAsia" w:ascii="仿宋" w:hAnsi="仿宋" w:eastAsia="仿宋" w:cs="仿宋"/>
          <w:color w:val="auto"/>
          <w:sz w:val="24"/>
          <w:szCs w:val="24"/>
          <w:highlight w:val="none"/>
          <w:u w:val="single"/>
          <w:shd w:val="clear" w:color="auto" w:fill="FFFFFF" w:themeFill="background1"/>
        </w:rPr>
      </w:pPr>
    </w:p>
    <w:p w14:paraId="31B71C7F">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4E806A54">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97" w:name="_Toc507586175"/>
      <w:bookmarkStart w:id="98" w:name="_Toc3379"/>
      <w:bookmarkStart w:id="99" w:name="_Toc533503191"/>
      <w:bookmarkStart w:id="100" w:name="_Toc38446480"/>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bCs/>
          <w:color w:val="auto"/>
          <w:sz w:val="24"/>
          <w:szCs w:val="24"/>
          <w:highlight w:val="none"/>
          <w:shd w:val="clear" w:color="auto" w:fill="FFFFFF" w:themeFill="background1"/>
        </w:rPr>
        <w:t>项目负责人简历表</w:t>
      </w:r>
      <w:bookmarkEnd w:id="97"/>
      <w:bookmarkEnd w:id="98"/>
      <w:bookmarkEnd w:id="99"/>
      <w:bookmarkEnd w:id="100"/>
    </w:p>
    <w:p w14:paraId="7675224F">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3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5BB4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76" w:type="dxa"/>
            <w:vAlign w:val="center"/>
          </w:tcPr>
          <w:p w14:paraId="5ED6FC3D">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姓名</w:t>
            </w:r>
          </w:p>
        </w:tc>
        <w:tc>
          <w:tcPr>
            <w:tcW w:w="2602" w:type="dxa"/>
            <w:gridSpan w:val="2"/>
            <w:vAlign w:val="center"/>
          </w:tcPr>
          <w:p w14:paraId="4999D2A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61EA9DD7">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性别</w:t>
            </w:r>
          </w:p>
        </w:tc>
        <w:tc>
          <w:tcPr>
            <w:tcW w:w="2639" w:type="dxa"/>
            <w:gridSpan w:val="2"/>
            <w:vAlign w:val="center"/>
          </w:tcPr>
          <w:p w14:paraId="0E15C968">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5406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FBA0D02">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身份证号码</w:t>
            </w:r>
          </w:p>
        </w:tc>
        <w:tc>
          <w:tcPr>
            <w:tcW w:w="2602" w:type="dxa"/>
            <w:gridSpan w:val="2"/>
            <w:vAlign w:val="center"/>
          </w:tcPr>
          <w:p w14:paraId="72C338D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32ADE763">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学历</w:t>
            </w:r>
          </w:p>
        </w:tc>
        <w:tc>
          <w:tcPr>
            <w:tcW w:w="2639" w:type="dxa"/>
            <w:gridSpan w:val="2"/>
            <w:vAlign w:val="center"/>
          </w:tcPr>
          <w:p w14:paraId="32CF0A0C">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2A4A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3F5F4AB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毕业学校</w:t>
            </w:r>
          </w:p>
        </w:tc>
        <w:tc>
          <w:tcPr>
            <w:tcW w:w="2602" w:type="dxa"/>
            <w:gridSpan w:val="2"/>
            <w:vAlign w:val="center"/>
          </w:tcPr>
          <w:p w14:paraId="65C8AA86">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7D0B6379">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专业</w:t>
            </w:r>
          </w:p>
        </w:tc>
        <w:tc>
          <w:tcPr>
            <w:tcW w:w="2639" w:type="dxa"/>
            <w:gridSpan w:val="2"/>
            <w:vAlign w:val="center"/>
          </w:tcPr>
          <w:p w14:paraId="2802A806">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65B0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CBEB44A">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参加工作时间</w:t>
            </w:r>
          </w:p>
        </w:tc>
        <w:tc>
          <w:tcPr>
            <w:tcW w:w="2602" w:type="dxa"/>
            <w:gridSpan w:val="2"/>
            <w:vAlign w:val="center"/>
          </w:tcPr>
          <w:p w14:paraId="29F84F14">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54FBDCBE">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从事本职业年限</w:t>
            </w:r>
          </w:p>
        </w:tc>
        <w:tc>
          <w:tcPr>
            <w:tcW w:w="2639" w:type="dxa"/>
            <w:gridSpan w:val="2"/>
            <w:vAlign w:val="center"/>
          </w:tcPr>
          <w:p w14:paraId="343FA799">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17B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ECF54BE">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在公司担任职务</w:t>
            </w:r>
          </w:p>
        </w:tc>
        <w:tc>
          <w:tcPr>
            <w:tcW w:w="2602" w:type="dxa"/>
            <w:gridSpan w:val="2"/>
            <w:vAlign w:val="center"/>
          </w:tcPr>
          <w:p w14:paraId="68BD013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15BCE80E">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联系方式</w:t>
            </w:r>
          </w:p>
        </w:tc>
        <w:tc>
          <w:tcPr>
            <w:tcW w:w="2639" w:type="dxa"/>
            <w:gridSpan w:val="2"/>
            <w:vAlign w:val="center"/>
          </w:tcPr>
          <w:p w14:paraId="4DFC7F02">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103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A95FAB8">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证书名称</w:t>
            </w:r>
          </w:p>
        </w:tc>
        <w:tc>
          <w:tcPr>
            <w:tcW w:w="2602" w:type="dxa"/>
            <w:gridSpan w:val="2"/>
            <w:vAlign w:val="center"/>
          </w:tcPr>
          <w:p w14:paraId="280B8FDC">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38EF78A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证书编号</w:t>
            </w:r>
          </w:p>
        </w:tc>
        <w:tc>
          <w:tcPr>
            <w:tcW w:w="2639" w:type="dxa"/>
            <w:gridSpan w:val="2"/>
            <w:vAlign w:val="center"/>
          </w:tcPr>
          <w:p w14:paraId="041FDB7C">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C59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0F37E872">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近三年类似业绩</w:t>
            </w:r>
          </w:p>
        </w:tc>
        <w:tc>
          <w:tcPr>
            <w:tcW w:w="1372" w:type="dxa"/>
            <w:vAlign w:val="center"/>
          </w:tcPr>
          <w:p w14:paraId="0C89E2DD">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项目名称</w:t>
            </w:r>
          </w:p>
        </w:tc>
        <w:tc>
          <w:tcPr>
            <w:tcW w:w="1463" w:type="dxa"/>
            <w:gridSpan w:val="2"/>
            <w:vAlign w:val="center"/>
          </w:tcPr>
          <w:p w14:paraId="7846C204">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采购人</w:t>
            </w:r>
          </w:p>
        </w:tc>
        <w:tc>
          <w:tcPr>
            <w:tcW w:w="1702" w:type="dxa"/>
            <w:vAlign w:val="center"/>
          </w:tcPr>
          <w:p w14:paraId="6FFD6D0F">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合同内容</w:t>
            </w:r>
          </w:p>
        </w:tc>
        <w:tc>
          <w:tcPr>
            <w:tcW w:w="1275" w:type="dxa"/>
            <w:vAlign w:val="center"/>
          </w:tcPr>
          <w:p w14:paraId="5BF8BF88">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合同价格</w:t>
            </w:r>
          </w:p>
        </w:tc>
        <w:tc>
          <w:tcPr>
            <w:tcW w:w="1364" w:type="dxa"/>
            <w:vAlign w:val="center"/>
          </w:tcPr>
          <w:p w14:paraId="5A8D5F90">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签约日期</w:t>
            </w:r>
          </w:p>
        </w:tc>
      </w:tr>
      <w:tr w14:paraId="0966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FC0802D">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103E8705">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1CAA9AFD">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5700B40E">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7DD603D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70646394">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4474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950229B">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3AED3FC6">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7A62BACC">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5B93CC90">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2F97624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734ABC2A">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7B4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A77B72A">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292B188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0F8D6A29">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02F2D984">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0BE7CDF5">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770E576E">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43CA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B1522A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7EF06114">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1A9463E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2DB172BA">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2588F16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27D4FE79">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0B1E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B1F08DB">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56AF88EA">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50AC592C">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3DA1269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10DF0B5F">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6F7118D3">
            <w:pPr>
              <w:spacing w:line="360" w:lineRule="auto"/>
              <w:jc w:val="center"/>
              <w:rPr>
                <w:rFonts w:hint="eastAsia" w:ascii="仿宋" w:hAnsi="仿宋" w:eastAsia="仿宋" w:cs="仿宋"/>
                <w:color w:val="auto"/>
                <w:sz w:val="24"/>
                <w:szCs w:val="24"/>
                <w:highlight w:val="none"/>
                <w:shd w:val="clear" w:color="auto" w:fill="FFFFFF" w:themeFill="background1"/>
              </w:rPr>
            </w:pPr>
          </w:p>
        </w:tc>
      </w:tr>
    </w:tbl>
    <w:p w14:paraId="4A40E3BE">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734C4098">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备注：本表后需提供</w:t>
      </w:r>
      <w:r>
        <w:rPr>
          <w:rFonts w:hint="eastAsia" w:ascii="仿宋" w:hAnsi="仿宋" w:eastAsia="仿宋" w:cs="仿宋"/>
          <w:color w:val="auto"/>
          <w:sz w:val="24"/>
          <w:szCs w:val="24"/>
          <w:highlight w:val="none"/>
          <w:shd w:val="clear" w:color="auto" w:fill="FFFFFF" w:themeFill="background1"/>
          <w:lang w:val="en-US" w:eastAsia="zh-CN"/>
        </w:rPr>
        <w:t>磋商</w:t>
      </w:r>
      <w:r>
        <w:rPr>
          <w:rFonts w:hint="eastAsia" w:ascii="仿宋" w:hAnsi="仿宋" w:eastAsia="仿宋" w:cs="仿宋"/>
          <w:color w:val="auto"/>
          <w:sz w:val="24"/>
          <w:szCs w:val="24"/>
          <w:highlight w:val="none"/>
          <w:shd w:val="clear" w:color="auto" w:fill="FFFFFF" w:themeFill="background1"/>
        </w:rPr>
        <w:t>文件要求的有关书面证明材料。</w:t>
      </w:r>
    </w:p>
    <w:p w14:paraId="6AFB7F5B">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01" w:name="_Toc507586176"/>
      <w:r>
        <w:rPr>
          <w:rFonts w:hint="eastAsia" w:ascii="仿宋" w:hAnsi="仿宋" w:eastAsia="仿宋" w:cs="仿宋"/>
          <w:b/>
          <w:bCs/>
          <w:color w:val="auto"/>
          <w:sz w:val="24"/>
          <w:szCs w:val="24"/>
          <w:highlight w:val="none"/>
          <w:shd w:val="clear" w:color="auto" w:fill="FFFFFF" w:themeFill="background1"/>
        </w:rPr>
        <w:br w:type="page"/>
      </w:r>
      <w:bookmarkStart w:id="102" w:name="_Toc38446481"/>
      <w:bookmarkStart w:id="103" w:name="_Toc533503192"/>
      <w:bookmarkStart w:id="104" w:name="_Toc1291"/>
      <w:r>
        <w:rPr>
          <w:rFonts w:hint="eastAsia" w:ascii="仿宋" w:hAnsi="仿宋" w:eastAsia="仿宋" w:cs="仿宋"/>
          <w:b/>
          <w:bCs/>
          <w:color w:val="auto"/>
          <w:sz w:val="24"/>
          <w:szCs w:val="24"/>
          <w:highlight w:val="none"/>
          <w:shd w:val="clear" w:color="auto" w:fill="FFFFFF" w:themeFill="background1"/>
        </w:rPr>
        <w:t>十一、</w:t>
      </w:r>
      <w:bookmarkEnd w:id="101"/>
      <w:bookmarkEnd w:id="102"/>
      <w:bookmarkEnd w:id="103"/>
      <w:r>
        <w:rPr>
          <w:rFonts w:hint="eastAsia" w:ascii="仿宋" w:hAnsi="仿宋" w:eastAsia="仿宋" w:cs="仿宋"/>
          <w:b/>
          <w:bCs/>
          <w:color w:val="auto"/>
          <w:sz w:val="24"/>
          <w:szCs w:val="24"/>
          <w:highlight w:val="none"/>
          <w:shd w:val="clear" w:color="auto" w:fill="FFFFFF" w:themeFill="background1"/>
        </w:rPr>
        <w:t>主要项目管理人员表</w:t>
      </w:r>
      <w:bookmarkEnd w:id="104"/>
    </w:p>
    <w:tbl>
      <w:tblPr>
        <w:tblStyle w:val="38"/>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70"/>
        <w:gridCol w:w="1321"/>
        <w:gridCol w:w="1140"/>
        <w:gridCol w:w="1168"/>
        <w:gridCol w:w="1168"/>
        <w:gridCol w:w="1168"/>
        <w:gridCol w:w="1136"/>
      </w:tblGrid>
      <w:tr w14:paraId="3E85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6" w:type="dxa"/>
            <w:vAlign w:val="center"/>
          </w:tcPr>
          <w:p w14:paraId="1B05D20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70" w:type="dxa"/>
            <w:vAlign w:val="center"/>
          </w:tcPr>
          <w:p w14:paraId="0ED9B2D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321" w:type="dxa"/>
            <w:vAlign w:val="center"/>
          </w:tcPr>
          <w:p w14:paraId="48D3075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1140" w:type="dxa"/>
            <w:vAlign w:val="center"/>
          </w:tcPr>
          <w:p w14:paraId="696BB1E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1168" w:type="dxa"/>
            <w:vAlign w:val="center"/>
          </w:tcPr>
          <w:p w14:paraId="6B908EF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168" w:type="dxa"/>
            <w:vAlign w:val="center"/>
          </w:tcPr>
          <w:p w14:paraId="4A98A33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168" w:type="dxa"/>
            <w:vAlign w:val="center"/>
          </w:tcPr>
          <w:p w14:paraId="64BDD90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从事项目管理年限</w:t>
            </w:r>
          </w:p>
        </w:tc>
        <w:tc>
          <w:tcPr>
            <w:tcW w:w="1136" w:type="dxa"/>
            <w:vAlign w:val="center"/>
          </w:tcPr>
          <w:p w14:paraId="0C2F5EE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0641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14:paraId="2C029960">
            <w:pPr>
              <w:rPr>
                <w:rFonts w:hint="eastAsia" w:ascii="仿宋" w:hAnsi="仿宋" w:eastAsia="仿宋" w:cs="仿宋"/>
                <w:color w:val="auto"/>
                <w:sz w:val="24"/>
                <w:szCs w:val="24"/>
                <w:highlight w:val="none"/>
              </w:rPr>
            </w:pPr>
          </w:p>
        </w:tc>
        <w:tc>
          <w:tcPr>
            <w:tcW w:w="1270" w:type="dxa"/>
          </w:tcPr>
          <w:p w14:paraId="0BD691FD">
            <w:pPr>
              <w:rPr>
                <w:rFonts w:hint="eastAsia" w:ascii="仿宋" w:hAnsi="仿宋" w:eastAsia="仿宋" w:cs="仿宋"/>
                <w:color w:val="auto"/>
                <w:sz w:val="24"/>
                <w:szCs w:val="24"/>
                <w:highlight w:val="none"/>
              </w:rPr>
            </w:pPr>
          </w:p>
        </w:tc>
        <w:tc>
          <w:tcPr>
            <w:tcW w:w="1321" w:type="dxa"/>
          </w:tcPr>
          <w:p w14:paraId="7432FC5E">
            <w:pPr>
              <w:rPr>
                <w:rFonts w:hint="eastAsia" w:ascii="仿宋" w:hAnsi="仿宋" w:eastAsia="仿宋" w:cs="仿宋"/>
                <w:color w:val="auto"/>
                <w:sz w:val="24"/>
                <w:szCs w:val="24"/>
                <w:highlight w:val="none"/>
              </w:rPr>
            </w:pPr>
          </w:p>
        </w:tc>
        <w:tc>
          <w:tcPr>
            <w:tcW w:w="1140" w:type="dxa"/>
          </w:tcPr>
          <w:p w14:paraId="2691B8F3">
            <w:pPr>
              <w:rPr>
                <w:rFonts w:hint="eastAsia" w:ascii="仿宋" w:hAnsi="仿宋" w:eastAsia="仿宋" w:cs="仿宋"/>
                <w:color w:val="auto"/>
                <w:sz w:val="24"/>
                <w:szCs w:val="24"/>
                <w:highlight w:val="none"/>
              </w:rPr>
            </w:pPr>
          </w:p>
        </w:tc>
        <w:tc>
          <w:tcPr>
            <w:tcW w:w="1168" w:type="dxa"/>
          </w:tcPr>
          <w:p w14:paraId="678C1307">
            <w:pPr>
              <w:rPr>
                <w:rFonts w:hint="eastAsia" w:ascii="仿宋" w:hAnsi="仿宋" w:eastAsia="仿宋" w:cs="仿宋"/>
                <w:color w:val="auto"/>
                <w:sz w:val="24"/>
                <w:szCs w:val="24"/>
                <w:highlight w:val="none"/>
              </w:rPr>
            </w:pPr>
          </w:p>
        </w:tc>
        <w:tc>
          <w:tcPr>
            <w:tcW w:w="1168" w:type="dxa"/>
          </w:tcPr>
          <w:p w14:paraId="5FA44B8E">
            <w:pPr>
              <w:rPr>
                <w:rFonts w:hint="eastAsia" w:ascii="仿宋" w:hAnsi="仿宋" w:eastAsia="仿宋" w:cs="仿宋"/>
                <w:color w:val="auto"/>
                <w:sz w:val="24"/>
                <w:szCs w:val="24"/>
                <w:highlight w:val="none"/>
              </w:rPr>
            </w:pPr>
          </w:p>
        </w:tc>
        <w:tc>
          <w:tcPr>
            <w:tcW w:w="1168" w:type="dxa"/>
          </w:tcPr>
          <w:p w14:paraId="342AF30A">
            <w:pPr>
              <w:rPr>
                <w:rFonts w:hint="eastAsia" w:ascii="仿宋" w:hAnsi="仿宋" w:eastAsia="仿宋" w:cs="仿宋"/>
                <w:color w:val="auto"/>
                <w:sz w:val="24"/>
                <w:szCs w:val="24"/>
                <w:highlight w:val="none"/>
              </w:rPr>
            </w:pPr>
          </w:p>
        </w:tc>
        <w:tc>
          <w:tcPr>
            <w:tcW w:w="1136" w:type="dxa"/>
          </w:tcPr>
          <w:p w14:paraId="60517C42">
            <w:pPr>
              <w:rPr>
                <w:rFonts w:hint="eastAsia" w:ascii="仿宋" w:hAnsi="仿宋" w:eastAsia="仿宋" w:cs="仿宋"/>
                <w:color w:val="auto"/>
                <w:sz w:val="24"/>
                <w:szCs w:val="24"/>
                <w:highlight w:val="none"/>
              </w:rPr>
            </w:pPr>
          </w:p>
        </w:tc>
      </w:tr>
      <w:tr w14:paraId="057D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4CD4B64C">
            <w:pPr>
              <w:rPr>
                <w:rFonts w:hint="eastAsia" w:ascii="仿宋" w:hAnsi="仿宋" w:eastAsia="仿宋" w:cs="仿宋"/>
                <w:color w:val="auto"/>
                <w:sz w:val="24"/>
                <w:szCs w:val="24"/>
                <w:highlight w:val="none"/>
              </w:rPr>
            </w:pPr>
          </w:p>
        </w:tc>
        <w:tc>
          <w:tcPr>
            <w:tcW w:w="1270" w:type="dxa"/>
          </w:tcPr>
          <w:p w14:paraId="4FD4722A">
            <w:pPr>
              <w:rPr>
                <w:rFonts w:hint="eastAsia" w:ascii="仿宋" w:hAnsi="仿宋" w:eastAsia="仿宋" w:cs="仿宋"/>
                <w:color w:val="auto"/>
                <w:sz w:val="24"/>
                <w:szCs w:val="24"/>
                <w:highlight w:val="none"/>
              </w:rPr>
            </w:pPr>
          </w:p>
        </w:tc>
        <w:tc>
          <w:tcPr>
            <w:tcW w:w="1321" w:type="dxa"/>
          </w:tcPr>
          <w:p w14:paraId="67CAD25D">
            <w:pPr>
              <w:rPr>
                <w:rFonts w:hint="eastAsia" w:ascii="仿宋" w:hAnsi="仿宋" w:eastAsia="仿宋" w:cs="仿宋"/>
                <w:color w:val="auto"/>
                <w:sz w:val="24"/>
                <w:szCs w:val="24"/>
                <w:highlight w:val="none"/>
              </w:rPr>
            </w:pPr>
          </w:p>
        </w:tc>
        <w:tc>
          <w:tcPr>
            <w:tcW w:w="1140" w:type="dxa"/>
          </w:tcPr>
          <w:p w14:paraId="6EEDE583">
            <w:pPr>
              <w:rPr>
                <w:rFonts w:hint="eastAsia" w:ascii="仿宋" w:hAnsi="仿宋" w:eastAsia="仿宋" w:cs="仿宋"/>
                <w:color w:val="auto"/>
                <w:sz w:val="24"/>
                <w:szCs w:val="24"/>
                <w:highlight w:val="none"/>
              </w:rPr>
            </w:pPr>
          </w:p>
        </w:tc>
        <w:tc>
          <w:tcPr>
            <w:tcW w:w="1168" w:type="dxa"/>
          </w:tcPr>
          <w:p w14:paraId="1504EFE6">
            <w:pPr>
              <w:rPr>
                <w:rFonts w:hint="eastAsia" w:ascii="仿宋" w:hAnsi="仿宋" w:eastAsia="仿宋" w:cs="仿宋"/>
                <w:color w:val="auto"/>
                <w:sz w:val="24"/>
                <w:szCs w:val="24"/>
                <w:highlight w:val="none"/>
              </w:rPr>
            </w:pPr>
          </w:p>
        </w:tc>
        <w:tc>
          <w:tcPr>
            <w:tcW w:w="1168" w:type="dxa"/>
          </w:tcPr>
          <w:p w14:paraId="4890BF16">
            <w:pPr>
              <w:rPr>
                <w:rFonts w:hint="eastAsia" w:ascii="仿宋" w:hAnsi="仿宋" w:eastAsia="仿宋" w:cs="仿宋"/>
                <w:color w:val="auto"/>
                <w:sz w:val="24"/>
                <w:szCs w:val="24"/>
                <w:highlight w:val="none"/>
              </w:rPr>
            </w:pPr>
          </w:p>
        </w:tc>
        <w:tc>
          <w:tcPr>
            <w:tcW w:w="1168" w:type="dxa"/>
          </w:tcPr>
          <w:p w14:paraId="7C2C1908">
            <w:pPr>
              <w:rPr>
                <w:rFonts w:hint="eastAsia" w:ascii="仿宋" w:hAnsi="仿宋" w:eastAsia="仿宋" w:cs="仿宋"/>
                <w:color w:val="auto"/>
                <w:sz w:val="24"/>
                <w:szCs w:val="24"/>
                <w:highlight w:val="none"/>
              </w:rPr>
            </w:pPr>
          </w:p>
        </w:tc>
        <w:tc>
          <w:tcPr>
            <w:tcW w:w="1136" w:type="dxa"/>
          </w:tcPr>
          <w:p w14:paraId="00AAF0CD">
            <w:pPr>
              <w:rPr>
                <w:rFonts w:hint="eastAsia" w:ascii="仿宋" w:hAnsi="仿宋" w:eastAsia="仿宋" w:cs="仿宋"/>
                <w:color w:val="auto"/>
                <w:sz w:val="24"/>
                <w:szCs w:val="24"/>
                <w:highlight w:val="none"/>
              </w:rPr>
            </w:pPr>
          </w:p>
        </w:tc>
      </w:tr>
      <w:tr w14:paraId="13F9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6CD2C989">
            <w:pPr>
              <w:rPr>
                <w:rFonts w:hint="eastAsia" w:ascii="仿宋" w:hAnsi="仿宋" w:eastAsia="仿宋" w:cs="仿宋"/>
                <w:color w:val="auto"/>
                <w:sz w:val="24"/>
                <w:szCs w:val="24"/>
                <w:highlight w:val="none"/>
              </w:rPr>
            </w:pPr>
          </w:p>
        </w:tc>
        <w:tc>
          <w:tcPr>
            <w:tcW w:w="1270" w:type="dxa"/>
          </w:tcPr>
          <w:p w14:paraId="476014C1">
            <w:pPr>
              <w:rPr>
                <w:rFonts w:hint="eastAsia" w:ascii="仿宋" w:hAnsi="仿宋" w:eastAsia="仿宋" w:cs="仿宋"/>
                <w:color w:val="auto"/>
                <w:sz w:val="24"/>
                <w:szCs w:val="24"/>
                <w:highlight w:val="none"/>
              </w:rPr>
            </w:pPr>
          </w:p>
        </w:tc>
        <w:tc>
          <w:tcPr>
            <w:tcW w:w="1321" w:type="dxa"/>
          </w:tcPr>
          <w:p w14:paraId="6F8AAF9C">
            <w:pPr>
              <w:rPr>
                <w:rFonts w:hint="eastAsia" w:ascii="仿宋" w:hAnsi="仿宋" w:eastAsia="仿宋" w:cs="仿宋"/>
                <w:color w:val="auto"/>
                <w:sz w:val="24"/>
                <w:szCs w:val="24"/>
                <w:highlight w:val="none"/>
              </w:rPr>
            </w:pPr>
          </w:p>
        </w:tc>
        <w:tc>
          <w:tcPr>
            <w:tcW w:w="1140" w:type="dxa"/>
          </w:tcPr>
          <w:p w14:paraId="35AF65DF">
            <w:pPr>
              <w:rPr>
                <w:rFonts w:hint="eastAsia" w:ascii="仿宋" w:hAnsi="仿宋" w:eastAsia="仿宋" w:cs="仿宋"/>
                <w:color w:val="auto"/>
                <w:sz w:val="24"/>
                <w:szCs w:val="24"/>
                <w:highlight w:val="none"/>
              </w:rPr>
            </w:pPr>
          </w:p>
        </w:tc>
        <w:tc>
          <w:tcPr>
            <w:tcW w:w="1168" w:type="dxa"/>
          </w:tcPr>
          <w:p w14:paraId="6737B14B">
            <w:pPr>
              <w:rPr>
                <w:rFonts w:hint="eastAsia" w:ascii="仿宋" w:hAnsi="仿宋" w:eastAsia="仿宋" w:cs="仿宋"/>
                <w:color w:val="auto"/>
                <w:sz w:val="24"/>
                <w:szCs w:val="24"/>
                <w:highlight w:val="none"/>
              </w:rPr>
            </w:pPr>
          </w:p>
        </w:tc>
        <w:tc>
          <w:tcPr>
            <w:tcW w:w="1168" w:type="dxa"/>
          </w:tcPr>
          <w:p w14:paraId="518E5197">
            <w:pPr>
              <w:rPr>
                <w:rFonts w:hint="eastAsia" w:ascii="仿宋" w:hAnsi="仿宋" w:eastAsia="仿宋" w:cs="仿宋"/>
                <w:color w:val="auto"/>
                <w:sz w:val="24"/>
                <w:szCs w:val="24"/>
                <w:highlight w:val="none"/>
              </w:rPr>
            </w:pPr>
          </w:p>
        </w:tc>
        <w:tc>
          <w:tcPr>
            <w:tcW w:w="1168" w:type="dxa"/>
          </w:tcPr>
          <w:p w14:paraId="2829C3F2">
            <w:pPr>
              <w:rPr>
                <w:rFonts w:hint="eastAsia" w:ascii="仿宋" w:hAnsi="仿宋" w:eastAsia="仿宋" w:cs="仿宋"/>
                <w:color w:val="auto"/>
                <w:sz w:val="24"/>
                <w:szCs w:val="24"/>
                <w:highlight w:val="none"/>
              </w:rPr>
            </w:pPr>
          </w:p>
        </w:tc>
        <w:tc>
          <w:tcPr>
            <w:tcW w:w="1136" w:type="dxa"/>
          </w:tcPr>
          <w:p w14:paraId="5B37CC4B">
            <w:pPr>
              <w:rPr>
                <w:rFonts w:hint="eastAsia" w:ascii="仿宋" w:hAnsi="仿宋" w:eastAsia="仿宋" w:cs="仿宋"/>
                <w:color w:val="auto"/>
                <w:sz w:val="24"/>
                <w:szCs w:val="24"/>
                <w:highlight w:val="none"/>
              </w:rPr>
            </w:pPr>
          </w:p>
        </w:tc>
      </w:tr>
      <w:tr w14:paraId="15E7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2F01A7B5">
            <w:pPr>
              <w:rPr>
                <w:rFonts w:hint="eastAsia" w:ascii="仿宋" w:hAnsi="仿宋" w:eastAsia="仿宋" w:cs="仿宋"/>
                <w:color w:val="auto"/>
                <w:sz w:val="24"/>
                <w:szCs w:val="24"/>
                <w:highlight w:val="none"/>
              </w:rPr>
            </w:pPr>
          </w:p>
        </w:tc>
        <w:tc>
          <w:tcPr>
            <w:tcW w:w="1270" w:type="dxa"/>
          </w:tcPr>
          <w:p w14:paraId="046F44EF">
            <w:pPr>
              <w:rPr>
                <w:rFonts w:hint="eastAsia" w:ascii="仿宋" w:hAnsi="仿宋" w:eastAsia="仿宋" w:cs="仿宋"/>
                <w:color w:val="auto"/>
                <w:sz w:val="24"/>
                <w:szCs w:val="24"/>
                <w:highlight w:val="none"/>
              </w:rPr>
            </w:pPr>
          </w:p>
        </w:tc>
        <w:tc>
          <w:tcPr>
            <w:tcW w:w="1321" w:type="dxa"/>
          </w:tcPr>
          <w:p w14:paraId="3A5E9231">
            <w:pPr>
              <w:rPr>
                <w:rFonts w:hint="eastAsia" w:ascii="仿宋" w:hAnsi="仿宋" w:eastAsia="仿宋" w:cs="仿宋"/>
                <w:color w:val="auto"/>
                <w:sz w:val="24"/>
                <w:szCs w:val="24"/>
                <w:highlight w:val="none"/>
              </w:rPr>
            </w:pPr>
          </w:p>
        </w:tc>
        <w:tc>
          <w:tcPr>
            <w:tcW w:w="1140" w:type="dxa"/>
          </w:tcPr>
          <w:p w14:paraId="1C123146">
            <w:pPr>
              <w:rPr>
                <w:rFonts w:hint="eastAsia" w:ascii="仿宋" w:hAnsi="仿宋" w:eastAsia="仿宋" w:cs="仿宋"/>
                <w:color w:val="auto"/>
                <w:sz w:val="24"/>
                <w:szCs w:val="24"/>
                <w:highlight w:val="none"/>
              </w:rPr>
            </w:pPr>
          </w:p>
        </w:tc>
        <w:tc>
          <w:tcPr>
            <w:tcW w:w="1168" w:type="dxa"/>
          </w:tcPr>
          <w:p w14:paraId="0A164C7E">
            <w:pPr>
              <w:rPr>
                <w:rFonts w:hint="eastAsia" w:ascii="仿宋" w:hAnsi="仿宋" w:eastAsia="仿宋" w:cs="仿宋"/>
                <w:color w:val="auto"/>
                <w:sz w:val="24"/>
                <w:szCs w:val="24"/>
                <w:highlight w:val="none"/>
              </w:rPr>
            </w:pPr>
          </w:p>
        </w:tc>
        <w:tc>
          <w:tcPr>
            <w:tcW w:w="1168" w:type="dxa"/>
          </w:tcPr>
          <w:p w14:paraId="79934928">
            <w:pPr>
              <w:rPr>
                <w:rFonts w:hint="eastAsia" w:ascii="仿宋" w:hAnsi="仿宋" w:eastAsia="仿宋" w:cs="仿宋"/>
                <w:color w:val="auto"/>
                <w:sz w:val="24"/>
                <w:szCs w:val="24"/>
                <w:highlight w:val="none"/>
              </w:rPr>
            </w:pPr>
          </w:p>
        </w:tc>
        <w:tc>
          <w:tcPr>
            <w:tcW w:w="1168" w:type="dxa"/>
          </w:tcPr>
          <w:p w14:paraId="166B8415">
            <w:pPr>
              <w:rPr>
                <w:rFonts w:hint="eastAsia" w:ascii="仿宋" w:hAnsi="仿宋" w:eastAsia="仿宋" w:cs="仿宋"/>
                <w:color w:val="auto"/>
                <w:sz w:val="24"/>
                <w:szCs w:val="24"/>
                <w:highlight w:val="none"/>
              </w:rPr>
            </w:pPr>
          </w:p>
        </w:tc>
        <w:tc>
          <w:tcPr>
            <w:tcW w:w="1136" w:type="dxa"/>
          </w:tcPr>
          <w:p w14:paraId="6512DCF8">
            <w:pPr>
              <w:rPr>
                <w:rFonts w:hint="eastAsia" w:ascii="仿宋" w:hAnsi="仿宋" w:eastAsia="仿宋" w:cs="仿宋"/>
                <w:color w:val="auto"/>
                <w:sz w:val="24"/>
                <w:szCs w:val="24"/>
                <w:highlight w:val="none"/>
              </w:rPr>
            </w:pPr>
          </w:p>
        </w:tc>
      </w:tr>
      <w:tr w14:paraId="68B7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313A4547">
            <w:pPr>
              <w:rPr>
                <w:rFonts w:hint="eastAsia" w:ascii="仿宋" w:hAnsi="仿宋" w:eastAsia="仿宋" w:cs="仿宋"/>
                <w:color w:val="auto"/>
                <w:sz w:val="24"/>
                <w:szCs w:val="24"/>
                <w:highlight w:val="none"/>
              </w:rPr>
            </w:pPr>
          </w:p>
        </w:tc>
        <w:tc>
          <w:tcPr>
            <w:tcW w:w="1270" w:type="dxa"/>
          </w:tcPr>
          <w:p w14:paraId="74B1848B">
            <w:pPr>
              <w:rPr>
                <w:rFonts w:hint="eastAsia" w:ascii="仿宋" w:hAnsi="仿宋" w:eastAsia="仿宋" w:cs="仿宋"/>
                <w:color w:val="auto"/>
                <w:sz w:val="24"/>
                <w:szCs w:val="24"/>
                <w:highlight w:val="none"/>
              </w:rPr>
            </w:pPr>
          </w:p>
        </w:tc>
        <w:tc>
          <w:tcPr>
            <w:tcW w:w="1321" w:type="dxa"/>
          </w:tcPr>
          <w:p w14:paraId="33A8B484">
            <w:pPr>
              <w:rPr>
                <w:rFonts w:hint="eastAsia" w:ascii="仿宋" w:hAnsi="仿宋" w:eastAsia="仿宋" w:cs="仿宋"/>
                <w:color w:val="auto"/>
                <w:sz w:val="24"/>
                <w:szCs w:val="24"/>
                <w:highlight w:val="none"/>
              </w:rPr>
            </w:pPr>
          </w:p>
        </w:tc>
        <w:tc>
          <w:tcPr>
            <w:tcW w:w="1140" w:type="dxa"/>
          </w:tcPr>
          <w:p w14:paraId="6CE0C515">
            <w:pPr>
              <w:rPr>
                <w:rFonts w:hint="eastAsia" w:ascii="仿宋" w:hAnsi="仿宋" w:eastAsia="仿宋" w:cs="仿宋"/>
                <w:color w:val="auto"/>
                <w:sz w:val="24"/>
                <w:szCs w:val="24"/>
                <w:highlight w:val="none"/>
              </w:rPr>
            </w:pPr>
          </w:p>
        </w:tc>
        <w:tc>
          <w:tcPr>
            <w:tcW w:w="1168" w:type="dxa"/>
          </w:tcPr>
          <w:p w14:paraId="10D9869E">
            <w:pPr>
              <w:rPr>
                <w:rFonts w:hint="eastAsia" w:ascii="仿宋" w:hAnsi="仿宋" w:eastAsia="仿宋" w:cs="仿宋"/>
                <w:color w:val="auto"/>
                <w:sz w:val="24"/>
                <w:szCs w:val="24"/>
                <w:highlight w:val="none"/>
              </w:rPr>
            </w:pPr>
          </w:p>
        </w:tc>
        <w:tc>
          <w:tcPr>
            <w:tcW w:w="1168" w:type="dxa"/>
          </w:tcPr>
          <w:p w14:paraId="38B85D63">
            <w:pPr>
              <w:rPr>
                <w:rFonts w:hint="eastAsia" w:ascii="仿宋" w:hAnsi="仿宋" w:eastAsia="仿宋" w:cs="仿宋"/>
                <w:color w:val="auto"/>
                <w:sz w:val="24"/>
                <w:szCs w:val="24"/>
                <w:highlight w:val="none"/>
              </w:rPr>
            </w:pPr>
          </w:p>
        </w:tc>
        <w:tc>
          <w:tcPr>
            <w:tcW w:w="1168" w:type="dxa"/>
          </w:tcPr>
          <w:p w14:paraId="42E31D5A">
            <w:pPr>
              <w:rPr>
                <w:rFonts w:hint="eastAsia" w:ascii="仿宋" w:hAnsi="仿宋" w:eastAsia="仿宋" w:cs="仿宋"/>
                <w:color w:val="auto"/>
                <w:sz w:val="24"/>
                <w:szCs w:val="24"/>
                <w:highlight w:val="none"/>
              </w:rPr>
            </w:pPr>
          </w:p>
        </w:tc>
        <w:tc>
          <w:tcPr>
            <w:tcW w:w="1136" w:type="dxa"/>
          </w:tcPr>
          <w:p w14:paraId="7E8B3FDF">
            <w:pPr>
              <w:rPr>
                <w:rFonts w:hint="eastAsia" w:ascii="仿宋" w:hAnsi="仿宋" w:eastAsia="仿宋" w:cs="仿宋"/>
                <w:color w:val="auto"/>
                <w:sz w:val="24"/>
                <w:szCs w:val="24"/>
                <w:highlight w:val="none"/>
              </w:rPr>
            </w:pPr>
          </w:p>
        </w:tc>
      </w:tr>
      <w:tr w14:paraId="0D11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14:paraId="00536962">
            <w:pPr>
              <w:rPr>
                <w:rFonts w:hint="eastAsia" w:ascii="仿宋" w:hAnsi="仿宋" w:eastAsia="仿宋" w:cs="仿宋"/>
                <w:color w:val="auto"/>
                <w:sz w:val="24"/>
                <w:szCs w:val="24"/>
                <w:highlight w:val="none"/>
              </w:rPr>
            </w:pPr>
          </w:p>
        </w:tc>
        <w:tc>
          <w:tcPr>
            <w:tcW w:w="1270" w:type="dxa"/>
          </w:tcPr>
          <w:p w14:paraId="5F5E745D">
            <w:pPr>
              <w:rPr>
                <w:rFonts w:hint="eastAsia" w:ascii="仿宋" w:hAnsi="仿宋" w:eastAsia="仿宋" w:cs="仿宋"/>
                <w:color w:val="auto"/>
                <w:sz w:val="24"/>
                <w:szCs w:val="24"/>
                <w:highlight w:val="none"/>
              </w:rPr>
            </w:pPr>
          </w:p>
        </w:tc>
        <w:tc>
          <w:tcPr>
            <w:tcW w:w="1321" w:type="dxa"/>
          </w:tcPr>
          <w:p w14:paraId="76F6D487">
            <w:pPr>
              <w:rPr>
                <w:rFonts w:hint="eastAsia" w:ascii="仿宋" w:hAnsi="仿宋" w:eastAsia="仿宋" w:cs="仿宋"/>
                <w:color w:val="auto"/>
                <w:sz w:val="24"/>
                <w:szCs w:val="24"/>
                <w:highlight w:val="none"/>
              </w:rPr>
            </w:pPr>
          </w:p>
        </w:tc>
        <w:tc>
          <w:tcPr>
            <w:tcW w:w="1140" w:type="dxa"/>
          </w:tcPr>
          <w:p w14:paraId="09D1AC64">
            <w:pPr>
              <w:rPr>
                <w:rFonts w:hint="eastAsia" w:ascii="仿宋" w:hAnsi="仿宋" w:eastAsia="仿宋" w:cs="仿宋"/>
                <w:color w:val="auto"/>
                <w:sz w:val="24"/>
                <w:szCs w:val="24"/>
                <w:highlight w:val="none"/>
              </w:rPr>
            </w:pPr>
          </w:p>
        </w:tc>
        <w:tc>
          <w:tcPr>
            <w:tcW w:w="1168" w:type="dxa"/>
          </w:tcPr>
          <w:p w14:paraId="2E5DCC64">
            <w:pPr>
              <w:rPr>
                <w:rFonts w:hint="eastAsia" w:ascii="仿宋" w:hAnsi="仿宋" w:eastAsia="仿宋" w:cs="仿宋"/>
                <w:color w:val="auto"/>
                <w:sz w:val="24"/>
                <w:szCs w:val="24"/>
                <w:highlight w:val="none"/>
              </w:rPr>
            </w:pPr>
          </w:p>
        </w:tc>
        <w:tc>
          <w:tcPr>
            <w:tcW w:w="1168" w:type="dxa"/>
          </w:tcPr>
          <w:p w14:paraId="12A3BA89">
            <w:pPr>
              <w:rPr>
                <w:rFonts w:hint="eastAsia" w:ascii="仿宋" w:hAnsi="仿宋" w:eastAsia="仿宋" w:cs="仿宋"/>
                <w:color w:val="auto"/>
                <w:sz w:val="24"/>
                <w:szCs w:val="24"/>
                <w:highlight w:val="none"/>
              </w:rPr>
            </w:pPr>
          </w:p>
        </w:tc>
        <w:tc>
          <w:tcPr>
            <w:tcW w:w="1168" w:type="dxa"/>
          </w:tcPr>
          <w:p w14:paraId="538BEFA6">
            <w:pPr>
              <w:rPr>
                <w:rFonts w:hint="eastAsia" w:ascii="仿宋" w:hAnsi="仿宋" w:eastAsia="仿宋" w:cs="仿宋"/>
                <w:color w:val="auto"/>
                <w:sz w:val="24"/>
                <w:szCs w:val="24"/>
                <w:highlight w:val="none"/>
              </w:rPr>
            </w:pPr>
          </w:p>
        </w:tc>
        <w:tc>
          <w:tcPr>
            <w:tcW w:w="1136" w:type="dxa"/>
          </w:tcPr>
          <w:p w14:paraId="768D1BBE">
            <w:pPr>
              <w:rPr>
                <w:rFonts w:hint="eastAsia" w:ascii="仿宋" w:hAnsi="仿宋" w:eastAsia="仿宋" w:cs="仿宋"/>
                <w:color w:val="auto"/>
                <w:sz w:val="24"/>
                <w:szCs w:val="24"/>
                <w:highlight w:val="none"/>
              </w:rPr>
            </w:pPr>
          </w:p>
        </w:tc>
      </w:tr>
      <w:tr w14:paraId="2CE9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14:paraId="6F99ADBD">
            <w:pPr>
              <w:rPr>
                <w:rFonts w:hint="eastAsia" w:ascii="仿宋" w:hAnsi="仿宋" w:eastAsia="仿宋" w:cs="仿宋"/>
                <w:color w:val="auto"/>
                <w:sz w:val="24"/>
                <w:szCs w:val="24"/>
                <w:highlight w:val="none"/>
              </w:rPr>
            </w:pPr>
          </w:p>
        </w:tc>
        <w:tc>
          <w:tcPr>
            <w:tcW w:w="1270" w:type="dxa"/>
          </w:tcPr>
          <w:p w14:paraId="5486E3CE">
            <w:pPr>
              <w:rPr>
                <w:rFonts w:hint="eastAsia" w:ascii="仿宋" w:hAnsi="仿宋" w:eastAsia="仿宋" w:cs="仿宋"/>
                <w:color w:val="auto"/>
                <w:sz w:val="24"/>
                <w:szCs w:val="24"/>
                <w:highlight w:val="none"/>
              </w:rPr>
            </w:pPr>
          </w:p>
        </w:tc>
        <w:tc>
          <w:tcPr>
            <w:tcW w:w="1321" w:type="dxa"/>
          </w:tcPr>
          <w:p w14:paraId="5E9DDFC5">
            <w:pPr>
              <w:rPr>
                <w:rFonts w:hint="eastAsia" w:ascii="仿宋" w:hAnsi="仿宋" w:eastAsia="仿宋" w:cs="仿宋"/>
                <w:color w:val="auto"/>
                <w:sz w:val="24"/>
                <w:szCs w:val="24"/>
                <w:highlight w:val="none"/>
              </w:rPr>
            </w:pPr>
          </w:p>
        </w:tc>
        <w:tc>
          <w:tcPr>
            <w:tcW w:w="1140" w:type="dxa"/>
          </w:tcPr>
          <w:p w14:paraId="7342377A">
            <w:pPr>
              <w:rPr>
                <w:rFonts w:hint="eastAsia" w:ascii="仿宋" w:hAnsi="仿宋" w:eastAsia="仿宋" w:cs="仿宋"/>
                <w:color w:val="auto"/>
                <w:sz w:val="24"/>
                <w:szCs w:val="24"/>
                <w:highlight w:val="none"/>
              </w:rPr>
            </w:pPr>
          </w:p>
        </w:tc>
        <w:tc>
          <w:tcPr>
            <w:tcW w:w="1168" w:type="dxa"/>
          </w:tcPr>
          <w:p w14:paraId="566C9197">
            <w:pPr>
              <w:rPr>
                <w:rFonts w:hint="eastAsia" w:ascii="仿宋" w:hAnsi="仿宋" w:eastAsia="仿宋" w:cs="仿宋"/>
                <w:color w:val="auto"/>
                <w:sz w:val="24"/>
                <w:szCs w:val="24"/>
                <w:highlight w:val="none"/>
              </w:rPr>
            </w:pPr>
          </w:p>
        </w:tc>
        <w:tc>
          <w:tcPr>
            <w:tcW w:w="1168" w:type="dxa"/>
          </w:tcPr>
          <w:p w14:paraId="222DEF19">
            <w:pPr>
              <w:rPr>
                <w:rFonts w:hint="eastAsia" w:ascii="仿宋" w:hAnsi="仿宋" w:eastAsia="仿宋" w:cs="仿宋"/>
                <w:color w:val="auto"/>
                <w:sz w:val="24"/>
                <w:szCs w:val="24"/>
                <w:highlight w:val="none"/>
              </w:rPr>
            </w:pPr>
          </w:p>
        </w:tc>
        <w:tc>
          <w:tcPr>
            <w:tcW w:w="1168" w:type="dxa"/>
          </w:tcPr>
          <w:p w14:paraId="7D5171C5">
            <w:pPr>
              <w:rPr>
                <w:rFonts w:hint="eastAsia" w:ascii="仿宋" w:hAnsi="仿宋" w:eastAsia="仿宋" w:cs="仿宋"/>
                <w:color w:val="auto"/>
                <w:sz w:val="24"/>
                <w:szCs w:val="24"/>
                <w:highlight w:val="none"/>
              </w:rPr>
            </w:pPr>
          </w:p>
        </w:tc>
        <w:tc>
          <w:tcPr>
            <w:tcW w:w="1136" w:type="dxa"/>
          </w:tcPr>
          <w:p w14:paraId="4931418D">
            <w:pPr>
              <w:rPr>
                <w:rFonts w:hint="eastAsia" w:ascii="仿宋" w:hAnsi="仿宋" w:eastAsia="仿宋" w:cs="仿宋"/>
                <w:color w:val="auto"/>
                <w:sz w:val="24"/>
                <w:szCs w:val="24"/>
                <w:highlight w:val="none"/>
              </w:rPr>
            </w:pPr>
          </w:p>
        </w:tc>
      </w:tr>
    </w:tbl>
    <w:p w14:paraId="1FD1E139">
      <w:pPr>
        <w:spacing w:line="360" w:lineRule="auto"/>
        <w:rPr>
          <w:rFonts w:hint="eastAsia" w:ascii="仿宋" w:hAnsi="仿宋" w:eastAsia="仿宋" w:cs="仿宋"/>
          <w:color w:val="auto"/>
          <w:sz w:val="24"/>
          <w:szCs w:val="24"/>
          <w:highlight w:val="none"/>
          <w:shd w:val="clear" w:color="auto" w:fill="FFFFFF" w:themeFill="background1"/>
        </w:rPr>
      </w:pPr>
    </w:p>
    <w:p w14:paraId="3137FDAC">
      <w:pPr>
        <w:spacing w:line="360" w:lineRule="auto"/>
        <w:jc w:val="left"/>
        <w:outlineLvl w:val="1"/>
        <w:rPr>
          <w:rFonts w:hint="eastAsia" w:ascii="仿宋" w:hAnsi="仿宋" w:eastAsia="仿宋" w:cs="仿宋"/>
          <w:b w:val="0"/>
          <w:bCs/>
          <w:color w:val="auto"/>
          <w:sz w:val="24"/>
          <w:szCs w:val="24"/>
          <w:highlight w:val="none"/>
          <w:shd w:val="clear" w:color="auto" w:fill="FFFFFF" w:themeFill="background1"/>
        </w:rPr>
      </w:pPr>
      <w:bookmarkStart w:id="105" w:name="_Toc7910"/>
      <w:r>
        <w:rPr>
          <w:rFonts w:hint="eastAsia" w:ascii="仿宋" w:hAnsi="仿宋" w:eastAsia="仿宋" w:cs="仿宋"/>
          <w:b w:val="0"/>
          <w:bCs/>
          <w:color w:val="auto"/>
          <w:sz w:val="24"/>
          <w:szCs w:val="24"/>
          <w:highlight w:val="none"/>
          <w:shd w:val="clear" w:color="auto" w:fill="FFFFFF" w:themeFill="background1"/>
        </w:rPr>
        <w:t>备注：</w:t>
      </w:r>
      <w:r>
        <w:rPr>
          <w:rFonts w:hint="eastAsia" w:ascii="仿宋" w:hAnsi="仿宋" w:eastAsia="仿宋" w:cs="仿宋"/>
          <w:color w:val="auto"/>
          <w:sz w:val="24"/>
          <w:szCs w:val="24"/>
          <w:highlight w:val="none"/>
        </w:rPr>
        <w:t>本表后需提供</w:t>
      </w:r>
      <w:r>
        <w:rPr>
          <w:rFonts w:hint="eastAsia" w:ascii="仿宋" w:hAnsi="仿宋" w:eastAsia="仿宋" w:cs="仿宋"/>
          <w:color w:val="auto"/>
          <w:sz w:val="24"/>
          <w:szCs w:val="24"/>
          <w:highlight w:val="none"/>
          <w:shd w:val="clear" w:color="auto" w:fill="FFFFFF" w:themeFill="background1"/>
          <w:lang w:val="en-US" w:eastAsia="zh-CN"/>
        </w:rPr>
        <w:t>磋商</w:t>
      </w:r>
      <w:r>
        <w:rPr>
          <w:rFonts w:hint="eastAsia" w:ascii="仿宋" w:hAnsi="仿宋" w:eastAsia="仿宋" w:cs="仿宋"/>
          <w:color w:val="auto"/>
          <w:sz w:val="24"/>
          <w:szCs w:val="24"/>
          <w:highlight w:val="none"/>
        </w:rPr>
        <w:t>文件要求的有关书面证明材料。</w:t>
      </w:r>
    </w:p>
    <w:p w14:paraId="28AACE50">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5FEA1387">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十二、其他需要提交的资料</w:t>
      </w:r>
      <w:bookmarkEnd w:id="105"/>
    </w:p>
    <w:p w14:paraId="49ED2E79">
      <w:pPr>
        <w:spacing w:line="360" w:lineRule="auto"/>
        <w:ind w:firstLine="480" w:firstLineChars="200"/>
        <w:rPr>
          <w:rFonts w:hint="eastAsia" w:ascii="仿宋" w:hAnsi="仿宋" w:eastAsia="仿宋" w:cs="仿宋"/>
          <w:color w:val="auto"/>
          <w:sz w:val="24"/>
          <w:szCs w:val="24"/>
          <w:highlight w:val="none"/>
          <w:shd w:val="clear" w:color="auto" w:fill="FFFFFF" w:themeFill="background1"/>
          <w:lang w:eastAsia="zh-CN"/>
        </w:rPr>
      </w:pPr>
      <w:r>
        <w:rPr>
          <w:rFonts w:hint="eastAsia" w:ascii="仿宋" w:hAnsi="仿宋" w:eastAsia="仿宋" w:cs="仿宋"/>
          <w:color w:val="auto"/>
          <w:sz w:val="24"/>
          <w:szCs w:val="24"/>
          <w:highlight w:val="none"/>
          <w:shd w:val="clear" w:color="auto" w:fill="FFFFFF" w:themeFill="background1"/>
        </w:rPr>
        <w:t>根据磋商文件的要求和供应商认为需要提供的资料。</w:t>
      </w: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lang w:val="en-US" w:eastAsia="zh-CN"/>
        </w:rPr>
        <w:t>如：磋商保证金缴纳凭证等</w:t>
      </w:r>
      <w:r>
        <w:rPr>
          <w:rFonts w:hint="eastAsia" w:ascii="仿宋" w:hAnsi="仿宋" w:eastAsia="仿宋" w:cs="仿宋"/>
          <w:color w:val="auto"/>
          <w:sz w:val="24"/>
          <w:szCs w:val="24"/>
          <w:highlight w:val="none"/>
          <w:shd w:val="clear" w:color="auto" w:fill="FFFFFF" w:themeFill="background1"/>
          <w:lang w:eastAsia="zh-CN"/>
        </w:rPr>
        <w:t>）</w:t>
      </w:r>
    </w:p>
    <w:p w14:paraId="41F11115">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994D0CE">
      <w:pPr>
        <w:ind w:firstLine="422" w:firstLineChars="200"/>
        <w:rPr>
          <w:rFonts w:hint="eastAsia" w:ascii="仿宋" w:hAnsi="仿宋" w:eastAsia="仿宋" w:cs="仿宋"/>
          <w:b/>
          <w:color w:val="auto"/>
          <w:szCs w:val="24"/>
          <w:highlight w:val="none"/>
          <w:shd w:val="clear" w:color="auto" w:fill="FFFFFF" w:themeFill="background1"/>
        </w:rPr>
      </w:pPr>
    </w:p>
    <w:p w14:paraId="4E29D08D">
      <w:pPr>
        <w:tabs>
          <w:tab w:val="center" w:pos="4832"/>
          <w:tab w:val="left" w:pos="7140"/>
        </w:tabs>
        <w:spacing w:line="360" w:lineRule="auto"/>
        <w:ind w:firstLine="480" w:firstLineChars="200"/>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bookmarkStart w:id="106" w:name="_Toc507586177"/>
      <w:bookmarkStart w:id="107" w:name="_Toc533503193"/>
      <w:bookmarkStart w:id="108" w:name="_Toc38446482"/>
      <w:bookmarkStart w:id="109" w:name="_Toc9116"/>
      <w:r>
        <w:rPr>
          <w:rFonts w:hint="eastAsia" w:ascii="仿宋" w:hAnsi="仿宋" w:eastAsia="仿宋" w:cs="仿宋"/>
          <w:b/>
          <w:color w:val="auto"/>
          <w:sz w:val="24"/>
          <w:szCs w:val="24"/>
          <w:highlight w:val="none"/>
          <w:shd w:val="clear" w:color="auto" w:fill="FFFFFF" w:themeFill="background1"/>
        </w:rPr>
        <w:t>十三、</w:t>
      </w:r>
      <w:bookmarkEnd w:id="106"/>
      <w:bookmarkEnd w:id="107"/>
      <w:bookmarkEnd w:id="108"/>
      <w:r>
        <w:rPr>
          <w:rFonts w:hint="eastAsia" w:ascii="仿宋" w:hAnsi="仿宋" w:eastAsia="仿宋" w:cs="仿宋"/>
          <w:b/>
          <w:bCs/>
          <w:color w:val="auto"/>
          <w:sz w:val="24"/>
          <w:szCs w:val="24"/>
          <w:highlight w:val="none"/>
          <w:shd w:val="clear" w:color="auto" w:fill="FFFFFF" w:themeFill="background1"/>
        </w:rPr>
        <w:t>技术标</w:t>
      </w:r>
      <w:bookmarkEnd w:id="109"/>
    </w:p>
    <w:p w14:paraId="323C8D80">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76879F5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供应商须提交拟完成本项目的服务方案，服务方案的格式和内容由供应商根据本项目的具体情况自行拟定。</w:t>
      </w:r>
    </w:p>
    <w:p w14:paraId="3420B666">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254BA442">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p>
    <w:p w14:paraId="7BCFBADD">
      <w:pPr>
        <w:widowControl/>
        <w:jc w:val="left"/>
        <w:rPr>
          <w:rFonts w:hint="eastAsia" w:ascii="仿宋" w:hAnsi="仿宋" w:eastAsia="仿宋" w:cs="仿宋"/>
          <w:bCs/>
          <w:color w:val="auto"/>
          <w:sz w:val="24"/>
          <w:szCs w:val="24"/>
          <w:highlight w:val="none"/>
          <w:shd w:val="clear" w:color="auto" w:fill="FFFFFF" w:themeFill="background1"/>
        </w:rPr>
      </w:pPr>
      <w:bookmarkStart w:id="110" w:name="_Toc38446484"/>
      <w:bookmarkStart w:id="111" w:name="_Toc533503194"/>
      <w:bookmarkStart w:id="112" w:name="_Toc507586178"/>
      <w:r>
        <w:rPr>
          <w:rFonts w:hint="eastAsia" w:ascii="仿宋" w:hAnsi="仿宋" w:eastAsia="仿宋" w:cs="仿宋"/>
          <w:bCs/>
          <w:color w:val="auto"/>
          <w:sz w:val="24"/>
          <w:szCs w:val="24"/>
          <w:highlight w:val="none"/>
          <w:shd w:val="clear" w:color="auto" w:fill="FFFFFF" w:themeFill="background1"/>
        </w:rPr>
        <w:br w:type="page"/>
      </w:r>
    </w:p>
    <w:p w14:paraId="36425940">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13" w:name="_Toc23380"/>
      <w:r>
        <w:rPr>
          <w:rFonts w:hint="eastAsia" w:ascii="仿宋" w:hAnsi="仿宋" w:eastAsia="仿宋" w:cs="仿宋"/>
          <w:b/>
          <w:color w:val="auto"/>
          <w:sz w:val="24"/>
          <w:szCs w:val="24"/>
          <w:highlight w:val="none"/>
          <w:shd w:val="clear" w:color="auto" w:fill="FFFFFF" w:themeFill="background1"/>
        </w:rPr>
        <w:t>十四、</w:t>
      </w:r>
      <w:bookmarkEnd w:id="110"/>
      <w:bookmarkEnd w:id="111"/>
      <w:bookmarkEnd w:id="112"/>
      <w:r>
        <w:rPr>
          <w:rFonts w:hint="eastAsia" w:ascii="仿宋" w:hAnsi="仿宋" w:eastAsia="仿宋" w:cs="仿宋"/>
          <w:b/>
          <w:color w:val="auto"/>
          <w:sz w:val="24"/>
          <w:szCs w:val="24"/>
          <w:highlight w:val="none"/>
          <w:shd w:val="clear" w:color="auto" w:fill="FFFFFF" w:themeFill="background1"/>
        </w:rPr>
        <w:t>经济标</w:t>
      </w:r>
      <w:bookmarkEnd w:id="113"/>
    </w:p>
    <w:p w14:paraId="6B9580EC">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2469E96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供应商编制经济标须严格按照本磋商文件附件（工程量清单）提供的表格填列。</w:t>
      </w:r>
    </w:p>
    <w:p w14:paraId="794C5F6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495309EF">
      <w:pP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47E0C83F">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114" w:name="_Toc60925660"/>
      <w:bookmarkStart w:id="115" w:name="_Toc27790"/>
      <w:bookmarkStart w:id="116" w:name="_Toc77455658"/>
      <w:r>
        <w:rPr>
          <w:rFonts w:hint="eastAsia" w:ascii="仿宋" w:hAnsi="仿宋" w:eastAsia="仿宋" w:cs="仿宋"/>
          <w:b/>
          <w:color w:val="auto"/>
          <w:sz w:val="24"/>
          <w:szCs w:val="24"/>
          <w:highlight w:val="none"/>
          <w:shd w:val="clear" w:color="auto" w:fill="FFFFFF" w:themeFill="background1"/>
        </w:rPr>
        <w:t>第六章 补充条款</w:t>
      </w:r>
      <w:bookmarkEnd w:id="114"/>
      <w:bookmarkEnd w:id="115"/>
      <w:bookmarkEnd w:id="116"/>
    </w:p>
    <w:p w14:paraId="1DAEBA43">
      <w:pPr>
        <w:spacing w:line="360" w:lineRule="auto"/>
        <w:rPr>
          <w:rFonts w:hint="eastAsia" w:ascii="仿宋" w:hAnsi="仿宋" w:eastAsia="仿宋" w:cs="仿宋"/>
          <w:color w:val="auto"/>
          <w:sz w:val="24"/>
          <w:szCs w:val="24"/>
          <w:highlight w:val="none"/>
          <w:shd w:val="clear" w:color="auto" w:fill="FFFFFF" w:themeFill="background1"/>
        </w:rPr>
      </w:pPr>
    </w:p>
    <w:p w14:paraId="25B28371">
      <w:pPr>
        <w:widowControl/>
        <w:spacing w:line="360" w:lineRule="auto"/>
        <w:jc w:val="left"/>
        <w:rPr>
          <w:rFonts w:hint="eastAsia" w:ascii="仿宋" w:hAnsi="仿宋" w:eastAsia="仿宋" w:cs="仿宋"/>
          <w:color w:val="auto"/>
          <w:sz w:val="24"/>
          <w:szCs w:val="24"/>
          <w:highlight w:val="none"/>
          <w:shd w:val="clear" w:color="auto" w:fill="FFFFFF" w:themeFill="background1"/>
        </w:rPr>
      </w:pPr>
    </w:p>
    <w:p w14:paraId="6B2EE046">
      <w:pPr>
        <w:spacing w:line="360" w:lineRule="auto"/>
        <w:rPr>
          <w:rFonts w:hint="eastAsia" w:ascii="仿宋" w:hAnsi="仿宋" w:eastAsia="仿宋" w:cs="仿宋"/>
          <w:color w:val="auto"/>
          <w:sz w:val="24"/>
          <w:szCs w:val="24"/>
          <w:highlight w:val="none"/>
          <w:shd w:val="clear" w:color="auto" w:fill="FFFFFF" w:themeFill="background1"/>
        </w:rPr>
      </w:pPr>
    </w:p>
    <w:bookmarkEnd w:id="117"/>
    <w:sectPr>
      <w:headerReference r:id="rId9" w:type="default"/>
      <w:footerReference r:id="rId10"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iddenHorzOCR-Identity-H">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F99E9">
    <w:pPr>
      <w:pStyle w:val="21"/>
      <w:ind w:right="9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9E1F3">
    <w:pPr>
      <w:pStyle w:val="21"/>
      <w:jc w:val="center"/>
      <w:rPr>
        <w:rFonts w:ascii="宋体" w:hAnsi="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C28F7">
    <w:pPr>
      <w:pStyle w:val="21"/>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68</w:t>
    </w:r>
    <w:r>
      <w:rPr>
        <w:rStyle w:val="42"/>
      </w:rPr>
      <w:fldChar w:fldCharType="end"/>
    </w:r>
  </w:p>
  <w:p w14:paraId="2F6BB0A7">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sz w:val="24"/>
      </w:rPr>
    </w:sdtEndPr>
    <w:sdtContent>
      <w:p w14:paraId="5123EB51">
        <w:pPr>
          <w:pStyle w:val="2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2</w:t>
        </w:r>
        <w:r>
          <w:rPr>
            <w:rFonts w:ascii="宋体" w:hAnsi="宋体"/>
            <w:sz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5629033"/>
    </w:sdtPr>
    <w:sdtEndPr>
      <w:rPr>
        <w:rFonts w:ascii="宋体" w:hAnsi="宋体"/>
        <w:sz w:val="24"/>
      </w:rPr>
    </w:sdtEndPr>
    <w:sdtContent>
      <w:p w14:paraId="000829B8">
        <w:pPr>
          <w:pStyle w:val="2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64</w:t>
        </w:r>
        <w:r>
          <w:rPr>
            <w:rFonts w:ascii="宋体" w:hAnsi="宋体"/>
            <w:sz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361154"/>
    </w:sdtPr>
    <w:sdtEndPr>
      <w:rPr>
        <w:rFonts w:asciiTheme="minorEastAsia" w:hAnsiTheme="minorEastAsia" w:eastAsiaTheme="minorEastAsia"/>
        <w:sz w:val="30"/>
        <w:szCs w:val="30"/>
      </w:rPr>
    </w:sdtEndPr>
    <w:sdtContent>
      <w:p w14:paraId="198F9169">
        <w:pPr>
          <w:pStyle w:val="21"/>
          <w:ind w:right="360"/>
          <w:jc w:val="center"/>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66</w:t>
        </w:r>
        <w:r>
          <w:rPr>
            <w:rFonts w:asciiTheme="minorEastAsia" w:hAnsiTheme="minorEastAsia" w:eastAsiaTheme="minorEastAsia"/>
            <w:sz w:val="30"/>
            <w:szCs w:val="3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C40C7">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D098">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4945A"/>
    <w:multiLevelType w:val="multilevel"/>
    <w:tmpl w:val="8D24945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YjlkMjgzMjg0MmJmMjJjYzc3ZGEyYWE0MmZlMjgifQ=="/>
  </w:docVars>
  <w:rsids>
    <w:rsidRoot w:val="00172A27"/>
    <w:rsid w:val="00001340"/>
    <w:rsid w:val="00003F6D"/>
    <w:rsid w:val="00004DAA"/>
    <w:rsid w:val="0000568A"/>
    <w:rsid w:val="00006BD9"/>
    <w:rsid w:val="00007487"/>
    <w:rsid w:val="00007BA8"/>
    <w:rsid w:val="000149FB"/>
    <w:rsid w:val="00014F7D"/>
    <w:rsid w:val="000162FE"/>
    <w:rsid w:val="00016F23"/>
    <w:rsid w:val="00020B17"/>
    <w:rsid w:val="000212A6"/>
    <w:rsid w:val="000244CA"/>
    <w:rsid w:val="00026F71"/>
    <w:rsid w:val="00030171"/>
    <w:rsid w:val="000304C4"/>
    <w:rsid w:val="00033566"/>
    <w:rsid w:val="00036B12"/>
    <w:rsid w:val="000400E8"/>
    <w:rsid w:val="00046152"/>
    <w:rsid w:val="0005003E"/>
    <w:rsid w:val="000536BB"/>
    <w:rsid w:val="0005677C"/>
    <w:rsid w:val="0005753D"/>
    <w:rsid w:val="000604DE"/>
    <w:rsid w:val="000641A9"/>
    <w:rsid w:val="00070AF5"/>
    <w:rsid w:val="00071140"/>
    <w:rsid w:val="00071492"/>
    <w:rsid w:val="00071EBA"/>
    <w:rsid w:val="000726EA"/>
    <w:rsid w:val="00072968"/>
    <w:rsid w:val="000734D0"/>
    <w:rsid w:val="00073D96"/>
    <w:rsid w:val="000762D4"/>
    <w:rsid w:val="0007797D"/>
    <w:rsid w:val="0008025F"/>
    <w:rsid w:val="0008034C"/>
    <w:rsid w:val="000809B1"/>
    <w:rsid w:val="00080E16"/>
    <w:rsid w:val="0008176E"/>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60C5"/>
    <w:rsid w:val="000B0F6F"/>
    <w:rsid w:val="000B210F"/>
    <w:rsid w:val="000B2F0E"/>
    <w:rsid w:val="000B331B"/>
    <w:rsid w:val="000B581D"/>
    <w:rsid w:val="000B74E1"/>
    <w:rsid w:val="000B797D"/>
    <w:rsid w:val="000C3368"/>
    <w:rsid w:val="000C3905"/>
    <w:rsid w:val="000C62C3"/>
    <w:rsid w:val="000D171A"/>
    <w:rsid w:val="000D37C8"/>
    <w:rsid w:val="000D3B49"/>
    <w:rsid w:val="000D7CE7"/>
    <w:rsid w:val="000E20F2"/>
    <w:rsid w:val="000E5B9C"/>
    <w:rsid w:val="000E6FF4"/>
    <w:rsid w:val="000E7461"/>
    <w:rsid w:val="000E7AF9"/>
    <w:rsid w:val="000F2511"/>
    <w:rsid w:val="00101AA4"/>
    <w:rsid w:val="001060B3"/>
    <w:rsid w:val="001063D0"/>
    <w:rsid w:val="0010650C"/>
    <w:rsid w:val="001079FC"/>
    <w:rsid w:val="00107FE2"/>
    <w:rsid w:val="001100D5"/>
    <w:rsid w:val="00112251"/>
    <w:rsid w:val="00114633"/>
    <w:rsid w:val="00117093"/>
    <w:rsid w:val="00117660"/>
    <w:rsid w:val="0012205E"/>
    <w:rsid w:val="001227D5"/>
    <w:rsid w:val="00123259"/>
    <w:rsid w:val="0012668B"/>
    <w:rsid w:val="00127B38"/>
    <w:rsid w:val="0013312B"/>
    <w:rsid w:val="00133C36"/>
    <w:rsid w:val="00134F82"/>
    <w:rsid w:val="00135714"/>
    <w:rsid w:val="001378D2"/>
    <w:rsid w:val="00140D70"/>
    <w:rsid w:val="001411D9"/>
    <w:rsid w:val="00141AF5"/>
    <w:rsid w:val="001431D9"/>
    <w:rsid w:val="00143612"/>
    <w:rsid w:val="00144E0F"/>
    <w:rsid w:val="00145F16"/>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76DD"/>
    <w:rsid w:val="00171B8B"/>
    <w:rsid w:val="00172A27"/>
    <w:rsid w:val="001733AF"/>
    <w:rsid w:val="00173CD5"/>
    <w:rsid w:val="00176FAD"/>
    <w:rsid w:val="0018101E"/>
    <w:rsid w:val="001825D7"/>
    <w:rsid w:val="0018398B"/>
    <w:rsid w:val="00186618"/>
    <w:rsid w:val="00190CFC"/>
    <w:rsid w:val="0019227A"/>
    <w:rsid w:val="00192531"/>
    <w:rsid w:val="00193A7C"/>
    <w:rsid w:val="001970FB"/>
    <w:rsid w:val="0019744D"/>
    <w:rsid w:val="001A148C"/>
    <w:rsid w:val="001A2117"/>
    <w:rsid w:val="001A2D5E"/>
    <w:rsid w:val="001A3274"/>
    <w:rsid w:val="001A33AD"/>
    <w:rsid w:val="001A377B"/>
    <w:rsid w:val="001A45DD"/>
    <w:rsid w:val="001A4E5A"/>
    <w:rsid w:val="001A5AD8"/>
    <w:rsid w:val="001B1748"/>
    <w:rsid w:val="001B36D6"/>
    <w:rsid w:val="001C09A4"/>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1F6F5C"/>
    <w:rsid w:val="0020058C"/>
    <w:rsid w:val="00200BA8"/>
    <w:rsid w:val="0020210D"/>
    <w:rsid w:val="002055DD"/>
    <w:rsid w:val="00205DF6"/>
    <w:rsid w:val="002063F1"/>
    <w:rsid w:val="002115F3"/>
    <w:rsid w:val="00213B45"/>
    <w:rsid w:val="00213C80"/>
    <w:rsid w:val="0022177D"/>
    <w:rsid w:val="0022315A"/>
    <w:rsid w:val="002233BB"/>
    <w:rsid w:val="00225083"/>
    <w:rsid w:val="002250F4"/>
    <w:rsid w:val="00226DEC"/>
    <w:rsid w:val="002271B7"/>
    <w:rsid w:val="0022755E"/>
    <w:rsid w:val="0022787A"/>
    <w:rsid w:val="00231BFB"/>
    <w:rsid w:val="0023316F"/>
    <w:rsid w:val="00234F95"/>
    <w:rsid w:val="0023520B"/>
    <w:rsid w:val="00236964"/>
    <w:rsid w:val="00236D43"/>
    <w:rsid w:val="00237C99"/>
    <w:rsid w:val="0024079C"/>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72DDC"/>
    <w:rsid w:val="00283F2B"/>
    <w:rsid w:val="0029280E"/>
    <w:rsid w:val="00294684"/>
    <w:rsid w:val="00294D99"/>
    <w:rsid w:val="002967DA"/>
    <w:rsid w:val="00297672"/>
    <w:rsid w:val="002A40A6"/>
    <w:rsid w:val="002A6A08"/>
    <w:rsid w:val="002A76F7"/>
    <w:rsid w:val="002B0041"/>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574"/>
    <w:rsid w:val="002E15A3"/>
    <w:rsid w:val="002E1D0A"/>
    <w:rsid w:val="002E5AAD"/>
    <w:rsid w:val="002E6176"/>
    <w:rsid w:val="002E6670"/>
    <w:rsid w:val="002E7D55"/>
    <w:rsid w:val="002F10F5"/>
    <w:rsid w:val="002F2283"/>
    <w:rsid w:val="002F54A1"/>
    <w:rsid w:val="002F66E8"/>
    <w:rsid w:val="00300AC7"/>
    <w:rsid w:val="00300C92"/>
    <w:rsid w:val="00301B47"/>
    <w:rsid w:val="00301F82"/>
    <w:rsid w:val="003024B8"/>
    <w:rsid w:val="00304D2D"/>
    <w:rsid w:val="0031257E"/>
    <w:rsid w:val="00313F13"/>
    <w:rsid w:val="00315623"/>
    <w:rsid w:val="00315D4B"/>
    <w:rsid w:val="00315D59"/>
    <w:rsid w:val="00316DBA"/>
    <w:rsid w:val="00316E96"/>
    <w:rsid w:val="0032116D"/>
    <w:rsid w:val="00321D81"/>
    <w:rsid w:val="003233E1"/>
    <w:rsid w:val="00324A7B"/>
    <w:rsid w:val="003264F1"/>
    <w:rsid w:val="0032668D"/>
    <w:rsid w:val="00326D40"/>
    <w:rsid w:val="0033094D"/>
    <w:rsid w:val="00331C14"/>
    <w:rsid w:val="0033356A"/>
    <w:rsid w:val="003344D9"/>
    <w:rsid w:val="00336C8C"/>
    <w:rsid w:val="00336E0F"/>
    <w:rsid w:val="00336F54"/>
    <w:rsid w:val="003426B2"/>
    <w:rsid w:val="003458F7"/>
    <w:rsid w:val="00345FE0"/>
    <w:rsid w:val="00350D9E"/>
    <w:rsid w:val="0035279D"/>
    <w:rsid w:val="00353142"/>
    <w:rsid w:val="00357570"/>
    <w:rsid w:val="00360323"/>
    <w:rsid w:val="00360D30"/>
    <w:rsid w:val="00361C9D"/>
    <w:rsid w:val="00361CD5"/>
    <w:rsid w:val="00362CA2"/>
    <w:rsid w:val="00363991"/>
    <w:rsid w:val="00364473"/>
    <w:rsid w:val="003659B8"/>
    <w:rsid w:val="00365DA6"/>
    <w:rsid w:val="00370F25"/>
    <w:rsid w:val="003738A8"/>
    <w:rsid w:val="00373CAA"/>
    <w:rsid w:val="003766F5"/>
    <w:rsid w:val="00376E83"/>
    <w:rsid w:val="00381492"/>
    <w:rsid w:val="00382C56"/>
    <w:rsid w:val="00387372"/>
    <w:rsid w:val="00387B8B"/>
    <w:rsid w:val="003923EF"/>
    <w:rsid w:val="0039269B"/>
    <w:rsid w:val="00396138"/>
    <w:rsid w:val="00396C91"/>
    <w:rsid w:val="003972C3"/>
    <w:rsid w:val="003A5B50"/>
    <w:rsid w:val="003A6FF0"/>
    <w:rsid w:val="003B2C6B"/>
    <w:rsid w:val="003B375E"/>
    <w:rsid w:val="003B3EF1"/>
    <w:rsid w:val="003B508E"/>
    <w:rsid w:val="003B6120"/>
    <w:rsid w:val="003B70AD"/>
    <w:rsid w:val="003B72EC"/>
    <w:rsid w:val="003C0B9E"/>
    <w:rsid w:val="003C2CBB"/>
    <w:rsid w:val="003C452F"/>
    <w:rsid w:val="003C7619"/>
    <w:rsid w:val="003D01BB"/>
    <w:rsid w:val="003D05EA"/>
    <w:rsid w:val="003D4211"/>
    <w:rsid w:val="003D5B21"/>
    <w:rsid w:val="003D5CDD"/>
    <w:rsid w:val="003D6081"/>
    <w:rsid w:val="003D678F"/>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914"/>
    <w:rsid w:val="00444EE1"/>
    <w:rsid w:val="0044799D"/>
    <w:rsid w:val="0045091A"/>
    <w:rsid w:val="00450A93"/>
    <w:rsid w:val="00450B61"/>
    <w:rsid w:val="0045260B"/>
    <w:rsid w:val="00452BB8"/>
    <w:rsid w:val="004534FA"/>
    <w:rsid w:val="004640C1"/>
    <w:rsid w:val="00464441"/>
    <w:rsid w:val="00464E09"/>
    <w:rsid w:val="004814EE"/>
    <w:rsid w:val="00483315"/>
    <w:rsid w:val="004948A3"/>
    <w:rsid w:val="00496454"/>
    <w:rsid w:val="004A010F"/>
    <w:rsid w:val="004A1E94"/>
    <w:rsid w:val="004A36AE"/>
    <w:rsid w:val="004A383A"/>
    <w:rsid w:val="004A4981"/>
    <w:rsid w:val="004A5376"/>
    <w:rsid w:val="004A57DB"/>
    <w:rsid w:val="004A6517"/>
    <w:rsid w:val="004A68AF"/>
    <w:rsid w:val="004A7D7E"/>
    <w:rsid w:val="004B0537"/>
    <w:rsid w:val="004B1F18"/>
    <w:rsid w:val="004B4371"/>
    <w:rsid w:val="004B49BA"/>
    <w:rsid w:val="004B7605"/>
    <w:rsid w:val="004C380F"/>
    <w:rsid w:val="004C4D2E"/>
    <w:rsid w:val="004C55B6"/>
    <w:rsid w:val="004C7494"/>
    <w:rsid w:val="004D11B3"/>
    <w:rsid w:val="004D65F4"/>
    <w:rsid w:val="004D75D5"/>
    <w:rsid w:val="004D780A"/>
    <w:rsid w:val="004E1539"/>
    <w:rsid w:val="004E1E11"/>
    <w:rsid w:val="004E2088"/>
    <w:rsid w:val="004E419C"/>
    <w:rsid w:val="004E42A0"/>
    <w:rsid w:val="004E4876"/>
    <w:rsid w:val="004E6506"/>
    <w:rsid w:val="004E76D1"/>
    <w:rsid w:val="004E7786"/>
    <w:rsid w:val="004F0D23"/>
    <w:rsid w:val="004F3534"/>
    <w:rsid w:val="00501303"/>
    <w:rsid w:val="00501762"/>
    <w:rsid w:val="00505D61"/>
    <w:rsid w:val="00507DCF"/>
    <w:rsid w:val="00510D95"/>
    <w:rsid w:val="00511747"/>
    <w:rsid w:val="00512B3E"/>
    <w:rsid w:val="00520FE8"/>
    <w:rsid w:val="00521371"/>
    <w:rsid w:val="00521B49"/>
    <w:rsid w:val="005230D2"/>
    <w:rsid w:val="00523E02"/>
    <w:rsid w:val="00526A5F"/>
    <w:rsid w:val="00526F0E"/>
    <w:rsid w:val="005307A5"/>
    <w:rsid w:val="00531310"/>
    <w:rsid w:val="0053132A"/>
    <w:rsid w:val="005315B6"/>
    <w:rsid w:val="00535AFD"/>
    <w:rsid w:val="0053703C"/>
    <w:rsid w:val="00540929"/>
    <w:rsid w:val="0054181E"/>
    <w:rsid w:val="005431E4"/>
    <w:rsid w:val="00543EF0"/>
    <w:rsid w:val="00544DAB"/>
    <w:rsid w:val="00545C11"/>
    <w:rsid w:val="00547C3A"/>
    <w:rsid w:val="0055435D"/>
    <w:rsid w:val="0055693E"/>
    <w:rsid w:val="00560B54"/>
    <w:rsid w:val="0056149F"/>
    <w:rsid w:val="00561E3A"/>
    <w:rsid w:val="00563383"/>
    <w:rsid w:val="00565130"/>
    <w:rsid w:val="0056642B"/>
    <w:rsid w:val="00566F28"/>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95E23"/>
    <w:rsid w:val="00596F2C"/>
    <w:rsid w:val="0059795A"/>
    <w:rsid w:val="005A215C"/>
    <w:rsid w:val="005A69CA"/>
    <w:rsid w:val="005A6E28"/>
    <w:rsid w:val="005B0282"/>
    <w:rsid w:val="005B0D2C"/>
    <w:rsid w:val="005B2CB8"/>
    <w:rsid w:val="005B319E"/>
    <w:rsid w:val="005B4857"/>
    <w:rsid w:val="005C4260"/>
    <w:rsid w:val="005C53A8"/>
    <w:rsid w:val="005D1FF8"/>
    <w:rsid w:val="005D3BA9"/>
    <w:rsid w:val="005D5A13"/>
    <w:rsid w:val="005D6120"/>
    <w:rsid w:val="005D651D"/>
    <w:rsid w:val="005E1613"/>
    <w:rsid w:val="005E3AF0"/>
    <w:rsid w:val="005E3C18"/>
    <w:rsid w:val="005E5AF5"/>
    <w:rsid w:val="005E617A"/>
    <w:rsid w:val="005F0454"/>
    <w:rsid w:val="005F4907"/>
    <w:rsid w:val="005F7132"/>
    <w:rsid w:val="0060072E"/>
    <w:rsid w:val="00600C9C"/>
    <w:rsid w:val="00617B6A"/>
    <w:rsid w:val="00622533"/>
    <w:rsid w:val="00622699"/>
    <w:rsid w:val="0062361A"/>
    <w:rsid w:val="00627128"/>
    <w:rsid w:val="00630529"/>
    <w:rsid w:val="00630AAC"/>
    <w:rsid w:val="006314C2"/>
    <w:rsid w:val="00631C5A"/>
    <w:rsid w:val="00635290"/>
    <w:rsid w:val="006360FE"/>
    <w:rsid w:val="0063610A"/>
    <w:rsid w:val="006367D4"/>
    <w:rsid w:val="00643880"/>
    <w:rsid w:val="00644CAA"/>
    <w:rsid w:val="0064722F"/>
    <w:rsid w:val="00647296"/>
    <w:rsid w:val="00647D58"/>
    <w:rsid w:val="00650391"/>
    <w:rsid w:val="00652149"/>
    <w:rsid w:val="00652A1B"/>
    <w:rsid w:val="00652A7E"/>
    <w:rsid w:val="00657AD0"/>
    <w:rsid w:val="00661E10"/>
    <w:rsid w:val="0066511C"/>
    <w:rsid w:val="00665BBC"/>
    <w:rsid w:val="0066681E"/>
    <w:rsid w:val="00671508"/>
    <w:rsid w:val="006728AB"/>
    <w:rsid w:val="00674656"/>
    <w:rsid w:val="00674A1B"/>
    <w:rsid w:val="00675171"/>
    <w:rsid w:val="006804BB"/>
    <w:rsid w:val="00682D47"/>
    <w:rsid w:val="0068600F"/>
    <w:rsid w:val="0069349B"/>
    <w:rsid w:val="00694313"/>
    <w:rsid w:val="00697DA0"/>
    <w:rsid w:val="006A4875"/>
    <w:rsid w:val="006A4AC4"/>
    <w:rsid w:val="006B014A"/>
    <w:rsid w:val="006B1566"/>
    <w:rsid w:val="006B2DDD"/>
    <w:rsid w:val="006B36B5"/>
    <w:rsid w:val="006B36FC"/>
    <w:rsid w:val="006B6739"/>
    <w:rsid w:val="006B76F1"/>
    <w:rsid w:val="006C059C"/>
    <w:rsid w:val="006C06C9"/>
    <w:rsid w:val="006C08F0"/>
    <w:rsid w:val="006C1460"/>
    <w:rsid w:val="006C214D"/>
    <w:rsid w:val="006C29C7"/>
    <w:rsid w:val="006C4E5B"/>
    <w:rsid w:val="006C551A"/>
    <w:rsid w:val="006C70F0"/>
    <w:rsid w:val="006C7CC8"/>
    <w:rsid w:val="006D3668"/>
    <w:rsid w:val="006D5AF8"/>
    <w:rsid w:val="006E249F"/>
    <w:rsid w:val="006E29D3"/>
    <w:rsid w:val="006E344D"/>
    <w:rsid w:val="006E51CF"/>
    <w:rsid w:val="006E5FE5"/>
    <w:rsid w:val="006E65C8"/>
    <w:rsid w:val="006F1C1C"/>
    <w:rsid w:val="006F2A4E"/>
    <w:rsid w:val="006F43E1"/>
    <w:rsid w:val="006F6DB0"/>
    <w:rsid w:val="006F7BBE"/>
    <w:rsid w:val="00704AEC"/>
    <w:rsid w:val="007059ED"/>
    <w:rsid w:val="00706514"/>
    <w:rsid w:val="007076D2"/>
    <w:rsid w:val="00711806"/>
    <w:rsid w:val="00711DFE"/>
    <w:rsid w:val="00712744"/>
    <w:rsid w:val="007137F1"/>
    <w:rsid w:val="007156D2"/>
    <w:rsid w:val="0072037A"/>
    <w:rsid w:val="00721DA0"/>
    <w:rsid w:val="00722364"/>
    <w:rsid w:val="00725381"/>
    <w:rsid w:val="0072662D"/>
    <w:rsid w:val="00731897"/>
    <w:rsid w:val="0073306F"/>
    <w:rsid w:val="00736681"/>
    <w:rsid w:val="0074166A"/>
    <w:rsid w:val="0074370A"/>
    <w:rsid w:val="0074546D"/>
    <w:rsid w:val="00746398"/>
    <w:rsid w:val="0075151D"/>
    <w:rsid w:val="00754C0A"/>
    <w:rsid w:val="00757B07"/>
    <w:rsid w:val="00757C4E"/>
    <w:rsid w:val="00757D8A"/>
    <w:rsid w:val="00760768"/>
    <w:rsid w:val="0076202B"/>
    <w:rsid w:val="00763FE6"/>
    <w:rsid w:val="007643EE"/>
    <w:rsid w:val="007658ED"/>
    <w:rsid w:val="00767044"/>
    <w:rsid w:val="0076772C"/>
    <w:rsid w:val="007729C6"/>
    <w:rsid w:val="00772B13"/>
    <w:rsid w:val="00773822"/>
    <w:rsid w:val="00775D8E"/>
    <w:rsid w:val="00784173"/>
    <w:rsid w:val="00787D19"/>
    <w:rsid w:val="00787F29"/>
    <w:rsid w:val="007911C0"/>
    <w:rsid w:val="00793FDF"/>
    <w:rsid w:val="00794B68"/>
    <w:rsid w:val="007954DC"/>
    <w:rsid w:val="00796034"/>
    <w:rsid w:val="00796F49"/>
    <w:rsid w:val="007A0E43"/>
    <w:rsid w:val="007A1915"/>
    <w:rsid w:val="007A2281"/>
    <w:rsid w:val="007A2460"/>
    <w:rsid w:val="007A5319"/>
    <w:rsid w:val="007A7EF1"/>
    <w:rsid w:val="007B2335"/>
    <w:rsid w:val="007B23B1"/>
    <w:rsid w:val="007B2A84"/>
    <w:rsid w:val="007C5747"/>
    <w:rsid w:val="007C5ABC"/>
    <w:rsid w:val="007C66D2"/>
    <w:rsid w:val="007D68A5"/>
    <w:rsid w:val="007D78E8"/>
    <w:rsid w:val="007E2464"/>
    <w:rsid w:val="007E2857"/>
    <w:rsid w:val="007E5766"/>
    <w:rsid w:val="007E66CA"/>
    <w:rsid w:val="007F0D8B"/>
    <w:rsid w:val="007F3BED"/>
    <w:rsid w:val="007F4A6C"/>
    <w:rsid w:val="007F5620"/>
    <w:rsid w:val="007F659E"/>
    <w:rsid w:val="007F6C55"/>
    <w:rsid w:val="00800372"/>
    <w:rsid w:val="008029D1"/>
    <w:rsid w:val="00803C6A"/>
    <w:rsid w:val="00804E94"/>
    <w:rsid w:val="008060F8"/>
    <w:rsid w:val="0080672E"/>
    <w:rsid w:val="008068DA"/>
    <w:rsid w:val="008068EC"/>
    <w:rsid w:val="00806F37"/>
    <w:rsid w:val="008104C1"/>
    <w:rsid w:val="008108D3"/>
    <w:rsid w:val="00813D04"/>
    <w:rsid w:val="0081414C"/>
    <w:rsid w:val="0081783C"/>
    <w:rsid w:val="00820914"/>
    <w:rsid w:val="008247D9"/>
    <w:rsid w:val="00826C3A"/>
    <w:rsid w:val="00834286"/>
    <w:rsid w:val="00837F36"/>
    <w:rsid w:val="00837F86"/>
    <w:rsid w:val="00840834"/>
    <w:rsid w:val="00843C8F"/>
    <w:rsid w:val="00846F1B"/>
    <w:rsid w:val="00851279"/>
    <w:rsid w:val="008517A8"/>
    <w:rsid w:val="00851933"/>
    <w:rsid w:val="0085318D"/>
    <w:rsid w:val="00854756"/>
    <w:rsid w:val="00854939"/>
    <w:rsid w:val="00857654"/>
    <w:rsid w:val="00857B62"/>
    <w:rsid w:val="008606B9"/>
    <w:rsid w:val="00860FFC"/>
    <w:rsid w:val="00861D9E"/>
    <w:rsid w:val="00862930"/>
    <w:rsid w:val="00862EBB"/>
    <w:rsid w:val="008631DD"/>
    <w:rsid w:val="00865ABB"/>
    <w:rsid w:val="00865FCD"/>
    <w:rsid w:val="008675CD"/>
    <w:rsid w:val="008703DB"/>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90A9E"/>
    <w:rsid w:val="00890CF1"/>
    <w:rsid w:val="00891C8E"/>
    <w:rsid w:val="00892CDB"/>
    <w:rsid w:val="00892DE8"/>
    <w:rsid w:val="008931EB"/>
    <w:rsid w:val="008946FE"/>
    <w:rsid w:val="008953BF"/>
    <w:rsid w:val="008955EA"/>
    <w:rsid w:val="008959F0"/>
    <w:rsid w:val="00896271"/>
    <w:rsid w:val="00896F7A"/>
    <w:rsid w:val="008A046E"/>
    <w:rsid w:val="008A6628"/>
    <w:rsid w:val="008B1C0E"/>
    <w:rsid w:val="008B1D39"/>
    <w:rsid w:val="008B2BE1"/>
    <w:rsid w:val="008B39D9"/>
    <w:rsid w:val="008B3F0E"/>
    <w:rsid w:val="008B4BF9"/>
    <w:rsid w:val="008B5573"/>
    <w:rsid w:val="008C32C2"/>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900116"/>
    <w:rsid w:val="009015ED"/>
    <w:rsid w:val="00901EC4"/>
    <w:rsid w:val="00901FC1"/>
    <w:rsid w:val="00907356"/>
    <w:rsid w:val="00907869"/>
    <w:rsid w:val="0090793B"/>
    <w:rsid w:val="00910B36"/>
    <w:rsid w:val="0091635D"/>
    <w:rsid w:val="0091776B"/>
    <w:rsid w:val="00922592"/>
    <w:rsid w:val="00923622"/>
    <w:rsid w:val="00926EE7"/>
    <w:rsid w:val="009306C6"/>
    <w:rsid w:val="00930E5F"/>
    <w:rsid w:val="00931F9B"/>
    <w:rsid w:val="009324FE"/>
    <w:rsid w:val="009342AD"/>
    <w:rsid w:val="009354D8"/>
    <w:rsid w:val="009401BF"/>
    <w:rsid w:val="0094041C"/>
    <w:rsid w:val="0094055B"/>
    <w:rsid w:val="00941545"/>
    <w:rsid w:val="00942729"/>
    <w:rsid w:val="009437A7"/>
    <w:rsid w:val="00945DCD"/>
    <w:rsid w:val="00945FE5"/>
    <w:rsid w:val="00946789"/>
    <w:rsid w:val="00946F1D"/>
    <w:rsid w:val="0094755C"/>
    <w:rsid w:val="0095114F"/>
    <w:rsid w:val="00955047"/>
    <w:rsid w:val="009613A3"/>
    <w:rsid w:val="0096147D"/>
    <w:rsid w:val="00965552"/>
    <w:rsid w:val="0096574A"/>
    <w:rsid w:val="0096617A"/>
    <w:rsid w:val="00966D0A"/>
    <w:rsid w:val="00966E63"/>
    <w:rsid w:val="00966EE6"/>
    <w:rsid w:val="009700E7"/>
    <w:rsid w:val="00973457"/>
    <w:rsid w:val="00975577"/>
    <w:rsid w:val="00975775"/>
    <w:rsid w:val="0097728B"/>
    <w:rsid w:val="00980CE0"/>
    <w:rsid w:val="0098149F"/>
    <w:rsid w:val="00981669"/>
    <w:rsid w:val="00981749"/>
    <w:rsid w:val="00982B86"/>
    <w:rsid w:val="009840B0"/>
    <w:rsid w:val="009869E5"/>
    <w:rsid w:val="009875C2"/>
    <w:rsid w:val="00990636"/>
    <w:rsid w:val="009930AE"/>
    <w:rsid w:val="009937B6"/>
    <w:rsid w:val="0099499D"/>
    <w:rsid w:val="009953B0"/>
    <w:rsid w:val="00995F93"/>
    <w:rsid w:val="00996993"/>
    <w:rsid w:val="00996DE1"/>
    <w:rsid w:val="009A0191"/>
    <w:rsid w:val="009A10FB"/>
    <w:rsid w:val="009A1D1F"/>
    <w:rsid w:val="009A3F97"/>
    <w:rsid w:val="009A456E"/>
    <w:rsid w:val="009A6799"/>
    <w:rsid w:val="009A693B"/>
    <w:rsid w:val="009A71B6"/>
    <w:rsid w:val="009A7284"/>
    <w:rsid w:val="009A749E"/>
    <w:rsid w:val="009B018E"/>
    <w:rsid w:val="009B074B"/>
    <w:rsid w:val="009B090B"/>
    <w:rsid w:val="009B0A3E"/>
    <w:rsid w:val="009B4DB7"/>
    <w:rsid w:val="009B5730"/>
    <w:rsid w:val="009B7DCA"/>
    <w:rsid w:val="009C0761"/>
    <w:rsid w:val="009C110A"/>
    <w:rsid w:val="009C3A75"/>
    <w:rsid w:val="009C4888"/>
    <w:rsid w:val="009C5FF2"/>
    <w:rsid w:val="009C747C"/>
    <w:rsid w:val="009C7FD8"/>
    <w:rsid w:val="009D05BF"/>
    <w:rsid w:val="009D0798"/>
    <w:rsid w:val="009D19E0"/>
    <w:rsid w:val="009D2432"/>
    <w:rsid w:val="009D5AE6"/>
    <w:rsid w:val="009E0142"/>
    <w:rsid w:val="009E0C46"/>
    <w:rsid w:val="009E75F9"/>
    <w:rsid w:val="009F064F"/>
    <w:rsid w:val="009F12E3"/>
    <w:rsid w:val="009F15EF"/>
    <w:rsid w:val="009F24D1"/>
    <w:rsid w:val="009F266C"/>
    <w:rsid w:val="009F31AC"/>
    <w:rsid w:val="009F5DA5"/>
    <w:rsid w:val="009F69E1"/>
    <w:rsid w:val="009F7205"/>
    <w:rsid w:val="00A01EFD"/>
    <w:rsid w:val="00A02E4D"/>
    <w:rsid w:val="00A03AC7"/>
    <w:rsid w:val="00A04B51"/>
    <w:rsid w:val="00A068B7"/>
    <w:rsid w:val="00A106FA"/>
    <w:rsid w:val="00A1183F"/>
    <w:rsid w:val="00A15172"/>
    <w:rsid w:val="00A15738"/>
    <w:rsid w:val="00A17158"/>
    <w:rsid w:val="00A20856"/>
    <w:rsid w:val="00A2630C"/>
    <w:rsid w:val="00A27445"/>
    <w:rsid w:val="00A320D2"/>
    <w:rsid w:val="00A33300"/>
    <w:rsid w:val="00A35333"/>
    <w:rsid w:val="00A36250"/>
    <w:rsid w:val="00A36BD6"/>
    <w:rsid w:val="00A377F1"/>
    <w:rsid w:val="00A41CA5"/>
    <w:rsid w:val="00A42164"/>
    <w:rsid w:val="00A45D00"/>
    <w:rsid w:val="00A46BC3"/>
    <w:rsid w:val="00A503F2"/>
    <w:rsid w:val="00A5088A"/>
    <w:rsid w:val="00A5392E"/>
    <w:rsid w:val="00A57C84"/>
    <w:rsid w:val="00A63E68"/>
    <w:rsid w:val="00A648D2"/>
    <w:rsid w:val="00A648FB"/>
    <w:rsid w:val="00A665B8"/>
    <w:rsid w:val="00A72586"/>
    <w:rsid w:val="00A72A06"/>
    <w:rsid w:val="00A7351F"/>
    <w:rsid w:val="00A73D9B"/>
    <w:rsid w:val="00A74E2E"/>
    <w:rsid w:val="00A766B8"/>
    <w:rsid w:val="00A77E23"/>
    <w:rsid w:val="00A83402"/>
    <w:rsid w:val="00A83CBD"/>
    <w:rsid w:val="00A83FE0"/>
    <w:rsid w:val="00A841E3"/>
    <w:rsid w:val="00A8579A"/>
    <w:rsid w:val="00A867EA"/>
    <w:rsid w:val="00A920ED"/>
    <w:rsid w:val="00A92AA7"/>
    <w:rsid w:val="00A92ACF"/>
    <w:rsid w:val="00A96EED"/>
    <w:rsid w:val="00A971EB"/>
    <w:rsid w:val="00A97447"/>
    <w:rsid w:val="00AA0C7F"/>
    <w:rsid w:val="00AA0E37"/>
    <w:rsid w:val="00AA1E25"/>
    <w:rsid w:val="00AA2184"/>
    <w:rsid w:val="00AA2BDB"/>
    <w:rsid w:val="00AA65EF"/>
    <w:rsid w:val="00AB07FC"/>
    <w:rsid w:val="00AB0BCB"/>
    <w:rsid w:val="00AB3FD0"/>
    <w:rsid w:val="00AB6D21"/>
    <w:rsid w:val="00AB706C"/>
    <w:rsid w:val="00AB7635"/>
    <w:rsid w:val="00AB7D40"/>
    <w:rsid w:val="00AC0B44"/>
    <w:rsid w:val="00AC169A"/>
    <w:rsid w:val="00AC17BD"/>
    <w:rsid w:val="00AC2B08"/>
    <w:rsid w:val="00AD0858"/>
    <w:rsid w:val="00AD159E"/>
    <w:rsid w:val="00AD3FA3"/>
    <w:rsid w:val="00AD5B07"/>
    <w:rsid w:val="00AE1905"/>
    <w:rsid w:val="00AE2804"/>
    <w:rsid w:val="00AE2F7F"/>
    <w:rsid w:val="00AE4760"/>
    <w:rsid w:val="00AE5366"/>
    <w:rsid w:val="00AE5935"/>
    <w:rsid w:val="00AE6558"/>
    <w:rsid w:val="00AE677E"/>
    <w:rsid w:val="00AF35AE"/>
    <w:rsid w:val="00AF4321"/>
    <w:rsid w:val="00AF727F"/>
    <w:rsid w:val="00AF7858"/>
    <w:rsid w:val="00B00632"/>
    <w:rsid w:val="00B02D93"/>
    <w:rsid w:val="00B03C70"/>
    <w:rsid w:val="00B0493F"/>
    <w:rsid w:val="00B05F78"/>
    <w:rsid w:val="00B14B7E"/>
    <w:rsid w:val="00B15EDE"/>
    <w:rsid w:val="00B17992"/>
    <w:rsid w:val="00B20979"/>
    <w:rsid w:val="00B23BEF"/>
    <w:rsid w:val="00B250E9"/>
    <w:rsid w:val="00B253DA"/>
    <w:rsid w:val="00B25BF9"/>
    <w:rsid w:val="00B26486"/>
    <w:rsid w:val="00B3066F"/>
    <w:rsid w:val="00B31413"/>
    <w:rsid w:val="00B318DD"/>
    <w:rsid w:val="00B31F28"/>
    <w:rsid w:val="00B32FDE"/>
    <w:rsid w:val="00B3485C"/>
    <w:rsid w:val="00B3551C"/>
    <w:rsid w:val="00B36091"/>
    <w:rsid w:val="00B4100F"/>
    <w:rsid w:val="00B41BA7"/>
    <w:rsid w:val="00B42098"/>
    <w:rsid w:val="00B44ADD"/>
    <w:rsid w:val="00B44C76"/>
    <w:rsid w:val="00B455A2"/>
    <w:rsid w:val="00B52440"/>
    <w:rsid w:val="00B530FB"/>
    <w:rsid w:val="00B55DD4"/>
    <w:rsid w:val="00B62621"/>
    <w:rsid w:val="00B628A3"/>
    <w:rsid w:val="00B650BB"/>
    <w:rsid w:val="00B65DD7"/>
    <w:rsid w:val="00B66D36"/>
    <w:rsid w:val="00B71045"/>
    <w:rsid w:val="00B716F5"/>
    <w:rsid w:val="00B76B5B"/>
    <w:rsid w:val="00B77E95"/>
    <w:rsid w:val="00B81EE5"/>
    <w:rsid w:val="00B836E8"/>
    <w:rsid w:val="00B837F7"/>
    <w:rsid w:val="00B841A4"/>
    <w:rsid w:val="00B871DD"/>
    <w:rsid w:val="00B87871"/>
    <w:rsid w:val="00B904BC"/>
    <w:rsid w:val="00B904BD"/>
    <w:rsid w:val="00B95D06"/>
    <w:rsid w:val="00B97024"/>
    <w:rsid w:val="00BA13CF"/>
    <w:rsid w:val="00BA1954"/>
    <w:rsid w:val="00BA3109"/>
    <w:rsid w:val="00BA3821"/>
    <w:rsid w:val="00BA4ED7"/>
    <w:rsid w:val="00BA5D51"/>
    <w:rsid w:val="00BA6DE7"/>
    <w:rsid w:val="00BA7063"/>
    <w:rsid w:val="00BB33FE"/>
    <w:rsid w:val="00BB399B"/>
    <w:rsid w:val="00BB57F2"/>
    <w:rsid w:val="00BB5C5F"/>
    <w:rsid w:val="00BB612A"/>
    <w:rsid w:val="00BB7BE1"/>
    <w:rsid w:val="00BC378F"/>
    <w:rsid w:val="00BC6F1B"/>
    <w:rsid w:val="00BC7668"/>
    <w:rsid w:val="00BC7FCC"/>
    <w:rsid w:val="00BD1FA5"/>
    <w:rsid w:val="00BD2812"/>
    <w:rsid w:val="00BD2AA1"/>
    <w:rsid w:val="00BD6825"/>
    <w:rsid w:val="00BD6949"/>
    <w:rsid w:val="00BE2053"/>
    <w:rsid w:val="00BE38F3"/>
    <w:rsid w:val="00BE4B8D"/>
    <w:rsid w:val="00BE5BB0"/>
    <w:rsid w:val="00BE5EB9"/>
    <w:rsid w:val="00BE7350"/>
    <w:rsid w:val="00BF07AF"/>
    <w:rsid w:val="00BF28EC"/>
    <w:rsid w:val="00BF30DF"/>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12240"/>
    <w:rsid w:val="00C12A4C"/>
    <w:rsid w:val="00C13F57"/>
    <w:rsid w:val="00C21672"/>
    <w:rsid w:val="00C228C9"/>
    <w:rsid w:val="00C23951"/>
    <w:rsid w:val="00C2434C"/>
    <w:rsid w:val="00C24B25"/>
    <w:rsid w:val="00C24B71"/>
    <w:rsid w:val="00C25400"/>
    <w:rsid w:val="00C32B90"/>
    <w:rsid w:val="00C34FE2"/>
    <w:rsid w:val="00C355E3"/>
    <w:rsid w:val="00C35B06"/>
    <w:rsid w:val="00C36578"/>
    <w:rsid w:val="00C369E8"/>
    <w:rsid w:val="00C421E7"/>
    <w:rsid w:val="00C45175"/>
    <w:rsid w:val="00C45C27"/>
    <w:rsid w:val="00C466A2"/>
    <w:rsid w:val="00C479FE"/>
    <w:rsid w:val="00C47EB3"/>
    <w:rsid w:val="00C50B7E"/>
    <w:rsid w:val="00C51716"/>
    <w:rsid w:val="00C53ADD"/>
    <w:rsid w:val="00C56FCE"/>
    <w:rsid w:val="00C62E07"/>
    <w:rsid w:val="00C630C0"/>
    <w:rsid w:val="00C70585"/>
    <w:rsid w:val="00C7099D"/>
    <w:rsid w:val="00C70E6B"/>
    <w:rsid w:val="00C70F4F"/>
    <w:rsid w:val="00C81A50"/>
    <w:rsid w:val="00C8225B"/>
    <w:rsid w:val="00C8247E"/>
    <w:rsid w:val="00C840F2"/>
    <w:rsid w:val="00C90624"/>
    <w:rsid w:val="00C9122B"/>
    <w:rsid w:val="00C91710"/>
    <w:rsid w:val="00C91CF5"/>
    <w:rsid w:val="00C92046"/>
    <w:rsid w:val="00C9347A"/>
    <w:rsid w:val="00C93969"/>
    <w:rsid w:val="00C954F2"/>
    <w:rsid w:val="00C954F3"/>
    <w:rsid w:val="00C9683B"/>
    <w:rsid w:val="00CA012F"/>
    <w:rsid w:val="00CA03A3"/>
    <w:rsid w:val="00CA03E4"/>
    <w:rsid w:val="00CA0EF6"/>
    <w:rsid w:val="00CA31DB"/>
    <w:rsid w:val="00CA5325"/>
    <w:rsid w:val="00CB0DB8"/>
    <w:rsid w:val="00CB3D54"/>
    <w:rsid w:val="00CB5E73"/>
    <w:rsid w:val="00CB6B10"/>
    <w:rsid w:val="00CB71A5"/>
    <w:rsid w:val="00CB78B8"/>
    <w:rsid w:val="00CC09E1"/>
    <w:rsid w:val="00CC22E5"/>
    <w:rsid w:val="00CC2BDA"/>
    <w:rsid w:val="00CD1F7C"/>
    <w:rsid w:val="00CD22B4"/>
    <w:rsid w:val="00CD33AB"/>
    <w:rsid w:val="00CD5DA8"/>
    <w:rsid w:val="00CD5E71"/>
    <w:rsid w:val="00CD7088"/>
    <w:rsid w:val="00CD73CF"/>
    <w:rsid w:val="00CE0520"/>
    <w:rsid w:val="00CE263C"/>
    <w:rsid w:val="00CE3DCA"/>
    <w:rsid w:val="00CE63BA"/>
    <w:rsid w:val="00CE7ECF"/>
    <w:rsid w:val="00CF172B"/>
    <w:rsid w:val="00CF1C70"/>
    <w:rsid w:val="00CF291C"/>
    <w:rsid w:val="00CF4B54"/>
    <w:rsid w:val="00CF579A"/>
    <w:rsid w:val="00D011AF"/>
    <w:rsid w:val="00D060F5"/>
    <w:rsid w:val="00D061F7"/>
    <w:rsid w:val="00D06613"/>
    <w:rsid w:val="00D07C47"/>
    <w:rsid w:val="00D119E0"/>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2D6D"/>
    <w:rsid w:val="00D330EC"/>
    <w:rsid w:val="00D334C0"/>
    <w:rsid w:val="00D34610"/>
    <w:rsid w:val="00D35E77"/>
    <w:rsid w:val="00D35F50"/>
    <w:rsid w:val="00D36619"/>
    <w:rsid w:val="00D366DC"/>
    <w:rsid w:val="00D440EA"/>
    <w:rsid w:val="00D4473F"/>
    <w:rsid w:val="00D450F4"/>
    <w:rsid w:val="00D45431"/>
    <w:rsid w:val="00D50E97"/>
    <w:rsid w:val="00D61D2D"/>
    <w:rsid w:val="00D62FEB"/>
    <w:rsid w:val="00D70370"/>
    <w:rsid w:val="00D7086E"/>
    <w:rsid w:val="00D736C1"/>
    <w:rsid w:val="00D774D6"/>
    <w:rsid w:val="00D8223C"/>
    <w:rsid w:val="00D829FE"/>
    <w:rsid w:val="00D84C15"/>
    <w:rsid w:val="00D85475"/>
    <w:rsid w:val="00D85D15"/>
    <w:rsid w:val="00D87DC8"/>
    <w:rsid w:val="00D9044D"/>
    <w:rsid w:val="00D9567D"/>
    <w:rsid w:val="00D97792"/>
    <w:rsid w:val="00DA2563"/>
    <w:rsid w:val="00DA3144"/>
    <w:rsid w:val="00DA380B"/>
    <w:rsid w:val="00DA6E85"/>
    <w:rsid w:val="00DB55BF"/>
    <w:rsid w:val="00DB6DE4"/>
    <w:rsid w:val="00DB7459"/>
    <w:rsid w:val="00DC1E56"/>
    <w:rsid w:val="00DC22A3"/>
    <w:rsid w:val="00DC2870"/>
    <w:rsid w:val="00DC357F"/>
    <w:rsid w:val="00DC499D"/>
    <w:rsid w:val="00DC6F4D"/>
    <w:rsid w:val="00DC7034"/>
    <w:rsid w:val="00DD0935"/>
    <w:rsid w:val="00DD413C"/>
    <w:rsid w:val="00DD5620"/>
    <w:rsid w:val="00DD5A57"/>
    <w:rsid w:val="00DD69FD"/>
    <w:rsid w:val="00DE3D4E"/>
    <w:rsid w:val="00DE499C"/>
    <w:rsid w:val="00DE51E6"/>
    <w:rsid w:val="00DE7383"/>
    <w:rsid w:val="00DF29E0"/>
    <w:rsid w:val="00E006C0"/>
    <w:rsid w:val="00E010C0"/>
    <w:rsid w:val="00E02410"/>
    <w:rsid w:val="00E0297A"/>
    <w:rsid w:val="00E05CD7"/>
    <w:rsid w:val="00E1005E"/>
    <w:rsid w:val="00E121FC"/>
    <w:rsid w:val="00E12AF3"/>
    <w:rsid w:val="00E1692B"/>
    <w:rsid w:val="00E16DE5"/>
    <w:rsid w:val="00E17C56"/>
    <w:rsid w:val="00E2069A"/>
    <w:rsid w:val="00E20CEB"/>
    <w:rsid w:val="00E2623C"/>
    <w:rsid w:val="00E311A1"/>
    <w:rsid w:val="00E335B6"/>
    <w:rsid w:val="00E34833"/>
    <w:rsid w:val="00E34AA5"/>
    <w:rsid w:val="00E34FF9"/>
    <w:rsid w:val="00E35CFB"/>
    <w:rsid w:val="00E40272"/>
    <w:rsid w:val="00E41690"/>
    <w:rsid w:val="00E4229F"/>
    <w:rsid w:val="00E422C7"/>
    <w:rsid w:val="00E45AB6"/>
    <w:rsid w:val="00E47291"/>
    <w:rsid w:val="00E50150"/>
    <w:rsid w:val="00E53529"/>
    <w:rsid w:val="00E53FDA"/>
    <w:rsid w:val="00E56210"/>
    <w:rsid w:val="00E56EAE"/>
    <w:rsid w:val="00E5757F"/>
    <w:rsid w:val="00E603D7"/>
    <w:rsid w:val="00E638EA"/>
    <w:rsid w:val="00E656AA"/>
    <w:rsid w:val="00E66181"/>
    <w:rsid w:val="00E66C53"/>
    <w:rsid w:val="00E6736C"/>
    <w:rsid w:val="00E6785B"/>
    <w:rsid w:val="00E67BB4"/>
    <w:rsid w:val="00E705A5"/>
    <w:rsid w:val="00E715AA"/>
    <w:rsid w:val="00E761CC"/>
    <w:rsid w:val="00E76A25"/>
    <w:rsid w:val="00E8351B"/>
    <w:rsid w:val="00E847F7"/>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C22AB"/>
    <w:rsid w:val="00EC3FE2"/>
    <w:rsid w:val="00ED3584"/>
    <w:rsid w:val="00ED60D0"/>
    <w:rsid w:val="00ED6C3C"/>
    <w:rsid w:val="00ED7DB6"/>
    <w:rsid w:val="00EE1040"/>
    <w:rsid w:val="00EE2F7B"/>
    <w:rsid w:val="00EE3B90"/>
    <w:rsid w:val="00EE53E1"/>
    <w:rsid w:val="00EE65FD"/>
    <w:rsid w:val="00EE66C4"/>
    <w:rsid w:val="00EE76F2"/>
    <w:rsid w:val="00EE7F58"/>
    <w:rsid w:val="00EF0CEA"/>
    <w:rsid w:val="00EF18C4"/>
    <w:rsid w:val="00EF35ED"/>
    <w:rsid w:val="00EF3B3E"/>
    <w:rsid w:val="00EF4B01"/>
    <w:rsid w:val="00EF51F5"/>
    <w:rsid w:val="00F00A1D"/>
    <w:rsid w:val="00F06D4E"/>
    <w:rsid w:val="00F06EE8"/>
    <w:rsid w:val="00F10359"/>
    <w:rsid w:val="00F1099B"/>
    <w:rsid w:val="00F1211D"/>
    <w:rsid w:val="00F141A0"/>
    <w:rsid w:val="00F1438C"/>
    <w:rsid w:val="00F15103"/>
    <w:rsid w:val="00F15461"/>
    <w:rsid w:val="00F16187"/>
    <w:rsid w:val="00F16550"/>
    <w:rsid w:val="00F224E3"/>
    <w:rsid w:val="00F2452B"/>
    <w:rsid w:val="00F24FE1"/>
    <w:rsid w:val="00F2619A"/>
    <w:rsid w:val="00F2710C"/>
    <w:rsid w:val="00F2729C"/>
    <w:rsid w:val="00F31B29"/>
    <w:rsid w:val="00F31FED"/>
    <w:rsid w:val="00F3403B"/>
    <w:rsid w:val="00F37DC2"/>
    <w:rsid w:val="00F41097"/>
    <w:rsid w:val="00F41962"/>
    <w:rsid w:val="00F42B8A"/>
    <w:rsid w:val="00F437B8"/>
    <w:rsid w:val="00F5283D"/>
    <w:rsid w:val="00F52CD7"/>
    <w:rsid w:val="00F543FA"/>
    <w:rsid w:val="00F6004B"/>
    <w:rsid w:val="00F60674"/>
    <w:rsid w:val="00F61283"/>
    <w:rsid w:val="00F654E8"/>
    <w:rsid w:val="00F65CFD"/>
    <w:rsid w:val="00F72FCF"/>
    <w:rsid w:val="00F806F1"/>
    <w:rsid w:val="00F817AD"/>
    <w:rsid w:val="00F8450E"/>
    <w:rsid w:val="00F84C5B"/>
    <w:rsid w:val="00F90B1B"/>
    <w:rsid w:val="00F933D8"/>
    <w:rsid w:val="00F94DA0"/>
    <w:rsid w:val="00FA2416"/>
    <w:rsid w:val="00FA386D"/>
    <w:rsid w:val="00FA3FF5"/>
    <w:rsid w:val="00FA6BE0"/>
    <w:rsid w:val="00FA72A6"/>
    <w:rsid w:val="00FA754C"/>
    <w:rsid w:val="00FB0525"/>
    <w:rsid w:val="00FB21A6"/>
    <w:rsid w:val="00FB2B29"/>
    <w:rsid w:val="00FB5939"/>
    <w:rsid w:val="00FB6276"/>
    <w:rsid w:val="00FB7217"/>
    <w:rsid w:val="00FC08E6"/>
    <w:rsid w:val="00FC1561"/>
    <w:rsid w:val="00FC212C"/>
    <w:rsid w:val="00FC2AF7"/>
    <w:rsid w:val="00FD03E2"/>
    <w:rsid w:val="00FD6B4B"/>
    <w:rsid w:val="00FD7E63"/>
    <w:rsid w:val="00FE1245"/>
    <w:rsid w:val="00FE19AC"/>
    <w:rsid w:val="00FF2520"/>
    <w:rsid w:val="00FF3930"/>
    <w:rsid w:val="00FF4215"/>
    <w:rsid w:val="00FF48D6"/>
    <w:rsid w:val="00FF4C4F"/>
    <w:rsid w:val="00FF4C85"/>
    <w:rsid w:val="00FF566C"/>
    <w:rsid w:val="00FF7BA0"/>
    <w:rsid w:val="02AA4279"/>
    <w:rsid w:val="05B75020"/>
    <w:rsid w:val="05C11E52"/>
    <w:rsid w:val="0687062B"/>
    <w:rsid w:val="07B250DC"/>
    <w:rsid w:val="08433715"/>
    <w:rsid w:val="08483C27"/>
    <w:rsid w:val="08E2245B"/>
    <w:rsid w:val="0ADB6E98"/>
    <w:rsid w:val="0B6A1515"/>
    <w:rsid w:val="0BA92DEE"/>
    <w:rsid w:val="0D656DD9"/>
    <w:rsid w:val="0ED71985"/>
    <w:rsid w:val="0F1E7667"/>
    <w:rsid w:val="11A80796"/>
    <w:rsid w:val="11E038BB"/>
    <w:rsid w:val="12ED5E9B"/>
    <w:rsid w:val="148E7DB7"/>
    <w:rsid w:val="14972381"/>
    <w:rsid w:val="17AE1AA3"/>
    <w:rsid w:val="182B0ABD"/>
    <w:rsid w:val="1A931F37"/>
    <w:rsid w:val="1AD75285"/>
    <w:rsid w:val="1B544F59"/>
    <w:rsid w:val="1C1A1117"/>
    <w:rsid w:val="1D8F153D"/>
    <w:rsid w:val="1D99470E"/>
    <w:rsid w:val="1DF63C75"/>
    <w:rsid w:val="22025F78"/>
    <w:rsid w:val="25834E4A"/>
    <w:rsid w:val="2AD357D5"/>
    <w:rsid w:val="2AE44391"/>
    <w:rsid w:val="2C73041D"/>
    <w:rsid w:val="2D6E2A58"/>
    <w:rsid w:val="2D73644D"/>
    <w:rsid w:val="2E031E2E"/>
    <w:rsid w:val="2F1C4306"/>
    <w:rsid w:val="3256624B"/>
    <w:rsid w:val="33324FAE"/>
    <w:rsid w:val="335E580E"/>
    <w:rsid w:val="34363972"/>
    <w:rsid w:val="349F08BF"/>
    <w:rsid w:val="35846E2F"/>
    <w:rsid w:val="38445935"/>
    <w:rsid w:val="3A4C5308"/>
    <w:rsid w:val="3B7326D5"/>
    <w:rsid w:val="3BB321DE"/>
    <w:rsid w:val="3C126548"/>
    <w:rsid w:val="3C493C79"/>
    <w:rsid w:val="3D6060C3"/>
    <w:rsid w:val="40A73392"/>
    <w:rsid w:val="40F33877"/>
    <w:rsid w:val="41C2018E"/>
    <w:rsid w:val="43F03E56"/>
    <w:rsid w:val="44207E0E"/>
    <w:rsid w:val="482D19C9"/>
    <w:rsid w:val="48FA7AD4"/>
    <w:rsid w:val="4B1706C2"/>
    <w:rsid w:val="4B5A1437"/>
    <w:rsid w:val="4C381683"/>
    <w:rsid w:val="4E290644"/>
    <w:rsid w:val="4FC2067F"/>
    <w:rsid w:val="4FDD3E32"/>
    <w:rsid w:val="4FE31FFC"/>
    <w:rsid w:val="500D6392"/>
    <w:rsid w:val="50E45EA4"/>
    <w:rsid w:val="51B654FD"/>
    <w:rsid w:val="529E0567"/>
    <w:rsid w:val="55AC7EFE"/>
    <w:rsid w:val="57B123DF"/>
    <w:rsid w:val="58ED2EBB"/>
    <w:rsid w:val="59DA65E7"/>
    <w:rsid w:val="5A4968FF"/>
    <w:rsid w:val="5AAC2829"/>
    <w:rsid w:val="5AD1672B"/>
    <w:rsid w:val="5AEF50E4"/>
    <w:rsid w:val="5BA34735"/>
    <w:rsid w:val="5BE977B3"/>
    <w:rsid w:val="5BF15A06"/>
    <w:rsid w:val="5C5D2462"/>
    <w:rsid w:val="5D9B3FF4"/>
    <w:rsid w:val="5F5A79CF"/>
    <w:rsid w:val="5F7C29DB"/>
    <w:rsid w:val="608851A3"/>
    <w:rsid w:val="614B25D3"/>
    <w:rsid w:val="61B45646"/>
    <w:rsid w:val="63640C4D"/>
    <w:rsid w:val="64A94C1D"/>
    <w:rsid w:val="66E37D05"/>
    <w:rsid w:val="6A8C11F2"/>
    <w:rsid w:val="6BEE6D33"/>
    <w:rsid w:val="6C38787B"/>
    <w:rsid w:val="6C9971D8"/>
    <w:rsid w:val="6D52086E"/>
    <w:rsid w:val="6F621B86"/>
    <w:rsid w:val="6FD91276"/>
    <w:rsid w:val="701E7415"/>
    <w:rsid w:val="72402057"/>
    <w:rsid w:val="72E75DB5"/>
    <w:rsid w:val="735D6DFB"/>
    <w:rsid w:val="738F64D9"/>
    <w:rsid w:val="74C94E19"/>
    <w:rsid w:val="76094C4F"/>
    <w:rsid w:val="76622065"/>
    <w:rsid w:val="78327EDC"/>
    <w:rsid w:val="7A212F9C"/>
    <w:rsid w:val="7AD11950"/>
    <w:rsid w:val="7E257D31"/>
    <w:rsid w:val="7E455962"/>
    <w:rsid w:val="7E6C4577"/>
    <w:rsid w:val="7FDD443B"/>
    <w:rsid w:val="7FFB03A5"/>
    <w:rsid w:val="FEFB3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autoRedefine/>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8"/>
    <w:autoRedefine/>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9"/>
    <w:autoRedefine/>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autoRedefine/>
    <w:unhideWhenUsed/>
    <w:qFormat/>
    <w:uiPriority w:val="9"/>
    <w:pPr>
      <w:keepNext/>
      <w:keepLines/>
      <w:spacing w:before="280" w:after="290" w:line="377" w:lineRule="auto"/>
      <w:outlineLvl w:val="3"/>
    </w:pPr>
    <w:rPr>
      <w:rFonts w:asciiTheme="majorHAnsi" w:hAnsiTheme="majorHAnsi" w:eastAsiaTheme="majorEastAsia" w:cstheme="majorBidi"/>
      <w:b/>
      <w:bCs/>
      <w:szCs w:val="28"/>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rPr>
      <w:rFonts w:ascii="Times New Roman" w:hAnsi="Times New Roman" w:eastAsia="宋体" w:cs="Times New Roman"/>
      <w:szCs w:val="24"/>
    </w:rPr>
  </w:style>
  <w:style w:type="paragraph" w:styleId="7">
    <w:name w:val="List Number"/>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next w:val="1"/>
    <w:link w:val="110"/>
    <w:autoRedefine/>
    <w:qFormat/>
    <w:uiPriority w:val="0"/>
    <w:pPr>
      <w:ind w:firstLine="420" w:firstLineChars="200"/>
    </w:pPr>
    <w:rPr>
      <w:rFonts w:ascii="Times New Roman" w:hAnsi="Times New Roman" w:eastAsia="宋体" w:cs="Times New Roman"/>
      <w:kern w:val="0"/>
      <w:sz w:val="24"/>
      <w:szCs w:val="20"/>
    </w:rPr>
  </w:style>
  <w:style w:type="paragraph" w:styleId="9">
    <w:name w:val="Document Map"/>
    <w:basedOn w:val="1"/>
    <w:link w:val="128"/>
    <w:autoRedefine/>
    <w:qFormat/>
    <w:uiPriority w:val="0"/>
    <w:rPr>
      <w:rFonts w:ascii="宋体" w:hAnsi="Calibri" w:eastAsia="宋体" w:cs="Times New Roman"/>
      <w:kern w:val="0"/>
      <w:sz w:val="18"/>
      <w:szCs w:val="20"/>
    </w:rPr>
  </w:style>
  <w:style w:type="paragraph" w:styleId="10">
    <w:name w:val="toa heading"/>
    <w:basedOn w:val="1"/>
    <w:next w:val="1"/>
    <w:autoRedefine/>
    <w:unhideWhenUsed/>
    <w:qFormat/>
    <w:uiPriority w:val="0"/>
    <w:pPr>
      <w:spacing w:before="120"/>
    </w:pPr>
    <w:rPr>
      <w:rFonts w:ascii="Cambria" w:hAnsi="Cambria" w:eastAsia="宋体" w:cs="Times New Roman"/>
      <w:sz w:val="24"/>
    </w:rPr>
  </w:style>
  <w:style w:type="paragraph" w:styleId="11">
    <w:name w:val="annotation text"/>
    <w:basedOn w:val="1"/>
    <w:link w:val="156"/>
    <w:autoRedefine/>
    <w:qFormat/>
    <w:uiPriority w:val="99"/>
    <w:pPr>
      <w:jc w:val="left"/>
    </w:pPr>
  </w:style>
  <w:style w:type="paragraph" w:styleId="12">
    <w:name w:val="Body Text"/>
    <w:basedOn w:val="1"/>
    <w:next w:val="1"/>
    <w:link w:val="131"/>
    <w:autoRedefine/>
    <w:qFormat/>
    <w:uiPriority w:val="99"/>
    <w:pPr>
      <w:spacing w:after="120"/>
    </w:pPr>
    <w:rPr>
      <w:rFonts w:ascii="Calibri" w:hAnsi="Calibri" w:eastAsia="宋体" w:cs="Times New Roman"/>
      <w:kern w:val="0"/>
      <w:sz w:val="24"/>
      <w:szCs w:val="20"/>
    </w:rPr>
  </w:style>
  <w:style w:type="paragraph" w:styleId="13">
    <w:name w:val="Body Text Indent"/>
    <w:basedOn w:val="1"/>
    <w:link w:val="62"/>
    <w:autoRedefine/>
    <w:qFormat/>
    <w:uiPriority w:val="0"/>
    <w:pPr>
      <w:widowControl/>
      <w:spacing w:after="120"/>
      <w:ind w:left="420"/>
    </w:pPr>
    <w:rPr>
      <w:rFonts w:ascii="??" w:hAnsi="??" w:eastAsia="宋体" w:cs="Arial"/>
      <w:kern w:val="0"/>
      <w:sz w:val="24"/>
      <w:szCs w:val="24"/>
    </w:rPr>
  </w:style>
  <w:style w:type="paragraph" w:styleId="14">
    <w:name w:val="toc 5"/>
    <w:basedOn w:val="1"/>
    <w:next w:val="1"/>
    <w:autoRedefine/>
    <w:qFormat/>
    <w:uiPriority w:val="0"/>
    <w:pPr>
      <w:ind w:left="1680" w:leftChars="800"/>
    </w:pPr>
    <w:rPr>
      <w:rFonts w:ascii="Times New Roman" w:hAnsi="Times New Roman" w:eastAsia="宋体" w:cs="Times New Roman"/>
      <w:szCs w:val="24"/>
    </w:rPr>
  </w:style>
  <w:style w:type="paragraph" w:styleId="15">
    <w:name w:val="toc 3"/>
    <w:basedOn w:val="1"/>
    <w:next w:val="1"/>
    <w:autoRedefine/>
    <w:qFormat/>
    <w:uiPriority w:val="39"/>
    <w:pPr>
      <w:ind w:left="840" w:leftChars="400"/>
    </w:pPr>
    <w:rPr>
      <w:rFonts w:ascii="Times New Roman" w:hAnsi="Times New Roman" w:eastAsia="宋体" w:cs="Times New Roman"/>
      <w:szCs w:val="24"/>
    </w:rPr>
  </w:style>
  <w:style w:type="paragraph" w:styleId="16">
    <w:name w:val="Plain Text"/>
    <w:basedOn w:val="1"/>
    <w:link w:val="193"/>
    <w:autoRedefine/>
    <w:qFormat/>
    <w:uiPriority w:val="0"/>
    <w:rPr>
      <w:rFonts w:ascii="宋体" w:hAnsi="Courier New" w:eastAsia="宋体" w:cs="宋体"/>
      <w:szCs w:val="21"/>
    </w:rPr>
  </w:style>
  <w:style w:type="paragraph" w:styleId="17">
    <w:name w:val="toc 8"/>
    <w:basedOn w:val="1"/>
    <w:next w:val="1"/>
    <w:autoRedefine/>
    <w:qFormat/>
    <w:uiPriority w:val="0"/>
    <w:pPr>
      <w:ind w:left="2940" w:leftChars="1400"/>
    </w:pPr>
    <w:rPr>
      <w:rFonts w:ascii="Times New Roman" w:hAnsi="Times New Roman" w:eastAsia="宋体" w:cs="Times New Roman"/>
      <w:szCs w:val="24"/>
    </w:rPr>
  </w:style>
  <w:style w:type="paragraph" w:styleId="18">
    <w:name w:val="Date"/>
    <w:basedOn w:val="1"/>
    <w:next w:val="1"/>
    <w:link w:val="151"/>
    <w:autoRedefine/>
    <w:qFormat/>
    <w:uiPriority w:val="0"/>
    <w:rPr>
      <w:szCs w:val="21"/>
    </w:rPr>
  </w:style>
  <w:style w:type="paragraph" w:styleId="19">
    <w:name w:val="Body Text Indent 2"/>
    <w:basedOn w:val="1"/>
    <w:next w:val="1"/>
    <w:link w:val="124"/>
    <w:autoRedefine/>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4"/>
    <w:autoRedefine/>
    <w:qFormat/>
    <w:uiPriority w:val="99"/>
    <w:rPr>
      <w:rFonts w:ascii="Calibri" w:hAnsi="Calibri" w:eastAsia="宋体" w:cs="Times New Roman"/>
      <w:sz w:val="18"/>
      <w:szCs w:val="18"/>
    </w:rPr>
  </w:style>
  <w:style w:type="paragraph" w:styleId="21">
    <w:name w:val="footer"/>
    <w:basedOn w:val="1"/>
    <w:link w:val="61"/>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0"/>
    <w:autoRedefine/>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autoRedefine/>
    <w:qFormat/>
    <w:uiPriority w:val="39"/>
    <w:rPr>
      <w:rFonts w:ascii="Times New Roman" w:hAnsi="Times New Roman" w:eastAsia="宋体" w:cs="Times New Roman"/>
      <w:szCs w:val="24"/>
    </w:rPr>
  </w:style>
  <w:style w:type="paragraph" w:styleId="24">
    <w:name w:val="toc 4"/>
    <w:basedOn w:val="1"/>
    <w:next w:val="1"/>
    <w:autoRedefine/>
    <w:qFormat/>
    <w:uiPriority w:val="0"/>
    <w:pPr>
      <w:ind w:left="1260" w:leftChars="600"/>
    </w:pPr>
    <w:rPr>
      <w:rFonts w:ascii="Times New Roman" w:hAnsi="Times New Roman" w:eastAsia="宋体" w:cs="Times New Roman"/>
      <w:szCs w:val="24"/>
    </w:rPr>
  </w:style>
  <w:style w:type="paragraph" w:styleId="25">
    <w:name w:val="footnote text"/>
    <w:basedOn w:val="1"/>
    <w:link w:val="168"/>
    <w:autoRedefine/>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autoRedefine/>
    <w:qFormat/>
    <w:uiPriority w:val="0"/>
    <w:pPr>
      <w:ind w:left="2100" w:leftChars="1000"/>
    </w:pPr>
    <w:rPr>
      <w:rFonts w:ascii="Times New Roman" w:hAnsi="Times New Roman" w:eastAsia="宋体" w:cs="Times New Roman"/>
      <w:szCs w:val="24"/>
    </w:rPr>
  </w:style>
  <w:style w:type="paragraph" w:styleId="27">
    <w:name w:val="Body Text Indent 3"/>
    <w:basedOn w:val="1"/>
    <w:link w:val="126"/>
    <w:autoRedefine/>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autoRedefine/>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autoRedefine/>
    <w:qFormat/>
    <w:uiPriority w:val="39"/>
    <w:pPr>
      <w:ind w:left="420" w:leftChars="200"/>
    </w:pPr>
    <w:rPr>
      <w:rFonts w:ascii="Times New Roman" w:hAnsi="Times New Roman" w:eastAsia="宋体" w:cs="Times New Roman"/>
      <w:szCs w:val="24"/>
    </w:rPr>
  </w:style>
  <w:style w:type="paragraph" w:styleId="30">
    <w:name w:val="toc 9"/>
    <w:basedOn w:val="1"/>
    <w:next w:val="1"/>
    <w:autoRedefine/>
    <w:qFormat/>
    <w:uiPriority w:val="0"/>
    <w:pPr>
      <w:ind w:left="3360" w:leftChars="1600"/>
    </w:pPr>
    <w:rPr>
      <w:rFonts w:ascii="Times New Roman" w:hAnsi="Times New Roman" w:eastAsia="宋体" w:cs="Times New Roman"/>
      <w:szCs w:val="24"/>
    </w:rPr>
  </w:style>
  <w:style w:type="paragraph" w:styleId="31">
    <w:name w:val="Body Text 2"/>
    <w:basedOn w:val="1"/>
    <w:link w:val="200"/>
    <w:autoRedefine/>
    <w:semiHidden/>
    <w:unhideWhenUsed/>
    <w:qFormat/>
    <w:uiPriority w:val="99"/>
    <w:pPr>
      <w:spacing w:after="120" w:line="480" w:lineRule="auto"/>
    </w:pPr>
  </w:style>
  <w:style w:type="paragraph" w:styleId="32">
    <w:name w:val="List Continue 2"/>
    <w:basedOn w:val="1"/>
    <w:autoRedefine/>
    <w:qFormat/>
    <w:uiPriority w:val="99"/>
    <w:pPr>
      <w:spacing w:after="120"/>
      <w:ind w:left="840" w:leftChars="400"/>
    </w:pPr>
    <w:rPr>
      <w:rFonts w:ascii="Times New Roman" w:hAnsi="Times New Roman" w:eastAsia="宋体" w:cs="Times New Roman"/>
      <w:szCs w:val="24"/>
    </w:rPr>
  </w:style>
  <w:style w:type="paragraph" w:styleId="33">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autoRedefine/>
    <w:qFormat/>
    <w:uiPriority w:val="0"/>
    <w:pPr>
      <w:adjustRightInd w:val="0"/>
      <w:snapToGrid w:val="0"/>
      <w:spacing w:line="300" w:lineRule="exact"/>
    </w:pPr>
    <w:rPr>
      <w:rFonts w:ascii="宋体" w:hAnsi="宋体" w:eastAsia="宋体" w:cs="Times New Roman"/>
      <w:bCs/>
      <w:sz w:val="20"/>
      <w:szCs w:val="21"/>
    </w:rPr>
  </w:style>
  <w:style w:type="paragraph" w:styleId="35">
    <w:name w:val="Title"/>
    <w:basedOn w:val="1"/>
    <w:next w:val="1"/>
    <w:link w:val="154"/>
    <w:autoRedefine/>
    <w:qFormat/>
    <w:uiPriority w:val="0"/>
    <w:pPr>
      <w:spacing w:before="240" w:after="60"/>
      <w:jc w:val="center"/>
      <w:outlineLvl w:val="0"/>
    </w:pPr>
    <w:rPr>
      <w:rFonts w:ascii="Cambria" w:hAnsi="Cambria" w:cs="Times New Roman"/>
      <w:b/>
      <w:bCs/>
      <w:sz w:val="32"/>
      <w:szCs w:val="32"/>
    </w:rPr>
  </w:style>
  <w:style w:type="paragraph" w:styleId="36">
    <w:name w:val="annotation subject"/>
    <w:basedOn w:val="11"/>
    <w:next w:val="11"/>
    <w:link w:val="161"/>
    <w:autoRedefine/>
    <w:qFormat/>
    <w:uiPriority w:val="0"/>
    <w:rPr>
      <w:b/>
      <w:bCs/>
    </w:rPr>
  </w:style>
  <w:style w:type="paragraph" w:styleId="37">
    <w:name w:val="Body Text First Indent 2"/>
    <w:basedOn w:val="13"/>
    <w:next w:val="1"/>
    <w:link w:val="197"/>
    <w:autoRedefine/>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9">
    <w:name w:val="Table Grid"/>
    <w:basedOn w:val="38"/>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autoRedefine/>
    <w:qFormat/>
    <w:uiPriority w:val="22"/>
    <w:rPr>
      <w:rFonts w:cs="Times New Roman"/>
      <w:b/>
    </w:rPr>
  </w:style>
  <w:style w:type="character" w:styleId="42">
    <w:name w:val="page number"/>
    <w:basedOn w:val="40"/>
    <w:autoRedefine/>
    <w:qFormat/>
    <w:uiPriority w:val="0"/>
    <w:rPr>
      <w:rFonts w:cs="Times New Roman"/>
    </w:rPr>
  </w:style>
  <w:style w:type="character" w:styleId="43">
    <w:name w:val="FollowedHyperlink"/>
    <w:basedOn w:val="40"/>
    <w:autoRedefine/>
    <w:qFormat/>
    <w:uiPriority w:val="99"/>
    <w:rPr>
      <w:rFonts w:cs="Times New Roman"/>
      <w:color w:val="555555"/>
      <w:u w:val="none"/>
    </w:rPr>
  </w:style>
  <w:style w:type="character" w:styleId="44">
    <w:name w:val="Emphasis"/>
    <w:basedOn w:val="40"/>
    <w:autoRedefine/>
    <w:qFormat/>
    <w:uiPriority w:val="0"/>
    <w:rPr>
      <w:rFonts w:cs="Times New Roman"/>
      <w:i/>
    </w:rPr>
  </w:style>
  <w:style w:type="character" w:styleId="45">
    <w:name w:val="HTML Definition"/>
    <w:basedOn w:val="40"/>
    <w:autoRedefine/>
    <w:qFormat/>
    <w:uiPriority w:val="99"/>
    <w:rPr>
      <w:rFonts w:cs="Times New Roman"/>
    </w:rPr>
  </w:style>
  <w:style w:type="character" w:styleId="46">
    <w:name w:val="HTML Acronym"/>
    <w:basedOn w:val="40"/>
    <w:autoRedefine/>
    <w:qFormat/>
    <w:uiPriority w:val="99"/>
    <w:rPr>
      <w:rFonts w:cs="Times New Roman"/>
    </w:rPr>
  </w:style>
  <w:style w:type="character" w:styleId="47">
    <w:name w:val="HTML Variable"/>
    <w:basedOn w:val="40"/>
    <w:autoRedefine/>
    <w:qFormat/>
    <w:uiPriority w:val="99"/>
    <w:rPr>
      <w:rFonts w:cs="Times New Roman"/>
    </w:rPr>
  </w:style>
  <w:style w:type="character" w:styleId="48">
    <w:name w:val="Hyperlink"/>
    <w:basedOn w:val="40"/>
    <w:autoRedefine/>
    <w:qFormat/>
    <w:uiPriority w:val="99"/>
    <w:rPr>
      <w:rFonts w:cs="Times New Roman"/>
      <w:color w:val="555555"/>
      <w:u w:val="none"/>
    </w:rPr>
  </w:style>
  <w:style w:type="character" w:styleId="49">
    <w:name w:val="HTML Code"/>
    <w:basedOn w:val="40"/>
    <w:autoRedefine/>
    <w:qFormat/>
    <w:uiPriority w:val="99"/>
    <w:rPr>
      <w:rFonts w:ascii="monospace" w:hAnsi="monospace" w:cs="Times New Roman"/>
      <w:sz w:val="24"/>
    </w:rPr>
  </w:style>
  <w:style w:type="character" w:styleId="50">
    <w:name w:val="annotation reference"/>
    <w:autoRedefine/>
    <w:qFormat/>
    <w:uiPriority w:val="0"/>
    <w:rPr>
      <w:sz w:val="21"/>
      <w:szCs w:val="21"/>
    </w:rPr>
  </w:style>
  <w:style w:type="character" w:styleId="51">
    <w:name w:val="HTML Cite"/>
    <w:basedOn w:val="40"/>
    <w:autoRedefine/>
    <w:qFormat/>
    <w:uiPriority w:val="99"/>
    <w:rPr>
      <w:rFonts w:cs="Times New Roman"/>
    </w:rPr>
  </w:style>
  <w:style w:type="character" w:styleId="52">
    <w:name w:val="footnote reference"/>
    <w:autoRedefine/>
    <w:semiHidden/>
    <w:qFormat/>
    <w:uiPriority w:val="0"/>
    <w:rPr>
      <w:vertAlign w:val="superscript"/>
    </w:rPr>
  </w:style>
  <w:style w:type="character" w:styleId="53">
    <w:name w:val="HTML Keyboard"/>
    <w:basedOn w:val="40"/>
    <w:autoRedefine/>
    <w:qFormat/>
    <w:uiPriority w:val="99"/>
    <w:rPr>
      <w:rFonts w:ascii="monospace" w:hAnsi="monospace" w:cs="Times New Roman"/>
      <w:sz w:val="24"/>
    </w:rPr>
  </w:style>
  <w:style w:type="character" w:styleId="54">
    <w:name w:val="HTML Sample"/>
    <w:basedOn w:val="40"/>
    <w:autoRedefine/>
    <w:qFormat/>
    <w:uiPriority w:val="99"/>
    <w:rPr>
      <w:rFonts w:ascii="monospace" w:hAnsi="monospace" w:cs="Times New Roman"/>
      <w:sz w:val="24"/>
    </w:rPr>
  </w:style>
  <w:style w:type="paragraph" w:customStyle="1" w:styleId="55">
    <w:name w:val="Heading3"/>
    <w:basedOn w:val="1"/>
    <w:next w:val="1"/>
    <w:qFormat/>
    <w:uiPriority w:val="0"/>
    <w:pPr>
      <w:keepNext/>
      <w:keepLines/>
      <w:spacing w:before="260" w:after="260" w:line="415" w:lineRule="auto"/>
      <w:ind w:firstLine="137" w:firstLineChars="49"/>
      <w:textAlignment w:val="baseline"/>
    </w:pPr>
    <w:rPr>
      <w:rFonts w:ascii="黑体" w:hAnsi="宋体" w:eastAsia="黑体"/>
      <w:bCs/>
      <w:kern w:val="2"/>
      <w:sz w:val="28"/>
      <w:szCs w:val="28"/>
    </w:rPr>
  </w:style>
  <w:style w:type="paragraph" w:customStyle="1" w:styleId="56">
    <w:name w:val="Default"/>
    <w:basedOn w:val="35"/>
    <w:next w:val="2"/>
    <w:autoRedefine/>
    <w:qFormat/>
    <w:uiPriority w:val="0"/>
    <w:pPr>
      <w:autoSpaceDE w:val="0"/>
      <w:autoSpaceDN w:val="0"/>
      <w:adjustRightInd w:val="0"/>
      <w:jc w:val="both"/>
    </w:pPr>
    <w:rPr>
      <w:rFonts w:ascii="黑体" w:hAnsi="黑体" w:eastAsia="宋体" w:cs="黑体"/>
      <w:color w:val="000000"/>
      <w:sz w:val="24"/>
      <w:szCs w:val="24"/>
    </w:rPr>
  </w:style>
  <w:style w:type="character" w:customStyle="1" w:styleId="57">
    <w:name w:val="标题 1 字符"/>
    <w:basedOn w:val="40"/>
    <w:link w:val="2"/>
    <w:autoRedefine/>
    <w:qFormat/>
    <w:uiPriority w:val="9"/>
    <w:rPr>
      <w:rFonts w:ascii="???" w:hAnsi="???" w:eastAsia="宋体" w:cs="Arial"/>
      <w:b/>
      <w:bCs/>
      <w:color w:val="020000"/>
      <w:kern w:val="36"/>
      <w:sz w:val="44"/>
      <w:szCs w:val="44"/>
    </w:rPr>
  </w:style>
  <w:style w:type="character" w:customStyle="1" w:styleId="58">
    <w:name w:val="标题 2 字符"/>
    <w:basedOn w:val="40"/>
    <w:link w:val="3"/>
    <w:autoRedefine/>
    <w:qFormat/>
    <w:uiPriority w:val="99"/>
    <w:rPr>
      <w:rFonts w:ascii="???" w:hAnsi="???" w:eastAsia="宋体" w:cs="Arial"/>
      <w:b/>
      <w:bCs/>
      <w:color w:val="020000"/>
      <w:kern w:val="0"/>
      <w:sz w:val="32"/>
      <w:szCs w:val="32"/>
    </w:rPr>
  </w:style>
  <w:style w:type="character" w:customStyle="1" w:styleId="59">
    <w:name w:val="标题 3 字符"/>
    <w:basedOn w:val="40"/>
    <w:link w:val="4"/>
    <w:autoRedefine/>
    <w:qFormat/>
    <w:uiPriority w:val="99"/>
    <w:rPr>
      <w:rFonts w:ascii="??" w:hAnsi="??" w:eastAsia="宋体" w:cs="Arial"/>
      <w:b/>
      <w:bCs/>
      <w:color w:val="000000"/>
      <w:kern w:val="0"/>
      <w:sz w:val="32"/>
      <w:szCs w:val="32"/>
    </w:rPr>
  </w:style>
  <w:style w:type="character" w:customStyle="1" w:styleId="60">
    <w:name w:val="页眉 字符"/>
    <w:basedOn w:val="40"/>
    <w:link w:val="22"/>
    <w:autoRedefine/>
    <w:qFormat/>
    <w:uiPriority w:val="99"/>
    <w:rPr>
      <w:rFonts w:ascii="Calibri" w:hAnsi="Calibri" w:eastAsia="宋体" w:cs="Times New Roman"/>
      <w:sz w:val="18"/>
      <w:szCs w:val="18"/>
    </w:rPr>
  </w:style>
  <w:style w:type="character" w:customStyle="1" w:styleId="61">
    <w:name w:val="页脚 字符"/>
    <w:basedOn w:val="40"/>
    <w:link w:val="21"/>
    <w:autoRedefine/>
    <w:qFormat/>
    <w:uiPriority w:val="99"/>
    <w:rPr>
      <w:rFonts w:ascii="Calibri" w:hAnsi="Calibri" w:eastAsia="宋体" w:cs="Times New Roman"/>
      <w:sz w:val="18"/>
      <w:szCs w:val="18"/>
    </w:rPr>
  </w:style>
  <w:style w:type="character" w:customStyle="1" w:styleId="62">
    <w:name w:val="正文文本缩进 字符"/>
    <w:basedOn w:val="40"/>
    <w:link w:val="13"/>
    <w:autoRedefine/>
    <w:qFormat/>
    <w:uiPriority w:val="0"/>
    <w:rPr>
      <w:rFonts w:ascii="??" w:hAnsi="??" w:eastAsia="宋体" w:cs="Arial"/>
      <w:kern w:val="0"/>
      <w:sz w:val="24"/>
      <w:szCs w:val="24"/>
    </w:rPr>
  </w:style>
  <w:style w:type="paragraph" w:customStyle="1" w:styleId="63">
    <w:name w:val="列出段落1"/>
    <w:basedOn w:val="1"/>
    <w:link w:val="203"/>
    <w:autoRedefine/>
    <w:qFormat/>
    <w:uiPriority w:val="0"/>
    <w:pPr>
      <w:ind w:firstLine="420" w:firstLineChars="200"/>
    </w:pPr>
    <w:rPr>
      <w:rFonts w:ascii="Calibri" w:hAnsi="Calibri" w:eastAsia="宋体" w:cs="Times New Roman"/>
    </w:rPr>
  </w:style>
  <w:style w:type="character" w:customStyle="1" w:styleId="64">
    <w:name w:val="标题 2 Char Char"/>
    <w:autoRedefine/>
    <w:qFormat/>
    <w:uiPriority w:val="99"/>
    <w:rPr>
      <w:rFonts w:ascii="Arial" w:hAnsi="Arial" w:eastAsia="黑体"/>
      <w:b/>
      <w:kern w:val="2"/>
      <w:sz w:val="32"/>
      <w:lang w:val="en-US" w:eastAsia="zh-CN"/>
    </w:rPr>
  </w:style>
  <w:style w:type="character" w:customStyle="1" w:styleId="65">
    <w:name w:val="2charchar"/>
    <w:basedOn w:val="40"/>
    <w:autoRedefine/>
    <w:qFormat/>
    <w:uiPriority w:val="99"/>
    <w:rPr>
      <w:rFonts w:cs="Times New Roman"/>
    </w:rPr>
  </w:style>
  <w:style w:type="paragraph" w:customStyle="1" w:styleId="66">
    <w:name w:val="表格文字"/>
    <w:basedOn w:val="1"/>
    <w:autoRedefine/>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67">
    <w:name w:val="z-窗体顶端1"/>
    <w:basedOn w:val="1"/>
    <w:next w:val="1"/>
    <w:link w:val="68"/>
    <w:autoRedefine/>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8">
    <w:name w:val="z-窗体顶端 Char"/>
    <w:basedOn w:val="40"/>
    <w:link w:val="67"/>
    <w:autoRedefine/>
    <w:semiHidden/>
    <w:qFormat/>
    <w:uiPriority w:val="99"/>
    <w:rPr>
      <w:rFonts w:ascii="Arial" w:hAnsi="Arial" w:eastAsia="宋体" w:cs="Arial"/>
      <w:vanish/>
      <w:kern w:val="0"/>
      <w:sz w:val="16"/>
      <w:szCs w:val="16"/>
    </w:rPr>
  </w:style>
  <w:style w:type="paragraph" w:customStyle="1" w:styleId="69">
    <w:name w:val="z-窗体底端1"/>
    <w:basedOn w:val="1"/>
    <w:next w:val="1"/>
    <w:link w:val="70"/>
    <w:autoRedefine/>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0">
    <w:name w:val="z-窗体底端 Char"/>
    <w:basedOn w:val="40"/>
    <w:link w:val="69"/>
    <w:autoRedefine/>
    <w:semiHidden/>
    <w:qFormat/>
    <w:uiPriority w:val="99"/>
    <w:rPr>
      <w:rFonts w:ascii="Arial" w:hAnsi="Arial" w:eastAsia="宋体" w:cs="Arial"/>
      <w:vanish/>
      <w:kern w:val="0"/>
      <w:sz w:val="16"/>
      <w:szCs w:val="16"/>
    </w:rPr>
  </w:style>
  <w:style w:type="paragraph" w:customStyle="1" w:styleId="71">
    <w:name w:val="hu正文"/>
    <w:basedOn w:val="1"/>
    <w:link w:val="72"/>
    <w:autoRedefine/>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2">
    <w:name w:val="hu正文 Char"/>
    <w:link w:val="71"/>
    <w:autoRedefine/>
    <w:qFormat/>
    <w:locked/>
    <w:uiPriority w:val="99"/>
    <w:rPr>
      <w:rFonts w:ascii="Times New Roman" w:hAnsi="Times New Roman" w:eastAsia="宋体" w:cs="Times New Roman"/>
      <w:kern w:val="0"/>
      <w:sz w:val="24"/>
      <w:szCs w:val="20"/>
    </w:rPr>
  </w:style>
  <w:style w:type="paragraph" w:customStyle="1" w:styleId="73">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批注框文本 字符"/>
    <w:basedOn w:val="40"/>
    <w:link w:val="20"/>
    <w:autoRedefine/>
    <w:qFormat/>
    <w:uiPriority w:val="99"/>
    <w:rPr>
      <w:rFonts w:ascii="Calibri" w:hAnsi="Calibri" w:eastAsia="宋体" w:cs="Times New Roman"/>
      <w:sz w:val="18"/>
      <w:szCs w:val="18"/>
    </w:rPr>
  </w:style>
  <w:style w:type="character" w:customStyle="1" w:styleId="75">
    <w:name w:val="ui-bz-bg-hover1"/>
    <w:basedOn w:val="40"/>
    <w:autoRedefine/>
    <w:qFormat/>
    <w:uiPriority w:val="99"/>
    <w:rPr>
      <w:rFonts w:cs="Times New Roman"/>
    </w:rPr>
  </w:style>
  <w:style w:type="character" w:customStyle="1" w:styleId="76">
    <w:name w:val="批注框文本 Char1"/>
    <w:autoRedefine/>
    <w:qFormat/>
    <w:uiPriority w:val="99"/>
    <w:rPr>
      <w:rFonts w:ascii="Times New Roman" w:hAnsi="Times New Roman" w:eastAsia="宋体"/>
      <w:sz w:val="18"/>
    </w:rPr>
  </w:style>
  <w:style w:type="character" w:customStyle="1" w:styleId="77">
    <w:name w:val="bds_nopic"/>
    <w:basedOn w:val="40"/>
    <w:autoRedefine/>
    <w:qFormat/>
    <w:uiPriority w:val="99"/>
    <w:rPr>
      <w:rFonts w:cs="Times New Roman"/>
    </w:rPr>
  </w:style>
  <w:style w:type="character" w:customStyle="1" w:styleId="78">
    <w:name w:val="tip12"/>
    <w:autoRedefine/>
    <w:qFormat/>
    <w:uiPriority w:val="99"/>
    <w:rPr>
      <w:vanish/>
      <w:color w:val="FF0000"/>
      <w:sz w:val="18"/>
    </w:rPr>
  </w:style>
  <w:style w:type="character" w:customStyle="1" w:styleId="79">
    <w:name w:val="Body Text Indent 3 Char"/>
    <w:autoRedefine/>
    <w:qFormat/>
    <w:locked/>
    <w:uiPriority w:val="99"/>
    <w:rPr>
      <w:rFonts w:ascii="宋体" w:eastAsia="宋体"/>
    </w:rPr>
  </w:style>
  <w:style w:type="character" w:customStyle="1" w:styleId="80">
    <w:name w:val="HTML Markup"/>
    <w:autoRedefine/>
    <w:qFormat/>
    <w:uiPriority w:val="99"/>
    <w:rPr>
      <w:vanish/>
      <w:color w:val="FF0000"/>
    </w:rPr>
  </w:style>
  <w:style w:type="character" w:customStyle="1" w:styleId="81">
    <w:name w:val="tip7"/>
    <w:autoRedefine/>
    <w:qFormat/>
    <w:uiPriority w:val="99"/>
    <w:rPr>
      <w:vanish/>
      <w:color w:val="FF0000"/>
      <w:sz w:val="18"/>
    </w:rPr>
  </w:style>
  <w:style w:type="character" w:customStyle="1" w:styleId="82">
    <w:name w:val="f-star"/>
    <w:autoRedefine/>
    <w:qFormat/>
    <w:uiPriority w:val="99"/>
    <w:rPr>
      <w:color w:val="999999"/>
      <w:sz w:val="21"/>
    </w:rPr>
  </w:style>
  <w:style w:type="character" w:customStyle="1" w:styleId="83">
    <w:name w:val="Document Map Char1"/>
    <w:autoRedefine/>
    <w:qFormat/>
    <w:uiPriority w:val="99"/>
    <w:rPr>
      <w:rFonts w:ascii="Times New Roman" w:hAnsi="Times New Roman"/>
      <w:kern w:val="2"/>
      <w:sz w:val="2"/>
    </w:rPr>
  </w:style>
  <w:style w:type="character" w:customStyle="1" w:styleId="84">
    <w:name w:val="my-class2"/>
    <w:basedOn w:val="40"/>
    <w:autoRedefine/>
    <w:qFormat/>
    <w:uiPriority w:val="99"/>
    <w:rPr>
      <w:rFonts w:cs="Times New Roman"/>
    </w:rPr>
  </w:style>
  <w:style w:type="character" w:customStyle="1" w:styleId="85">
    <w:name w:val="no52"/>
    <w:basedOn w:val="40"/>
    <w:autoRedefine/>
    <w:qFormat/>
    <w:uiPriority w:val="99"/>
    <w:rPr>
      <w:rFonts w:cs="Times New Roman"/>
    </w:rPr>
  </w:style>
  <w:style w:type="character" w:customStyle="1" w:styleId="86">
    <w:name w:val="no4"/>
    <w:basedOn w:val="40"/>
    <w:autoRedefine/>
    <w:qFormat/>
    <w:uiPriority w:val="99"/>
    <w:rPr>
      <w:rFonts w:cs="Times New Roman"/>
    </w:rPr>
  </w:style>
  <w:style w:type="character" w:customStyle="1" w:styleId="87">
    <w:name w:val="my-notice"/>
    <w:basedOn w:val="40"/>
    <w:autoRedefine/>
    <w:qFormat/>
    <w:uiPriority w:val="99"/>
    <w:rPr>
      <w:rFonts w:cs="Times New Roman"/>
    </w:rPr>
  </w:style>
  <w:style w:type="character" w:customStyle="1" w:styleId="88">
    <w:name w:val="ico-jiang"/>
    <w:basedOn w:val="40"/>
    <w:autoRedefine/>
    <w:qFormat/>
    <w:uiPriority w:val="99"/>
    <w:rPr>
      <w:rFonts w:cs="Times New Roman"/>
    </w:rPr>
  </w:style>
  <w:style w:type="character" w:customStyle="1" w:styleId="89">
    <w:name w:val="ico-jiang2"/>
    <w:basedOn w:val="40"/>
    <w:autoRedefine/>
    <w:qFormat/>
    <w:uiPriority w:val="99"/>
    <w:rPr>
      <w:rFonts w:cs="Times New Roman"/>
    </w:rPr>
  </w:style>
  <w:style w:type="character" w:customStyle="1" w:styleId="90">
    <w:name w:val="bds_more1"/>
    <w:autoRedefine/>
    <w:qFormat/>
    <w:uiPriority w:val="99"/>
    <w:rPr>
      <w:rFonts w:ascii="宋体" w:hAnsi="宋体" w:eastAsia="宋体"/>
    </w:rPr>
  </w:style>
  <w:style w:type="character" w:customStyle="1" w:styleId="91">
    <w:name w:val="Body Text Indent 2 Char"/>
    <w:autoRedefine/>
    <w:qFormat/>
    <w:locked/>
    <w:uiPriority w:val="99"/>
    <w:rPr>
      <w:rFonts w:ascii="宋体" w:eastAsia="宋体"/>
      <w:sz w:val="24"/>
    </w:rPr>
  </w:style>
  <w:style w:type="character" w:customStyle="1" w:styleId="92">
    <w:name w:val="org_name"/>
    <w:basedOn w:val="40"/>
    <w:autoRedefine/>
    <w:qFormat/>
    <w:uiPriority w:val="99"/>
    <w:rPr>
      <w:rFonts w:cs="Times New Roman"/>
    </w:rPr>
  </w:style>
  <w:style w:type="character" w:customStyle="1" w:styleId="93">
    <w:name w:val="org_name2"/>
    <w:basedOn w:val="40"/>
    <w:autoRedefine/>
    <w:qFormat/>
    <w:uiPriority w:val="99"/>
    <w:rPr>
      <w:rFonts w:cs="Times New Roman"/>
    </w:rPr>
  </w:style>
  <w:style w:type="character" w:customStyle="1" w:styleId="94">
    <w:name w:val="tip10"/>
    <w:autoRedefine/>
    <w:qFormat/>
    <w:uiPriority w:val="99"/>
    <w:rPr>
      <w:vanish/>
      <w:color w:val="FF0000"/>
      <w:sz w:val="18"/>
    </w:rPr>
  </w:style>
  <w:style w:type="character" w:customStyle="1" w:styleId="95">
    <w:name w:val="orange"/>
    <w:autoRedefine/>
    <w:qFormat/>
    <w:uiPriority w:val="99"/>
    <w:rPr>
      <w:color w:val="3FB58F"/>
    </w:rPr>
  </w:style>
  <w:style w:type="character" w:customStyle="1" w:styleId="96">
    <w:name w:val="bds_more"/>
    <w:basedOn w:val="40"/>
    <w:autoRedefine/>
    <w:qFormat/>
    <w:uiPriority w:val="99"/>
    <w:rPr>
      <w:rFonts w:cs="Times New Roman"/>
    </w:rPr>
  </w:style>
  <w:style w:type="character" w:customStyle="1" w:styleId="97">
    <w:name w:val="t-tag"/>
    <w:autoRedefine/>
    <w:qFormat/>
    <w:uiPriority w:val="99"/>
    <w:rPr>
      <w:color w:val="FFFFFF"/>
      <w:sz w:val="18"/>
      <w:shd w:val="clear" w:color="auto" w:fill="FE8833"/>
    </w:rPr>
  </w:style>
  <w:style w:type="character" w:customStyle="1" w:styleId="98">
    <w:name w:val="top-icon"/>
    <w:basedOn w:val="40"/>
    <w:autoRedefine/>
    <w:qFormat/>
    <w:uiPriority w:val="99"/>
    <w:rPr>
      <w:rFonts w:cs="Times New Roman"/>
    </w:rPr>
  </w:style>
  <w:style w:type="character" w:customStyle="1" w:styleId="99">
    <w:name w:val="Body Text Char"/>
    <w:autoRedefine/>
    <w:qFormat/>
    <w:locked/>
    <w:uiPriority w:val="99"/>
    <w:rPr>
      <w:sz w:val="24"/>
    </w:rPr>
  </w:style>
  <w:style w:type="character" w:customStyle="1" w:styleId="100">
    <w:name w:val="no72"/>
    <w:basedOn w:val="40"/>
    <w:autoRedefine/>
    <w:qFormat/>
    <w:uiPriority w:val="99"/>
    <w:rPr>
      <w:rFonts w:cs="Times New Roman"/>
    </w:rPr>
  </w:style>
  <w:style w:type="character" w:customStyle="1" w:styleId="101">
    <w:name w:val="bds_nopic2"/>
    <w:basedOn w:val="40"/>
    <w:autoRedefine/>
    <w:qFormat/>
    <w:uiPriority w:val="99"/>
    <w:rPr>
      <w:rFonts w:cs="Times New Roman"/>
    </w:rPr>
  </w:style>
  <w:style w:type="character" w:customStyle="1" w:styleId="102">
    <w:name w:val="Document Map Char"/>
    <w:autoRedefine/>
    <w:qFormat/>
    <w:uiPriority w:val="99"/>
    <w:rPr>
      <w:rFonts w:ascii="宋体"/>
      <w:sz w:val="18"/>
    </w:rPr>
  </w:style>
  <w:style w:type="character" w:customStyle="1" w:styleId="103">
    <w:name w:val="no6"/>
    <w:basedOn w:val="40"/>
    <w:autoRedefine/>
    <w:qFormat/>
    <w:uiPriority w:val="99"/>
    <w:rPr>
      <w:rFonts w:cs="Times New Roman"/>
    </w:rPr>
  </w:style>
  <w:style w:type="character" w:customStyle="1" w:styleId="104">
    <w:name w:val="tip"/>
    <w:autoRedefine/>
    <w:qFormat/>
    <w:uiPriority w:val="99"/>
    <w:rPr>
      <w:vanish/>
      <w:color w:val="FF0000"/>
      <w:sz w:val="18"/>
    </w:rPr>
  </w:style>
  <w:style w:type="character" w:customStyle="1" w:styleId="105">
    <w:name w:val="apple-converted-space"/>
    <w:basedOn w:val="40"/>
    <w:autoRedefine/>
    <w:qFormat/>
    <w:uiPriority w:val="99"/>
    <w:rPr>
      <w:rFonts w:cs="Times New Roman"/>
    </w:rPr>
  </w:style>
  <w:style w:type="character" w:customStyle="1" w:styleId="106">
    <w:name w:val="bds_more2"/>
    <w:basedOn w:val="40"/>
    <w:autoRedefine/>
    <w:qFormat/>
    <w:uiPriority w:val="99"/>
    <w:rPr>
      <w:rFonts w:cs="Times New Roman"/>
    </w:rPr>
  </w:style>
  <w:style w:type="character" w:customStyle="1" w:styleId="107">
    <w:name w:val="my-class"/>
    <w:basedOn w:val="40"/>
    <w:autoRedefine/>
    <w:qFormat/>
    <w:uiPriority w:val="99"/>
    <w:rPr>
      <w:rFonts w:cs="Times New Roman"/>
    </w:rPr>
  </w:style>
  <w:style w:type="character" w:customStyle="1" w:styleId="108">
    <w:name w:val="ui-bz-bg-hover"/>
    <w:autoRedefine/>
    <w:qFormat/>
    <w:uiPriority w:val="99"/>
    <w:rPr>
      <w:shd w:val="clear" w:color="auto" w:fill="000000"/>
    </w:rPr>
  </w:style>
  <w:style w:type="character" w:customStyle="1" w:styleId="109">
    <w:name w:val="no7"/>
    <w:basedOn w:val="40"/>
    <w:autoRedefine/>
    <w:qFormat/>
    <w:uiPriority w:val="99"/>
    <w:rPr>
      <w:rFonts w:cs="Times New Roman"/>
    </w:rPr>
  </w:style>
  <w:style w:type="character" w:customStyle="1" w:styleId="110">
    <w:name w:val="正文缩进 字符"/>
    <w:link w:val="8"/>
    <w:autoRedefine/>
    <w:qFormat/>
    <w:locked/>
    <w:uiPriority w:val="0"/>
    <w:rPr>
      <w:rFonts w:ascii="Times New Roman" w:hAnsi="Times New Roman" w:eastAsia="宋体" w:cs="Times New Roman"/>
      <w:kern w:val="0"/>
      <w:sz w:val="24"/>
      <w:szCs w:val="20"/>
    </w:rPr>
  </w:style>
  <w:style w:type="character" w:customStyle="1" w:styleId="111">
    <w:name w:val="ico-jiang1"/>
    <w:basedOn w:val="40"/>
    <w:autoRedefine/>
    <w:qFormat/>
    <w:uiPriority w:val="99"/>
    <w:rPr>
      <w:rFonts w:cs="Times New Roman"/>
    </w:rPr>
  </w:style>
  <w:style w:type="character" w:customStyle="1" w:styleId="112">
    <w:name w:val="no62"/>
    <w:basedOn w:val="40"/>
    <w:autoRedefine/>
    <w:qFormat/>
    <w:uiPriority w:val="99"/>
    <w:rPr>
      <w:rFonts w:cs="Times New Roman"/>
    </w:rPr>
  </w:style>
  <w:style w:type="character" w:customStyle="1" w:styleId="113">
    <w:name w:val="orange5"/>
    <w:autoRedefine/>
    <w:qFormat/>
    <w:uiPriority w:val="99"/>
    <w:rPr>
      <w:color w:val="3FB58F"/>
    </w:rPr>
  </w:style>
  <w:style w:type="character" w:customStyle="1" w:styleId="114">
    <w:name w:val="bds_more4"/>
    <w:basedOn w:val="40"/>
    <w:autoRedefine/>
    <w:qFormat/>
    <w:uiPriority w:val="99"/>
    <w:rPr>
      <w:rFonts w:cs="Times New Roman"/>
    </w:rPr>
  </w:style>
  <w:style w:type="character" w:customStyle="1" w:styleId="115">
    <w:name w:val="no5"/>
    <w:basedOn w:val="40"/>
    <w:autoRedefine/>
    <w:qFormat/>
    <w:uiPriority w:val="99"/>
    <w:rPr>
      <w:rFonts w:cs="Times New Roman"/>
    </w:rPr>
  </w:style>
  <w:style w:type="character" w:customStyle="1" w:styleId="116">
    <w:name w:val="bds_more3"/>
    <w:basedOn w:val="40"/>
    <w:autoRedefine/>
    <w:qFormat/>
    <w:uiPriority w:val="99"/>
    <w:rPr>
      <w:rFonts w:cs="Times New Roman"/>
    </w:rPr>
  </w:style>
  <w:style w:type="character" w:customStyle="1" w:styleId="117">
    <w:name w:val="no42"/>
    <w:basedOn w:val="40"/>
    <w:autoRedefine/>
    <w:qFormat/>
    <w:uiPriority w:val="99"/>
    <w:rPr>
      <w:rFonts w:cs="Times New Roman"/>
    </w:rPr>
  </w:style>
  <w:style w:type="character" w:customStyle="1" w:styleId="118">
    <w:name w:val="bds_nopic1"/>
    <w:basedOn w:val="40"/>
    <w:autoRedefine/>
    <w:qFormat/>
    <w:uiPriority w:val="99"/>
    <w:rPr>
      <w:rFonts w:cs="Times New Roman"/>
    </w:rPr>
  </w:style>
  <w:style w:type="character" w:customStyle="1" w:styleId="119">
    <w:name w:val="my-notice1"/>
    <w:basedOn w:val="40"/>
    <w:autoRedefine/>
    <w:qFormat/>
    <w:uiPriority w:val="99"/>
    <w:rPr>
      <w:rFonts w:cs="Times New Roman"/>
    </w:rPr>
  </w:style>
  <w:style w:type="character" w:customStyle="1" w:styleId="120">
    <w:name w:val="orange6"/>
    <w:autoRedefine/>
    <w:qFormat/>
    <w:uiPriority w:val="99"/>
    <w:rPr>
      <w:color w:val="3FB58F"/>
    </w:rPr>
  </w:style>
  <w:style w:type="character" w:customStyle="1" w:styleId="121">
    <w:name w:val="Document Map Char2"/>
    <w:autoRedefine/>
    <w:qFormat/>
    <w:locked/>
    <w:uiPriority w:val="99"/>
    <w:rPr>
      <w:rFonts w:ascii="宋体"/>
      <w:sz w:val="18"/>
    </w:rPr>
  </w:style>
  <w:style w:type="character" w:customStyle="1" w:styleId="122">
    <w:name w:val="ico-jiang3"/>
    <w:basedOn w:val="40"/>
    <w:autoRedefine/>
    <w:qFormat/>
    <w:uiPriority w:val="99"/>
    <w:rPr>
      <w:rFonts w:cs="Times New Roman"/>
    </w:rPr>
  </w:style>
  <w:style w:type="character" w:customStyle="1" w:styleId="123">
    <w:name w:val="tip13"/>
    <w:autoRedefine/>
    <w:qFormat/>
    <w:uiPriority w:val="99"/>
    <w:rPr>
      <w:vanish/>
      <w:color w:val="FF0000"/>
      <w:sz w:val="18"/>
    </w:rPr>
  </w:style>
  <w:style w:type="character" w:customStyle="1" w:styleId="124">
    <w:name w:val="正文文本缩进 2 字符"/>
    <w:basedOn w:val="40"/>
    <w:link w:val="19"/>
    <w:autoRedefine/>
    <w:qFormat/>
    <w:uiPriority w:val="99"/>
    <w:rPr>
      <w:rFonts w:ascii="宋体" w:hAnsi="Calibri" w:eastAsia="宋体" w:cs="Times New Roman"/>
      <w:kern w:val="0"/>
      <w:sz w:val="24"/>
      <w:szCs w:val="20"/>
    </w:rPr>
  </w:style>
  <w:style w:type="character" w:customStyle="1" w:styleId="125">
    <w:name w:val="Body Text Indent 2 Char1"/>
    <w:basedOn w:val="40"/>
    <w:autoRedefine/>
    <w:semiHidden/>
    <w:qFormat/>
    <w:locked/>
    <w:uiPriority w:val="99"/>
    <w:rPr>
      <w:rFonts w:cs="Times New Roman"/>
    </w:rPr>
  </w:style>
  <w:style w:type="character" w:customStyle="1" w:styleId="126">
    <w:name w:val="正文文本缩进 3 字符"/>
    <w:basedOn w:val="40"/>
    <w:link w:val="27"/>
    <w:autoRedefine/>
    <w:qFormat/>
    <w:uiPriority w:val="99"/>
    <w:rPr>
      <w:rFonts w:ascii="宋体" w:hAnsi="Calibri" w:eastAsia="宋体" w:cs="Times New Roman"/>
      <w:kern w:val="0"/>
      <w:sz w:val="20"/>
      <w:szCs w:val="20"/>
    </w:rPr>
  </w:style>
  <w:style w:type="character" w:customStyle="1" w:styleId="127">
    <w:name w:val="Body Text Indent 3 Char1"/>
    <w:basedOn w:val="40"/>
    <w:autoRedefine/>
    <w:semiHidden/>
    <w:qFormat/>
    <w:locked/>
    <w:uiPriority w:val="99"/>
    <w:rPr>
      <w:rFonts w:cs="Times New Roman"/>
      <w:sz w:val="16"/>
      <w:szCs w:val="16"/>
    </w:rPr>
  </w:style>
  <w:style w:type="character" w:customStyle="1" w:styleId="128">
    <w:name w:val="文档结构图 字符"/>
    <w:basedOn w:val="40"/>
    <w:link w:val="9"/>
    <w:autoRedefine/>
    <w:qFormat/>
    <w:uiPriority w:val="99"/>
    <w:rPr>
      <w:rFonts w:ascii="宋体" w:hAnsi="Calibri" w:eastAsia="宋体" w:cs="Times New Roman"/>
      <w:kern w:val="0"/>
      <w:sz w:val="18"/>
      <w:szCs w:val="20"/>
    </w:rPr>
  </w:style>
  <w:style w:type="character" w:customStyle="1" w:styleId="129">
    <w:name w:val="Document Map Char3"/>
    <w:basedOn w:val="40"/>
    <w:autoRedefine/>
    <w:semiHidden/>
    <w:qFormat/>
    <w:locked/>
    <w:uiPriority w:val="99"/>
    <w:rPr>
      <w:rFonts w:ascii="Times New Roman" w:hAnsi="Times New Roman" w:cs="Times New Roman"/>
      <w:sz w:val="2"/>
    </w:rPr>
  </w:style>
  <w:style w:type="paragraph" w:customStyle="1" w:styleId="130">
    <w:name w:val="_Style 1"/>
    <w:basedOn w:val="1"/>
    <w:autoRedefine/>
    <w:qFormat/>
    <w:uiPriority w:val="99"/>
    <w:pPr>
      <w:ind w:firstLine="420" w:firstLineChars="200"/>
    </w:pPr>
    <w:rPr>
      <w:rFonts w:ascii="Times New Roman" w:hAnsi="Times New Roman" w:eastAsia="宋体" w:cs="Times New Roman"/>
      <w:szCs w:val="24"/>
    </w:rPr>
  </w:style>
  <w:style w:type="character" w:customStyle="1" w:styleId="131">
    <w:name w:val="正文文本 字符"/>
    <w:basedOn w:val="40"/>
    <w:link w:val="12"/>
    <w:autoRedefine/>
    <w:qFormat/>
    <w:uiPriority w:val="99"/>
    <w:rPr>
      <w:rFonts w:ascii="Calibri" w:hAnsi="Calibri" w:eastAsia="宋体" w:cs="Times New Roman"/>
      <w:kern w:val="0"/>
      <w:sz w:val="24"/>
      <w:szCs w:val="20"/>
    </w:rPr>
  </w:style>
  <w:style w:type="character" w:customStyle="1" w:styleId="132">
    <w:name w:val="Body Text Char1"/>
    <w:basedOn w:val="40"/>
    <w:autoRedefine/>
    <w:semiHidden/>
    <w:qFormat/>
    <w:locked/>
    <w:uiPriority w:val="99"/>
    <w:rPr>
      <w:rFonts w:cs="Times New Roman"/>
    </w:rPr>
  </w:style>
  <w:style w:type="paragraph" w:customStyle="1" w:styleId="133">
    <w:name w:val="_Style 21"/>
    <w:basedOn w:val="1"/>
    <w:autoRedefine/>
    <w:qFormat/>
    <w:uiPriority w:val="99"/>
    <w:rPr>
      <w:rFonts w:ascii="Times New Roman" w:hAnsi="Times New Roman" w:eastAsia="宋体" w:cs="Times New Roman"/>
      <w:szCs w:val="20"/>
    </w:rPr>
  </w:style>
  <w:style w:type="paragraph" w:customStyle="1" w:styleId="134">
    <w:name w:val="p0"/>
    <w:basedOn w:val="1"/>
    <w:autoRedefine/>
    <w:qFormat/>
    <w:uiPriority w:val="99"/>
    <w:pPr>
      <w:widowControl/>
    </w:pPr>
    <w:rPr>
      <w:rFonts w:ascii="Times New Roman" w:hAnsi="Times New Roman" w:eastAsia="宋体" w:cs="Times New Roman"/>
      <w:kern w:val="0"/>
      <w:szCs w:val="21"/>
    </w:rPr>
  </w:style>
  <w:style w:type="paragraph" w:customStyle="1" w:styleId="135">
    <w:name w:val="xl37"/>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25"/>
    <w:basedOn w:val="1"/>
    <w:autoRedefine/>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7">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8">
    <w:name w:val="无间隔11"/>
    <w:autoRedefine/>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9">
    <w:name w:val="列出段落11"/>
    <w:basedOn w:val="1"/>
    <w:autoRedefine/>
    <w:qFormat/>
    <w:uiPriority w:val="99"/>
    <w:pPr>
      <w:ind w:firstLine="420" w:firstLineChars="200"/>
    </w:pPr>
    <w:rPr>
      <w:rFonts w:ascii="Times New Roman" w:hAnsi="Times New Roman" w:eastAsia="宋体" w:cs="Times New Roman"/>
      <w:szCs w:val="24"/>
    </w:rPr>
  </w:style>
  <w:style w:type="paragraph" w:customStyle="1" w:styleId="140">
    <w:name w:val="_Style 2"/>
    <w:basedOn w:val="1"/>
    <w:autoRedefine/>
    <w:qFormat/>
    <w:uiPriority w:val="99"/>
    <w:pPr>
      <w:ind w:firstLine="420" w:firstLineChars="200"/>
    </w:pPr>
    <w:rPr>
      <w:rFonts w:ascii="Calibri" w:hAnsi="Calibri" w:eastAsia="宋体" w:cs="Times New Roman"/>
    </w:rPr>
  </w:style>
  <w:style w:type="paragraph" w:customStyle="1" w:styleId="141">
    <w:name w:val="txt14"/>
    <w:basedOn w:val="1"/>
    <w:autoRedefine/>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2">
    <w:name w:val="_Style 11"/>
    <w:basedOn w:val="1"/>
    <w:autoRedefine/>
    <w:qFormat/>
    <w:uiPriority w:val="99"/>
    <w:rPr>
      <w:rFonts w:ascii="Times New Roman" w:hAnsi="Times New Roman" w:eastAsia="宋体" w:cs="Times New Roman"/>
      <w:szCs w:val="24"/>
    </w:rPr>
  </w:style>
  <w:style w:type="paragraph" w:customStyle="1" w:styleId="143">
    <w:name w:val="Char"/>
    <w:basedOn w:val="1"/>
    <w:autoRedefine/>
    <w:qFormat/>
    <w:uiPriority w:val="99"/>
    <w:rPr>
      <w:rFonts w:ascii="Times New Roman" w:hAnsi="Times New Roman" w:eastAsia="宋体" w:cs="Times New Roman"/>
      <w:szCs w:val="21"/>
    </w:rPr>
  </w:style>
  <w:style w:type="paragraph" w:customStyle="1" w:styleId="144">
    <w:name w:val="列出段落12"/>
    <w:basedOn w:val="1"/>
    <w:autoRedefine/>
    <w:qFormat/>
    <w:uiPriority w:val="99"/>
    <w:pPr>
      <w:ind w:firstLine="420" w:firstLineChars="200"/>
    </w:pPr>
    <w:rPr>
      <w:rFonts w:ascii="Times New Roman" w:hAnsi="Times New Roman" w:eastAsia="宋体" w:cs="Times New Roman"/>
      <w:szCs w:val="24"/>
    </w:rPr>
  </w:style>
  <w:style w:type="paragraph" w:customStyle="1" w:styleId="145">
    <w:name w:val="列出段落2"/>
    <w:basedOn w:val="1"/>
    <w:autoRedefine/>
    <w:qFormat/>
    <w:uiPriority w:val="99"/>
    <w:pPr>
      <w:ind w:firstLine="420" w:firstLineChars="200"/>
    </w:pPr>
    <w:rPr>
      <w:rFonts w:ascii="Times New Roman" w:hAnsi="Times New Roman" w:eastAsia="宋体" w:cs="Times New Roman"/>
      <w:szCs w:val="24"/>
    </w:rPr>
  </w:style>
  <w:style w:type="paragraph" w:customStyle="1" w:styleId="146">
    <w:name w:val="TOC 标题1"/>
    <w:basedOn w:val="2"/>
    <w:next w:val="1"/>
    <w:autoRedefine/>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7">
    <w:name w:val="正文文本缩进 31"/>
    <w:basedOn w:val="1"/>
    <w:autoRedefine/>
    <w:qFormat/>
    <w:uiPriority w:val="99"/>
    <w:pPr>
      <w:spacing w:line="440" w:lineRule="exact"/>
      <w:ind w:firstLine="412" w:firstLineChars="200"/>
    </w:pPr>
    <w:rPr>
      <w:rFonts w:ascii="宋体" w:hAnsi="宋体" w:eastAsia="宋体" w:cs="Times New Roman"/>
      <w:kern w:val="0"/>
      <w:sz w:val="20"/>
      <w:szCs w:val="20"/>
    </w:rPr>
  </w:style>
  <w:style w:type="character" w:customStyle="1" w:styleId="148">
    <w:name w:val="font41"/>
    <w:autoRedefine/>
    <w:qFormat/>
    <w:uiPriority w:val="99"/>
    <w:rPr>
      <w:rFonts w:hint="eastAsia" w:ascii="宋体" w:hAnsi="宋体" w:eastAsia="宋体" w:cs="宋体"/>
      <w:b/>
      <w:color w:val="000000"/>
      <w:sz w:val="22"/>
      <w:szCs w:val="22"/>
      <w:u w:val="none"/>
    </w:rPr>
  </w:style>
  <w:style w:type="character" w:customStyle="1" w:styleId="149">
    <w:name w:val="font81"/>
    <w:autoRedefine/>
    <w:qFormat/>
    <w:uiPriority w:val="0"/>
    <w:rPr>
      <w:rFonts w:hint="eastAsia" w:ascii="宋体" w:hAnsi="宋体" w:eastAsia="宋体" w:cs="宋体"/>
      <w:b/>
      <w:color w:val="000000"/>
      <w:sz w:val="22"/>
      <w:szCs w:val="22"/>
      <w:u w:val="none"/>
    </w:rPr>
  </w:style>
  <w:style w:type="character" w:customStyle="1" w:styleId="150">
    <w:name w:val="font21"/>
    <w:autoRedefine/>
    <w:qFormat/>
    <w:uiPriority w:val="0"/>
    <w:rPr>
      <w:rFonts w:hint="eastAsia" w:ascii="宋体" w:hAnsi="宋体" w:eastAsia="宋体" w:cs="宋体"/>
      <w:color w:val="000000"/>
      <w:sz w:val="18"/>
      <w:szCs w:val="18"/>
      <w:u w:val="none"/>
    </w:rPr>
  </w:style>
  <w:style w:type="character" w:customStyle="1" w:styleId="151">
    <w:name w:val="日期 字符"/>
    <w:link w:val="18"/>
    <w:autoRedefine/>
    <w:qFormat/>
    <w:uiPriority w:val="0"/>
    <w:rPr>
      <w:szCs w:val="21"/>
    </w:rPr>
  </w:style>
  <w:style w:type="character" w:customStyle="1" w:styleId="152">
    <w:name w:val="font01"/>
    <w:autoRedefine/>
    <w:qFormat/>
    <w:uiPriority w:val="99"/>
    <w:rPr>
      <w:rFonts w:hint="eastAsia" w:ascii="宋体" w:hAnsi="宋体" w:eastAsia="宋体" w:cs="宋体"/>
      <w:color w:val="000000"/>
      <w:sz w:val="22"/>
      <w:szCs w:val="22"/>
      <w:u w:val="none"/>
    </w:rPr>
  </w:style>
  <w:style w:type="character" w:customStyle="1" w:styleId="153">
    <w:name w:val="Char Char1"/>
    <w:autoRedefine/>
    <w:qFormat/>
    <w:uiPriority w:val="0"/>
    <w:rPr>
      <w:rFonts w:eastAsia="宋体"/>
      <w:kern w:val="2"/>
      <w:sz w:val="18"/>
      <w:szCs w:val="18"/>
      <w:lang w:val="en-US" w:eastAsia="zh-CN" w:bidi="ar-SA"/>
    </w:rPr>
  </w:style>
  <w:style w:type="character" w:customStyle="1" w:styleId="154">
    <w:name w:val="标题 字符"/>
    <w:link w:val="35"/>
    <w:autoRedefine/>
    <w:qFormat/>
    <w:uiPriority w:val="0"/>
    <w:rPr>
      <w:rFonts w:ascii="Cambria" w:hAnsi="Cambria" w:cs="Times New Roman"/>
      <w:b/>
      <w:bCs/>
      <w:sz w:val="32"/>
      <w:szCs w:val="32"/>
    </w:rPr>
  </w:style>
  <w:style w:type="character" w:customStyle="1" w:styleId="155">
    <w:name w:val="hei141"/>
    <w:autoRedefine/>
    <w:qFormat/>
    <w:uiPriority w:val="0"/>
    <w:rPr>
      <w:rFonts w:hint="eastAsia" w:ascii="宋体" w:hAnsi="宋体" w:eastAsia="宋体"/>
      <w:color w:val="000000"/>
      <w:sz w:val="19"/>
      <w:szCs w:val="19"/>
      <w:u w:val="none"/>
    </w:rPr>
  </w:style>
  <w:style w:type="character" w:customStyle="1" w:styleId="156">
    <w:name w:val="批注文字 字符"/>
    <w:link w:val="11"/>
    <w:autoRedefine/>
    <w:qFormat/>
    <w:uiPriority w:val="99"/>
  </w:style>
  <w:style w:type="character" w:customStyle="1" w:styleId="157">
    <w:name w:val="apple-style-span"/>
    <w:basedOn w:val="40"/>
    <w:autoRedefine/>
    <w:qFormat/>
    <w:uiPriority w:val="0"/>
  </w:style>
  <w:style w:type="character" w:customStyle="1" w:styleId="158">
    <w:name w:val="param-value"/>
    <w:autoRedefine/>
    <w:qFormat/>
    <w:uiPriority w:val="99"/>
    <w:rPr>
      <w:rFonts w:cs="Times New Roman"/>
    </w:rPr>
  </w:style>
  <w:style w:type="character" w:customStyle="1" w:styleId="159">
    <w:name w:val="font61"/>
    <w:autoRedefine/>
    <w:qFormat/>
    <w:uiPriority w:val="0"/>
    <w:rPr>
      <w:rFonts w:hint="eastAsia" w:ascii="宋体" w:hAnsi="宋体" w:eastAsia="宋体" w:cs="宋体"/>
      <w:color w:val="000000"/>
      <w:sz w:val="22"/>
      <w:szCs w:val="22"/>
      <w:u w:val="none"/>
    </w:rPr>
  </w:style>
  <w:style w:type="character" w:customStyle="1" w:styleId="160">
    <w:name w:val="font11"/>
    <w:autoRedefine/>
    <w:qFormat/>
    <w:uiPriority w:val="0"/>
    <w:rPr>
      <w:rFonts w:hint="eastAsia" w:ascii="宋体" w:hAnsi="宋体" w:eastAsia="宋体" w:cs="宋体"/>
      <w:color w:val="FF0000"/>
      <w:sz w:val="22"/>
      <w:szCs w:val="22"/>
      <w:u w:val="none"/>
    </w:rPr>
  </w:style>
  <w:style w:type="character" w:customStyle="1" w:styleId="161">
    <w:name w:val="批注主题 字符"/>
    <w:link w:val="36"/>
    <w:autoRedefine/>
    <w:qFormat/>
    <w:uiPriority w:val="0"/>
    <w:rPr>
      <w:b/>
      <w:bCs/>
    </w:rPr>
  </w:style>
  <w:style w:type="character" w:customStyle="1" w:styleId="162">
    <w:name w:val="批注文字 Char1"/>
    <w:basedOn w:val="40"/>
    <w:autoRedefine/>
    <w:semiHidden/>
    <w:qFormat/>
    <w:uiPriority w:val="99"/>
  </w:style>
  <w:style w:type="paragraph" w:customStyle="1" w:styleId="163">
    <w:name w:val="内文"/>
    <w:basedOn w:val="1"/>
    <w:autoRedefine/>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autoRedefine/>
    <w:semiHidden/>
    <w:qFormat/>
    <w:uiPriority w:val="99"/>
    <w:rPr>
      <w:b/>
      <w:bCs/>
    </w:rPr>
  </w:style>
  <w:style w:type="paragraph" w:customStyle="1" w:styleId="165">
    <w:name w:val="reader-word-layer reader-word-s1-17"/>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40"/>
    <w:autoRedefine/>
    <w:semiHidden/>
    <w:qFormat/>
    <w:uiPriority w:val="99"/>
  </w:style>
  <w:style w:type="paragraph" w:customStyle="1" w:styleId="167">
    <w:name w:val="reader-word-layer reader-word-s1-14"/>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脚注文本 字符"/>
    <w:basedOn w:val="40"/>
    <w:link w:val="25"/>
    <w:autoRedefine/>
    <w:semiHidden/>
    <w:qFormat/>
    <w:uiPriority w:val="0"/>
    <w:rPr>
      <w:rFonts w:ascii="Times New Roman" w:hAnsi="Times New Roman" w:eastAsia="宋体" w:cs="Times New Roman"/>
      <w:sz w:val="18"/>
      <w:szCs w:val="18"/>
    </w:rPr>
  </w:style>
  <w:style w:type="paragraph" w:customStyle="1" w:styleId="169">
    <w:name w:val="reader-word-layer reader-word-s1-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reader-word-layer reader-word-s1-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标题 Char1"/>
    <w:basedOn w:val="40"/>
    <w:autoRedefine/>
    <w:qFormat/>
    <w:uiPriority w:val="10"/>
    <w:rPr>
      <w:rFonts w:eastAsia="宋体" w:asciiTheme="majorHAnsi" w:hAnsiTheme="majorHAnsi" w:cstheme="majorBidi"/>
      <w:b/>
      <w:bCs/>
      <w:sz w:val="32"/>
      <w:szCs w:val="32"/>
    </w:rPr>
  </w:style>
  <w:style w:type="paragraph" w:customStyle="1" w:styleId="172">
    <w:name w:val="本文正文"/>
    <w:basedOn w:val="1"/>
    <w:autoRedefine/>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3">
    <w:name w:val="reader-word-layer reader-word-s1-18"/>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Char Char Char1 Char Char Char Char"/>
    <w:basedOn w:val="1"/>
    <w:autoRedefine/>
    <w:qFormat/>
    <w:uiPriority w:val="99"/>
    <w:pPr>
      <w:spacing w:line="300" w:lineRule="auto"/>
    </w:pPr>
    <w:rPr>
      <w:rFonts w:ascii="Tahoma" w:hAnsi="Tahoma" w:eastAsia="宋体" w:cs="Times New Roman"/>
      <w:sz w:val="24"/>
      <w:szCs w:val="24"/>
    </w:rPr>
  </w:style>
  <w:style w:type="paragraph" w:customStyle="1" w:styleId="175">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autoRedefine/>
    <w:qFormat/>
    <w:uiPriority w:val="0"/>
    <w:pPr>
      <w:ind w:firstLine="420" w:firstLineChars="200"/>
    </w:pPr>
    <w:rPr>
      <w:rFonts w:ascii="Times New Roman" w:hAnsi="Times New Roman" w:eastAsia="宋体" w:cs="Times New Roman"/>
      <w:szCs w:val="24"/>
    </w:rPr>
  </w:style>
  <w:style w:type="character" w:customStyle="1" w:styleId="183">
    <w:name w:val="Char Char12"/>
    <w:autoRedefine/>
    <w:qFormat/>
    <w:uiPriority w:val="0"/>
    <w:rPr>
      <w:rFonts w:eastAsia="宋体"/>
      <w:kern w:val="2"/>
      <w:sz w:val="18"/>
      <w:szCs w:val="18"/>
      <w:lang w:val="en-US" w:eastAsia="zh-CN" w:bidi="ar-SA"/>
    </w:rPr>
  </w:style>
  <w:style w:type="paragraph" w:customStyle="1" w:styleId="184">
    <w:name w:val="Char Char4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autoRedefine/>
    <w:qFormat/>
    <w:uiPriority w:val="0"/>
    <w:pPr>
      <w:ind w:firstLine="420" w:firstLineChars="200"/>
    </w:pPr>
    <w:rPr>
      <w:rFonts w:ascii="Times New Roman" w:hAnsi="Times New Roman" w:eastAsia="宋体" w:cs="Times New Roman"/>
      <w:szCs w:val="24"/>
    </w:rPr>
  </w:style>
  <w:style w:type="character" w:customStyle="1" w:styleId="187">
    <w:name w:val="Char Char11"/>
    <w:autoRedefine/>
    <w:qFormat/>
    <w:uiPriority w:val="0"/>
    <w:rPr>
      <w:rFonts w:eastAsia="宋体"/>
      <w:kern w:val="2"/>
      <w:sz w:val="18"/>
      <w:szCs w:val="18"/>
      <w:lang w:val="en-US" w:eastAsia="zh-CN" w:bidi="ar-SA"/>
    </w:rPr>
  </w:style>
  <w:style w:type="paragraph" w:customStyle="1" w:styleId="188">
    <w:name w:val="Char Char4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autoRedefine/>
    <w:qFormat/>
    <w:uiPriority w:val="0"/>
    <w:pPr>
      <w:ind w:firstLine="420" w:firstLineChars="200"/>
    </w:pPr>
    <w:rPr>
      <w:rFonts w:ascii="Times New Roman" w:hAnsi="Times New Roman" w:eastAsia="宋体" w:cs="Times New Roman"/>
      <w:szCs w:val="24"/>
    </w:rPr>
  </w:style>
  <w:style w:type="character" w:customStyle="1" w:styleId="191">
    <w:name w:val="bookmark-item"/>
    <w:basedOn w:val="40"/>
    <w:autoRedefine/>
    <w:qFormat/>
    <w:uiPriority w:val="0"/>
  </w:style>
  <w:style w:type="paragraph" w:customStyle="1" w:styleId="192">
    <w:name w:val="列出段落6"/>
    <w:basedOn w:val="1"/>
    <w:autoRedefine/>
    <w:qFormat/>
    <w:uiPriority w:val="34"/>
    <w:pPr>
      <w:ind w:firstLine="420" w:firstLineChars="200"/>
    </w:pPr>
    <w:rPr>
      <w:rFonts w:ascii="Calibri" w:hAnsi="Calibri" w:eastAsia="宋体" w:cs="Times New Roman"/>
    </w:rPr>
  </w:style>
  <w:style w:type="character" w:customStyle="1" w:styleId="193">
    <w:name w:val="纯文本 字符"/>
    <w:basedOn w:val="40"/>
    <w:link w:val="16"/>
    <w:autoRedefine/>
    <w:qFormat/>
    <w:uiPriority w:val="0"/>
    <w:rPr>
      <w:rFonts w:ascii="宋体" w:hAnsi="Courier New" w:eastAsia="宋体" w:cs="宋体"/>
      <w:kern w:val="2"/>
      <w:sz w:val="21"/>
      <w:szCs w:val="21"/>
    </w:rPr>
  </w:style>
  <w:style w:type="paragraph" w:customStyle="1" w:styleId="194">
    <w:name w:val="0"/>
    <w:basedOn w:val="1"/>
    <w:autoRedefine/>
    <w:qFormat/>
    <w:uiPriority w:val="0"/>
    <w:pPr>
      <w:widowControl/>
      <w:snapToGrid w:val="0"/>
      <w:jc w:val="left"/>
    </w:pPr>
    <w:rPr>
      <w:rFonts w:ascii="Times New Roman" w:hAnsi="Times New Roman" w:eastAsia="宋体" w:cs="Times New Roman"/>
      <w:kern w:val="0"/>
      <w:sz w:val="20"/>
      <w:szCs w:val="20"/>
    </w:rPr>
  </w:style>
  <w:style w:type="paragraph" w:customStyle="1" w:styleId="195">
    <w:name w:val="Table Paragraph"/>
    <w:basedOn w:val="1"/>
    <w:autoRedefine/>
    <w:qFormat/>
    <w:uiPriority w:val="1"/>
    <w:pPr>
      <w:jc w:val="left"/>
    </w:pPr>
    <w:rPr>
      <w:rFonts w:ascii="Calibri" w:hAnsi="Calibri" w:eastAsia="Calibri" w:cs="Times New Roman"/>
      <w:kern w:val="0"/>
      <w:sz w:val="22"/>
      <w:lang w:eastAsia="en-US"/>
    </w:rPr>
  </w:style>
  <w:style w:type="paragraph" w:customStyle="1" w:styleId="196">
    <w:name w:val="_Style 3"/>
    <w:basedOn w:val="1"/>
    <w:autoRedefine/>
    <w:qFormat/>
    <w:uiPriority w:val="34"/>
    <w:pPr>
      <w:ind w:firstLine="420" w:firstLineChars="200"/>
    </w:pPr>
    <w:rPr>
      <w:rFonts w:ascii="Times New Roman" w:hAnsi="Times New Roman" w:eastAsia="宋体" w:cs="黑体"/>
      <w:szCs w:val="24"/>
    </w:rPr>
  </w:style>
  <w:style w:type="character" w:customStyle="1" w:styleId="197">
    <w:name w:val="正文文本首行缩进 2 字符"/>
    <w:basedOn w:val="62"/>
    <w:link w:val="37"/>
    <w:autoRedefine/>
    <w:semiHidden/>
    <w:qFormat/>
    <w:uiPriority w:val="99"/>
    <w:rPr>
      <w:rFonts w:ascii="??" w:hAnsi="??" w:eastAsia="宋体" w:cs="Arial"/>
      <w:kern w:val="2"/>
      <w:sz w:val="21"/>
      <w:szCs w:val="22"/>
    </w:rPr>
  </w:style>
  <w:style w:type="paragraph" w:customStyle="1" w:styleId="198">
    <w:name w:val="标书正文"/>
    <w:basedOn w:val="1"/>
    <w:autoRedefine/>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199">
    <w:name w:val="表格"/>
    <w:autoRedefine/>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0">
    <w:name w:val="正文文本 2 字符"/>
    <w:basedOn w:val="40"/>
    <w:link w:val="31"/>
    <w:autoRedefine/>
    <w:semiHidden/>
    <w:qFormat/>
    <w:uiPriority w:val="99"/>
    <w:rPr>
      <w:rFonts w:asciiTheme="minorHAnsi" w:hAnsiTheme="minorHAnsi" w:eastAsiaTheme="minorEastAsia" w:cstheme="minorBidi"/>
      <w:kern w:val="2"/>
      <w:sz w:val="21"/>
      <w:szCs w:val="22"/>
    </w:rPr>
  </w:style>
  <w:style w:type="paragraph" w:customStyle="1" w:styleId="201">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2">
    <w:name w:val="列表段落1"/>
    <w:basedOn w:val="1"/>
    <w:autoRedefine/>
    <w:qFormat/>
    <w:uiPriority w:val="0"/>
    <w:pPr>
      <w:ind w:firstLine="420" w:firstLineChars="200"/>
    </w:pPr>
    <w:rPr>
      <w:rFonts w:ascii="Times New Roman" w:hAnsi="Times New Roman" w:eastAsia="宋体" w:cs="Times New Roman"/>
    </w:rPr>
  </w:style>
  <w:style w:type="character" w:customStyle="1" w:styleId="203">
    <w:name w:val="列表段落 字符"/>
    <w:link w:val="63"/>
    <w:autoRedefine/>
    <w:qFormat/>
    <w:uiPriority w:val="0"/>
    <w:rPr>
      <w:rFonts w:ascii="Calibri" w:hAnsi="Calibri"/>
      <w:kern w:val="2"/>
      <w:sz w:val="21"/>
      <w:szCs w:val="22"/>
    </w:rPr>
  </w:style>
  <w:style w:type="paragraph" w:customStyle="1" w:styleId="204">
    <w:name w:val="正文+首行缩进2字符"/>
    <w:basedOn w:val="1"/>
    <w:qFormat/>
    <w:uiPriority w:val="0"/>
    <w:pPr>
      <w:ind w:firstLine="200" w:firstLineChars="200"/>
    </w:pPr>
  </w:style>
  <w:style w:type="character" w:customStyle="1" w:styleId="205">
    <w:name w:val="fontstyle21"/>
    <w:basedOn w:val="40"/>
    <w:qFormat/>
    <w:uiPriority w:val="0"/>
    <w:rPr>
      <w:rFonts w:ascii="HiddenHorzOCR-Identity-H" w:hAnsi="HiddenHorzOCR-Identity-H" w:eastAsia="HiddenHorzOCR-Identity-H" w:cs="HiddenHorzOCR-Identity-H"/>
      <w:color w:val="000000"/>
      <w:sz w:val="26"/>
      <w:szCs w:val="26"/>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CB277-EA15-4481-BBCD-348E33F2F38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11595</Words>
  <Characters>12790</Characters>
  <Lines>325</Lines>
  <Paragraphs>91</Paragraphs>
  <TotalTime>9</TotalTime>
  <ScaleCrop>false</ScaleCrop>
  <LinksUpToDate>false</LinksUpToDate>
  <CharactersWithSpaces>12932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2022-09-12T19:32:00Z</dcterms:created>
  <dc:creator>Administrator</dc:creator>
  <cp:lastModifiedBy>.</cp:lastModifiedBy>
  <cp:lastPrinted>2024-07-24T13:55:00Z</cp:lastPrinted>
  <dcterms:modified xsi:type="dcterms:W3CDTF">2026-05-06T04:55:52Z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F485F5BEDD7C48789ED2B15C50E162D8_13</vt:lpwstr>
  </property>
  <property fmtid="{D5CDD505-2E9C-101B-9397-08002B2CF9AE}" pid="4" name="KSOTemplateDocerSaveRecord">
    <vt:lpwstr>eyJoZGlkIjoiMDBmMDQ0YjhjZjBkYTc3ZWEzYWJlNzQwYjE0MzM0YTYiLCJ1c2VySWQiOiI1NzcxNzM2NTMifQ==</vt:lpwstr>
  </property>
</Properties>
</file>