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48BD823A">
      <w:pPr>
        <w:spacing w:before="120" w:beforeLines="50"/>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 xml:space="preserve">  </w:t>
      </w:r>
    </w:p>
    <w:p w14:paraId="60D4F6A8">
      <w:pPr>
        <w:spacing w:before="120" w:beforeLines="50"/>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公开招标采购文件</w:t>
      </w:r>
    </w:p>
    <w:p w14:paraId="77989D18">
      <w:pPr>
        <w:snapToGrid w:val="0"/>
        <w:spacing w:before="120" w:beforeLines="50" w:line="360" w:lineRule="auto"/>
        <w:rPr>
          <w:rFonts w:ascii="宋体" w:hAnsi="宋体" w:cs="宋体"/>
          <w:color w:val="auto"/>
          <w:sz w:val="30"/>
          <w:szCs w:val="72"/>
          <w:highlight w:val="none"/>
        </w:rPr>
      </w:pPr>
    </w:p>
    <w:p w14:paraId="4413DDFA">
      <w:pPr>
        <w:snapToGrid w:val="0"/>
        <w:spacing w:before="120" w:beforeLines="50" w:line="360" w:lineRule="auto"/>
        <w:rPr>
          <w:rFonts w:ascii="宋体" w:hAnsi="宋体" w:cs="宋体"/>
          <w:color w:val="auto"/>
          <w:sz w:val="30"/>
          <w:szCs w:val="72"/>
          <w:highlight w:val="none"/>
        </w:rPr>
      </w:pPr>
    </w:p>
    <w:p w14:paraId="0C9EB7E5">
      <w:pPr>
        <w:snapToGrid w:val="0"/>
        <w:spacing w:before="120" w:beforeLines="50" w:line="360" w:lineRule="auto"/>
        <w:rPr>
          <w:rFonts w:ascii="宋体" w:hAnsi="宋体" w:cs="宋体"/>
          <w:color w:val="auto"/>
          <w:sz w:val="30"/>
          <w:szCs w:val="72"/>
          <w:highlight w:val="none"/>
        </w:rPr>
      </w:pPr>
      <w:r>
        <w:rPr>
          <w:rFonts w:hint="eastAsia" w:ascii="宋体" w:hAnsi="宋体" w:cs="宋体"/>
          <w:color w:val="auto"/>
          <w:sz w:val="30"/>
          <w:szCs w:val="72"/>
          <w:highlight w:val="none"/>
        </w:rPr>
        <w:t xml:space="preserve"> </w:t>
      </w:r>
    </w:p>
    <w:p w14:paraId="438FB669">
      <w:pPr>
        <w:pStyle w:val="21"/>
        <w:snapToGrid w:val="0"/>
        <w:spacing w:before="120" w:beforeLines="0" w:after="120" w:afterLines="0" w:line="360" w:lineRule="auto"/>
        <w:rPr>
          <w:rFonts w:hAnsi="宋体" w:cs="宋体"/>
          <w:b/>
          <w:bCs/>
          <w:color w:val="auto"/>
          <w:sz w:val="30"/>
          <w:szCs w:val="30"/>
          <w:highlight w:val="none"/>
        </w:rPr>
      </w:pPr>
    </w:p>
    <w:p w14:paraId="77B9DCB4">
      <w:pPr>
        <w:pStyle w:val="21"/>
        <w:snapToGrid w:val="0"/>
        <w:spacing w:before="480" w:beforeLines="0" w:after="120" w:afterLines="0" w:line="480" w:lineRule="auto"/>
        <w:ind w:left="1506" w:hanging="1506" w:hangingChars="500"/>
        <w:rPr>
          <w:rFonts w:hint="eastAsia" w:hAnsi="宋体" w:cs="宋体"/>
          <w:b/>
          <w:bCs/>
          <w:color w:val="auto"/>
          <w:sz w:val="30"/>
          <w:szCs w:val="30"/>
          <w:highlight w:val="none"/>
          <w:lang w:eastAsia="zh-CN"/>
        </w:rPr>
      </w:pPr>
      <w:r>
        <w:rPr>
          <w:rFonts w:hint="eastAsia" w:hAnsi="宋体" w:cs="宋体"/>
          <w:b/>
          <w:bCs/>
          <w:color w:val="auto"/>
          <w:sz w:val="30"/>
          <w:szCs w:val="30"/>
          <w:highlight w:val="none"/>
        </w:rPr>
        <w:t>项目编号：</w:t>
      </w:r>
      <w:r>
        <w:rPr>
          <w:rFonts w:hint="eastAsia" w:hAnsi="宋体" w:cs="宋体"/>
          <w:b/>
          <w:bCs/>
          <w:color w:val="auto"/>
          <w:sz w:val="30"/>
          <w:szCs w:val="30"/>
          <w:highlight w:val="none"/>
          <w:lang w:eastAsia="zh-CN"/>
        </w:rPr>
        <w:t>NBHZ-2026012G-1</w:t>
      </w:r>
    </w:p>
    <w:p w14:paraId="60D2EF6B">
      <w:pPr>
        <w:pStyle w:val="21"/>
        <w:snapToGrid w:val="0"/>
        <w:spacing w:before="480" w:beforeLines="0" w:after="120" w:afterLines="0" w:line="480" w:lineRule="auto"/>
        <w:ind w:left="1506" w:hanging="1506" w:hangingChars="500"/>
        <w:rPr>
          <w:rFonts w:hint="eastAsia" w:hAnsi="宋体" w:cs="宋体"/>
          <w:b/>
          <w:bCs/>
          <w:color w:val="auto"/>
          <w:sz w:val="30"/>
          <w:szCs w:val="30"/>
          <w:highlight w:val="none"/>
          <w:lang w:eastAsia="zh-CN"/>
        </w:rPr>
      </w:pPr>
      <w:r>
        <w:rPr>
          <w:rFonts w:hint="eastAsia" w:hAnsi="宋体" w:cs="宋体"/>
          <w:b/>
          <w:bCs/>
          <w:color w:val="auto"/>
          <w:sz w:val="30"/>
          <w:szCs w:val="30"/>
          <w:highlight w:val="none"/>
        </w:rPr>
        <w:t>项目名称</w:t>
      </w:r>
      <w:bookmarkStart w:id="0" w:name="_Hlk65593721"/>
      <w:r>
        <w:rPr>
          <w:rFonts w:hint="eastAsia" w:hAnsi="宋体" w:cs="宋体"/>
          <w:b/>
          <w:bCs/>
          <w:color w:val="auto"/>
          <w:sz w:val="30"/>
          <w:szCs w:val="30"/>
          <w:highlight w:val="none"/>
        </w:rPr>
        <w:t>：</w:t>
      </w:r>
      <w:bookmarkEnd w:id="0"/>
      <w:r>
        <w:rPr>
          <w:rFonts w:hint="eastAsia" w:hAnsi="宋体" w:cs="宋体"/>
          <w:b/>
          <w:bCs/>
          <w:color w:val="auto"/>
          <w:sz w:val="30"/>
          <w:szCs w:val="30"/>
          <w:highlight w:val="none"/>
          <w:lang w:eastAsia="zh-CN"/>
        </w:rPr>
        <w:t>大碶派出所迁建工程-办案区智能化项目（重发）</w:t>
      </w:r>
    </w:p>
    <w:p w14:paraId="654604E0">
      <w:pPr>
        <w:pStyle w:val="21"/>
        <w:snapToGrid w:val="0"/>
        <w:spacing w:before="480" w:beforeLines="0" w:after="120" w:afterLines="0" w:line="480" w:lineRule="auto"/>
        <w:ind w:left="1506" w:hanging="1506" w:hangingChars="500"/>
        <w:rPr>
          <w:rFonts w:hint="eastAsia" w:hAnsi="宋体" w:cs="宋体"/>
          <w:b/>
          <w:bCs/>
          <w:color w:val="auto"/>
          <w:sz w:val="30"/>
          <w:szCs w:val="30"/>
          <w:highlight w:val="none"/>
        </w:rPr>
      </w:pPr>
      <w:r>
        <w:rPr>
          <w:rFonts w:hint="eastAsia" w:hAnsi="宋体" w:cs="宋体"/>
          <w:b/>
          <w:bCs/>
          <w:color w:val="auto"/>
          <w:sz w:val="30"/>
          <w:szCs w:val="30"/>
          <w:highlight w:val="none"/>
        </w:rPr>
        <w:t>招标单位：</w:t>
      </w:r>
      <w:r>
        <w:rPr>
          <w:rFonts w:hint="eastAsia" w:hAnsi="宋体" w:cs="宋体"/>
          <w:b/>
          <w:bCs/>
          <w:color w:val="auto"/>
          <w:sz w:val="30"/>
          <w:szCs w:val="30"/>
          <w:highlight w:val="none"/>
          <w:lang w:eastAsia="zh-CN"/>
        </w:rPr>
        <w:t>宁波市公安局北仑区分局</w:t>
      </w:r>
      <w:r>
        <w:rPr>
          <w:rFonts w:hint="eastAsia" w:hAnsi="宋体" w:cs="宋体"/>
          <w:b/>
          <w:bCs/>
          <w:color w:val="auto"/>
          <w:sz w:val="30"/>
          <w:szCs w:val="30"/>
          <w:highlight w:val="none"/>
        </w:rPr>
        <w:t>  </w:t>
      </w:r>
    </w:p>
    <w:p w14:paraId="52A4339C">
      <w:pPr>
        <w:pStyle w:val="21"/>
        <w:snapToGrid w:val="0"/>
        <w:spacing w:before="480" w:beforeLines="0" w:after="120" w:afterLines="0" w:line="480" w:lineRule="auto"/>
        <w:ind w:left="1506" w:hanging="1506" w:hangingChars="500"/>
        <w:rPr>
          <w:rFonts w:hAnsi="宋体" w:cs="宋体"/>
          <w:b/>
          <w:bCs/>
          <w:color w:val="auto"/>
          <w:sz w:val="30"/>
          <w:szCs w:val="30"/>
          <w:highlight w:val="none"/>
        </w:rPr>
      </w:pPr>
      <w:r>
        <w:rPr>
          <w:rFonts w:hint="eastAsia" w:hAnsi="宋体" w:cs="宋体"/>
          <w:b/>
          <w:bCs/>
          <w:color w:val="auto"/>
          <w:sz w:val="30"/>
          <w:szCs w:val="30"/>
          <w:highlight w:val="none"/>
        </w:rPr>
        <w:t>代理机构：宁波慧泽工程管理咨询有限公司</w:t>
      </w:r>
    </w:p>
    <w:p w14:paraId="40BF918F">
      <w:pPr>
        <w:snapToGrid w:val="0"/>
        <w:spacing w:before="120" w:beforeLines="50" w:line="360" w:lineRule="auto"/>
        <w:jc w:val="center"/>
        <w:rPr>
          <w:rFonts w:ascii="宋体" w:hAnsi="宋体" w:cs="宋体"/>
          <w:b/>
          <w:bCs/>
          <w:color w:val="auto"/>
          <w:w w:val="95"/>
          <w:sz w:val="30"/>
          <w:szCs w:val="30"/>
          <w:highlight w:val="none"/>
        </w:rPr>
      </w:pPr>
    </w:p>
    <w:p w14:paraId="1FE6CC67">
      <w:pPr>
        <w:snapToGrid w:val="0"/>
        <w:spacing w:before="120" w:beforeLines="50" w:line="360" w:lineRule="auto"/>
        <w:jc w:val="center"/>
        <w:rPr>
          <w:rFonts w:ascii="宋体" w:hAnsi="宋体" w:cs="宋体"/>
          <w:b/>
          <w:bCs/>
          <w:color w:val="auto"/>
          <w:w w:val="95"/>
          <w:sz w:val="40"/>
          <w:szCs w:val="40"/>
          <w:highlight w:val="none"/>
        </w:rPr>
      </w:pPr>
    </w:p>
    <w:p w14:paraId="22FE006D">
      <w:pPr>
        <w:pStyle w:val="14"/>
        <w:rPr>
          <w:rFonts w:ascii="宋体" w:hAnsi="宋体" w:cs="宋体"/>
          <w:b/>
          <w:bCs/>
          <w:color w:val="auto"/>
          <w:w w:val="95"/>
          <w:sz w:val="40"/>
          <w:szCs w:val="40"/>
          <w:highlight w:val="none"/>
        </w:rPr>
      </w:pPr>
    </w:p>
    <w:p w14:paraId="23EA79AC">
      <w:pPr>
        <w:rPr>
          <w:rFonts w:ascii="宋体" w:hAnsi="宋体" w:cs="宋体"/>
          <w:b/>
          <w:bCs/>
          <w:color w:val="auto"/>
          <w:w w:val="95"/>
          <w:sz w:val="40"/>
          <w:szCs w:val="40"/>
          <w:highlight w:val="none"/>
        </w:rPr>
      </w:pPr>
    </w:p>
    <w:p w14:paraId="133B032F">
      <w:pPr>
        <w:pStyle w:val="14"/>
        <w:rPr>
          <w:color w:val="auto"/>
          <w:highlight w:val="none"/>
        </w:rPr>
      </w:pPr>
    </w:p>
    <w:p w14:paraId="01C95C81">
      <w:pPr>
        <w:jc w:val="center"/>
        <w:rPr>
          <w:color w:val="auto"/>
          <w:sz w:val="32"/>
          <w:szCs w:val="40"/>
          <w:highlight w:val="none"/>
        </w:rPr>
      </w:pPr>
      <w:r>
        <w:rPr>
          <w:rFonts w:hint="eastAsia"/>
          <w:color w:val="auto"/>
          <w:sz w:val="32"/>
          <w:szCs w:val="40"/>
          <w:highlight w:val="none"/>
        </w:rPr>
        <w:t>202</w:t>
      </w:r>
      <w:r>
        <w:rPr>
          <w:rFonts w:hint="eastAsia"/>
          <w:color w:val="auto"/>
          <w:sz w:val="32"/>
          <w:szCs w:val="40"/>
          <w:highlight w:val="none"/>
          <w:lang w:val="en-US" w:eastAsia="zh-CN"/>
        </w:rPr>
        <w:t>6</w:t>
      </w:r>
      <w:r>
        <w:rPr>
          <w:rFonts w:hint="eastAsia"/>
          <w:color w:val="auto"/>
          <w:sz w:val="32"/>
          <w:szCs w:val="40"/>
          <w:highlight w:val="none"/>
        </w:rPr>
        <w:t>年</w:t>
      </w:r>
      <w:r>
        <w:rPr>
          <w:rFonts w:hint="eastAsia"/>
          <w:color w:val="auto"/>
          <w:sz w:val="32"/>
          <w:szCs w:val="40"/>
          <w:highlight w:val="none"/>
          <w:lang w:val="en-US" w:eastAsia="zh-CN"/>
        </w:rPr>
        <w:t>3</w:t>
      </w:r>
      <w:r>
        <w:rPr>
          <w:rFonts w:hint="eastAsia"/>
          <w:color w:val="auto"/>
          <w:sz w:val="32"/>
          <w:szCs w:val="40"/>
          <w:highlight w:val="none"/>
        </w:rPr>
        <w:t>月</w:t>
      </w:r>
    </w:p>
    <w:p w14:paraId="6DC18681">
      <w:pPr>
        <w:rPr>
          <w:color w:val="auto"/>
          <w:sz w:val="44"/>
          <w:szCs w:val="44"/>
          <w:highlight w:val="none"/>
        </w:rPr>
      </w:pPr>
      <w:r>
        <w:rPr>
          <w:color w:val="auto"/>
          <w:sz w:val="44"/>
          <w:szCs w:val="44"/>
          <w:highlight w:val="none"/>
        </w:rPr>
        <w:br w:type="page"/>
      </w:r>
    </w:p>
    <w:p w14:paraId="1651943E">
      <w:pPr>
        <w:rPr>
          <w:color w:val="auto"/>
          <w:sz w:val="44"/>
          <w:szCs w:val="44"/>
          <w:highlight w:val="none"/>
        </w:rPr>
      </w:pPr>
    </w:p>
    <w:p w14:paraId="1FAF4E85">
      <w:pPr>
        <w:spacing w:line="1200" w:lineRule="exact"/>
        <w:jc w:val="center"/>
        <w:rPr>
          <w:rFonts w:ascii="宋体" w:hAnsi="宋体"/>
          <w:b/>
          <w:color w:val="auto"/>
          <w:sz w:val="72"/>
          <w:szCs w:val="72"/>
          <w:highlight w:val="none"/>
        </w:rPr>
      </w:pPr>
      <w:r>
        <w:rPr>
          <w:rFonts w:hint="eastAsia" w:ascii="宋体" w:hAnsi="宋体"/>
          <w:b/>
          <w:color w:val="auto"/>
          <w:sz w:val="72"/>
          <w:szCs w:val="72"/>
          <w:highlight w:val="none"/>
        </w:rPr>
        <w:t>温馨提醒</w:t>
      </w:r>
    </w:p>
    <w:p w14:paraId="1943DA86">
      <w:pPr>
        <w:spacing w:line="1000" w:lineRule="exact"/>
        <w:jc w:val="left"/>
        <w:rPr>
          <w:rFonts w:ascii="宋体" w:hAnsi="宋体"/>
          <w:b/>
          <w:color w:val="auto"/>
          <w:sz w:val="30"/>
          <w:szCs w:val="30"/>
          <w:highlight w:val="none"/>
        </w:rPr>
      </w:pPr>
      <w:r>
        <w:rPr>
          <w:rFonts w:ascii="宋体" w:hAnsi="宋体"/>
          <w:b/>
          <w:color w:val="auto"/>
          <w:sz w:val="30"/>
          <w:szCs w:val="30"/>
          <w:highlight w:val="none"/>
        </w:rPr>
        <w:t>1</w:t>
      </w:r>
      <w:r>
        <w:rPr>
          <w:rFonts w:hint="eastAsia" w:ascii="宋体" w:hAnsi="宋体"/>
          <w:b/>
          <w:color w:val="auto"/>
          <w:sz w:val="30"/>
          <w:szCs w:val="30"/>
          <w:highlight w:val="none"/>
        </w:rPr>
        <w:t>、投标文件应按招标文件要求将“资格文件”、“商务和技术文件”、“报价文件”分别编制。</w:t>
      </w:r>
    </w:p>
    <w:p w14:paraId="1A9A6B97">
      <w:pPr>
        <w:spacing w:line="1000" w:lineRule="exact"/>
        <w:jc w:val="left"/>
        <w:rPr>
          <w:rFonts w:ascii="宋体" w:hAnsi="宋体"/>
          <w:b/>
          <w:color w:val="auto"/>
          <w:sz w:val="30"/>
          <w:szCs w:val="30"/>
          <w:highlight w:val="none"/>
        </w:rPr>
      </w:pPr>
      <w:r>
        <w:rPr>
          <w:rFonts w:ascii="宋体" w:hAnsi="宋体"/>
          <w:b/>
          <w:color w:val="auto"/>
          <w:sz w:val="30"/>
          <w:szCs w:val="30"/>
          <w:highlight w:val="none"/>
        </w:rPr>
        <w:t>2</w:t>
      </w:r>
      <w:r>
        <w:rPr>
          <w:rFonts w:hint="eastAsia" w:ascii="宋体" w:hAnsi="宋体"/>
          <w:b/>
          <w:color w:val="auto"/>
          <w:sz w:val="30"/>
          <w:szCs w:val="30"/>
          <w:highlight w:val="none"/>
        </w:rPr>
        <w:t>、“资格文件”、“商务和技术文件”中不得出现涉及投标价格的内容，否则作无效标处理。</w:t>
      </w:r>
    </w:p>
    <w:p w14:paraId="57D63A1E">
      <w:pPr>
        <w:spacing w:line="1000" w:lineRule="exact"/>
        <w:jc w:val="left"/>
        <w:rPr>
          <w:rFonts w:hint="eastAsia" w:ascii="宋体" w:hAnsi="宋体"/>
          <w:b/>
          <w:color w:val="auto"/>
          <w:sz w:val="30"/>
          <w:szCs w:val="30"/>
          <w:highlight w:val="none"/>
        </w:rPr>
      </w:pPr>
      <w:r>
        <w:rPr>
          <w:rFonts w:hint="eastAsia" w:ascii="宋体" w:hAnsi="宋体"/>
          <w:b/>
          <w:color w:val="auto"/>
          <w:sz w:val="30"/>
          <w:szCs w:val="30"/>
          <w:highlight w:val="none"/>
        </w:rPr>
        <w:t>3、采购人可以对已发出的招标文件进行必要的澄清或者修改，将以“更正公告”的形式发布在政采云平台，供应商应及时登录政采云平台，进行浏览并下载，未及时浏览下载的责任自负。</w:t>
      </w:r>
    </w:p>
    <w:p w14:paraId="049ED73D">
      <w:pPr>
        <w:jc w:val="center"/>
        <w:rPr>
          <w:color w:val="auto"/>
          <w:sz w:val="44"/>
          <w:szCs w:val="44"/>
          <w:highlight w:val="none"/>
        </w:rPr>
        <w:sectPr>
          <w:headerReference r:id="rId3" w:type="default"/>
          <w:footerReference r:id="rId4" w:type="default"/>
          <w:pgSz w:w="11907" w:h="16840"/>
          <w:pgMar w:top="1276" w:right="1474" w:bottom="1242" w:left="1474" w:header="720" w:footer="720" w:gutter="0"/>
          <w:pgNumType w:start="1"/>
          <w:cols w:space="720" w:num="1"/>
          <w:docGrid w:linePitch="285" w:charSpace="0"/>
        </w:sectPr>
      </w:pPr>
    </w:p>
    <w:p w14:paraId="1BC78EB6">
      <w:pPr>
        <w:jc w:val="center"/>
        <w:rPr>
          <w:color w:val="auto"/>
          <w:sz w:val="40"/>
          <w:szCs w:val="40"/>
          <w:highlight w:val="none"/>
        </w:rPr>
      </w:pPr>
      <w:r>
        <w:rPr>
          <w:color w:val="auto"/>
          <w:sz w:val="40"/>
          <w:szCs w:val="40"/>
          <w:highlight w:val="none"/>
        </w:rPr>
        <w:t>目  录</w:t>
      </w:r>
    </w:p>
    <w:p w14:paraId="3C93F0FE">
      <w:pPr>
        <w:pStyle w:val="29"/>
        <w:tabs>
          <w:tab w:val="right" w:leader="dot" w:pos="8959"/>
        </w:tabs>
        <w:spacing w:before="720" w:beforeLines="300" w:line="400" w:lineRule="exact"/>
        <w:rPr>
          <w:color w:val="auto"/>
          <w:sz w:val="28"/>
          <w:szCs w:val="36"/>
          <w:highlight w:val="none"/>
        </w:rPr>
      </w:pPr>
      <w:r>
        <w:rPr>
          <w:color w:val="auto"/>
          <w:sz w:val="36"/>
          <w:szCs w:val="36"/>
          <w:highlight w:val="none"/>
        </w:rPr>
        <w:fldChar w:fldCharType="begin"/>
      </w:r>
      <w:r>
        <w:rPr>
          <w:color w:val="auto"/>
          <w:sz w:val="36"/>
          <w:szCs w:val="36"/>
          <w:highlight w:val="none"/>
        </w:rPr>
        <w:instrText xml:space="preserve"> TOC \o "1-3" \h \z \u </w:instrText>
      </w:r>
      <w:r>
        <w:rPr>
          <w:color w:val="auto"/>
          <w:sz w:val="36"/>
          <w:szCs w:val="36"/>
          <w:highlight w:val="none"/>
        </w:rPr>
        <w:fldChar w:fldCharType="separate"/>
      </w:r>
      <w:r>
        <w:rPr>
          <w:color w:val="auto"/>
          <w:sz w:val="22"/>
          <w:szCs w:val="28"/>
          <w:highlight w:val="none"/>
        </w:rPr>
        <w:fldChar w:fldCharType="begin"/>
      </w:r>
      <w:r>
        <w:rPr>
          <w:color w:val="auto"/>
          <w:sz w:val="22"/>
          <w:szCs w:val="28"/>
          <w:highlight w:val="none"/>
        </w:rPr>
        <w:instrText xml:space="preserve"> HYPERLINK \l "_Toc2897" </w:instrText>
      </w:r>
      <w:r>
        <w:rPr>
          <w:color w:val="auto"/>
          <w:sz w:val="22"/>
          <w:szCs w:val="28"/>
          <w:highlight w:val="none"/>
        </w:rPr>
        <w:fldChar w:fldCharType="separate"/>
      </w:r>
      <w:r>
        <w:rPr>
          <w:color w:val="auto"/>
          <w:sz w:val="28"/>
          <w:szCs w:val="36"/>
          <w:highlight w:val="none"/>
        </w:rPr>
        <w:t>第一章  采购公告</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_Toc2897 \h </w:instrText>
      </w:r>
      <w:r>
        <w:rPr>
          <w:color w:val="auto"/>
          <w:sz w:val="28"/>
          <w:szCs w:val="36"/>
          <w:highlight w:val="none"/>
        </w:rPr>
        <w:fldChar w:fldCharType="separate"/>
      </w:r>
      <w:r>
        <w:rPr>
          <w:color w:val="auto"/>
          <w:sz w:val="28"/>
          <w:szCs w:val="36"/>
          <w:highlight w:val="none"/>
        </w:rPr>
        <w:t>15</w:t>
      </w:r>
      <w:r>
        <w:rPr>
          <w:color w:val="auto"/>
          <w:sz w:val="28"/>
          <w:szCs w:val="36"/>
          <w:highlight w:val="none"/>
        </w:rPr>
        <w:fldChar w:fldCharType="end"/>
      </w:r>
      <w:r>
        <w:rPr>
          <w:color w:val="auto"/>
          <w:sz w:val="28"/>
          <w:szCs w:val="36"/>
          <w:highlight w:val="none"/>
        </w:rPr>
        <w:fldChar w:fldCharType="end"/>
      </w:r>
    </w:p>
    <w:p w14:paraId="2810FADE">
      <w:pPr>
        <w:pStyle w:val="29"/>
        <w:tabs>
          <w:tab w:val="right" w:leader="dot" w:pos="8959"/>
        </w:tabs>
        <w:spacing w:before="720" w:beforeLines="300" w:line="400" w:lineRule="exact"/>
        <w:rPr>
          <w:color w:val="auto"/>
          <w:sz w:val="28"/>
          <w:szCs w:val="36"/>
          <w:highlight w:val="none"/>
        </w:rPr>
      </w:pPr>
      <w:r>
        <w:rPr>
          <w:color w:val="auto"/>
          <w:sz w:val="22"/>
          <w:szCs w:val="28"/>
          <w:highlight w:val="none"/>
        </w:rPr>
        <w:fldChar w:fldCharType="begin"/>
      </w:r>
      <w:r>
        <w:rPr>
          <w:color w:val="auto"/>
          <w:sz w:val="22"/>
          <w:szCs w:val="28"/>
          <w:highlight w:val="none"/>
        </w:rPr>
        <w:instrText xml:space="preserve"> HYPERLINK \l "_Toc2021" </w:instrText>
      </w:r>
      <w:r>
        <w:rPr>
          <w:color w:val="auto"/>
          <w:sz w:val="22"/>
          <w:szCs w:val="28"/>
          <w:highlight w:val="none"/>
        </w:rPr>
        <w:fldChar w:fldCharType="separate"/>
      </w:r>
      <w:r>
        <w:rPr>
          <w:color w:val="auto"/>
          <w:sz w:val="28"/>
          <w:szCs w:val="36"/>
          <w:highlight w:val="none"/>
        </w:rPr>
        <w:t xml:space="preserve">第二章  </w:t>
      </w:r>
      <w:r>
        <w:rPr>
          <w:rFonts w:hint="eastAsia"/>
          <w:color w:val="auto"/>
          <w:sz w:val="28"/>
          <w:szCs w:val="36"/>
          <w:highlight w:val="none"/>
        </w:rPr>
        <w:t>供应商须知</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_Toc2021 \h </w:instrText>
      </w:r>
      <w:r>
        <w:rPr>
          <w:color w:val="auto"/>
          <w:sz w:val="28"/>
          <w:szCs w:val="36"/>
          <w:highlight w:val="none"/>
        </w:rPr>
        <w:fldChar w:fldCharType="separate"/>
      </w:r>
      <w:r>
        <w:rPr>
          <w:color w:val="auto"/>
          <w:sz w:val="28"/>
          <w:szCs w:val="36"/>
          <w:highlight w:val="none"/>
        </w:rPr>
        <w:t>19</w:t>
      </w:r>
      <w:r>
        <w:rPr>
          <w:color w:val="auto"/>
          <w:sz w:val="28"/>
          <w:szCs w:val="36"/>
          <w:highlight w:val="none"/>
        </w:rPr>
        <w:fldChar w:fldCharType="end"/>
      </w:r>
      <w:r>
        <w:rPr>
          <w:color w:val="auto"/>
          <w:sz w:val="28"/>
          <w:szCs w:val="36"/>
          <w:highlight w:val="none"/>
        </w:rPr>
        <w:fldChar w:fldCharType="end"/>
      </w:r>
    </w:p>
    <w:p w14:paraId="7D15C407">
      <w:pPr>
        <w:pStyle w:val="35"/>
        <w:tabs>
          <w:tab w:val="right" w:leader="dot" w:pos="8959"/>
        </w:tabs>
        <w:spacing w:before="720" w:beforeLines="300" w:line="400" w:lineRule="exact"/>
        <w:ind w:left="0" w:leftChars="0"/>
        <w:rPr>
          <w:color w:val="auto"/>
          <w:sz w:val="28"/>
          <w:szCs w:val="36"/>
          <w:highlight w:val="none"/>
        </w:rPr>
      </w:pPr>
      <w:r>
        <w:rPr>
          <w:color w:val="auto"/>
          <w:sz w:val="22"/>
          <w:szCs w:val="28"/>
          <w:highlight w:val="none"/>
        </w:rPr>
        <w:fldChar w:fldCharType="begin"/>
      </w:r>
      <w:r>
        <w:rPr>
          <w:color w:val="auto"/>
          <w:sz w:val="22"/>
          <w:szCs w:val="28"/>
          <w:highlight w:val="none"/>
        </w:rPr>
        <w:instrText xml:space="preserve"> HYPERLINK \l "_Toc29582" </w:instrText>
      </w:r>
      <w:r>
        <w:rPr>
          <w:color w:val="auto"/>
          <w:sz w:val="22"/>
          <w:szCs w:val="28"/>
          <w:highlight w:val="none"/>
        </w:rPr>
        <w:fldChar w:fldCharType="separate"/>
      </w:r>
      <w:r>
        <w:rPr>
          <w:rFonts w:hint="eastAsia" w:ascii="Arial" w:hAnsi="Arial" w:cs="宋体"/>
          <w:color w:val="auto"/>
          <w:sz w:val="28"/>
          <w:szCs w:val="48"/>
          <w:highlight w:val="none"/>
        </w:rPr>
        <w:t>第三章  采购需求</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_Toc29582 \h </w:instrText>
      </w:r>
      <w:r>
        <w:rPr>
          <w:color w:val="auto"/>
          <w:sz w:val="28"/>
          <w:szCs w:val="36"/>
          <w:highlight w:val="none"/>
        </w:rPr>
        <w:fldChar w:fldCharType="separate"/>
      </w:r>
      <w:r>
        <w:rPr>
          <w:color w:val="auto"/>
          <w:sz w:val="28"/>
          <w:szCs w:val="36"/>
          <w:highlight w:val="none"/>
        </w:rPr>
        <w:t>33</w:t>
      </w:r>
      <w:r>
        <w:rPr>
          <w:color w:val="auto"/>
          <w:sz w:val="28"/>
          <w:szCs w:val="36"/>
          <w:highlight w:val="none"/>
        </w:rPr>
        <w:fldChar w:fldCharType="end"/>
      </w:r>
      <w:r>
        <w:rPr>
          <w:color w:val="auto"/>
          <w:sz w:val="28"/>
          <w:szCs w:val="36"/>
          <w:highlight w:val="none"/>
        </w:rPr>
        <w:fldChar w:fldCharType="end"/>
      </w:r>
    </w:p>
    <w:p w14:paraId="4BFDBD56">
      <w:pPr>
        <w:pStyle w:val="29"/>
        <w:tabs>
          <w:tab w:val="right" w:leader="dot" w:pos="8959"/>
        </w:tabs>
        <w:spacing w:before="720" w:beforeLines="300" w:line="400" w:lineRule="exact"/>
        <w:rPr>
          <w:color w:val="auto"/>
          <w:sz w:val="28"/>
          <w:szCs w:val="36"/>
          <w:highlight w:val="none"/>
        </w:rPr>
      </w:pPr>
      <w:r>
        <w:rPr>
          <w:color w:val="auto"/>
          <w:sz w:val="22"/>
          <w:szCs w:val="28"/>
          <w:highlight w:val="none"/>
        </w:rPr>
        <w:fldChar w:fldCharType="begin"/>
      </w:r>
      <w:r>
        <w:rPr>
          <w:color w:val="auto"/>
          <w:sz w:val="22"/>
          <w:szCs w:val="28"/>
          <w:highlight w:val="none"/>
        </w:rPr>
        <w:instrText xml:space="preserve"> HYPERLINK \l "_Toc13985" </w:instrText>
      </w:r>
      <w:r>
        <w:rPr>
          <w:color w:val="auto"/>
          <w:sz w:val="22"/>
          <w:szCs w:val="28"/>
          <w:highlight w:val="none"/>
        </w:rPr>
        <w:fldChar w:fldCharType="separate"/>
      </w:r>
      <w:r>
        <w:rPr>
          <w:rFonts w:hint="eastAsia" w:ascii="Arial" w:hAnsi="Arial" w:cs="宋体"/>
          <w:color w:val="auto"/>
          <w:sz w:val="28"/>
          <w:szCs w:val="48"/>
          <w:highlight w:val="none"/>
        </w:rPr>
        <w:t>第四章  评标办法</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_Toc13985 \h </w:instrText>
      </w:r>
      <w:r>
        <w:rPr>
          <w:color w:val="auto"/>
          <w:sz w:val="28"/>
          <w:szCs w:val="36"/>
          <w:highlight w:val="none"/>
        </w:rPr>
        <w:fldChar w:fldCharType="separate"/>
      </w:r>
      <w:r>
        <w:rPr>
          <w:color w:val="auto"/>
          <w:sz w:val="28"/>
          <w:szCs w:val="36"/>
          <w:highlight w:val="none"/>
        </w:rPr>
        <w:t>53</w:t>
      </w:r>
      <w:r>
        <w:rPr>
          <w:color w:val="auto"/>
          <w:sz w:val="28"/>
          <w:szCs w:val="36"/>
          <w:highlight w:val="none"/>
        </w:rPr>
        <w:fldChar w:fldCharType="end"/>
      </w:r>
      <w:r>
        <w:rPr>
          <w:color w:val="auto"/>
          <w:sz w:val="28"/>
          <w:szCs w:val="36"/>
          <w:highlight w:val="none"/>
        </w:rPr>
        <w:fldChar w:fldCharType="end"/>
      </w:r>
    </w:p>
    <w:p w14:paraId="448F051A">
      <w:pPr>
        <w:pStyle w:val="29"/>
        <w:tabs>
          <w:tab w:val="right" w:leader="dot" w:pos="8959"/>
        </w:tabs>
        <w:spacing w:before="720" w:beforeLines="300" w:line="400" w:lineRule="exact"/>
        <w:rPr>
          <w:color w:val="auto"/>
          <w:sz w:val="28"/>
          <w:szCs w:val="36"/>
          <w:highlight w:val="none"/>
        </w:rPr>
      </w:pPr>
      <w:r>
        <w:rPr>
          <w:color w:val="auto"/>
          <w:sz w:val="22"/>
          <w:szCs w:val="28"/>
          <w:highlight w:val="none"/>
        </w:rPr>
        <w:fldChar w:fldCharType="begin"/>
      </w:r>
      <w:r>
        <w:rPr>
          <w:color w:val="auto"/>
          <w:sz w:val="22"/>
          <w:szCs w:val="28"/>
          <w:highlight w:val="none"/>
        </w:rPr>
        <w:instrText xml:space="preserve"> HYPERLINK \l "_Toc10263" </w:instrText>
      </w:r>
      <w:r>
        <w:rPr>
          <w:color w:val="auto"/>
          <w:sz w:val="22"/>
          <w:szCs w:val="28"/>
          <w:highlight w:val="none"/>
        </w:rPr>
        <w:fldChar w:fldCharType="separate"/>
      </w:r>
      <w:r>
        <w:rPr>
          <w:rFonts w:hint="eastAsia" w:ascii="Arial" w:hAnsi="Arial" w:cs="宋体"/>
          <w:color w:val="auto"/>
          <w:sz w:val="28"/>
          <w:szCs w:val="48"/>
          <w:highlight w:val="none"/>
        </w:rPr>
        <w:t>第五章  拟签订的合同文本</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_Toc10263 \h </w:instrText>
      </w:r>
      <w:r>
        <w:rPr>
          <w:color w:val="auto"/>
          <w:sz w:val="28"/>
          <w:szCs w:val="36"/>
          <w:highlight w:val="none"/>
        </w:rPr>
        <w:fldChar w:fldCharType="separate"/>
      </w:r>
      <w:r>
        <w:rPr>
          <w:color w:val="auto"/>
          <w:sz w:val="28"/>
          <w:szCs w:val="36"/>
          <w:highlight w:val="none"/>
        </w:rPr>
        <w:t>60</w:t>
      </w:r>
      <w:r>
        <w:rPr>
          <w:color w:val="auto"/>
          <w:sz w:val="28"/>
          <w:szCs w:val="36"/>
          <w:highlight w:val="none"/>
        </w:rPr>
        <w:fldChar w:fldCharType="end"/>
      </w:r>
      <w:r>
        <w:rPr>
          <w:color w:val="auto"/>
          <w:sz w:val="28"/>
          <w:szCs w:val="36"/>
          <w:highlight w:val="none"/>
        </w:rPr>
        <w:fldChar w:fldCharType="end"/>
      </w:r>
    </w:p>
    <w:p w14:paraId="1DF85B20">
      <w:pPr>
        <w:pStyle w:val="29"/>
        <w:tabs>
          <w:tab w:val="right" w:leader="dot" w:pos="8959"/>
        </w:tabs>
        <w:spacing w:before="720" w:beforeLines="300" w:line="400" w:lineRule="exact"/>
        <w:rPr>
          <w:color w:val="auto"/>
          <w:sz w:val="24"/>
          <w:szCs w:val="32"/>
          <w:highlight w:val="none"/>
        </w:rPr>
      </w:pPr>
      <w:r>
        <w:rPr>
          <w:color w:val="auto"/>
          <w:sz w:val="22"/>
          <w:szCs w:val="28"/>
          <w:highlight w:val="none"/>
        </w:rPr>
        <w:fldChar w:fldCharType="begin"/>
      </w:r>
      <w:r>
        <w:rPr>
          <w:color w:val="auto"/>
          <w:sz w:val="22"/>
          <w:szCs w:val="28"/>
          <w:highlight w:val="none"/>
        </w:rPr>
        <w:instrText xml:space="preserve"> HYPERLINK \l "_Toc6401" </w:instrText>
      </w:r>
      <w:r>
        <w:rPr>
          <w:color w:val="auto"/>
          <w:sz w:val="22"/>
          <w:szCs w:val="28"/>
          <w:highlight w:val="none"/>
        </w:rPr>
        <w:fldChar w:fldCharType="separate"/>
      </w:r>
      <w:r>
        <w:rPr>
          <w:color w:val="auto"/>
          <w:sz w:val="28"/>
          <w:szCs w:val="36"/>
          <w:highlight w:val="none"/>
        </w:rPr>
        <w:t>第六章  投标文件格式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_Toc6401 \h </w:instrText>
      </w:r>
      <w:r>
        <w:rPr>
          <w:color w:val="auto"/>
          <w:sz w:val="28"/>
          <w:szCs w:val="36"/>
          <w:highlight w:val="none"/>
        </w:rPr>
        <w:fldChar w:fldCharType="separate"/>
      </w:r>
      <w:r>
        <w:rPr>
          <w:color w:val="auto"/>
          <w:sz w:val="28"/>
          <w:szCs w:val="36"/>
          <w:highlight w:val="none"/>
        </w:rPr>
        <w:t>69</w:t>
      </w:r>
      <w:r>
        <w:rPr>
          <w:color w:val="auto"/>
          <w:sz w:val="28"/>
          <w:szCs w:val="36"/>
          <w:highlight w:val="none"/>
        </w:rPr>
        <w:fldChar w:fldCharType="end"/>
      </w:r>
      <w:r>
        <w:rPr>
          <w:color w:val="auto"/>
          <w:sz w:val="28"/>
          <w:szCs w:val="36"/>
          <w:highlight w:val="none"/>
        </w:rPr>
        <w:fldChar w:fldCharType="end"/>
      </w:r>
    </w:p>
    <w:p w14:paraId="25638574">
      <w:pPr>
        <w:pStyle w:val="29"/>
        <w:tabs>
          <w:tab w:val="right" w:leader="dot" w:pos="8311"/>
        </w:tabs>
        <w:spacing w:before="720" w:beforeLines="300" w:line="400" w:lineRule="exact"/>
        <w:rPr>
          <w:b/>
          <w:color w:val="auto"/>
          <w:sz w:val="22"/>
          <w:szCs w:val="22"/>
          <w:highlight w:val="none"/>
        </w:rPr>
      </w:pPr>
      <w:r>
        <w:rPr>
          <w:color w:val="auto"/>
          <w:sz w:val="24"/>
          <w:szCs w:val="36"/>
          <w:highlight w:val="none"/>
        </w:rPr>
        <w:fldChar w:fldCharType="end"/>
      </w:r>
    </w:p>
    <w:p w14:paraId="64AB9FEA">
      <w:pPr>
        <w:pStyle w:val="2"/>
        <w:spacing w:before="0" w:after="0" w:line="360" w:lineRule="auto"/>
        <w:jc w:val="center"/>
        <w:rPr>
          <w:color w:val="auto"/>
          <w:sz w:val="30"/>
          <w:highlight w:val="none"/>
        </w:rPr>
        <w:sectPr>
          <w:footerReference r:id="rId5" w:type="default"/>
          <w:pgSz w:w="11907" w:h="16840"/>
          <w:pgMar w:top="1276" w:right="1474" w:bottom="1242" w:left="1474" w:header="720" w:footer="720" w:gutter="0"/>
          <w:pgNumType w:start="1"/>
          <w:cols w:space="720" w:num="1"/>
          <w:docGrid w:linePitch="285" w:charSpace="0"/>
        </w:sectPr>
      </w:pPr>
      <w:bookmarkStart w:id="1" w:name="_Toc460857890"/>
      <w:bookmarkStart w:id="2" w:name="_Toc2897"/>
    </w:p>
    <w:p w14:paraId="37E10382">
      <w:pPr>
        <w:pStyle w:val="2"/>
        <w:spacing w:before="0" w:after="0" w:line="360" w:lineRule="auto"/>
        <w:jc w:val="center"/>
        <w:rPr>
          <w:color w:val="auto"/>
          <w:sz w:val="30"/>
          <w:highlight w:val="none"/>
        </w:rPr>
      </w:pPr>
      <w:r>
        <w:rPr>
          <w:color w:val="auto"/>
          <w:sz w:val="30"/>
          <w:highlight w:val="none"/>
        </w:rPr>
        <w:t>第一章  采购公告</w:t>
      </w:r>
      <w:bookmarkEnd w:id="1"/>
      <w:bookmarkEnd w:id="2"/>
    </w:p>
    <w:p w14:paraId="6A9A42A5">
      <w:pPr>
        <w:pBdr>
          <w:top w:val="single" w:color="auto" w:sz="4" w:space="1"/>
          <w:left w:val="single" w:color="auto" w:sz="4" w:space="4"/>
          <w:bottom w:val="single" w:color="auto" w:sz="4" w:space="1"/>
          <w:right w:val="single" w:color="auto" w:sz="4" w:space="4"/>
        </w:pBdr>
        <w:spacing w:line="360" w:lineRule="auto"/>
        <w:ind w:firstLine="422" w:firstLineChars="200"/>
        <w:rPr>
          <w:b/>
          <w:bCs/>
          <w:color w:val="auto"/>
          <w:szCs w:val="21"/>
          <w:highlight w:val="none"/>
        </w:rPr>
      </w:pPr>
      <w:bookmarkStart w:id="3" w:name="_Toc28359079"/>
      <w:bookmarkStart w:id="4" w:name="_Toc35393790"/>
      <w:bookmarkStart w:id="5" w:name="_Toc35393621"/>
      <w:bookmarkStart w:id="6" w:name="_Toc28359002"/>
      <w:bookmarkStart w:id="7" w:name="_Hlk24379207"/>
      <w:r>
        <w:rPr>
          <w:b/>
          <w:bCs/>
          <w:color w:val="auto"/>
          <w:szCs w:val="21"/>
          <w:highlight w:val="none"/>
        </w:rPr>
        <w:t>项目概况</w:t>
      </w:r>
    </w:p>
    <w:p w14:paraId="599E5C37">
      <w:pPr>
        <w:pBdr>
          <w:top w:val="single" w:color="auto" w:sz="4" w:space="1"/>
          <w:left w:val="single" w:color="auto" w:sz="4" w:space="4"/>
          <w:bottom w:val="single" w:color="auto" w:sz="4" w:space="1"/>
          <w:right w:val="single" w:color="auto" w:sz="4" w:space="4"/>
        </w:pBdr>
        <w:spacing w:line="360" w:lineRule="auto"/>
        <w:ind w:firstLine="420" w:firstLineChars="200"/>
        <w:rPr>
          <w:color w:val="auto"/>
          <w:szCs w:val="21"/>
          <w:highlight w:val="none"/>
        </w:rPr>
      </w:pPr>
      <w:r>
        <w:rPr>
          <w:rFonts w:hint="eastAsia"/>
          <w:color w:val="auto"/>
          <w:szCs w:val="21"/>
          <w:highlight w:val="none"/>
          <w:lang w:eastAsia="zh-CN"/>
        </w:rPr>
        <w:t>大碶派出所迁建工程-办案区智能化项目</w:t>
      </w:r>
      <w:r>
        <w:rPr>
          <w:color w:val="auto"/>
          <w:szCs w:val="21"/>
          <w:highlight w:val="none"/>
        </w:rPr>
        <w:t>的潜在投标人应在“浙江政府采购网（https://www.zcygov.cn/）</w:t>
      </w:r>
      <w:r>
        <w:rPr>
          <w:rStyle w:val="52"/>
          <w:rFonts w:ascii="Arial" w:hAnsi="Arial"/>
          <w:color w:val="auto"/>
          <w:spacing w:val="-2"/>
          <w:szCs w:val="21"/>
          <w:highlight w:val="none"/>
          <w:u w:val="none"/>
        </w:rPr>
        <w:t>获取（</w:t>
      </w:r>
      <w:r>
        <w:rPr>
          <w:rFonts w:hint="eastAsia" w:ascii="Arial" w:hAnsi="Arial" w:cs="宋体"/>
          <w:color w:val="auto"/>
          <w:spacing w:val="-2"/>
          <w:highlight w:val="none"/>
        </w:rPr>
        <w:t>下载）采购文件</w:t>
      </w:r>
      <w:r>
        <w:rPr>
          <w:color w:val="auto"/>
          <w:szCs w:val="21"/>
          <w:highlight w:val="none"/>
        </w:rPr>
        <w:t>，并于202</w:t>
      </w:r>
      <w:r>
        <w:rPr>
          <w:rFonts w:hint="eastAsia"/>
          <w:color w:val="auto"/>
          <w:szCs w:val="21"/>
          <w:highlight w:val="none"/>
          <w:lang w:val="en-US" w:eastAsia="zh-CN"/>
        </w:rPr>
        <w:t>6</w:t>
      </w:r>
      <w:r>
        <w:rPr>
          <w:color w:val="auto"/>
          <w:szCs w:val="21"/>
          <w:highlight w:val="none"/>
        </w:rPr>
        <w:t>年</w:t>
      </w:r>
      <w:r>
        <w:rPr>
          <w:rFonts w:hint="eastAsia"/>
          <w:color w:val="auto"/>
          <w:szCs w:val="21"/>
          <w:highlight w:val="none"/>
          <w:lang w:val="en-US" w:eastAsia="zh-CN"/>
        </w:rPr>
        <w:t>05</w:t>
      </w:r>
      <w:r>
        <w:rPr>
          <w:color w:val="auto"/>
          <w:szCs w:val="21"/>
          <w:highlight w:val="none"/>
        </w:rPr>
        <w:t>月</w:t>
      </w:r>
      <w:r>
        <w:rPr>
          <w:rFonts w:hint="eastAsia"/>
          <w:color w:val="auto"/>
          <w:szCs w:val="21"/>
          <w:highlight w:val="none"/>
          <w:lang w:val="en-US" w:eastAsia="zh-CN"/>
        </w:rPr>
        <w:t>06</w:t>
      </w:r>
      <w:r>
        <w:rPr>
          <w:color w:val="auto"/>
          <w:szCs w:val="21"/>
          <w:highlight w:val="none"/>
        </w:rPr>
        <w:t>日 1</w:t>
      </w:r>
      <w:r>
        <w:rPr>
          <w:rFonts w:hint="eastAsia"/>
          <w:color w:val="auto"/>
          <w:szCs w:val="21"/>
          <w:highlight w:val="none"/>
        </w:rPr>
        <w:t>3</w:t>
      </w:r>
      <w:r>
        <w:rPr>
          <w:color w:val="auto"/>
          <w:szCs w:val="21"/>
          <w:highlight w:val="none"/>
        </w:rPr>
        <w:t xml:space="preserve"> 点 </w:t>
      </w:r>
      <w:r>
        <w:rPr>
          <w:rFonts w:hint="eastAsia"/>
          <w:color w:val="auto"/>
          <w:szCs w:val="21"/>
          <w:highlight w:val="none"/>
        </w:rPr>
        <w:t>3</w:t>
      </w:r>
      <w:r>
        <w:rPr>
          <w:color w:val="auto"/>
          <w:szCs w:val="21"/>
          <w:highlight w:val="none"/>
        </w:rPr>
        <w:t>0 分（北京时间）前递交投标文件。</w:t>
      </w:r>
    </w:p>
    <w:p w14:paraId="36A7CEB5">
      <w:pPr>
        <w:snapToGrid w:val="0"/>
        <w:spacing w:line="360" w:lineRule="auto"/>
        <w:ind w:firstLine="422" w:firstLineChars="200"/>
        <w:rPr>
          <w:b/>
          <w:bCs/>
          <w:color w:val="auto"/>
          <w:szCs w:val="21"/>
          <w:highlight w:val="none"/>
        </w:rPr>
      </w:pPr>
      <w:r>
        <w:rPr>
          <w:b/>
          <w:bCs/>
          <w:color w:val="auto"/>
          <w:szCs w:val="21"/>
          <w:highlight w:val="none"/>
        </w:rPr>
        <w:t>一、项目基本情况</w:t>
      </w:r>
      <w:bookmarkEnd w:id="3"/>
      <w:bookmarkEnd w:id="4"/>
      <w:bookmarkEnd w:id="5"/>
      <w:bookmarkEnd w:id="6"/>
    </w:p>
    <w:p w14:paraId="36D53F23">
      <w:pPr>
        <w:snapToGrid w:val="0"/>
        <w:spacing w:line="360" w:lineRule="auto"/>
        <w:ind w:firstLine="420" w:firstLineChars="200"/>
        <w:rPr>
          <w:rFonts w:hint="eastAsia"/>
          <w:color w:val="auto"/>
          <w:szCs w:val="21"/>
          <w:highlight w:val="none"/>
          <w:lang w:eastAsia="zh-CN"/>
        </w:rPr>
      </w:pPr>
      <w:r>
        <w:rPr>
          <w:color w:val="auto"/>
          <w:szCs w:val="21"/>
          <w:highlight w:val="none"/>
        </w:rPr>
        <w:t>项目编号：</w:t>
      </w:r>
      <w:r>
        <w:rPr>
          <w:rFonts w:hint="eastAsia"/>
          <w:color w:val="auto"/>
          <w:szCs w:val="21"/>
          <w:highlight w:val="none"/>
          <w:lang w:eastAsia="zh-CN"/>
        </w:rPr>
        <w:t>NBHZ-2026012G-1</w:t>
      </w:r>
    </w:p>
    <w:p w14:paraId="7866CDD5">
      <w:pPr>
        <w:snapToGrid w:val="0"/>
        <w:spacing w:line="360" w:lineRule="auto"/>
        <w:ind w:firstLine="420" w:firstLineChars="200"/>
        <w:rPr>
          <w:rFonts w:hint="eastAsia"/>
          <w:color w:val="auto"/>
          <w:szCs w:val="21"/>
          <w:highlight w:val="none"/>
          <w:lang w:eastAsia="zh-CN"/>
        </w:rPr>
      </w:pPr>
      <w:r>
        <w:rPr>
          <w:color w:val="auto"/>
          <w:szCs w:val="21"/>
          <w:highlight w:val="none"/>
        </w:rPr>
        <w:t>项目名称：</w:t>
      </w:r>
      <w:bookmarkEnd w:id="7"/>
      <w:r>
        <w:rPr>
          <w:rFonts w:hint="eastAsia"/>
          <w:color w:val="auto"/>
          <w:szCs w:val="21"/>
          <w:highlight w:val="none"/>
          <w:lang w:eastAsia="zh-CN"/>
        </w:rPr>
        <w:t>大碶派出所迁建工程-办案区智能化项目（重发）</w:t>
      </w:r>
    </w:p>
    <w:p w14:paraId="1B98925D">
      <w:pPr>
        <w:snapToGrid w:val="0"/>
        <w:spacing w:line="360" w:lineRule="auto"/>
        <w:ind w:firstLine="420" w:firstLineChars="200"/>
        <w:rPr>
          <w:rFonts w:hint="eastAsia" w:eastAsia="宋体"/>
          <w:color w:val="auto"/>
          <w:szCs w:val="21"/>
          <w:highlight w:val="none"/>
          <w:lang w:eastAsia="zh-CN"/>
        </w:rPr>
      </w:pPr>
      <w:r>
        <w:rPr>
          <w:color w:val="auto"/>
          <w:szCs w:val="21"/>
          <w:highlight w:val="none"/>
        </w:rPr>
        <w:t>预算金额</w:t>
      </w:r>
      <w:r>
        <w:rPr>
          <w:rFonts w:hint="eastAsia" w:ascii="Arial" w:hAnsi="Arial"/>
          <w:color w:val="auto"/>
          <w:szCs w:val="22"/>
          <w:highlight w:val="none"/>
        </w:rPr>
        <w:t>（元）</w:t>
      </w:r>
      <w:r>
        <w:rPr>
          <w:color w:val="auto"/>
          <w:szCs w:val="21"/>
          <w:highlight w:val="none"/>
        </w:rPr>
        <w:t>：</w:t>
      </w:r>
      <w:r>
        <w:rPr>
          <w:rFonts w:hint="eastAsia"/>
          <w:color w:val="auto"/>
          <w:szCs w:val="21"/>
          <w:highlight w:val="none"/>
          <w:lang w:eastAsia="zh-CN"/>
        </w:rPr>
        <w:t>519876</w:t>
      </w:r>
    </w:p>
    <w:p w14:paraId="48F3724A">
      <w:pPr>
        <w:snapToGrid w:val="0"/>
        <w:spacing w:line="360" w:lineRule="auto"/>
        <w:ind w:firstLine="420" w:firstLineChars="200"/>
        <w:rPr>
          <w:rFonts w:hint="default" w:eastAsia="宋体"/>
          <w:color w:val="auto"/>
          <w:szCs w:val="21"/>
          <w:highlight w:val="none"/>
          <w:lang w:val="en-US" w:eastAsia="zh-CN"/>
        </w:rPr>
      </w:pPr>
      <w:r>
        <w:rPr>
          <w:color w:val="auto"/>
          <w:szCs w:val="21"/>
          <w:highlight w:val="none"/>
        </w:rPr>
        <w:t>最高限价</w:t>
      </w:r>
      <w:r>
        <w:rPr>
          <w:rFonts w:hint="eastAsia" w:ascii="Arial" w:hAnsi="Arial"/>
          <w:color w:val="auto"/>
          <w:szCs w:val="22"/>
          <w:highlight w:val="none"/>
        </w:rPr>
        <w:t>（元）</w:t>
      </w:r>
      <w:r>
        <w:rPr>
          <w:color w:val="auto"/>
          <w:szCs w:val="21"/>
          <w:highlight w:val="none"/>
        </w:rPr>
        <w:t>：519876</w:t>
      </w:r>
    </w:p>
    <w:p w14:paraId="59598DD5">
      <w:pPr>
        <w:snapToGrid w:val="0"/>
        <w:spacing w:line="360" w:lineRule="auto"/>
        <w:ind w:firstLine="420" w:firstLineChars="200"/>
        <w:rPr>
          <w:color w:val="auto"/>
          <w:szCs w:val="21"/>
          <w:highlight w:val="none"/>
        </w:rPr>
      </w:pPr>
      <w:r>
        <w:rPr>
          <w:color w:val="auto"/>
          <w:szCs w:val="21"/>
          <w:highlight w:val="none"/>
        </w:rPr>
        <w:t>采购需求：</w:t>
      </w:r>
    </w:p>
    <w:p w14:paraId="7CA88579">
      <w:pPr>
        <w:snapToGrid w:val="0"/>
        <w:spacing w:line="360" w:lineRule="auto"/>
        <w:ind w:firstLine="420" w:firstLineChars="200"/>
        <w:rPr>
          <w:rFonts w:hint="eastAsia"/>
          <w:color w:val="auto"/>
          <w:szCs w:val="21"/>
          <w:highlight w:val="none"/>
          <w:lang w:eastAsia="zh-CN"/>
        </w:rPr>
      </w:pPr>
      <w:r>
        <w:rPr>
          <w:color w:val="auto"/>
          <w:szCs w:val="21"/>
          <w:highlight w:val="none"/>
        </w:rPr>
        <w:t>标项名称：</w:t>
      </w:r>
      <w:r>
        <w:rPr>
          <w:rFonts w:hint="eastAsia"/>
          <w:color w:val="auto"/>
          <w:szCs w:val="21"/>
          <w:highlight w:val="none"/>
          <w:lang w:eastAsia="zh-CN"/>
        </w:rPr>
        <w:t>大碶派出所迁建工程-办案区智能化</w:t>
      </w:r>
    </w:p>
    <w:p w14:paraId="0E6A7312">
      <w:pPr>
        <w:snapToGrid w:val="0"/>
        <w:spacing w:line="360" w:lineRule="auto"/>
        <w:ind w:firstLine="420" w:firstLineChars="200"/>
        <w:rPr>
          <w:color w:val="auto"/>
          <w:szCs w:val="21"/>
          <w:highlight w:val="none"/>
        </w:rPr>
      </w:pPr>
      <w:r>
        <w:rPr>
          <w:color w:val="auto"/>
          <w:szCs w:val="21"/>
          <w:highlight w:val="none"/>
        </w:rPr>
        <w:t>数量：1</w:t>
      </w:r>
    </w:p>
    <w:p w14:paraId="7DC096B2">
      <w:pPr>
        <w:snapToGrid w:val="0"/>
        <w:spacing w:line="360" w:lineRule="auto"/>
        <w:ind w:firstLine="420" w:firstLineChars="200"/>
        <w:rPr>
          <w:rFonts w:hint="eastAsia" w:eastAsia="宋体"/>
          <w:color w:val="auto"/>
          <w:szCs w:val="21"/>
          <w:highlight w:val="none"/>
          <w:lang w:eastAsia="zh-CN"/>
        </w:rPr>
      </w:pPr>
      <w:r>
        <w:rPr>
          <w:color w:val="auto"/>
          <w:szCs w:val="21"/>
          <w:highlight w:val="none"/>
        </w:rPr>
        <w:t>预算金额：</w:t>
      </w:r>
      <w:r>
        <w:rPr>
          <w:rFonts w:hint="eastAsia"/>
          <w:color w:val="auto"/>
          <w:szCs w:val="21"/>
          <w:highlight w:val="none"/>
          <w:lang w:eastAsia="zh-CN"/>
        </w:rPr>
        <w:t>519876</w:t>
      </w:r>
    </w:p>
    <w:p w14:paraId="003BC40C">
      <w:pPr>
        <w:snapToGrid w:val="0"/>
        <w:spacing w:line="360" w:lineRule="auto"/>
        <w:ind w:firstLine="420" w:firstLineChars="200"/>
        <w:rPr>
          <w:color w:val="auto"/>
          <w:szCs w:val="21"/>
          <w:highlight w:val="none"/>
        </w:rPr>
      </w:pPr>
      <w:r>
        <w:rPr>
          <w:color w:val="auto"/>
          <w:szCs w:val="21"/>
          <w:highlight w:val="none"/>
        </w:rPr>
        <w:t>简要规格描述或项目基本概况介绍、用途：</w:t>
      </w:r>
      <w:r>
        <w:rPr>
          <w:rFonts w:hint="eastAsia" w:ascii="Arial" w:hAnsi="Arial"/>
          <w:color w:val="auto"/>
          <w:szCs w:val="22"/>
          <w:highlight w:val="none"/>
        </w:rPr>
        <w:t>采购清单具体详见采购文件第三</w:t>
      </w:r>
      <w:r>
        <w:rPr>
          <w:rFonts w:hint="eastAsia" w:ascii="Arial" w:hAnsi="Arial"/>
          <w:color w:val="auto"/>
          <w:szCs w:val="22"/>
          <w:highlight w:val="none"/>
          <w:lang w:val="en-US" w:eastAsia="zh-CN"/>
        </w:rPr>
        <w:t>章</w:t>
      </w:r>
      <w:r>
        <w:rPr>
          <w:rFonts w:hint="eastAsia" w:ascii="Arial" w:hAnsi="Arial"/>
          <w:color w:val="auto"/>
          <w:szCs w:val="22"/>
          <w:highlight w:val="none"/>
        </w:rPr>
        <w:t xml:space="preserve"> 采购需求</w:t>
      </w:r>
      <w:r>
        <w:rPr>
          <w:color w:val="auto"/>
          <w:szCs w:val="21"/>
          <w:highlight w:val="none"/>
        </w:rPr>
        <w:t>。</w:t>
      </w:r>
    </w:p>
    <w:p w14:paraId="77BEE7C2">
      <w:pPr>
        <w:snapToGrid w:val="0"/>
        <w:spacing w:line="360" w:lineRule="auto"/>
        <w:ind w:firstLine="420" w:firstLineChars="200"/>
        <w:rPr>
          <w:color w:val="auto"/>
          <w:szCs w:val="21"/>
          <w:highlight w:val="none"/>
        </w:rPr>
      </w:pPr>
      <w:r>
        <w:rPr>
          <w:color w:val="auto"/>
          <w:szCs w:val="21"/>
          <w:highlight w:val="none"/>
        </w:rPr>
        <w:t>备注：</w:t>
      </w:r>
    </w:p>
    <w:p w14:paraId="4D33FCFD">
      <w:pPr>
        <w:snapToGrid w:val="0"/>
        <w:spacing w:line="360" w:lineRule="auto"/>
        <w:ind w:firstLine="420" w:firstLineChars="200"/>
        <w:jc w:val="left"/>
        <w:rPr>
          <w:rFonts w:ascii="Arial" w:hAnsi="Arial"/>
          <w:color w:val="auto"/>
          <w:szCs w:val="22"/>
          <w:highlight w:val="none"/>
        </w:rPr>
      </w:pPr>
      <w:r>
        <w:rPr>
          <w:color w:val="auto"/>
          <w:szCs w:val="21"/>
          <w:highlight w:val="none"/>
        </w:rPr>
        <w:t>合同履行期限：</w:t>
      </w:r>
      <w:r>
        <w:rPr>
          <w:rFonts w:hint="eastAsia" w:ascii="Arial" w:hAnsi="Arial"/>
          <w:color w:val="auto"/>
          <w:szCs w:val="22"/>
          <w:highlight w:val="none"/>
        </w:rPr>
        <w:t>标项1，签订合同且具备实施条件后</w:t>
      </w:r>
      <w:r>
        <w:rPr>
          <w:rFonts w:hint="eastAsia" w:ascii="Arial" w:hAnsi="Arial"/>
          <w:color w:val="auto"/>
          <w:szCs w:val="22"/>
          <w:highlight w:val="none"/>
          <w:lang w:val="en-US" w:eastAsia="zh-CN"/>
        </w:rPr>
        <w:t>15</w:t>
      </w:r>
      <w:r>
        <w:rPr>
          <w:rFonts w:hint="eastAsia" w:ascii="Arial" w:hAnsi="Arial"/>
          <w:color w:val="auto"/>
          <w:szCs w:val="22"/>
          <w:highlight w:val="none"/>
        </w:rPr>
        <w:t>个工作日</w:t>
      </w:r>
      <w:r>
        <w:rPr>
          <w:rFonts w:hint="eastAsia" w:ascii="Arial" w:hAnsi="Arial" w:cs="宋体"/>
          <w:bCs/>
          <w:color w:val="auto"/>
          <w:szCs w:val="21"/>
          <w:highlight w:val="none"/>
        </w:rPr>
        <w:t>完成</w:t>
      </w:r>
      <w:r>
        <w:rPr>
          <w:rFonts w:hint="eastAsia" w:ascii="Arial" w:hAnsi="Arial" w:cs="宋体"/>
          <w:bCs/>
          <w:color w:val="auto"/>
          <w:szCs w:val="21"/>
          <w:highlight w:val="none"/>
          <w:lang w:val="en-US" w:eastAsia="zh-CN"/>
        </w:rPr>
        <w:t>供货</w:t>
      </w:r>
      <w:r>
        <w:rPr>
          <w:rFonts w:hint="eastAsia" w:ascii="Arial" w:hAnsi="Arial" w:cs="宋体"/>
          <w:bCs/>
          <w:color w:val="auto"/>
          <w:szCs w:val="21"/>
          <w:highlight w:val="none"/>
        </w:rPr>
        <w:t>安装调试</w:t>
      </w:r>
      <w:r>
        <w:rPr>
          <w:rFonts w:hint="eastAsia"/>
          <w:color w:val="auto"/>
          <w:highlight w:val="none"/>
          <w:lang w:eastAsia="zh-CN"/>
        </w:rPr>
        <w:t>且通过验收</w:t>
      </w:r>
      <w:r>
        <w:rPr>
          <w:rFonts w:hint="eastAsia" w:ascii="Arial" w:hAnsi="Arial" w:cs="宋体"/>
          <w:bCs/>
          <w:color w:val="auto"/>
          <w:szCs w:val="21"/>
          <w:highlight w:val="none"/>
        </w:rPr>
        <w:t>。</w:t>
      </w:r>
    </w:p>
    <w:p w14:paraId="7466C076">
      <w:pPr>
        <w:snapToGrid w:val="0"/>
        <w:spacing w:line="360" w:lineRule="auto"/>
        <w:ind w:firstLine="420" w:firstLineChars="200"/>
        <w:rPr>
          <w:color w:val="auto"/>
          <w:szCs w:val="21"/>
          <w:highlight w:val="none"/>
        </w:rPr>
      </w:pPr>
      <w:r>
        <w:rPr>
          <w:color w:val="auto"/>
          <w:szCs w:val="21"/>
          <w:highlight w:val="none"/>
        </w:rPr>
        <w:t>本项目（否）接受联合体投标。</w:t>
      </w:r>
    </w:p>
    <w:p w14:paraId="5BCFEA48">
      <w:pPr>
        <w:snapToGrid w:val="0"/>
        <w:spacing w:line="360" w:lineRule="auto"/>
        <w:ind w:firstLine="422" w:firstLineChars="200"/>
        <w:rPr>
          <w:b/>
          <w:bCs/>
          <w:color w:val="auto"/>
          <w:szCs w:val="21"/>
          <w:highlight w:val="none"/>
        </w:rPr>
      </w:pPr>
      <w:r>
        <w:rPr>
          <w:b/>
          <w:bCs/>
          <w:color w:val="auto"/>
          <w:szCs w:val="21"/>
          <w:highlight w:val="none"/>
        </w:rPr>
        <w:t>二、申请人的资格要求</w:t>
      </w:r>
    </w:p>
    <w:p w14:paraId="49ECC897">
      <w:pPr>
        <w:spacing w:line="360" w:lineRule="auto"/>
        <w:ind w:firstLine="420" w:firstLineChars="200"/>
        <w:rPr>
          <w:color w:val="auto"/>
          <w:szCs w:val="21"/>
          <w:highlight w:val="none"/>
        </w:rPr>
      </w:pPr>
      <w:r>
        <w:rPr>
          <w:color w:val="auto"/>
          <w:szCs w:val="21"/>
          <w:highlight w:val="none"/>
        </w:rPr>
        <w:t>1、符合《中华人民共和国政府采购法》第二十二条规定的投标人资格条件；未被“信用中国”（www.creditchina.gov.cn)、中国政府采购网（www.ccgp.gov.cn）列入失信被执行人、重大税收违法案件当事人名单、政府采购严重违法失信行为记录名单。</w:t>
      </w:r>
    </w:p>
    <w:p w14:paraId="12147870">
      <w:pPr>
        <w:spacing w:line="400" w:lineRule="exact"/>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 xml:space="preserve">  2.落实政府采购政策需满足的资格要求：</w:t>
      </w:r>
    </w:p>
    <w:p w14:paraId="39CF1F6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sym w:font="Wingdings" w:char="00FE"/>
      </w:r>
      <w:r>
        <w:rPr>
          <w:rFonts w:hint="eastAsia" w:ascii="宋体" w:hAnsi="宋体" w:eastAsia="宋体" w:cs="宋体"/>
          <w:color w:val="auto"/>
          <w:sz w:val="21"/>
          <w:szCs w:val="21"/>
          <w:highlight w:val="none"/>
        </w:rPr>
        <w:t>无；</w:t>
      </w:r>
    </w:p>
    <w:p w14:paraId="4B42510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sym w:font="Wingdings" w:char="00A8"/>
      </w:r>
      <w:r>
        <w:rPr>
          <w:rFonts w:hint="eastAsia" w:ascii="宋体" w:hAnsi="宋体" w:eastAsia="宋体" w:cs="宋体"/>
          <w:color w:val="auto"/>
          <w:kern w:val="0"/>
          <w:sz w:val="21"/>
          <w:szCs w:val="21"/>
          <w:highlight w:val="none"/>
        </w:rPr>
        <w:t>专</w:t>
      </w:r>
      <w:r>
        <w:rPr>
          <w:rFonts w:hint="eastAsia" w:ascii="宋体" w:hAnsi="宋体" w:eastAsia="宋体" w:cs="宋体"/>
          <w:color w:val="auto"/>
          <w:sz w:val="21"/>
          <w:szCs w:val="21"/>
          <w:highlight w:val="none"/>
        </w:rPr>
        <w:t>门面向中小企业</w:t>
      </w:r>
    </w:p>
    <w:p w14:paraId="6ECF38C4">
      <w:pPr>
        <w:spacing w:line="400" w:lineRule="exact"/>
        <w:ind w:firstLine="785" w:firstLineChars="374"/>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sym w:font="Wingdings" w:char="00A8"/>
      </w:r>
      <w:r>
        <w:rPr>
          <w:rFonts w:hint="eastAsia" w:ascii="宋体" w:hAnsi="宋体" w:eastAsia="宋体" w:cs="宋体"/>
          <w:color w:val="auto"/>
          <w:sz w:val="21"/>
          <w:szCs w:val="21"/>
          <w:highlight w:val="none"/>
        </w:rPr>
        <w:t>货物全部由符合政策要求的中小企业制造，提供中小企业声明函；</w:t>
      </w:r>
    </w:p>
    <w:p w14:paraId="6375F806">
      <w:pPr>
        <w:spacing w:line="400" w:lineRule="exact"/>
        <w:ind w:firstLine="785" w:firstLineChars="374"/>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sym w:font="Wingdings" w:char="00A8"/>
      </w:r>
      <w:r>
        <w:rPr>
          <w:rFonts w:hint="eastAsia" w:ascii="宋体" w:hAnsi="宋体" w:eastAsia="宋体" w:cs="宋体"/>
          <w:color w:val="auto"/>
          <w:sz w:val="21"/>
          <w:szCs w:val="21"/>
          <w:highlight w:val="none"/>
        </w:rPr>
        <w:t>货物全部由符合政策要求的小微企业制造，提供中小企业声明函；</w:t>
      </w:r>
    </w:p>
    <w:p w14:paraId="0E6CB1B1">
      <w:pPr>
        <w:spacing w:line="400" w:lineRule="exact"/>
        <w:ind w:firstLine="785" w:firstLineChars="374"/>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sym w:font="Wingdings" w:char="00A8"/>
      </w:r>
      <w:r>
        <w:rPr>
          <w:rFonts w:hint="eastAsia" w:ascii="宋体" w:hAnsi="宋体" w:eastAsia="宋体" w:cs="宋体"/>
          <w:color w:val="auto"/>
          <w:sz w:val="21"/>
          <w:szCs w:val="21"/>
          <w:highlight w:val="none"/>
        </w:rPr>
        <w:t>服务全部由符合政策要求的中小企业承接，提供中小企业声明函；</w:t>
      </w:r>
    </w:p>
    <w:p w14:paraId="7BF40135">
      <w:pPr>
        <w:spacing w:line="400" w:lineRule="exact"/>
        <w:ind w:firstLine="785" w:firstLineChars="374"/>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sym w:font="Wingdings" w:char="00A8"/>
      </w:r>
      <w:r>
        <w:rPr>
          <w:rFonts w:hint="eastAsia" w:ascii="宋体" w:hAnsi="宋体" w:eastAsia="宋体" w:cs="宋体"/>
          <w:color w:val="auto"/>
          <w:sz w:val="21"/>
          <w:szCs w:val="21"/>
          <w:highlight w:val="none"/>
        </w:rPr>
        <w:t>服务全部由符合政策要求的小微企业承接，提供中小企业声明函；</w:t>
      </w:r>
    </w:p>
    <w:p w14:paraId="6D7C036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sym w:font="Wingdings" w:char="00A8"/>
      </w:r>
      <w:r>
        <w:rPr>
          <w:rFonts w:hint="eastAsia" w:ascii="宋体" w:hAnsi="宋体" w:eastAsia="宋体" w:cs="宋体"/>
          <w:color w:val="auto"/>
          <w:sz w:val="21"/>
          <w:szCs w:val="21"/>
          <w:highlight w:val="none"/>
        </w:rPr>
        <w:t>要求以联合体形式参加，提供联合协议和中小企业声明函，联合协议中中小企业合同金额应当达到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%，小微企业合同金额应当达到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pacing w:val="8"/>
          <w:kern w:val="0"/>
          <w:sz w:val="21"/>
          <w:szCs w:val="21"/>
          <w:highlight w:val="none"/>
        </w:rPr>
        <w:t>如果供应商本身提供所有标的均由中小企业制造、承建或承接，视同符合了资格条件，无需再与其他中小企业组成联合体参加政府采购活动，无需提供联合协议</w:t>
      </w:r>
      <w:r>
        <w:rPr>
          <w:rFonts w:hint="eastAsia" w:ascii="宋体" w:hAnsi="宋体" w:eastAsia="宋体" w:cs="宋体"/>
          <w:color w:val="auto"/>
          <w:sz w:val="21"/>
          <w:szCs w:val="21"/>
          <w:highlight w:val="none"/>
        </w:rPr>
        <w:t>；</w:t>
      </w:r>
    </w:p>
    <w:p w14:paraId="4BEF435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sym w:font="Wingdings" w:char="00A8"/>
      </w:r>
      <w:r>
        <w:rPr>
          <w:rFonts w:hint="eastAsia" w:ascii="宋体" w:hAnsi="宋体" w:eastAsia="宋体" w:cs="宋体"/>
          <w:color w:val="auto"/>
          <w:sz w:val="21"/>
          <w:szCs w:val="21"/>
          <w:highlight w:val="none"/>
        </w:rPr>
        <w:t>要求合同分包，提供分包意向协议和中小企业声明函，分包意向协议中中小企业合同金额应当达到达到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，小微企业合同金额应当达到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w:t>
      </w:r>
      <w:r>
        <w:rPr>
          <w:rFonts w:hint="eastAsia" w:ascii="宋体" w:hAnsi="宋体" w:eastAsia="宋体" w:cs="宋体"/>
          <w:color w:val="auto"/>
          <w:spacing w:val="8"/>
          <w:kern w:val="0"/>
          <w:sz w:val="21"/>
          <w:szCs w:val="21"/>
          <w:highlight w:val="none"/>
        </w:rPr>
        <w:t>如果供应商本身提供所有标的均由中小企业制造、承建或承接，视同符合了资格条件，无需再向中小企业分包，无需提供分包意向协议</w:t>
      </w:r>
      <w:r>
        <w:rPr>
          <w:rFonts w:hint="eastAsia" w:ascii="宋体" w:hAnsi="宋体" w:eastAsia="宋体" w:cs="宋体"/>
          <w:color w:val="auto"/>
          <w:sz w:val="21"/>
          <w:szCs w:val="21"/>
          <w:highlight w:val="none"/>
        </w:rPr>
        <w:t xml:space="preserve">；                                                                                                     </w:t>
      </w:r>
    </w:p>
    <w:p w14:paraId="6B4B5C5A">
      <w:pPr>
        <w:snapToGrid w:val="0"/>
        <w:spacing w:line="400" w:lineRule="exact"/>
        <w:ind w:left="-1"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09712FCF">
      <w:pPr>
        <w:tabs>
          <w:tab w:val="left" w:pos="0"/>
        </w:tabs>
        <w:snapToGrid w:val="0"/>
        <w:spacing w:line="360" w:lineRule="auto"/>
        <w:ind w:left="400"/>
        <w:jc w:val="left"/>
        <w:rPr>
          <w:rFonts w:ascii="Arial" w:hAnsi="Arial" w:cs="宋体"/>
          <w:color w:val="auto"/>
          <w:highlight w:val="none"/>
        </w:rPr>
      </w:pPr>
      <w:r>
        <w:rPr>
          <w:rFonts w:hint="eastAsia"/>
          <w:color w:val="auto"/>
          <w:szCs w:val="21"/>
          <w:highlight w:val="none"/>
          <w:lang w:val="en-US" w:eastAsia="zh-CN"/>
        </w:rPr>
        <w:t>4</w:t>
      </w:r>
      <w:r>
        <w:rPr>
          <w:color w:val="auto"/>
          <w:szCs w:val="21"/>
          <w:highlight w:val="none"/>
        </w:rPr>
        <w:t>、</w:t>
      </w:r>
      <w:r>
        <w:rPr>
          <w:rFonts w:hint="eastAsia" w:ascii="Arial" w:hAnsi="Arial" w:cs="宋体"/>
          <w:color w:val="auto"/>
          <w:highlight w:val="none"/>
        </w:rPr>
        <w:t>本项目的特定资格要求：标项1，无。</w:t>
      </w:r>
    </w:p>
    <w:p w14:paraId="7EB4971F">
      <w:pPr>
        <w:snapToGrid w:val="0"/>
        <w:spacing w:line="360" w:lineRule="auto"/>
        <w:ind w:firstLine="422" w:firstLineChars="200"/>
        <w:rPr>
          <w:b/>
          <w:bCs/>
          <w:color w:val="auto"/>
          <w:szCs w:val="21"/>
          <w:highlight w:val="none"/>
        </w:rPr>
      </w:pPr>
      <w:r>
        <w:rPr>
          <w:b/>
          <w:bCs/>
          <w:color w:val="auto"/>
          <w:szCs w:val="21"/>
          <w:highlight w:val="none"/>
        </w:rPr>
        <w:t>三、</w:t>
      </w:r>
      <w:r>
        <w:rPr>
          <w:rFonts w:hint="eastAsia"/>
          <w:b/>
          <w:bCs/>
          <w:color w:val="auto"/>
          <w:szCs w:val="21"/>
          <w:highlight w:val="none"/>
        </w:rPr>
        <w:t>获取（下载）采购文件</w:t>
      </w:r>
    </w:p>
    <w:p w14:paraId="54D2B0E1">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日至202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日，每天上午00:00至12:00，下午12:00至23:59（北京时间，线上获取法定节假日均可，线下获取文件法定节假日除外）</w:t>
      </w:r>
    </w:p>
    <w:p w14:paraId="04909E7E">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地点（网址）：政采云平台（https://login.zcygov.cn/user-login/#/login） </w:t>
      </w:r>
    </w:p>
    <w:p w14:paraId="09EDAE85">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方式：1、供应商登录政采云平台（https://login.zcygov.cn/user-login/#/login）的注册账号后，进入政采云系统“项目采购”模块“获取招标文件”菜单，进行网上获取招标文件。如有疑问请及时咨询网站客服，咨询电话：95763。2、获取招标文件前，供应商应在“浙江政府采购网（http://zfcg.czt.zj.gov.cn/）”上进行供应商注册申请，并通过财政部门的终审后登记加入到“浙江省政府采购供应商库”。中标或成交供应商必须注册并登记加入“浙江省政府采购供应商库”。具体要求及注册申请流程详见浙江政府采购网“网上办事指南”的“供应商注册申请”。如未注册的供应商，请注意注册所需时间。招标公告附件中的招标文件仅供阅览使用，供应商应在规定的招标文件提供期限内在政采云平台登录上述供应商注册的账号后获取招标文件，未在规定的招标文件提供期限内或未按上述方式获取招标文件的，其投标均视为无效，并不得对招标文件提起质疑投诉。</w:t>
      </w:r>
    </w:p>
    <w:p w14:paraId="64AFC1AB">
      <w:pPr>
        <w:keepNext w:val="0"/>
        <w:keepLines w:val="0"/>
        <w:pageBreakBefore w:val="0"/>
        <w:widowControl w:val="0"/>
        <w:kinsoku/>
        <w:wordWrap/>
        <w:overflowPunct/>
        <w:topLinePunct w:val="0"/>
        <w:autoSpaceDE/>
        <w:autoSpaceDN/>
        <w:bidi w:val="0"/>
        <w:adjustRightInd/>
        <w:snapToGrid/>
        <w:spacing w:after="143" w:afterLines="50" w:line="420" w:lineRule="exact"/>
        <w:ind w:firstLine="420" w:firstLineChars="200"/>
        <w:jc w:val="left"/>
        <w:textAlignment w:val="auto"/>
        <w:rPr>
          <w:b/>
          <w:color w:val="auto"/>
          <w:szCs w:val="21"/>
          <w:highlight w:val="none"/>
        </w:rPr>
      </w:pPr>
      <w:r>
        <w:rPr>
          <w:rFonts w:hint="eastAsia" w:ascii="宋体" w:hAnsi="宋体" w:cs="宋体"/>
          <w:color w:val="auto"/>
          <w:szCs w:val="21"/>
          <w:highlight w:val="none"/>
        </w:rPr>
        <w:t>售价（元）：0</w:t>
      </w:r>
    </w:p>
    <w:p w14:paraId="1161C524">
      <w:pPr>
        <w:snapToGrid w:val="0"/>
        <w:spacing w:line="360" w:lineRule="auto"/>
        <w:ind w:firstLine="422" w:firstLineChars="200"/>
        <w:rPr>
          <w:b/>
          <w:bCs/>
          <w:color w:val="auto"/>
          <w:szCs w:val="21"/>
          <w:highlight w:val="none"/>
        </w:rPr>
      </w:pPr>
      <w:r>
        <w:rPr>
          <w:b/>
          <w:bCs/>
          <w:color w:val="auto"/>
          <w:szCs w:val="21"/>
          <w:highlight w:val="none"/>
        </w:rPr>
        <w:t>四、提交投标文件截止时间、开标时间和地点：</w:t>
      </w:r>
    </w:p>
    <w:p w14:paraId="271C5438">
      <w:pPr>
        <w:snapToGrid w:val="0"/>
        <w:spacing w:line="360" w:lineRule="auto"/>
        <w:ind w:firstLine="420" w:firstLineChars="200"/>
        <w:rPr>
          <w:color w:val="auto"/>
          <w:szCs w:val="21"/>
          <w:highlight w:val="none"/>
        </w:rPr>
      </w:pPr>
      <w:r>
        <w:rPr>
          <w:color w:val="auto"/>
          <w:szCs w:val="21"/>
          <w:highlight w:val="none"/>
        </w:rPr>
        <w:t>提交投标文件截止时间：202</w:t>
      </w:r>
      <w:r>
        <w:rPr>
          <w:rFonts w:hint="eastAsia"/>
          <w:color w:val="auto"/>
          <w:szCs w:val="21"/>
          <w:highlight w:val="none"/>
          <w:lang w:val="en-US" w:eastAsia="zh-CN"/>
        </w:rPr>
        <w:t>6</w:t>
      </w:r>
      <w:r>
        <w:rPr>
          <w:color w:val="auto"/>
          <w:szCs w:val="21"/>
          <w:highlight w:val="none"/>
        </w:rPr>
        <w:t>年</w:t>
      </w:r>
      <w:r>
        <w:rPr>
          <w:rFonts w:hint="eastAsia"/>
          <w:color w:val="auto"/>
          <w:szCs w:val="21"/>
          <w:highlight w:val="none"/>
          <w:lang w:val="en-US" w:eastAsia="zh-CN"/>
        </w:rPr>
        <w:t>05</w:t>
      </w:r>
      <w:r>
        <w:rPr>
          <w:color w:val="auto"/>
          <w:szCs w:val="21"/>
          <w:highlight w:val="none"/>
        </w:rPr>
        <w:t>月</w:t>
      </w:r>
      <w:r>
        <w:rPr>
          <w:rFonts w:hint="eastAsia"/>
          <w:color w:val="auto"/>
          <w:szCs w:val="21"/>
          <w:highlight w:val="none"/>
          <w:lang w:val="en-US" w:eastAsia="zh-CN"/>
        </w:rPr>
        <w:t>06</w:t>
      </w:r>
      <w:r>
        <w:rPr>
          <w:color w:val="auto"/>
          <w:szCs w:val="21"/>
          <w:highlight w:val="none"/>
        </w:rPr>
        <w:t>日 1</w:t>
      </w:r>
      <w:r>
        <w:rPr>
          <w:rFonts w:hint="eastAsia"/>
          <w:color w:val="auto"/>
          <w:szCs w:val="21"/>
          <w:highlight w:val="none"/>
        </w:rPr>
        <w:t>3</w:t>
      </w:r>
      <w:r>
        <w:rPr>
          <w:color w:val="auto"/>
          <w:szCs w:val="21"/>
          <w:highlight w:val="none"/>
        </w:rPr>
        <w:t xml:space="preserve"> : </w:t>
      </w:r>
      <w:r>
        <w:rPr>
          <w:rFonts w:hint="eastAsia"/>
          <w:color w:val="auto"/>
          <w:szCs w:val="21"/>
          <w:highlight w:val="none"/>
        </w:rPr>
        <w:t>3</w:t>
      </w:r>
      <w:r>
        <w:rPr>
          <w:color w:val="auto"/>
          <w:szCs w:val="21"/>
          <w:highlight w:val="none"/>
        </w:rPr>
        <w:t>0 （北京时间）</w:t>
      </w:r>
    </w:p>
    <w:p w14:paraId="27350665">
      <w:pPr>
        <w:snapToGrid w:val="0"/>
        <w:spacing w:line="360" w:lineRule="auto"/>
        <w:ind w:firstLine="420" w:firstLineChars="200"/>
        <w:rPr>
          <w:color w:val="auto"/>
          <w:szCs w:val="21"/>
          <w:highlight w:val="none"/>
        </w:rPr>
      </w:pPr>
      <w:r>
        <w:rPr>
          <w:color w:val="auto"/>
          <w:szCs w:val="21"/>
          <w:highlight w:val="none"/>
        </w:rPr>
        <w:t>投标地点（网址）：政府采购云平台</w:t>
      </w:r>
      <w:r>
        <w:rPr>
          <w:rFonts w:hint="eastAsia" w:ascii="宋体" w:hAnsi="宋体" w:cs="宋体"/>
          <w:color w:val="auto"/>
          <w:szCs w:val="21"/>
          <w:highlight w:val="none"/>
        </w:rPr>
        <w:t>（www.zcygov.cn）</w:t>
      </w:r>
    </w:p>
    <w:p w14:paraId="661DBB12">
      <w:pPr>
        <w:snapToGrid w:val="0"/>
        <w:spacing w:line="360" w:lineRule="auto"/>
        <w:ind w:firstLine="420" w:firstLineChars="200"/>
        <w:rPr>
          <w:color w:val="auto"/>
          <w:szCs w:val="21"/>
          <w:highlight w:val="none"/>
        </w:rPr>
      </w:pPr>
      <w:r>
        <w:rPr>
          <w:color w:val="auto"/>
          <w:szCs w:val="21"/>
          <w:highlight w:val="none"/>
        </w:rPr>
        <w:t>开标时间：202</w:t>
      </w:r>
      <w:r>
        <w:rPr>
          <w:rFonts w:hint="eastAsia"/>
          <w:color w:val="auto"/>
          <w:szCs w:val="21"/>
          <w:highlight w:val="none"/>
          <w:lang w:val="en-US" w:eastAsia="zh-CN"/>
        </w:rPr>
        <w:t>6</w:t>
      </w:r>
      <w:r>
        <w:rPr>
          <w:color w:val="auto"/>
          <w:szCs w:val="21"/>
          <w:highlight w:val="none"/>
        </w:rPr>
        <w:t>年</w:t>
      </w:r>
      <w:r>
        <w:rPr>
          <w:rFonts w:hint="eastAsia"/>
          <w:color w:val="auto"/>
          <w:szCs w:val="21"/>
          <w:highlight w:val="none"/>
          <w:lang w:val="en-US" w:eastAsia="zh-CN"/>
        </w:rPr>
        <w:t>05</w:t>
      </w:r>
      <w:r>
        <w:rPr>
          <w:color w:val="auto"/>
          <w:szCs w:val="21"/>
          <w:highlight w:val="none"/>
        </w:rPr>
        <w:t>月</w:t>
      </w:r>
      <w:r>
        <w:rPr>
          <w:rFonts w:hint="eastAsia"/>
          <w:color w:val="auto"/>
          <w:szCs w:val="21"/>
          <w:highlight w:val="none"/>
          <w:lang w:val="en-US" w:eastAsia="zh-CN"/>
        </w:rPr>
        <w:t>06</w:t>
      </w:r>
      <w:r>
        <w:rPr>
          <w:color w:val="auto"/>
          <w:szCs w:val="21"/>
          <w:highlight w:val="none"/>
        </w:rPr>
        <w:t>日 1</w:t>
      </w:r>
      <w:r>
        <w:rPr>
          <w:rFonts w:hint="eastAsia"/>
          <w:color w:val="auto"/>
          <w:szCs w:val="21"/>
          <w:highlight w:val="none"/>
        </w:rPr>
        <w:t>3</w:t>
      </w:r>
      <w:r>
        <w:rPr>
          <w:color w:val="auto"/>
          <w:szCs w:val="21"/>
          <w:highlight w:val="none"/>
        </w:rPr>
        <w:t xml:space="preserve"> : </w:t>
      </w:r>
      <w:r>
        <w:rPr>
          <w:rFonts w:hint="eastAsia"/>
          <w:color w:val="auto"/>
          <w:szCs w:val="21"/>
          <w:highlight w:val="none"/>
        </w:rPr>
        <w:t>3</w:t>
      </w:r>
      <w:r>
        <w:rPr>
          <w:color w:val="auto"/>
          <w:szCs w:val="21"/>
          <w:highlight w:val="none"/>
        </w:rPr>
        <w:t>0（北京时间）</w:t>
      </w:r>
    </w:p>
    <w:p w14:paraId="5AD0D29B">
      <w:pPr>
        <w:snapToGrid w:val="0"/>
        <w:spacing w:line="360" w:lineRule="auto"/>
        <w:ind w:firstLine="420" w:firstLineChars="200"/>
        <w:rPr>
          <w:color w:val="auto"/>
          <w:szCs w:val="21"/>
          <w:highlight w:val="none"/>
        </w:rPr>
      </w:pPr>
      <w:r>
        <w:rPr>
          <w:color w:val="auto"/>
          <w:szCs w:val="21"/>
          <w:highlight w:val="none"/>
        </w:rPr>
        <w:t>开标地点（网址）：政府采购云平台</w:t>
      </w:r>
      <w:r>
        <w:rPr>
          <w:rFonts w:hint="eastAsia" w:ascii="宋体" w:hAnsi="宋体" w:cs="宋体"/>
          <w:color w:val="auto"/>
          <w:szCs w:val="21"/>
          <w:highlight w:val="none"/>
        </w:rPr>
        <w:t>（www.zcygov.cn）</w:t>
      </w:r>
    </w:p>
    <w:p w14:paraId="4238440D">
      <w:pPr>
        <w:spacing w:line="360" w:lineRule="auto"/>
        <w:ind w:firstLine="422" w:firstLineChars="200"/>
        <w:rPr>
          <w:b/>
          <w:bCs/>
          <w:color w:val="auto"/>
          <w:szCs w:val="21"/>
          <w:highlight w:val="none"/>
        </w:rPr>
      </w:pPr>
      <w:r>
        <w:rPr>
          <w:b/>
          <w:bCs/>
          <w:color w:val="auto"/>
          <w:szCs w:val="21"/>
          <w:highlight w:val="none"/>
        </w:rPr>
        <w:t>五、公告期限</w:t>
      </w:r>
    </w:p>
    <w:p w14:paraId="7E7BB1F1">
      <w:pPr>
        <w:snapToGrid w:val="0"/>
        <w:spacing w:line="360" w:lineRule="auto"/>
        <w:ind w:firstLine="420" w:firstLineChars="200"/>
        <w:rPr>
          <w:color w:val="auto"/>
          <w:szCs w:val="21"/>
          <w:highlight w:val="none"/>
        </w:rPr>
      </w:pPr>
      <w:r>
        <w:rPr>
          <w:bCs/>
          <w:color w:val="auto"/>
          <w:szCs w:val="21"/>
          <w:highlight w:val="none"/>
        </w:rPr>
        <w:t>自本公告发布之日起5个工作日。</w:t>
      </w:r>
    </w:p>
    <w:p w14:paraId="752E507D">
      <w:pPr>
        <w:spacing w:line="360" w:lineRule="auto"/>
        <w:ind w:firstLine="422" w:firstLineChars="200"/>
        <w:rPr>
          <w:b/>
          <w:bCs/>
          <w:color w:val="auto"/>
          <w:szCs w:val="21"/>
          <w:highlight w:val="none"/>
        </w:rPr>
      </w:pPr>
      <w:r>
        <w:rPr>
          <w:b/>
          <w:bCs/>
          <w:color w:val="auto"/>
          <w:szCs w:val="21"/>
          <w:highlight w:val="none"/>
        </w:rPr>
        <w:t>六、其他补充事宜</w:t>
      </w:r>
    </w:p>
    <w:p w14:paraId="081F8729">
      <w:pPr>
        <w:numPr>
          <w:ilvl w:val="0"/>
          <w:numId w:val="9"/>
        </w:numPr>
        <w:snapToGrid w:val="0"/>
        <w:spacing w:line="360" w:lineRule="auto"/>
        <w:rPr>
          <w:rFonts w:ascii="Arial" w:hAnsi="Arial" w:cs="宋体"/>
          <w:color w:val="auto"/>
          <w:szCs w:val="21"/>
          <w:highlight w:val="none"/>
        </w:rPr>
      </w:pPr>
      <w:r>
        <w:rPr>
          <w:rFonts w:ascii="Arial" w:hAnsi="Arial" w:cs="宋体"/>
          <w:color w:val="auto"/>
          <w:szCs w:val="21"/>
          <w:highlight w:val="none"/>
        </w:rPr>
        <w:t>《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Arial" w:hAnsi="Arial" w:cs="宋体"/>
          <w:color w:val="auto"/>
          <w:szCs w:val="21"/>
          <w:highlight w:val="none"/>
        </w:rPr>
        <w:t>。</w:t>
      </w:r>
    </w:p>
    <w:p w14:paraId="70EBBBC0">
      <w:pPr>
        <w:numPr>
          <w:ilvl w:val="0"/>
          <w:numId w:val="9"/>
        </w:numPr>
        <w:snapToGrid w:val="0"/>
        <w:spacing w:line="360" w:lineRule="auto"/>
        <w:rPr>
          <w:rFonts w:ascii="Arial" w:hAnsi="Arial" w:cs="宋体"/>
          <w:color w:val="auto"/>
          <w:szCs w:val="21"/>
          <w:highlight w:val="none"/>
        </w:rPr>
      </w:pPr>
      <w:r>
        <w:rPr>
          <w:rFonts w:hint="eastAsia" w:ascii="宋体" w:hAnsi="宋体" w:cs="宋体"/>
          <w:color w:val="auto"/>
          <w:kern w:val="0"/>
          <w:szCs w:val="21"/>
          <w:highlight w:val="none"/>
          <w:lang w:bidi="ar"/>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44E0B08">
      <w:pPr>
        <w:numPr>
          <w:ilvl w:val="0"/>
          <w:numId w:val="9"/>
        </w:numPr>
        <w:snapToGrid w:val="0"/>
        <w:spacing w:line="360" w:lineRule="auto"/>
        <w:rPr>
          <w:rFonts w:ascii="Arial" w:hAnsi="Arial" w:cs="宋体"/>
          <w:color w:val="auto"/>
          <w:szCs w:val="21"/>
          <w:highlight w:val="none"/>
        </w:rPr>
      </w:pPr>
      <w:r>
        <w:rPr>
          <w:rFonts w:hint="eastAsia" w:ascii="Arial" w:hAnsi="Arial" w:cs="宋体"/>
          <w:color w:val="auto"/>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928961A">
      <w:pPr>
        <w:keepNext w:val="0"/>
        <w:keepLines w:val="0"/>
        <w:pageBreakBefore w:val="0"/>
        <w:widowControl w:val="0"/>
        <w:kinsoku/>
        <w:wordWrap/>
        <w:overflowPunct/>
        <w:topLinePunct w:val="0"/>
        <w:autoSpaceDE/>
        <w:autoSpaceDN/>
        <w:bidi w:val="0"/>
        <w:adjustRightInd/>
        <w:snapToGrid/>
        <w:spacing w:before="143" w:beforeLines="50" w:line="360" w:lineRule="auto"/>
        <w:ind w:firstLine="420" w:firstLineChars="200"/>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bidi="ar"/>
        </w:rPr>
        <w:t>其他事项：（1）需要落实的政府采购政策：包括节约资源、保护环境、支持创新、促进中小企业发展、支持本国产品等。详见招标文件的第二部分总则。</w:t>
      </w:r>
    </w:p>
    <w:p w14:paraId="076A1509">
      <w:pPr>
        <w:keepNext w:val="0"/>
        <w:keepLines w:val="0"/>
        <w:pageBreakBefore w:val="0"/>
        <w:widowControl w:val="0"/>
        <w:kinsoku/>
        <w:wordWrap/>
        <w:overflowPunct/>
        <w:topLinePunct w:val="0"/>
        <w:autoSpaceDE/>
        <w:autoSpaceDN/>
        <w:bidi w:val="0"/>
        <w:adjustRightInd/>
        <w:snapToGrid/>
        <w:spacing w:before="143" w:beforeLines="50" w:line="360" w:lineRule="auto"/>
        <w:ind w:firstLine="420" w:firstLineChars="200"/>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章”、“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寄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w:t>
      </w:r>
    </w:p>
    <w:p w14:paraId="056006FC">
      <w:pPr>
        <w:keepNext w:val="0"/>
        <w:keepLines w:val="0"/>
        <w:pageBreakBefore w:val="0"/>
        <w:widowControl w:val="0"/>
        <w:kinsoku/>
        <w:wordWrap/>
        <w:overflowPunct/>
        <w:topLinePunct w:val="0"/>
        <w:autoSpaceDE/>
        <w:autoSpaceDN/>
        <w:bidi w:val="0"/>
        <w:adjustRightInd/>
        <w:snapToGrid/>
        <w:spacing w:before="143" w:beforeLines="50" w:line="360" w:lineRule="auto"/>
        <w:ind w:firstLine="420" w:firstLineChars="200"/>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（3）招标文件公告期限与招标公告的公告期限一致。</w:t>
      </w:r>
    </w:p>
    <w:p w14:paraId="5EAAA0BB">
      <w:pPr>
        <w:keepNext w:val="0"/>
        <w:keepLines w:val="0"/>
        <w:pageBreakBefore w:val="0"/>
        <w:widowControl w:val="0"/>
        <w:kinsoku/>
        <w:wordWrap/>
        <w:overflowPunct/>
        <w:topLinePunct w:val="0"/>
        <w:autoSpaceDE/>
        <w:autoSpaceDN/>
        <w:bidi w:val="0"/>
        <w:adjustRightInd/>
        <w:snapToGrid/>
        <w:spacing w:before="143" w:beforeLines="50" w:line="360" w:lineRule="auto"/>
        <w:ind w:firstLine="422" w:firstLineChars="200"/>
        <w:textAlignment w:val="auto"/>
        <w:rPr>
          <w:b/>
          <w:color w:val="auto"/>
          <w:szCs w:val="21"/>
          <w:highlight w:val="none"/>
        </w:rPr>
      </w:pPr>
      <w:r>
        <w:rPr>
          <w:b/>
          <w:color w:val="auto"/>
          <w:szCs w:val="21"/>
          <w:highlight w:val="none"/>
        </w:rPr>
        <w:t>七、对本次招标提出询问，请按以下方式联系。</w:t>
      </w:r>
    </w:p>
    <w:p w14:paraId="4E13BB4A">
      <w:pPr>
        <w:spacing w:line="360" w:lineRule="auto"/>
        <w:ind w:firstLine="420"/>
        <w:rPr>
          <w:b/>
          <w:color w:val="auto"/>
          <w:szCs w:val="21"/>
          <w:highlight w:val="none"/>
        </w:rPr>
      </w:pPr>
      <w:r>
        <w:rPr>
          <w:b/>
          <w:color w:val="auto"/>
          <w:szCs w:val="21"/>
          <w:highlight w:val="none"/>
        </w:rPr>
        <w:t>1.采购人信息</w:t>
      </w:r>
    </w:p>
    <w:p w14:paraId="18CF3B49">
      <w:pPr>
        <w:snapToGrid w:val="0"/>
        <w:spacing w:line="360" w:lineRule="auto"/>
        <w:ind w:firstLine="707" w:firstLineChars="33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名称：宁波市公安局北仑区分局</w:t>
      </w:r>
    </w:p>
    <w:p w14:paraId="61C876C4">
      <w:pPr>
        <w:snapToGrid w:val="0"/>
        <w:spacing w:line="360" w:lineRule="auto"/>
        <w:ind w:firstLine="707" w:firstLineChars="33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地址：北仑区庐山西路18号</w:t>
      </w:r>
    </w:p>
    <w:p w14:paraId="16B6873C">
      <w:pPr>
        <w:snapToGrid w:val="0"/>
        <w:spacing w:line="360" w:lineRule="auto"/>
        <w:ind w:firstLine="707" w:firstLineChars="33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传真：/</w:t>
      </w:r>
    </w:p>
    <w:p w14:paraId="177FA42A">
      <w:pPr>
        <w:snapToGrid w:val="0"/>
        <w:spacing w:line="360" w:lineRule="auto"/>
        <w:ind w:firstLine="707" w:firstLineChars="33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项目联系人（询问）：王老师</w:t>
      </w:r>
    </w:p>
    <w:p w14:paraId="5E2BB92D">
      <w:pPr>
        <w:snapToGrid w:val="0"/>
        <w:spacing w:line="360" w:lineRule="auto"/>
        <w:ind w:firstLine="707" w:firstLineChars="337"/>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项目联系方式（询问）：</w:t>
      </w:r>
      <w:r>
        <w:rPr>
          <w:rFonts w:hint="eastAsia" w:ascii="宋体" w:hAnsi="宋体" w:cs="宋体"/>
          <w:color w:val="auto"/>
          <w:szCs w:val="21"/>
          <w:highlight w:val="none"/>
          <w:lang w:val="en-US" w:eastAsia="zh-CN"/>
        </w:rPr>
        <w:t>13777148056</w:t>
      </w:r>
    </w:p>
    <w:p w14:paraId="2FC95AA6">
      <w:pPr>
        <w:snapToGrid w:val="0"/>
        <w:spacing w:line="360" w:lineRule="auto"/>
        <w:ind w:firstLine="707" w:firstLineChars="337"/>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质疑联系人：</w:t>
      </w:r>
      <w:r>
        <w:rPr>
          <w:rFonts w:hint="eastAsia"/>
          <w:color w:val="auto"/>
          <w:highlight w:val="none"/>
          <w:lang w:val="en-US" w:eastAsia="zh-CN"/>
        </w:rPr>
        <w:t>王亮</w:t>
      </w:r>
    </w:p>
    <w:p w14:paraId="531E7E8E">
      <w:pPr>
        <w:snapToGrid w:val="0"/>
        <w:spacing w:line="360" w:lineRule="auto"/>
        <w:ind w:firstLine="707" w:firstLineChars="337"/>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质疑联系方式：</w:t>
      </w:r>
      <w:r>
        <w:rPr>
          <w:rFonts w:hint="eastAsia" w:ascii="宋体" w:hAnsi="宋体" w:cs="宋体"/>
          <w:color w:val="auto"/>
          <w:szCs w:val="21"/>
          <w:highlight w:val="none"/>
          <w:lang w:val="en-US" w:eastAsia="zh-CN"/>
        </w:rPr>
        <w:t>13567841086</w:t>
      </w:r>
    </w:p>
    <w:p w14:paraId="5ABAB5D8">
      <w:pPr>
        <w:spacing w:line="360" w:lineRule="auto"/>
        <w:ind w:firstLine="420"/>
        <w:rPr>
          <w:b/>
          <w:color w:val="auto"/>
          <w:szCs w:val="21"/>
          <w:highlight w:val="none"/>
        </w:rPr>
      </w:pPr>
      <w:r>
        <w:rPr>
          <w:b/>
          <w:color w:val="auto"/>
          <w:szCs w:val="21"/>
          <w:highlight w:val="none"/>
        </w:rPr>
        <w:t>2.采购代理机构信息</w:t>
      </w:r>
    </w:p>
    <w:p w14:paraId="5605E11B">
      <w:pPr>
        <w:snapToGrid w:val="0"/>
        <w:spacing w:line="360" w:lineRule="auto"/>
        <w:ind w:firstLine="707" w:firstLineChars="337"/>
        <w:rPr>
          <w:rFonts w:ascii="宋体" w:hAnsi="宋体" w:cs="宋体"/>
          <w:color w:val="auto"/>
          <w:szCs w:val="21"/>
          <w:highlight w:val="none"/>
        </w:rPr>
      </w:pPr>
      <w:r>
        <w:rPr>
          <w:rFonts w:hint="eastAsia" w:ascii="宋体" w:hAnsi="宋体" w:cs="宋体"/>
          <w:color w:val="auto"/>
          <w:szCs w:val="21"/>
          <w:highlight w:val="none"/>
        </w:rPr>
        <w:t>名称：宁波慧泽工程管理咨询有限公司</w:t>
      </w:r>
    </w:p>
    <w:p w14:paraId="74EDC1BA">
      <w:pPr>
        <w:snapToGrid w:val="0"/>
        <w:spacing w:line="360" w:lineRule="auto"/>
        <w:ind w:firstLine="707" w:firstLineChars="337"/>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lang w:val="en-US" w:eastAsia="zh-CN"/>
        </w:rPr>
        <w:t>宁波市鄞州区民安路45号银亿东岸国际B座7-4</w:t>
      </w:r>
    </w:p>
    <w:p w14:paraId="702EF680">
      <w:pPr>
        <w:snapToGrid w:val="0"/>
        <w:spacing w:line="360" w:lineRule="auto"/>
        <w:ind w:firstLine="707" w:firstLineChars="337"/>
        <w:rPr>
          <w:rFonts w:ascii="宋体" w:hAnsi="宋体" w:cs="宋体"/>
          <w:color w:val="auto"/>
          <w:szCs w:val="21"/>
          <w:highlight w:val="none"/>
        </w:rPr>
      </w:pPr>
      <w:r>
        <w:rPr>
          <w:rFonts w:hint="eastAsia" w:ascii="宋体" w:hAnsi="宋体" w:cs="宋体"/>
          <w:color w:val="auto"/>
          <w:szCs w:val="21"/>
          <w:highlight w:val="none"/>
        </w:rPr>
        <w:t>传真：/</w:t>
      </w:r>
    </w:p>
    <w:p w14:paraId="36272D56">
      <w:pPr>
        <w:snapToGrid w:val="0"/>
        <w:spacing w:line="360" w:lineRule="auto"/>
        <w:ind w:firstLine="707" w:firstLineChars="337"/>
        <w:rPr>
          <w:rFonts w:ascii="宋体" w:hAnsi="宋体" w:cs="宋体"/>
          <w:color w:val="auto"/>
          <w:szCs w:val="21"/>
          <w:highlight w:val="none"/>
        </w:rPr>
      </w:pPr>
      <w:r>
        <w:rPr>
          <w:rFonts w:hint="eastAsia" w:ascii="宋体" w:hAnsi="宋体" w:cs="宋体"/>
          <w:color w:val="auto"/>
          <w:szCs w:val="21"/>
          <w:highlight w:val="none"/>
        </w:rPr>
        <w:t>项目联系人（询问）：</w:t>
      </w:r>
      <w:r>
        <w:rPr>
          <w:rFonts w:hint="eastAsia" w:ascii="宋体" w:hAnsi="宋体" w:cs="宋体"/>
          <w:color w:val="auto"/>
          <w:szCs w:val="21"/>
          <w:highlight w:val="none"/>
          <w:lang w:eastAsia="zh-CN"/>
        </w:rPr>
        <w:t>刘</w:t>
      </w:r>
      <w:r>
        <w:rPr>
          <w:rFonts w:hint="eastAsia" w:ascii="宋体" w:hAnsi="宋体" w:cs="宋体"/>
          <w:color w:val="auto"/>
          <w:szCs w:val="21"/>
          <w:highlight w:val="none"/>
        </w:rPr>
        <w:t xml:space="preserve">工   </w:t>
      </w:r>
    </w:p>
    <w:p w14:paraId="5DA8BCB4">
      <w:pPr>
        <w:snapToGrid w:val="0"/>
        <w:spacing w:line="360" w:lineRule="auto"/>
        <w:ind w:firstLine="707" w:firstLineChars="337"/>
        <w:rPr>
          <w:rFonts w:hint="eastAsia" w:ascii="宋体" w:hAnsi="宋体" w:cs="宋体"/>
          <w:color w:val="auto"/>
          <w:szCs w:val="21"/>
          <w:highlight w:val="none"/>
          <w:lang w:val="en-US" w:eastAsia="zh-CN"/>
        </w:rPr>
      </w:pPr>
      <w:r>
        <w:rPr>
          <w:rFonts w:hint="eastAsia" w:ascii="宋体" w:hAnsi="宋体" w:cs="宋体"/>
          <w:color w:val="auto"/>
          <w:szCs w:val="21"/>
          <w:highlight w:val="none"/>
        </w:rPr>
        <w:t>项目联系方式（询问）：</w:t>
      </w:r>
      <w:r>
        <w:rPr>
          <w:rFonts w:hint="eastAsia" w:ascii="宋体" w:hAnsi="宋体" w:cs="宋体"/>
          <w:color w:val="auto"/>
          <w:szCs w:val="21"/>
          <w:highlight w:val="none"/>
          <w:lang w:val="en-US" w:eastAsia="zh-CN"/>
        </w:rPr>
        <w:t>13362851624</w:t>
      </w:r>
    </w:p>
    <w:p w14:paraId="09C9E87F">
      <w:pPr>
        <w:snapToGrid w:val="0"/>
        <w:spacing w:line="360" w:lineRule="auto"/>
        <w:ind w:firstLine="707" w:firstLineChars="337"/>
        <w:rPr>
          <w:rFonts w:ascii="宋体" w:hAnsi="宋体" w:cs="宋体"/>
          <w:color w:val="auto"/>
          <w:szCs w:val="21"/>
          <w:highlight w:val="none"/>
        </w:rPr>
      </w:pPr>
      <w:r>
        <w:rPr>
          <w:rFonts w:hint="eastAsia" w:ascii="宋体" w:hAnsi="宋体" w:cs="宋体"/>
          <w:color w:val="auto"/>
          <w:szCs w:val="21"/>
          <w:highlight w:val="none"/>
        </w:rPr>
        <w:t>质疑联系人：</w:t>
      </w:r>
      <w:r>
        <w:rPr>
          <w:rFonts w:hint="eastAsia" w:ascii="宋体" w:hAnsi="宋体" w:cs="宋体"/>
          <w:color w:val="auto"/>
          <w:szCs w:val="21"/>
          <w:highlight w:val="none"/>
          <w:lang w:eastAsia="zh-CN"/>
        </w:rPr>
        <w:t>唐</w:t>
      </w:r>
      <w:r>
        <w:rPr>
          <w:rFonts w:hint="eastAsia" w:ascii="宋体" w:hAnsi="宋体" w:cs="宋体"/>
          <w:color w:val="auto"/>
          <w:szCs w:val="21"/>
          <w:highlight w:val="none"/>
        </w:rPr>
        <w:t xml:space="preserve">工     </w:t>
      </w:r>
    </w:p>
    <w:p w14:paraId="667D153E">
      <w:pPr>
        <w:snapToGrid w:val="0"/>
        <w:spacing w:line="360" w:lineRule="auto"/>
        <w:ind w:firstLine="707" w:firstLineChars="337"/>
        <w:rPr>
          <w:rFonts w:ascii="宋体" w:hAnsi="宋体" w:cs="宋体"/>
          <w:color w:val="auto"/>
          <w:szCs w:val="21"/>
          <w:highlight w:val="none"/>
        </w:rPr>
      </w:pPr>
      <w:r>
        <w:rPr>
          <w:rFonts w:hint="eastAsia" w:ascii="宋体" w:hAnsi="宋体" w:cs="宋体"/>
          <w:color w:val="auto"/>
          <w:szCs w:val="21"/>
          <w:highlight w:val="none"/>
        </w:rPr>
        <w:t xml:space="preserve">质疑联系方式：0574-87300622 </w:t>
      </w:r>
    </w:p>
    <w:p w14:paraId="099623C8">
      <w:pPr>
        <w:spacing w:line="360" w:lineRule="auto"/>
        <w:ind w:firstLine="420"/>
        <w:rPr>
          <w:b/>
          <w:color w:val="auto"/>
          <w:szCs w:val="21"/>
          <w:highlight w:val="none"/>
        </w:rPr>
      </w:pPr>
      <w:r>
        <w:rPr>
          <w:b/>
          <w:color w:val="auto"/>
          <w:szCs w:val="21"/>
          <w:highlight w:val="none"/>
        </w:rPr>
        <w:t>3..同级政府采购监督管理部门</w:t>
      </w:r>
    </w:p>
    <w:p w14:paraId="168271A9">
      <w:pPr>
        <w:spacing w:line="360" w:lineRule="auto"/>
        <w:ind w:firstLine="630" w:firstLineChars="300"/>
        <w:rPr>
          <w:rFonts w:hint="eastAsia" w:ascii="Times New Roman" w:hAnsi="Times New Roman" w:eastAsia="宋体" w:cs="Times New Roman"/>
          <w:b w:val="0"/>
          <w:bCs/>
          <w:color w:val="auto"/>
          <w:szCs w:val="21"/>
          <w:highlight w:val="none"/>
        </w:rPr>
      </w:pPr>
      <w:r>
        <w:rPr>
          <w:rFonts w:hint="eastAsia" w:ascii="Times New Roman" w:hAnsi="Times New Roman" w:eastAsia="宋体" w:cs="Times New Roman"/>
          <w:b w:val="0"/>
          <w:bCs/>
          <w:color w:val="auto"/>
          <w:szCs w:val="21"/>
          <w:highlight w:val="none"/>
        </w:rPr>
        <w:t>名    称：北仑区财政局政府采购办公室</w:t>
      </w:r>
    </w:p>
    <w:p w14:paraId="7EEC456D">
      <w:pPr>
        <w:spacing w:line="360" w:lineRule="auto"/>
        <w:ind w:firstLine="630" w:firstLineChars="300"/>
        <w:rPr>
          <w:rFonts w:hint="eastAsia" w:ascii="Times New Roman" w:hAnsi="Times New Roman" w:eastAsia="宋体" w:cs="Times New Roman"/>
          <w:b w:val="0"/>
          <w:bCs/>
          <w:color w:val="auto"/>
          <w:szCs w:val="21"/>
          <w:highlight w:val="none"/>
        </w:rPr>
      </w:pPr>
      <w:r>
        <w:rPr>
          <w:rFonts w:hint="eastAsia" w:ascii="Times New Roman" w:hAnsi="Times New Roman" w:eastAsia="宋体" w:cs="Times New Roman"/>
          <w:b w:val="0"/>
          <w:bCs/>
          <w:color w:val="auto"/>
          <w:szCs w:val="21"/>
          <w:highlight w:val="none"/>
        </w:rPr>
        <w:t>地    址：宁波市北仑区长江路1166号行政大楼6楼</w:t>
      </w:r>
    </w:p>
    <w:p w14:paraId="5451CDF4">
      <w:pPr>
        <w:spacing w:line="360" w:lineRule="auto"/>
        <w:ind w:firstLine="630" w:firstLineChars="300"/>
        <w:rPr>
          <w:rFonts w:hint="eastAsia" w:ascii="Times New Roman" w:hAnsi="Times New Roman" w:eastAsia="宋体" w:cs="Times New Roman"/>
          <w:b w:val="0"/>
          <w:bCs/>
          <w:color w:val="auto"/>
          <w:szCs w:val="21"/>
          <w:highlight w:val="none"/>
        </w:rPr>
      </w:pPr>
      <w:r>
        <w:rPr>
          <w:rFonts w:hint="eastAsia" w:ascii="Times New Roman" w:hAnsi="Times New Roman" w:eastAsia="宋体" w:cs="Times New Roman"/>
          <w:b w:val="0"/>
          <w:bCs/>
          <w:color w:val="auto"/>
          <w:szCs w:val="21"/>
          <w:highlight w:val="none"/>
        </w:rPr>
        <w:t>传    真：/</w:t>
      </w:r>
    </w:p>
    <w:p w14:paraId="50A4B673">
      <w:pPr>
        <w:spacing w:line="360" w:lineRule="auto"/>
        <w:ind w:firstLine="630" w:firstLineChars="300"/>
        <w:rPr>
          <w:rFonts w:hint="eastAsia" w:ascii="Times New Roman" w:hAnsi="Times New Roman" w:eastAsia="宋体" w:cs="Times New Roman"/>
          <w:b w:val="0"/>
          <w:bCs/>
          <w:color w:val="auto"/>
          <w:szCs w:val="21"/>
          <w:highlight w:val="none"/>
        </w:rPr>
      </w:pPr>
      <w:r>
        <w:rPr>
          <w:rFonts w:hint="eastAsia" w:ascii="Times New Roman" w:hAnsi="Times New Roman" w:eastAsia="宋体" w:cs="Times New Roman"/>
          <w:b w:val="0"/>
          <w:bCs/>
          <w:color w:val="auto"/>
          <w:szCs w:val="21"/>
          <w:highlight w:val="none"/>
        </w:rPr>
        <w:t>联 系 人：严老师</w:t>
      </w:r>
    </w:p>
    <w:p w14:paraId="68EBC211">
      <w:pPr>
        <w:spacing w:line="360" w:lineRule="auto"/>
        <w:ind w:firstLine="630" w:firstLineChars="300"/>
        <w:rPr>
          <w:rFonts w:hint="eastAsia" w:ascii="Times New Roman" w:hAnsi="Times New Roman" w:eastAsia="宋体" w:cs="Times New Roman"/>
          <w:b w:val="0"/>
          <w:bCs/>
          <w:color w:val="auto"/>
          <w:szCs w:val="21"/>
          <w:highlight w:val="none"/>
        </w:rPr>
      </w:pPr>
      <w:r>
        <w:rPr>
          <w:rFonts w:hint="eastAsia" w:ascii="Times New Roman" w:hAnsi="Times New Roman" w:eastAsia="宋体" w:cs="Times New Roman"/>
          <w:b w:val="0"/>
          <w:bCs/>
          <w:color w:val="auto"/>
          <w:szCs w:val="21"/>
          <w:highlight w:val="none"/>
        </w:rPr>
        <w:t>监督投诉电话：0574-89383756</w:t>
      </w:r>
    </w:p>
    <w:p w14:paraId="213EE819">
      <w:pPr>
        <w:snapToGrid w:val="0"/>
        <w:spacing w:line="360" w:lineRule="auto"/>
        <w:ind w:firstLine="707" w:firstLineChars="337"/>
        <w:rPr>
          <w:rFonts w:ascii="宋体" w:hAnsi="宋体" w:cs="宋体"/>
          <w:color w:val="auto"/>
          <w:szCs w:val="21"/>
          <w:highlight w:val="none"/>
        </w:rPr>
      </w:pPr>
    </w:p>
    <w:p w14:paraId="1D8A41DC">
      <w:pPr>
        <w:snapToGrid w:val="0"/>
        <w:spacing w:line="360" w:lineRule="auto"/>
        <w:ind w:firstLine="420" w:firstLineChars="200"/>
        <w:rPr>
          <w:rFonts w:ascii="Arial" w:hAnsi="Arial" w:cs="宋体"/>
          <w:color w:val="auto"/>
          <w:szCs w:val="21"/>
          <w:highlight w:val="none"/>
        </w:rPr>
      </w:pPr>
    </w:p>
    <w:p w14:paraId="28FC557C">
      <w:pPr>
        <w:snapToGrid w:val="0"/>
        <w:spacing w:line="360" w:lineRule="auto"/>
        <w:ind w:firstLine="420" w:firstLineChars="200"/>
        <w:rPr>
          <w:rFonts w:ascii="Arial" w:hAnsi="Arial" w:cs="宋体"/>
          <w:color w:val="auto"/>
          <w:szCs w:val="21"/>
          <w:highlight w:val="none"/>
        </w:rPr>
      </w:pPr>
      <w:r>
        <w:rPr>
          <w:rFonts w:hint="eastAsia" w:ascii="Arial" w:hAnsi="Arial" w:cs="宋体"/>
          <w:color w:val="auto"/>
          <w:szCs w:val="21"/>
          <w:highlight w:val="none"/>
        </w:rPr>
        <w:t>若对项目采购电子交易系统操作有疑问，可登录政采云（https://www.zcygov.cn/），点击右侧咨询小采，获取采小蜜智能服务管家帮助，或拨打政采云服务热线95763获取热线服务帮助。</w:t>
      </w:r>
    </w:p>
    <w:p w14:paraId="4266709A">
      <w:pPr>
        <w:snapToGrid w:val="0"/>
        <w:spacing w:line="360" w:lineRule="auto"/>
        <w:ind w:firstLine="420" w:firstLineChars="200"/>
        <w:rPr>
          <w:rFonts w:ascii="Arial" w:hAnsi="Arial" w:cs="宋体"/>
          <w:color w:val="auto"/>
          <w:szCs w:val="21"/>
          <w:highlight w:val="none"/>
        </w:rPr>
      </w:pPr>
      <w:r>
        <w:rPr>
          <w:rFonts w:hint="eastAsia" w:ascii="Arial" w:hAnsi="Arial" w:cs="宋体"/>
          <w:color w:val="auto"/>
          <w:szCs w:val="21"/>
          <w:highlight w:val="none"/>
        </w:rPr>
        <w:t>CA问题联系电话（人工）：汇信CA 400-888-4636；天谷CA 400-087-8198。</w:t>
      </w:r>
    </w:p>
    <w:p w14:paraId="7A100C9C">
      <w:pPr>
        <w:pStyle w:val="2"/>
        <w:spacing w:before="0" w:after="0" w:line="360" w:lineRule="auto"/>
        <w:jc w:val="center"/>
        <w:rPr>
          <w:color w:val="auto"/>
          <w:sz w:val="30"/>
          <w:highlight w:val="none"/>
        </w:rPr>
      </w:pPr>
      <w:r>
        <w:rPr>
          <w:color w:val="auto"/>
          <w:szCs w:val="21"/>
          <w:highlight w:val="none"/>
        </w:rPr>
        <w:br w:type="page"/>
      </w:r>
      <w:bookmarkStart w:id="8" w:name="_Toc460857891"/>
      <w:bookmarkStart w:id="9" w:name="_Toc460416585"/>
      <w:bookmarkStart w:id="10" w:name="_Toc2021"/>
      <w:r>
        <w:rPr>
          <w:color w:val="auto"/>
          <w:sz w:val="30"/>
          <w:highlight w:val="none"/>
        </w:rPr>
        <w:t xml:space="preserve">第二章  </w:t>
      </w:r>
      <w:bookmarkEnd w:id="8"/>
      <w:bookmarkEnd w:id="9"/>
      <w:r>
        <w:rPr>
          <w:rFonts w:hint="eastAsia"/>
          <w:color w:val="auto"/>
          <w:sz w:val="30"/>
          <w:highlight w:val="none"/>
        </w:rPr>
        <w:t>供应商须知</w:t>
      </w:r>
      <w:bookmarkEnd w:id="10"/>
    </w:p>
    <w:p w14:paraId="2912BC9D">
      <w:pPr>
        <w:snapToGrid w:val="0"/>
        <w:spacing w:line="360" w:lineRule="auto"/>
        <w:jc w:val="center"/>
        <w:outlineLvl w:val="0"/>
        <w:rPr>
          <w:rFonts w:ascii="Arial" w:hAnsi="Arial" w:cs="宋体"/>
          <w:b/>
          <w:color w:val="auto"/>
          <w:sz w:val="28"/>
          <w:szCs w:val="28"/>
          <w:highlight w:val="none"/>
        </w:rPr>
      </w:pPr>
      <w:bookmarkStart w:id="11" w:name="_Toc5789"/>
      <w:bookmarkStart w:id="12" w:name="_Toc13352"/>
      <w:bookmarkStart w:id="13" w:name="_Toc5988"/>
      <w:bookmarkStart w:id="14" w:name="_Toc4229"/>
      <w:bookmarkStart w:id="15" w:name="_Toc460857892"/>
      <w:bookmarkStart w:id="16" w:name="_Toc317685546"/>
      <w:bookmarkStart w:id="17" w:name="_Toc460416635"/>
      <w:bookmarkStart w:id="18" w:name="_Toc304292160"/>
      <w:bookmarkStart w:id="19" w:name="_Toc460416586"/>
      <w:bookmarkStart w:id="20" w:name="_Toc460416331"/>
      <w:r>
        <w:rPr>
          <w:rFonts w:hint="eastAsia" w:ascii="Arial" w:hAnsi="Arial" w:cs="宋体"/>
          <w:b/>
          <w:color w:val="auto"/>
          <w:sz w:val="28"/>
          <w:szCs w:val="28"/>
          <w:highlight w:val="none"/>
        </w:rPr>
        <w:t>前附表</w:t>
      </w:r>
      <w:bookmarkEnd w:id="11"/>
      <w:bookmarkEnd w:id="12"/>
      <w:bookmarkEnd w:id="13"/>
      <w:bookmarkEnd w:id="14"/>
    </w:p>
    <w:tbl>
      <w:tblPr>
        <w:tblStyle w:val="44"/>
        <w:tblW w:w="8946" w:type="dxa"/>
        <w:tblInd w:w="-20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456"/>
        <w:gridCol w:w="6740"/>
      </w:tblGrid>
      <w:tr w14:paraId="09D4B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5" w:hRule="atLeast"/>
          <w:tblHeader/>
        </w:trPr>
        <w:tc>
          <w:tcPr>
            <w:tcW w:w="750" w:type="dxa"/>
            <w:vAlign w:val="center"/>
          </w:tcPr>
          <w:p w14:paraId="608E7473">
            <w:pPr>
              <w:snapToGrid w:val="0"/>
              <w:spacing w:line="400" w:lineRule="exact"/>
              <w:jc w:val="center"/>
              <w:rPr>
                <w:rFonts w:ascii="Arial" w:hAnsi="Arial" w:cs="宋体"/>
                <w:bCs/>
                <w:color w:val="auto"/>
                <w:szCs w:val="21"/>
                <w:highlight w:val="none"/>
              </w:rPr>
            </w:pPr>
            <w:r>
              <w:rPr>
                <w:rFonts w:hint="eastAsia" w:ascii="Arial" w:hAnsi="Arial" w:cs="宋体"/>
                <w:b/>
                <w:color w:val="auto"/>
                <w:szCs w:val="21"/>
                <w:highlight w:val="none"/>
              </w:rPr>
              <w:t>序号</w:t>
            </w:r>
          </w:p>
        </w:tc>
        <w:tc>
          <w:tcPr>
            <w:tcW w:w="1456" w:type="dxa"/>
            <w:vAlign w:val="center"/>
          </w:tcPr>
          <w:p w14:paraId="41EA7AD1">
            <w:pPr>
              <w:snapToGrid w:val="0"/>
              <w:spacing w:line="400" w:lineRule="exact"/>
              <w:jc w:val="center"/>
              <w:rPr>
                <w:rFonts w:ascii="Arial" w:hAnsi="Arial" w:cs="宋体"/>
                <w:b/>
                <w:color w:val="auto"/>
                <w:szCs w:val="21"/>
                <w:highlight w:val="none"/>
              </w:rPr>
            </w:pPr>
            <w:r>
              <w:rPr>
                <w:rFonts w:hint="eastAsia" w:ascii="Arial" w:hAnsi="Arial" w:cs="宋体"/>
                <w:b/>
                <w:color w:val="auto"/>
                <w:szCs w:val="21"/>
                <w:highlight w:val="none"/>
              </w:rPr>
              <w:t>事项</w:t>
            </w:r>
          </w:p>
        </w:tc>
        <w:tc>
          <w:tcPr>
            <w:tcW w:w="6740" w:type="dxa"/>
            <w:vAlign w:val="center"/>
          </w:tcPr>
          <w:p w14:paraId="49EFE870">
            <w:pPr>
              <w:snapToGrid w:val="0"/>
              <w:spacing w:line="400" w:lineRule="exact"/>
              <w:jc w:val="center"/>
              <w:rPr>
                <w:rFonts w:ascii="Arial" w:hAnsi="Arial" w:cs="宋体"/>
                <w:b/>
                <w:color w:val="auto"/>
                <w:szCs w:val="21"/>
                <w:highlight w:val="none"/>
              </w:rPr>
            </w:pPr>
            <w:r>
              <w:rPr>
                <w:rFonts w:hint="eastAsia" w:ascii="Arial" w:hAnsi="Arial" w:cs="宋体"/>
                <w:b/>
                <w:color w:val="auto"/>
                <w:szCs w:val="21"/>
                <w:highlight w:val="none"/>
              </w:rPr>
              <w:t>本项目的特别规定</w:t>
            </w:r>
          </w:p>
        </w:tc>
      </w:tr>
      <w:tr w14:paraId="4DBE40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41CF2D26">
            <w:pPr>
              <w:snapToGrid w:val="0"/>
              <w:spacing w:line="400" w:lineRule="exact"/>
              <w:jc w:val="center"/>
              <w:rPr>
                <w:rFonts w:ascii="Arial" w:hAnsi="Arial" w:cs="宋体"/>
                <w:bCs/>
                <w:color w:val="auto"/>
                <w:szCs w:val="21"/>
                <w:highlight w:val="none"/>
              </w:rPr>
            </w:pPr>
            <w:bookmarkStart w:id="632" w:name="_GoBack"/>
            <w:r>
              <w:rPr>
                <w:rFonts w:hint="eastAsia" w:ascii="宋体" w:hAnsi="宋体" w:cs="宋体"/>
                <w:bCs/>
                <w:color w:val="auto"/>
                <w:szCs w:val="21"/>
                <w:highlight w:val="none"/>
              </w:rPr>
              <w:t>★</w:t>
            </w:r>
            <w:bookmarkEnd w:id="632"/>
            <w:r>
              <w:rPr>
                <w:rFonts w:hint="eastAsia" w:ascii="Arial" w:hAnsi="Arial" w:cs="宋体"/>
                <w:bCs/>
                <w:color w:val="auto"/>
                <w:szCs w:val="21"/>
                <w:highlight w:val="none"/>
              </w:rPr>
              <w:t>1</w:t>
            </w:r>
          </w:p>
        </w:tc>
        <w:tc>
          <w:tcPr>
            <w:tcW w:w="1456" w:type="dxa"/>
            <w:vAlign w:val="center"/>
          </w:tcPr>
          <w:p w14:paraId="55E6BAF8">
            <w:pPr>
              <w:snapToGrid w:val="0"/>
              <w:spacing w:line="400" w:lineRule="exact"/>
              <w:jc w:val="center"/>
              <w:rPr>
                <w:rFonts w:ascii="Arial" w:hAnsi="Arial" w:cs="宋体"/>
                <w:b/>
                <w:color w:val="auto"/>
                <w:szCs w:val="21"/>
                <w:highlight w:val="none"/>
              </w:rPr>
            </w:pPr>
            <w:r>
              <w:rPr>
                <w:rFonts w:hint="eastAsia" w:ascii="Arial" w:hAnsi="Arial" w:cs="宋体"/>
                <w:b/>
                <w:color w:val="auto"/>
                <w:szCs w:val="21"/>
                <w:highlight w:val="none"/>
              </w:rPr>
              <w:t>项目属性与核心产品</w:t>
            </w:r>
          </w:p>
        </w:tc>
        <w:tc>
          <w:tcPr>
            <w:tcW w:w="6740" w:type="dxa"/>
            <w:vAlign w:val="center"/>
          </w:tcPr>
          <w:p w14:paraId="20615485">
            <w:pPr>
              <w:snapToGrid w:val="0"/>
              <w:spacing w:line="400" w:lineRule="exact"/>
              <w:rPr>
                <w:rFonts w:ascii="Arial" w:hAnsi="Arial" w:cs="宋体"/>
                <w:color w:val="auto"/>
                <w:szCs w:val="21"/>
                <w:highlight w:val="none"/>
              </w:rPr>
            </w:pPr>
            <w:r>
              <w:rPr>
                <w:rFonts w:hint="eastAsia" w:ascii="Arial" w:hAnsi="Arial" w:cs="宋体"/>
                <w:color w:val="auto"/>
                <w:szCs w:val="21"/>
                <w:highlight w:val="none"/>
              </w:rPr>
              <w:t>项目属性：</w:t>
            </w:r>
            <w:r>
              <w:rPr>
                <w:rFonts w:hint="eastAsia" w:ascii="Arial" w:hAnsi="Arial" w:cs="宋体"/>
                <w:b/>
                <w:bCs/>
                <w:color w:val="auto"/>
                <w:szCs w:val="21"/>
                <w:highlight w:val="none"/>
                <w:u w:val="single"/>
              </w:rPr>
              <w:t>货物类</w:t>
            </w:r>
          </w:p>
          <w:p w14:paraId="4D732E12">
            <w:pPr>
              <w:snapToGrid w:val="0"/>
              <w:spacing w:line="400" w:lineRule="exact"/>
              <w:rPr>
                <w:rFonts w:ascii="Arial" w:hAnsi="Arial" w:cs="宋体"/>
                <w:color w:val="auto"/>
                <w:szCs w:val="21"/>
                <w:highlight w:val="none"/>
              </w:rPr>
            </w:pPr>
            <w:r>
              <w:rPr>
                <w:rFonts w:hint="eastAsia" w:ascii="Arial" w:hAnsi="Arial" w:cs="宋体"/>
                <w:color w:val="auto"/>
                <w:szCs w:val="21"/>
                <w:highlight w:val="none"/>
              </w:rPr>
              <w:t>核心产品为：</w:t>
            </w:r>
            <w:r>
              <w:rPr>
                <w:rFonts w:hint="eastAsia" w:ascii="Arial" w:hAnsi="Arial" w:cs="宋体"/>
                <w:color w:val="auto"/>
                <w:szCs w:val="21"/>
                <w:highlight w:val="none"/>
                <w:lang w:val="en-US" w:eastAsia="zh-CN"/>
              </w:rPr>
              <w:t>监控摄像设备1（200万宽动态半球摄像机 ）</w:t>
            </w:r>
          </w:p>
        </w:tc>
      </w:tr>
      <w:tr w14:paraId="20331A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6360014F">
            <w:pPr>
              <w:snapToGrid w:val="0"/>
              <w:spacing w:line="400" w:lineRule="exact"/>
              <w:jc w:val="center"/>
              <w:rPr>
                <w:rFonts w:ascii="Arial" w:hAnsi="Arial" w:cs="宋体"/>
                <w:bCs/>
                <w:color w:val="auto"/>
                <w:szCs w:val="21"/>
                <w:highlight w:val="none"/>
              </w:rPr>
            </w:pPr>
            <w:r>
              <w:rPr>
                <w:rFonts w:hint="eastAsia" w:ascii="Arial" w:hAnsi="Arial" w:cs="宋体"/>
                <w:bCs/>
                <w:color w:val="auto"/>
                <w:szCs w:val="21"/>
                <w:highlight w:val="none"/>
              </w:rPr>
              <w:t>2</w:t>
            </w:r>
          </w:p>
        </w:tc>
        <w:tc>
          <w:tcPr>
            <w:tcW w:w="1456" w:type="dxa"/>
            <w:vAlign w:val="center"/>
          </w:tcPr>
          <w:p w14:paraId="118E9331">
            <w:pPr>
              <w:snapToGrid w:val="0"/>
              <w:spacing w:line="400" w:lineRule="exact"/>
              <w:jc w:val="center"/>
              <w:rPr>
                <w:rFonts w:ascii="Arial" w:hAnsi="Arial" w:cs="宋体"/>
                <w:b/>
                <w:color w:val="auto"/>
                <w:szCs w:val="21"/>
                <w:highlight w:val="none"/>
              </w:rPr>
            </w:pPr>
            <w:r>
              <w:rPr>
                <w:rFonts w:hint="eastAsia" w:ascii="Arial" w:hAnsi="Arial" w:cs="宋体"/>
                <w:b/>
                <w:color w:val="auto"/>
                <w:szCs w:val="21"/>
                <w:highlight w:val="none"/>
              </w:rPr>
              <w:t>采购标的及其对应的中小企业划分标准所属行业</w:t>
            </w:r>
          </w:p>
        </w:tc>
        <w:tc>
          <w:tcPr>
            <w:tcW w:w="6740" w:type="dxa"/>
            <w:vAlign w:val="center"/>
          </w:tcPr>
          <w:p w14:paraId="3919E2BC">
            <w:pPr>
              <w:snapToGrid w:val="0"/>
              <w:spacing w:line="400" w:lineRule="exact"/>
              <w:rPr>
                <w:rFonts w:ascii="Arial" w:hAnsi="Arial" w:cs="宋体"/>
                <w:b/>
                <w:bCs/>
                <w:color w:val="auto"/>
                <w:kern w:val="0"/>
                <w:szCs w:val="21"/>
                <w:highlight w:val="none"/>
              </w:rPr>
            </w:pPr>
            <w:r>
              <w:rPr>
                <w:rFonts w:hint="eastAsia" w:ascii="Arial" w:hAnsi="Arial" w:cs="宋体"/>
                <w:b/>
                <w:bCs/>
                <w:color w:val="auto"/>
                <w:kern w:val="0"/>
                <w:szCs w:val="21"/>
                <w:highlight w:val="none"/>
              </w:rPr>
              <w:t>（1）</w:t>
            </w:r>
            <w:r>
              <w:rPr>
                <w:rFonts w:hint="eastAsia" w:ascii="Arial" w:hAnsi="Arial" w:cs="宋体"/>
                <w:b/>
                <w:bCs/>
                <w:color w:val="auto"/>
                <w:szCs w:val="21"/>
                <w:highlight w:val="none"/>
              </w:rPr>
              <w:t>本项目</w:t>
            </w:r>
            <w:r>
              <w:rPr>
                <w:rFonts w:hint="eastAsia" w:ascii="Arial" w:hAnsi="Arial" w:cs="宋体"/>
                <w:b/>
                <w:bCs/>
                <w:color w:val="auto"/>
                <w:szCs w:val="21"/>
                <w:highlight w:val="none"/>
                <w:lang w:eastAsia="zh-CN"/>
              </w:rPr>
              <w:t>非</w:t>
            </w:r>
            <w:r>
              <w:rPr>
                <w:rFonts w:hint="eastAsia" w:ascii="Arial" w:hAnsi="Arial" w:cs="宋体"/>
                <w:b/>
                <w:bCs/>
                <w:color w:val="auto"/>
                <w:szCs w:val="21"/>
                <w:highlight w:val="none"/>
              </w:rPr>
              <w:t>专门面向中小企业采购。</w:t>
            </w:r>
          </w:p>
          <w:p w14:paraId="4FC1E7C0">
            <w:pPr>
              <w:snapToGrid w:val="0"/>
              <w:spacing w:line="400" w:lineRule="exact"/>
              <w:rPr>
                <w:rFonts w:hint="eastAsia" w:ascii="宋体" w:hAnsi="宋体" w:cs="宋体"/>
                <w:color w:val="auto"/>
                <w:highlight w:val="none"/>
              </w:rPr>
            </w:pPr>
            <w:r>
              <w:rPr>
                <w:rFonts w:hint="eastAsia" w:ascii="Arial" w:hAnsi="Arial" w:cs="宋体"/>
                <w:color w:val="auto"/>
                <w:kern w:val="0"/>
                <w:szCs w:val="21"/>
                <w:highlight w:val="none"/>
              </w:rPr>
              <w:t>（2）标的：</w:t>
            </w:r>
            <w:r>
              <w:rPr>
                <w:rFonts w:hint="eastAsia" w:ascii="Arial" w:hAnsi="Arial" w:cs="宋体"/>
                <w:color w:val="auto"/>
                <w:kern w:val="0"/>
                <w:szCs w:val="21"/>
                <w:highlight w:val="none"/>
                <w:u w:val="single"/>
              </w:rPr>
              <w:t>标的名称清单详见采购文件第六</w:t>
            </w:r>
            <w:r>
              <w:rPr>
                <w:rFonts w:hint="eastAsia" w:ascii="Arial" w:hAnsi="Arial" w:cs="宋体"/>
                <w:color w:val="auto"/>
                <w:kern w:val="0"/>
                <w:szCs w:val="21"/>
                <w:highlight w:val="none"/>
                <w:u w:val="single"/>
                <w:lang w:val="en-US" w:eastAsia="zh-CN"/>
              </w:rPr>
              <w:t>章</w:t>
            </w:r>
            <w:r>
              <w:rPr>
                <w:rFonts w:hint="eastAsia" w:ascii="Arial" w:hAnsi="Arial" w:cs="宋体"/>
                <w:color w:val="auto"/>
                <w:kern w:val="0"/>
                <w:szCs w:val="21"/>
                <w:highlight w:val="none"/>
                <w:u w:val="single"/>
              </w:rPr>
              <w:t>“中小企业声明函（货物）”</w:t>
            </w:r>
            <w:r>
              <w:rPr>
                <w:rFonts w:hint="eastAsia" w:ascii="Arial" w:hAnsi="Arial" w:cs="宋体"/>
                <w:color w:val="auto"/>
                <w:kern w:val="0"/>
                <w:szCs w:val="21"/>
                <w:highlight w:val="none"/>
              </w:rPr>
              <w:t>；</w:t>
            </w:r>
            <w:r>
              <w:rPr>
                <w:rFonts w:hint="eastAsia" w:ascii="宋体" w:hAnsi="宋体" w:cs="宋体"/>
                <w:color w:val="auto"/>
                <w:highlight w:val="none"/>
              </w:rPr>
              <w:t>采购标的对应的中小企业划分标准所属行业为</w:t>
            </w:r>
            <w:r>
              <w:rPr>
                <w:rFonts w:hint="eastAsia" w:ascii="宋体" w:hAnsi="宋体" w:cs="宋体"/>
                <w:b/>
                <w:color w:val="auto"/>
                <w:highlight w:val="none"/>
                <w:u w:val="none"/>
              </w:rPr>
              <w:t>：</w:t>
            </w:r>
            <w:r>
              <w:rPr>
                <w:rFonts w:hint="eastAsia" w:ascii="宋体" w:hAnsi="宋体" w:cs="宋体"/>
                <w:b/>
                <w:color w:val="auto"/>
                <w:highlight w:val="none"/>
                <w:u w:val="single"/>
              </w:rPr>
              <w:t xml:space="preserve">工业 </w:t>
            </w:r>
            <w:r>
              <w:rPr>
                <w:rFonts w:hint="eastAsia" w:ascii="宋体" w:hAnsi="宋体" w:cs="宋体"/>
                <w:color w:val="auto"/>
                <w:highlight w:val="none"/>
              </w:rPr>
              <w:t>。</w:t>
            </w:r>
          </w:p>
          <w:p w14:paraId="2077A009">
            <w:pPr>
              <w:snapToGrid w:val="0"/>
              <w:spacing w:line="400" w:lineRule="exact"/>
              <w:rPr>
                <w:rFonts w:ascii="Arial" w:hAnsi="Arial" w:cs="宋体"/>
                <w:color w:val="auto"/>
                <w:kern w:val="0"/>
                <w:szCs w:val="21"/>
                <w:highlight w:val="none"/>
              </w:rPr>
            </w:pPr>
            <w:r>
              <w:rPr>
                <w:rFonts w:hint="eastAsia" w:ascii="Arial" w:hAnsi="Arial" w:cs="宋体"/>
                <w:color w:val="auto"/>
                <w:kern w:val="0"/>
                <w:szCs w:val="21"/>
                <w:highlight w:val="none"/>
              </w:rPr>
              <w:t>注：根据《关于印发中小企业划型标准规定的通知》（工信部联企业〔2011〕300号）的规定：</w:t>
            </w:r>
          </w:p>
          <w:p w14:paraId="4682DC3C">
            <w:pPr>
              <w:snapToGrid w:val="0"/>
              <w:spacing w:line="400" w:lineRule="exact"/>
              <w:rPr>
                <w:rFonts w:ascii="Arial" w:hAnsi="Arial" w:cs="宋体"/>
                <w:b/>
                <w:bCs/>
                <w:color w:val="auto"/>
                <w:szCs w:val="21"/>
                <w:highlight w:val="none"/>
              </w:rPr>
            </w:pPr>
            <w:r>
              <w:rPr>
                <w:rFonts w:hint="eastAsia" w:ascii="Arial" w:hAnsi="Arial" w:cs="宋体"/>
                <w:b/>
                <w:color w:val="auto"/>
                <w:kern w:val="44"/>
                <w:szCs w:val="21"/>
                <w:highlight w:val="none"/>
                <w:u w:val="single"/>
              </w:rPr>
              <w:t>工业</w:t>
            </w:r>
            <w:r>
              <w:rPr>
                <w:rFonts w:hint="eastAsia" w:ascii="Arial" w:hAnsi="Arial" w:cs="宋体"/>
                <w:color w:val="auto"/>
                <w:kern w:val="0"/>
                <w:szCs w:val="21"/>
                <w:highlight w:val="none"/>
              </w:rPr>
              <w:t>行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3CD2C5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43994D5D">
            <w:pPr>
              <w:snapToGrid w:val="0"/>
              <w:spacing w:line="400" w:lineRule="exact"/>
              <w:jc w:val="center"/>
              <w:rPr>
                <w:rFonts w:ascii="Arial" w:hAnsi="Arial" w:cs="宋体"/>
                <w:bCs/>
                <w:color w:val="auto"/>
                <w:szCs w:val="21"/>
                <w:highlight w:val="none"/>
              </w:rPr>
            </w:pPr>
            <w:r>
              <w:rPr>
                <w:rFonts w:hint="eastAsia" w:ascii="Arial" w:hAnsi="Arial" w:cs="宋体"/>
                <w:bCs/>
                <w:color w:val="auto"/>
                <w:szCs w:val="21"/>
                <w:highlight w:val="none"/>
              </w:rPr>
              <w:t>3</w:t>
            </w:r>
          </w:p>
        </w:tc>
        <w:tc>
          <w:tcPr>
            <w:tcW w:w="1456" w:type="dxa"/>
            <w:vAlign w:val="center"/>
          </w:tcPr>
          <w:p w14:paraId="373D642D">
            <w:pPr>
              <w:snapToGrid w:val="0"/>
              <w:spacing w:line="400" w:lineRule="exact"/>
              <w:jc w:val="center"/>
              <w:rPr>
                <w:rFonts w:ascii="Arial" w:hAnsi="Arial" w:cs="宋体"/>
                <w:b/>
                <w:color w:val="auto"/>
                <w:szCs w:val="21"/>
                <w:highlight w:val="none"/>
              </w:rPr>
            </w:pPr>
            <w:r>
              <w:rPr>
                <w:rFonts w:hint="eastAsia" w:ascii="Arial" w:hAnsi="Arial" w:cs="宋体"/>
                <w:b/>
                <w:color w:val="auto"/>
                <w:szCs w:val="21"/>
                <w:highlight w:val="none"/>
              </w:rPr>
              <w:t>是否允许采购进口产品</w:t>
            </w:r>
          </w:p>
        </w:tc>
        <w:tc>
          <w:tcPr>
            <w:tcW w:w="6740" w:type="dxa"/>
            <w:vAlign w:val="center"/>
          </w:tcPr>
          <w:p w14:paraId="236536C2">
            <w:pPr>
              <w:snapToGrid w:val="0"/>
              <w:spacing w:line="400" w:lineRule="exact"/>
              <w:rPr>
                <w:rFonts w:ascii="Arial" w:hAnsi="Arial" w:cs="宋体"/>
                <w:b/>
                <w:bCs/>
                <w:color w:val="auto"/>
                <w:kern w:val="0"/>
                <w:szCs w:val="21"/>
                <w:highlight w:val="none"/>
              </w:rPr>
            </w:pPr>
            <w:r>
              <w:rPr>
                <w:rFonts w:hint="eastAsia" w:ascii="Arial" w:hAnsi="Arial" w:cs="宋体"/>
                <w:b/>
                <w:bCs/>
                <w:color w:val="auto"/>
                <w:kern w:val="0"/>
                <w:szCs w:val="21"/>
                <w:highlight w:val="none"/>
              </w:rPr>
              <w:t>■本项目不允许采购进口产品</w:t>
            </w:r>
          </w:p>
          <w:p w14:paraId="3321572B">
            <w:pPr>
              <w:snapToGrid w:val="0"/>
              <w:spacing w:line="400" w:lineRule="exact"/>
              <w:rPr>
                <w:rFonts w:ascii="Arial" w:hAnsi="Arial" w:cs="宋体"/>
                <w:color w:val="auto"/>
                <w:szCs w:val="21"/>
                <w:highlight w:val="none"/>
              </w:rPr>
            </w:pPr>
            <w:r>
              <w:rPr>
                <w:rFonts w:hint="eastAsia" w:ascii="Arial" w:hAnsi="Arial" w:cs="宋体"/>
                <w:color w:val="auto"/>
                <w:kern w:val="0"/>
                <w:szCs w:val="21"/>
                <w:highlight w:val="none"/>
              </w:rPr>
              <w:t>□可以就</w:t>
            </w:r>
            <w:r>
              <w:rPr>
                <w:rFonts w:hint="eastAsia" w:ascii="Arial" w:hAnsi="Arial" w:cs="宋体"/>
                <w:color w:val="auto"/>
                <w:szCs w:val="21"/>
                <w:highlight w:val="none"/>
                <w:u w:val="single"/>
              </w:rPr>
              <w:t>/</w:t>
            </w:r>
            <w:r>
              <w:rPr>
                <w:rFonts w:hint="eastAsia" w:ascii="Arial" w:hAnsi="Arial" w:cs="宋体"/>
                <w:color w:val="auto"/>
                <w:kern w:val="0"/>
                <w:szCs w:val="21"/>
                <w:highlight w:val="none"/>
              </w:rPr>
              <w:t>采购进口产品</w:t>
            </w:r>
          </w:p>
        </w:tc>
      </w:tr>
      <w:tr w14:paraId="0124AD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0FEBB71A">
            <w:pPr>
              <w:snapToGrid w:val="0"/>
              <w:spacing w:line="400" w:lineRule="exact"/>
              <w:jc w:val="center"/>
              <w:rPr>
                <w:rFonts w:hint="eastAsia" w:ascii="Arial" w:hAnsi="Arial" w:eastAsia="宋体" w:cs="宋体"/>
                <w:bCs/>
                <w:color w:val="auto"/>
                <w:szCs w:val="21"/>
                <w:highlight w:val="none"/>
                <w:lang w:val="en-US" w:eastAsia="zh-CN"/>
              </w:rPr>
            </w:pPr>
            <w:r>
              <w:rPr>
                <w:rFonts w:hint="eastAsia" w:ascii="Arial" w:hAnsi="Arial" w:cs="宋体"/>
                <w:bCs/>
                <w:color w:val="auto"/>
                <w:szCs w:val="21"/>
                <w:highlight w:val="none"/>
                <w:lang w:val="en-US" w:eastAsia="zh-CN"/>
              </w:rPr>
              <w:t>4</w:t>
            </w:r>
          </w:p>
        </w:tc>
        <w:tc>
          <w:tcPr>
            <w:tcW w:w="1456" w:type="dxa"/>
            <w:vAlign w:val="center"/>
          </w:tcPr>
          <w:p w14:paraId="35E0A7E5">
            <w:pPr>
              <w:snapToGrid w:val="0"/>
              <w:jc w:val="center"/>
              <w:rPr>
                <w:rFonts w:hint="eastAsia" w:ascii="Arial" w:hAnsi="Arial" w:cs="宋体"/>
                <w:b/>
                <w:color w:val="auto"/>
                <w:szCs w:val="21"/>
                <w:highlight w:val="none"/>
              </w:rPr>
            </w:pPr>
            <w:r>
              <w:rPr>
                <w:rFonts w:hint="eastAsia" w:ascii="宋体" w:hAnsi="宋体" w:cs="宋体"/>
                <w:b/>
                <w:color w:val="auto"/>
                <w:sz w:val="24"/>
                <w:highlight w:val="none"/>
              </w:rPr>
              <w:t>支持本国产品</w:t>
            </w:r>
          </w:p>
        </w:tc>
        <w:tc>
          <w:tcPr>
            <w:tcW w:w="6740" w:type="dxa"/>
            <w:vAlign w:val="center"/>
          </w:tcPr>
          <w:p w14:paraId="585ACE53">
            <w:pPr>
              <w:snapToGrid w:val="0"/>
              <w:spacing w:line="400" w:lineRule="exact"/>
              <w:rPr>
                <w:rFonts w:hint="eastAsia" w:ascii="Arial" w:hAnsi="Arial" w:eastAsia="宋体" w:cs="宋体"/>
                <w:color w:val="auto"/>
                <w:kern w:val="0"/>
                <w:szCs w:val="21"/>
                <w:highlight w:val="none"/>
              </w:rPr>
            </w:pPr>
            <w:r>
              <w:rPr>
                <w:rFonts w:hint="eastAsia" w:ascii="Arial" w:hAnsi="Arial" w:eastAsia="宋体" w:cs="宋体"/>
                <w:color w:val="auto"/>
                <w:kern w:val="0"/>
                <w:szCs w:val="21"/>
                <w:highlight w:val="none"/>
              </w:rPr>
              <w:t>（1）本国产品标准的适用范围：</w:t>
            </w:r>
          </w:p>
          <w:p w14:paraId="7752B504">
            <w:pPr>
              <w:snapToGrid w:val="0"/>
              <w:spacing w:line="400" w:lineRule="exact"/>
              <w:rPr>
                <w:rFonts w:hint="eastAsia" w:ascii="Arial" w:hAnsi="Arial" w:eastAsia="宋体" w:cs="宋体"/>
                <w:color w:val="auto"/>
                <w:kern w:val="0"/>
                <w:szCs w:val="21"/>
                <w:highlight w:val="none"/>
              </w:rPr>
            </w:pPr>
            <w:r>
              <w:rPr>
                <w:rFonts w:hint="eastAsia" w:ascii="Arial" w:hAnsi="Arial" w:eastAsia="宋体" w:cs="宋体"/>
                <w:color w:val="auto"/>
                <w:kern w:val="0"/>
                <w:szCs w:val="21"/>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5E4B0BB">
            <w:pPr>
              <w:snapToGrid w:val="0"/>
              <w:spacing w:line="400" w:lineRule="exact"/>
              <w:rPr>
                <w:rFonts w:hint="eastAsia" w:ascii="Arial" w:hAnsi="Arial" w:eastAsia="宋体" w:cs="宋体"/>
                <w:color w:val="auto"/>
                <w:kern w:val="0"/>
                <w:szCs w:val="21"/>
                <w:highlight w:val="none"/>
              </w:rPr>
            </w:pPr>
            <w:r>
              <w:rPr>
                <w:rFonts w:hint="eastAsia" w:ascii="Arial" w:hAnsi="Arial" w:eastAsia="宋体" w:cs="宋体"/>
                <w:color w:val="auto"/>
                <w:kern w:val="0"/>
                <w:szCs w:val="21"/>
                <w:highlight w:val="none"/>
              </w:rPr>
              <w:t>（2）本采购项目：</w:t>
            </w:r>
          </w:p>
          <w:p w14:paraId="1DAEF3D3">
            <w:pPr>
              <w:snapToGrid w:val="0"/>
              <w:spacing w:line="400" w:lineRule="exact"/>
              <w:rPr>
                <w:rFonts w:hint="eastAsia" w:ascii="Arial" w:hAnsi="Arial" w:eastAsia="宋体" w:cs="宋体"/>
                <w:color w:val="auto"/>
                <w:kern w:val="0"/>
                <w:szCs w:val="21"/>
                <w:highlight w:val="none"/>
              </w:rPr>
            </w:pPr>
            <w:r>
              <w:rPr>
                <w:rFonts w:hint="eastAsia" w:ascii="Arial" w:hAnsi="Arial" w:eastAsia="宋体" w:cs="宋体"/>
                <w:color w:val="auto"/>
                <w:kern w:val="0"/>
                <w:szCs w:val="21"/>
                <w:highlight w:val="none"/>
              </w:rPr>
              <w:t>☐不适用本国产品标准及相关政策。</w:t>
            </w:r>
          </w:p>
          <w:p w14:paraId="476264AB">
            <w:pPr>
              <w:snapToGrid w:val="0"/>
              <w:spacing w:line="400" w:lineRule="exact"/>
              <w:rPr>
                <w:rFonts w:hint="eastAsia" w:ascii="Arial" w:hAnsi="Arial" w:eastAsia="宋体" w:cs="宋体"/>
                <w:color w:val="auto"/>
                <w:kern w:val="0"/>
                <w:szCs w:val="21"/>
                <w:highlight w:val="none"/>
              </w:rPr>
            </w:pPr>
            <w:r>
              <w:rPr>
                <w:rFonts w:hint="eastAsia" w:ascii="Arial" w:hAnsi="Arial" w:eastAsia="宋体" w:cs="宋体"/>
                <w:color w:val="auto"/>
                <w:kern w:val="0"/>
                <w:szCs w:val="21"/>
                <w:highlight w:val="none"/>
              </w:rPr>
              <w:t>■适用本国产品标准及相关政策。</w:t>
            </w:r>
          </w:p>
          <w:p w14:paraId="652C44FA">
            <w:pPr>
              <w:snapToGrid w:val="0"/>
              <w:spacing w:line="400" w:lineRule="exact"/>
              <w:rPr>
                <w:rFonts w:hint="eastAsia" w:ascii="Arial" w:hAnsi="Arial" w:eastAsia="宋体" w:cs="宋体"/>
                <w:color w:val="auto"/>
                <w:kern w:val="0"/>
                <w:szCs w:val="21"/>
                <w:highlight w:val="none"/>
              </w:rPr>
            </w:pPr>
            <w:r>
              <w:rPr>
                <w:rFonts w:hint="eastAsia" w:ascii="Arial" w:hAnsi="Arial" w:eastAsia="宋体" w:cs="宋体"/>
                <w:color w:val="auto"/>
                <w:kern w:val="0"/>
                <w:szCs w:val="21"/>
                <w:highlight w:val="none"/>
              </w:rPr>
              <w:t>（3）本国产品标准：</w:t>
            </w:r>
          </w:p>
          <w:p w14:paraId="210939EA">
            <w:pPr>
              <w:snapToGrid w:val="0"/>
              <w:spacing w:line="400" w:lineRule="exact"/>
              <w:rPr>
                <w:rFonts w:hint="eastAsia" w:ascii="Arial" w:hAnsi="Arial" w:eastAsia="宋体" w:cs="宋体"/>
                <w:color w:val="auto"/>
                <w:kern w:val="0"/>
                <w:szCs w:val="21"/>
                <w:highlight w:val="none"/>
              </w:rPr>
            </w:pPr>
            <w:r>
              <w:rPr>
                <w:rFonts w:hint="eastAsia" w:ascii="Arial" w:hAnsi="Arial" w:eastAsia="宋体" w:cs="宋体"/>
                <w:color w:val="auto"/>
                <w:kern w:val="0"/>
                <w:szCs w:val="21"/>
                <w:highlight w:val="none"/>
              </w:rPr>
              <w:t>①产品在中国境内生产；</w:t>
            </w:r>
          </w:p>
          <w:p w14:paraId="29688EAF">
            <w:pPr>
              <w:snapToGrid w:val="0"/>
              <w:spacing w:line="400" w:lineRule="exact"/>
              <w:rPr>
                <w:rFonts w:hint="eastAsia" w:ascii="Arial" w:hAnsi="Arial" w:eastAsia="宋体" w:cs="宋体"/>
                <w:color w:val="auto"/>
                <w:kern w:val="0"/>
                <w:szCs w:val="21"/>
                <w:highlight w:val="none"/>
              </w:rPr>
            </w:pPr>
            <w:r>
              <w:rPr>
                <w:rFonts w:hint="eastAsia" w:ascii="Arial" w:hAnsi="Arial" w:eastAsia="宋体" w:cs="宋体"/>
                <w:color w:val="auto"/>
                <w:kern w:val="0"/>
                <w:szCs w:val="21"/>
                <w:highlight w:val="none"/>
              </w:rPr>
              <w:t>②产品在中国境内生产的组件成本占比达到规定比例：尚未实施。</w:t>
            </w:r>
          </w:p>
          <w:p w14:paraId="31C004F3">
            <w:pPr>
              <w:snapToGrid w:val="0"/>
              <w:spacing w:line="400" w:lineRule="exact"/>
              <w:rPr>
                <w:rFonts w:hint="eastAsia" w:ascii="Arial" w:hAnsi="Arial" w:eastAsia="宋体" w:cs="宋体"/>
                <w:color w:val="auto"/>
                <w:kern w:val="0"/>
                <w:szCs w:val="21"/>
                <w:highlight w:val="none"/>
              </w:rPr>
            </w:pPr>
            <w:r>
              <w:rPr>
                <w:rFonts w:hint="eastAsia" w:ascii="Arial" w:hAnsi="Arial" w:eastAsia="宋体" w:cs="宋体"/>
                <w:color w:val="auto"/>
                <w:kern w:val="0"/>
                <w:szCs w:val="21"/>
                <w:highlight w:val="none"/>
              </w:rPr>
              <w:t>③特定产品的关键组件、关键工序符合相关要求：尚未实施。</w:t>
            </w:r>
          </w:p>
          <w:p w14:paraId="3D30FEDE">
            <w:pPr>
              <w:snapToGrid w:val="0"/>
              <w:spacing w:line="400" w:lineRule="exact"/>
              <w:rPr>
                <w:rFonts w:hint="eastAsia" w:ascii="Arial" w:hAnsi="Arial" w:eastAsia="宋体" w:cs="宋体"/>
                <w:color w:val="auto"/>
                <w:kern w:val="0"/>
                <w:szCs w:val="21"/>
                <w:highlight w:val="none"/>
              </w:rPr>
            </w:pPr>
            <w:r>
              <w:rPr>
                <w:rFonts w:hint="eastAsia" w:ascii="Arial" w:hAnsi="Arial" w:eastAsia="宋体" w:cs="宋体"/>
                <w:color w:val="auto"/>
                <w:kern w:val="0"/>
                <w:szCs w:val="21"/>
                <w:highlight w:val="none"/>
              </w:rPr>
              <w:t>（4）对本国产品的支持政策：</w:t>
            </w:r>
          </w:p>
          <w:p w14:paraId="58B41529">
            <w:pPr>
              <w:snapToGrid w:val="0"/>
              <w:spacing w:line="400" w:lineRule="exact"/>
              <w:rPr>
                <w:rFonts w:hint="eastAsia" w:ascii="Arial" w:hAnsi="Arial" w:eastAsia="宋体" w:cs="宋体"/>
                <w:color w:val="auto"/>
                <w:kern w:val="0"/>
                <w:szCs w:val="21"/>
                <w:highlight w:val="none"/>
              </w:rPr>
            </w:pPr>
            <w:r>
              <w:rPr>
                <w:rFonts w:hint="eastAsia" w:ascii="Arial" w:hAnsi="Arial" w:eastAsia="宋体" w:cs="宋体"/>
                <w:color w:val="auto"/>
                <w:kern w:val="0"/>
                <w:szCs w:val="21"/>
                <w:highlight w:val="none"/>
              </w:rPr>
              <w:t>政府采购活动中既有本国产品又有非本国产品参与竞争的，依法对本国产品给予价格评审优惠，对本国产品的报价给予的价格扣除，用扣除后的价格参与评审。</w:t>
            </w:r>
          </w:p>
          <w:p w14:paraId="295A8219">
            <w:pPr>
              <w:snapToGrid w:val="0"/>
              <w:spacing w:line="400" w:lineRule="exact"/>
              <w:rPr>
                <w:rFonts w:hint="eastAsia" w:ascii="Arial" w:hAnsi="Arial" w:eastAsia="宋体" w:cs="宋体"/>
                <w:color w:val="auto"/>
                <w:kern w:val="0"/>
                <w:szCs w:val="21"/>
                <w:highlight w:val="none"/>
              </w:rPr>
            </w:pPr>
            <w:r>
              <w:rPr>
                <w:rFonts w:hint="eastAsia" w:ascii="Arial" w:hAnsi="Arial" w:eastAsia="宋体" w:cs="宋体"/>
                <w:color w:val="auto"/>
                <w:kern w:val="0"/>
                <w:szCs w:val="21"/>
                <w:highlight w:val="none"/>
              </w:rPr>
              <w:t>当采购项目或者采购包中含有多种产品，投标人为该采购项目或者采购包提供的符合本国产品标准的产品成本之和占该投标人提供的全部产品成本之和的比例达到以上时，依法对该投标人提供的全部产品给予价格评审优惠，即对该投标人提供的全部产品的总报价给予的价格扣除，用扣除后的价格参与评审。</w:t>
            </w:r>
          </w:p>
          <w:p w14:paraId="6BBAFDF5">
            <w:pPr>
              <w:snapToGrid w:val="0"/>
              <w:spacing w:line="400" w:lineRule="exact"/>
              <w:rPr>
                <w:rFonts w:hint="eastAsia" w:ascii="Arial" w:hAnsi="Arial" w:cs="宋体"/>
                <w:color w:val="auto"/>
                <w:kern w:val="0"/>
                <w:szCs w:val="21"/>
                <w:highlight w:val="none"/>
              </w:rPr>
            </w:pPr>
            <w:r>
              <w:rPr>
                <w:rFonts w:hint="eastAsia" w:ascii="Arial" w:hAnsi="Arial" w:eastAsia="宋体" w:cs="宋体"/>
                <w:color w:val="auto"/>
                <w:kern w:val="0"/>
                <w:szCs w:val="21"/>
                <w:highlight w:val="none"/>
              </w:rPr>
              <w:t>（5）出具符合要求的《关于符合本国产品标准的声明函》（格式见第六部分）或财政部会同有关部门规定的有关证明文件的，该产品视为本国产品。</w:t>
            </w:r>
          </w:p>
        </w:tc>
      </w:tr>
      <w:tr w14:paraId="14976D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77E7A714">
            <w:pPr>
              <w:snapToGrid w:val="0"/>
              <w:spacing w:line="400" w:lineRule="exact"/>
              <w:jc w:val="center"/>
              <w:rPr>
                <w:rFonts w:hint="eastAsia" w:ascii="Arial" w:hAnsi="Arial" w:eastAsia="宋体" w:cs="宋体"/>
                <w:bCs/>
                <w:color w:val="auto"/>
                <w:szCs w:val="21"/>
                <w:highlight w:val="none"/>
                <w:lang w:eastAsia="zh-CN"/>
              </w:rPr>
            </w:pPr>
            <w:r>
              <w:rPr>
                <w:rFonts w:hint="eastAsia" w:ascii="Arial" w:hAnsi="Arial" w:cs="宋体"/>
                <w:bCs/>
                <w:color w:val="auto"/>
                <w:szCs w:val="21"/>
                <w:highlight w:val="none"/>
                <w:lang w:val="en-US" w:eastAsia="zh-CN"/>
              </w:rPr>
              <w:t>5</w:t>
            </w:r>
          </w:p>
        </w:tc>
        <w:tc>
          <w:tcPr>
            <w:tcW w:w="1456" w:type="dxa"/>
            <w:vAlign w:val="center"/>
          </w:tcPr>
          <w:p w14:paraId="484B45A9">
            <w:pPr>
              <w:snapToGrid w:val="0"/>
              <w:spacing w:line="400" w:lineRule="exact"/>
              <w:jc w:val="center"/>
              <w:rPr>
                <w:rFonts w:ascii="Arial" w:hAnsi="Arial" w:cs="宋体"/>
                <w:bCs/>
                <w:color w:val="auto"/>
                <w:szCs w:val="21"/>
                <w:highlight w:val="none"/>
              </w:rPr>
            </w:pPr>
            <w:r>
              <w:rPr>
                <w:rFonts w:hint="eastAsia" w:ascii="Arial" w:hAnsi="Arial" w:cs="宋体"/>
                <w:bCs/>
                <w:color w:val="auto"/>
                <w:szCs w:val="21"/>
                <w:highlight w:val="none"/>
              </w:rPr>
              <w:t>分包</w:t>
            </w:r>
          </w:p>
        </w:tc>
        <w:tc>
          <w:tcPr>
            <w:tcW w:w="6740" w:type="dxa"/>
            <w:vAlign w:val="center"/>
          </w:tcPr>
          <w:p w14:paraId="38BD36BB">
            <w:pPr>
              <w:snapToGrid w:val="0"/>
              <w:spacing w:line="400" w:lineRule="exact"/>
              <w:rPr>
                <w:rFonts w:ascii="Arial" w:hAnsi="Arial" w:cs="宋体"/>
                <w:bCs/>
                <w:color w:val="auto"/>
                <w:szCs w:val="21"/>
                <w:highlight w:val="none"/>
              </w:rPr>
            </w:pPr>
            <w:r>
              <w:rPr>
                <w:rFonts w:hint="eastAsia" w:ascii="Arial" w:hAnsi="Arial" w:cs="宋体"/>
                <w:color w:val="auto"/>
                <w:kern w:val="0"/>
                <w:szCs w:val="21"/>
                <w:highlight w:val="none"/>
              </w:rPr>
              <w:t>□</w:t>
            </w:r>
            <w:r>
              <w:rPr>
                <w:rFonts w:hint="eastAsia" w:ascii="Arial" w:hAnsi="Arial" w:cs="宋体"/>
                <w:b/>
                <w:color w:val="auto"/>
                <w:szCs w:val="21"/>
                <w:highlight w:val="none"/>
              </w:rPr>
              <w:t>经采购人同意后，大中型企业可以向小微企业合理分包。</w:t>
            </w:r>
          </w:p>
          <w:p w14:paraId="4CC58ED6">
            <w:pPr>
              <w:snapToGrid w:val="0"/>
              <w:spacing w:line="400" w:lineRule="exact"/>
              <w:rPr>
                <w:rFonts w:ascii="Arial" w:hAnsi="Arial" w:cs="宋体"/>
                <w:bCs/>
                <w:color w:val="auto"/>
                <w:szCs w:val="21"/>
                <w:highlight w:val="none"/>
              </w:rPr>
            </w:pPr>
            <w:r>
              <w:rPr>
                <w:rFonts w:hint="eastAsia" w:ascii="Arial" w:hAnsi="Arial" w:cs="宋体"/>
                <w:bCs/>
                <w:color w:val="auto"/>
                <w:kern w:val="0"/>
                <w:szCs w:val="21"/>
                <w:highlight w:val="none"/>
              </w:rPr>
              <w:t>■</w:t>
            </w:r>
            <w:r>
              <w:rPr>
                <w:rFonts w:hint="eastAsia" w:ascii="Arial" w:hAnsi="Arial" w:cs="宋体"/>
                <w:color w:val="auto"/>
                <w:kern w:val="0"/>
                <w:szCs w:val="21"/>
                <w:highlight w:val="none"/>
              </w:rPr>
              <w:t>不</w:t>
            </w:r>
            <w:r>
              <w:rPr>
                <w:rFonts w:hint="eastAsia" w:ascii="Arial" w:hAnsi="Arial" w:cs="宋体"/>
                <w:bCs/>
                <w:color w:val="auto"/>
                <w:szCs w:val="21"/>
                <w:highlight w:val="none"/>
              </w:rPr>
              <w:t>同意分包</w:t>
            </w:r>
          </w:p>
        </w:tc>
      </w:tr>
      <w:tr w14:paraId="1AB136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563A9A10">
            <w:pPr>
              <w:snapToGrid w:val="0"/>
              <w:spacing w:line="400" w:lineRule="exact"/>
              <w:jc w:val="center"/>
              <w:rPr>
                <w:rFonts w:hint="eastAsia" w:ascii="Arial" w:hAnsi="Arial" w:eastAsia="宋体" w:cs="宋体"/>
                <w:bCs/>
                <w:color w:val="auto"/>
                <w:szCs w:val="21"/>
                <w:highlight w:val="none"/>
                <w:lang w:eastAsia="zh-CN"/>
              </w:rPr>
            </w:pPr>
            <w:r>
              <w:rPr>
                <w:rFonts w:hint="eastAsia" w:ascii="Arial" w:hAnsi="Arial" w:cs="宋体"/>
                <w:bCs/>
                <w:color w:val="auto"/>
                <w:szCs w:val="21"/>
                <w:highlight w:val="none"/>
                <w:lang w:val="en-US" w:eastAsia="zh-CN"/>
              </w:rPr>
              <w:t>6</w:t>
            </w:r>
          </w:p>
        </w:tc>
        <w:tc>
          <w:tcPr>
            <w:tcW w:w="1456" w:type="dxa"/>
            <w:vAlign w:val="center"/>
          </w:tcPr>
          <w:p w14:paraId="6CF7A4C8">
            <w:pPr>
              <w:snapToGrid w:val="0"/>
              <w:spacing w:line="400" w:lineRule="exact"/>
              <w:jc w:val="center"/>
              <w:rPr>
                <w:rFonts w:ascii="Arial" w:hAnsi="Arial" w:cs="宋体"/>
                <w:b/>
                <w:color w:val="auto"/>
                <w:szCs w:val="21"/>
                <w:highlight w:val="none"/>
              </w:rPr>
            </w:pPr>
            <w:r>
              <w:rPr>
                <w:rFonts w:hint="eastAsia" w:ascii="Arial" w:hAnsi="Arial" w:cs="宋体"/>
                <w:b/>
                <w:color w:val="auto"/>
                <w:szCs w:val="21"/>
                <w:highlight w:val="none"/>
              </w:rPr>
              <w:t>开标前答疑会或现场考察</w:t>
            </w:r>
          </w:p>
        </w:tc>
        <w:tc>
          <w:tcPr>
            <w:tcW w:w="6740" w:type="dxa"/>
            <w:vAlign w:val="center"/>
          </w:tcPr>
          <w:p w14:paraId="7CCE3251">
            <w:pPr>
              <w:snapToGrid w:val="0"/>
              <w:spacing w:line="400" w:lineRule="exact"/>
              <w:rPr>
                <w:rFonts w:ascii="Arial" w:hAnsi="Arial"/>
                <w:b/>
                <w:bCs/>
                <w:color w:val="auto"/>
                <w:highlight w:val="none"/>
              </w:rPr>
            </w:pPr>
            <w:r>
              <w:rPr>
                <w:rFonts w:hint="eastAsia" w:ascii="Arial" w:hAnsi="Arial"/>
                <w:b/>
                <w:bCs/>
                <w:color w:val="auto"/>
                <w:highlight w:val="none"/>
              </w:rPr>
              <w:t>■不组织</w:t>
            </w:r>
          </w:p>
          <w:p w14:paraId="3C26FCA5">
            <w:pPr>
              <w:snapToGrid w:val="0"/>
              <w:spacing w:line="400" w:lineRule="exact"/>
              <w:rPr>
                <w:rFonts w:ascii="Arial" w:hAnsi="Arial"/>
                <w:color w:val="auto"/>
                <w:highlight w:val="none"/>
              </w:rPr>
            </w:pPr>
            <w:r>
              <w:rPr>
                <w:rFonts w:hint="eastAsia" w:ascii="Arial" w:hAnsi="Arial"/>
                <w:color w:val="auto"/>
                <w:highlight w:val="none"/>
              </w:rPr>
              <w:t>□组织</w:t>
            </w:r>
          </w:p>
        </w:tc>
      </w:tr>
      <w:tr w14:paraId="10230C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04EE735E">
            <w:pPr>
              <w:snapToGrid w:val="0"/>
              <w:spacing w:line="400" w:lineRule="exact"/>
              <w:jc w:val="center"/>
              <w:rPr>
                <w:rFonts w:hint="eastAsia" w:ascii="Arial" w:hAnsi="Arial" w:eastAsia="宋体" w:cs="宋体"/>
                <w:bCs/>
                <w:color w:val="auto"/>
                <w:szCs w:val="21"/>
                <w:highlight w:val="none"/>
                <w:lang w:eastAsia="zh-CN"/>
              </w:rPr>
            </w:pPr>
            <w:r>
              <w:rPr>
                <w:rFonts w:hint="eastAsia" w:ascii="Arial" w:hAnsi="Arial" w:cs="宋体"/>
                <w:bCs/>
                <w:color w:val="auto"/>
                <w:szCs w:val="21"/>
                <w:highlight w:val="none"/>
                <w:lang w:val="en-US" w:eastAsia="zh-CN"/>
              </w:rPr>
              <w:t>7</w:t>
            </w:r>
          </w:p>
        </w:tc>
        <w:tc>
          <w:tcPr>
            <w:tcW w:w="1456" w:type="dxa"/>
            <w:vAlign w:val="center"/>
          </w:tcPr>
          <w:p w14:paraId="7C82B2F7">
            <w:pPr>
              <w:snapToGrid w:val="0"/>
              <w:spacing w:line="400" w:lineRule="exact"/>
              <w:jc w:val="center"/>
              <w:rPr>
                <w:rFonts w:ascii="Arial" w:hAnsi="Arial" w:cs="宋体"/>
                <w:b/>
                <w:color w:val="auto"/>
                <w:szCs w:val="21"/>
                <w:highlight w:val="none"/>
              </w:rPr>
            </w:pPr>
            <w:r>
              <w:rPr>
                <w:rFonts w:hint="eastAsia" w:ascii="Arial" w:hAnsi="Arial" w:cs="宋体"/>
                <w:b/>
                <w:color w:val="auto"/>
                <w:szCs w:val="21"/>
                <w:highlight w:val="none"/>
              </w:rPr>
              <w:t>样品提供</w:t>
            </w:r>
          </w:p>
        </w:tc>
        <w:tc>
          <w:tcPr>
            <w:tcW w:w="6740" w:type="dxa"/>
            <w:vAlign w:val="center"/>
          </w:tcPr>
          <w:p w14:paraId="4C7E5AFD">
            <w:pPr>
              <w:snapToGrid w:val="0"/>
              <w:spacing w:line="400" w:lineRule="exact"/>
              <w:rPr>
                <w:rFonts w:ascii="Arial" w:hAnsi="Arial" w:cs="宋体"/>
                <w:color w:val="auto"/>
                <w:szCs w:val="21"/>
                <w:highlight w:val="none"/>
              </w:rPr>
            </w:pPr>
            <w:r>
              <w:rPr>
                <w:rFonts w:hint="eastAsia" w:ascii="Arial" w:hAnsi="Arial"/>
                <w:b/>
                <w:bCs/>
                <w:color w:val="auto"/>
                <w:highlight w:val="none"/>
              </w:rPr>
              <w:t>■</w:t>
            </w:r>
            <w:r>
              <w:rPr>
                <w:rFonts w:hint="eastAsia" w:ascii="Arial" w:hAnsi="Arial" w:cs="宋体"/>
                <w:color w:val="auto"/>
                <w:kern w:val="0"/>
                <w:szCs w:val="21"/>
                <w:highlight w:val="none"/>
              </w:rPr>
              <w:t xml:space="preserve"> </w:t>
            </w:r>
            <w:r>
              <w:rPr>
                <w:rFonts w:hint="eastAsia" w:ascii="Arial" w:hAnsi="Arial" w:cs="宋体"/>
                <w:color w:val="auto"/>
                <w:szCs w:val="21"/>
                <w:highlight w:val="none"/>
              </w:rPr>
              <w:t>不要求提供</w:t>
            </w:r>
          </w:p>
          <w:p w14:paraId="30C7AF70">
            <w:pPr>
              <w:snapToGrid w:val="0"/>
              <w:spacing w:line="400" w:lineRule="exact"/>
              <w:rPr>
                <w:rFonts w:ascii="Arial" w:hAnsi="Arial" w:cs="宋体"/>
                <w:b/>
                <w:bCs/>
                <w:color w:val="auto"/>
                <w:kern w:val="0"/>
                <w:szCs w:val="21"/>
                <w:highlight w:val="none"/>
              </w:rPr>
            </w:pPr>
            <w:r>
              <w:rPr>
                <w:rFonts w:hint="eastAsia" w:ascii="Arial" w:hAnsi="Arial" w:cs="宋体"/>
                <w:color w:val="auto"/>
                <w:kern w:val="0"/>
                <w:szCs w:val="21"/>
                <w:highlight w:val="none"/>
              </w:rPr>
              <w:t>□</w:t>
            </w:r>
            <w:r>
              <w:rPr>
                <w:rFonts w:hint="eastAsia" w:ascii="Arial" w:hAnsi="Arial" w:cs="宋体"/>
                <w:b/>
                <w:bCs/>
                <w:color w:val="auto"/>
                <w:kern w:val="0"/>
                <w:szCs w:val="21"/>
                <w:highlight w:val="none"/>
              </w:rPr>
              <w:t xml:space="preserve"> 要求提供。</w:t>
            </w:r>
          </w:p>
          <w:p w14:paraId="683A0344">
            <w:pPr>
              <w:snapToGrid w:val="0"/>
              <w:spacing w:line="400" w:lineRule="exact"/>
              <w:rPr>
                <w:rFonts w:ascii="Arial" w:hAnsi="Arial" w:cs="宋体"/>
                <w:b/>
                <w:bCs/>
                <w:color w:val="auto"/>
                <w:kern w:val="0"/>
                <w:highlight w:val="none"/>
                <w:u w:val="single"/>
              </w:rPr>
            </w:pPr>
            <w:r>
              <w:rPr>
                <w:rFonts w:hint="eastAsia" w:ascii="Arial" w:hAnsi="Arial" w:cs="宋体"/>
                <w:color w:val="auto"/>
                <w:kern w:val="0"/>
                <w:highlight w:val="none"/>
              </w:rPr>
              <w:t>（1）</w:t>
            </w:r>
            <w:r>
              <w:rPr>
                <w:rFonts w:hint="eastAsia" w:ascii="Arial" w:hAnsi="Arial" w:cs="宋体"/>
                <w:snapToGrid w:val="0"/>
                <w:color w:val="auto"/>
                <w:kern w:val="28"/>
                <w:highlight w:val="none"/>
              </w:rPr>
              <w:t>样品：</w:t>
            </w:r>
            <w:r>
              <w:rPr>
                <w:rFonts w:hint="eastAsia" w:ascii="Arial" w:hAnsi="Arial" w:cs="宋体"/>
                <w:snapToGrid w:val="0"/>
                <w:color w:val="auto"/>
                <w:kern w:val="28"/>
                <w:highlight w:val="none"/>
                <w:u w:val="single"/>
                <w:lang w:val="en-US" w:eastAsia="zh-CN"/>
              </w:rPr>
              <w:t xml:space="preserve"> /</w:t>
            </w:r>
          </w:p>
          <w:p w14:paraId="574FA455">
            <w:pPr>
              <w:snapToGrid w:val="0"/>
              <w:spacing w:line="400" w:lineRule="exact"/>
              <w:rPr>
                <w:rFonts w:ascii="Arial" w:hAnsi="Arial" w:cs="宋体"/>
                <w:color w:val="auto"/>
                <w:kern w:val="0"/>
                <w:highlight w:val="none"/>
              </w:rPr>
            </w:pPr>
            <w:r>
              <w:rPr>
                <w:rFonts w:hint="eastAsia" w:ascii="Arial" w:hAnsi="Arial" w:cs="宋体"/>
                <w:color w:val="auto"/>
                <w:kern w:val="0"/>
                <w:highlight w:val="none"/>
              </w:rPr>
              <w:t>（2）</w:t>
            </w:r>
            <w:r>
              <w:rPr>
                <w:rFonts w:hint="eastAsia" w:ascii="Arial" w:hAnsi="Arial" w:cs="宋体"/>
                <w:snapToGrid w:val="0"/>
                <w:color w:val="auto"/>
                <w:kern w:val="28"/>
                <w:highlight w:val="none"/>
              </w:rPr>
              <w:t>样品制作的标准和要求：</w:t>
            </w:r>
            <w:r>
              <w:rPr>
                <w:rFonts w:hint="eastAsia" w:ascii="Arial" w:hAnsi="Arial" w:cs="宋体"/>
                <w:snapToGrid w:val="0"/>
                <w:color w:val="auto"/>
                <w:kern w:val="28"/>
                <w:highlight w:val="none"/>
                <w:u w:val="single"/>
                <w:lang w:val="en-US" w:eastAsia="zh-CN"/>
              </w:rPr>
              <w:t xml:space="preserve"> /</w:t>
            </w:r>
            <w:r>
              <w:rPr>
                <w:rFonts w:hint="eastAsia" w:ascii="Arial" w:hAnsi="Arial" w:cs="宋体"/>
                <w:color w:val="auto"/>
                <w:kern w:val="0"/>
                <w:highlight w:val="none"/>
              </w:rPr>
              <w:t>；</w:t>
            </w:r>
          </w:p>
          <w:p w14:paraId="0ADF7CD0">
            <w:pPr>
              <w:snapToGrid w:val="0"/>
              <w:spacing w:line="400" w:lineRule="exact"/>
              <w:rPr>
                <w:rFonts w:ascii="Arial" w:hAnsi="Arial" w:cs="宋体"/>
                <w:color w:val="auto"/>
                <w:kern w:val="0"/>
                <w:highlight w:val="none"/>
              </w:rPr>
            </w:pPr>
            <w:r>
              <w:rPr>
                <w:rFonts w:hint="eastAsia" w:ascii="Arial" w:hAnsi="Arial" w:cs="宋体"/>
                <w:color w:val="auto"/>
                <w:kern w:val="0"/>
                <w:highlight w:val="none"/>
              </w:rPr>
              <w:t>（3）样品的评审方法以及评审标准</w:t>
            </w:r>
            <w:r>
              <w:rPr>
                <w:rFonts w:hint="eastAsia" w:ascii="Arial" w:hAnsi="Arial" w:cs="宋体"/>
                <w:snapToGrid w:val="0"/>
                <w:color w:val="auto"/>
                <w:kern w:val="28"/>
                <w:highlight w:val="none"/>
              </w:rPr>
              <w:t>：</w:t>
            </w:r>
            <w:r>
              <w:rPr>
                <w:rFonts w:hint="eastAsia" w:ascii="Arial" w:hAnsi="Arial" w:cs="宋体"/>
                <w:snapToGrid w:val="0"/>
                <w:color w:val="auto"/>
                <w:kern w:val="28"/>
                <w:highlight w:val="none"/>
                <w:u w:val="single"/>
                <w:lang w:val="en-US" w:eastAsia="zh-CN"/>
              </w:rPr>
              <w:t xml:space="preserve"> /</w:t>
            </w:r>
            <w:r>
              <w:rPr>
                <w:rFonts w:hint="eastAsia" w:ascii="Arial" w:hAnsi="Arial" w:cs="宋体"/>
                <w:color w:val="auto"/>
                <w:kern w:val="0"/>
                <w:highlight w:val="none"/>
              </w:rPr>
              <w:t>；</w:t>
            </w:r>
          </w:p>
          <w:p w14:paraId="3E672F73">
            <w:pPr>
              <w:snapToGrid w:val="0"/>
              <w:spacing w:line="400" w:lineRule="exact"/>
              <w:rPr>
                <w:rFonts w:hint="eastAsia" w:ascii="Arial" w:hAnsi="Arial" w:eastAsia="宋体" w:cs="宋体"/>
                <w:color w:val="auto"/>
                <w:kern w:val="0"/>
                <w:highlight w:val="none"/>
                <w:lang w:val="en-US" w:eastAsia="zh-CN"/>
              </w:rPr>
            </w:pPr>
            <w:r>
              <w:rPr>
                <w:rFonts w:hint="eastAsia" w:ascii="Arial" w:hAnsi="Arial" w:cs="宋体"/>
                <w:color w:val="auto"/>
                <w:kern w:val="0"/>
                <w:highlight w:val="none"/>
              </w:rPr>
              <w:t>（4）是否需要随样品提交检测报告：</w:t>
            </w:r>
            <w:r>
              <w:rPr>
                <w:rFonts w:hint="eastAsia" w:ascii="Arial" w:hAnsi="Arial" w:cs="宋体"/>
                <w:snapToGrid w:val="0"/>
                <w:color w:val="auto"/>
                <w:kern w:val="28"/>
                <w:highlight w:val="none"/>
                <w:u w:val="single"/>
                <w:lang w:val="en-US" w:eastAsia="zh-CN"/>
              </w:rPr>
              <w:t xml:space="preserve"> /</w:t>
            </w:r>
            <w:r>
              <w:rPr>
                <w:rFonts w:hint="eastAsia" w:ascii="宋体" w:hAnsi="宋体" w:eastAsia="宋体" w:cs="Times New Roman"/>
                <w:b w:val="0"/>
                <w:bCs/>
                <w:color w:val="auto"/>
                <w:szCs w:val="21"/>
                <w:highlight w:val="none"/>
                <w:lang w:eastAsia="zh-CN"/>
              </w:rPr>
              <w:t>。</w:t>
            </w:r>
          </w:p>
          <w:p w14:paraId="0848E472">
            <w:pPr>
              <w:snapToGrid w:val="0"/>
              <w:spacing w:line="400" w:lineRule="exact"/>
              <w:rPr>
                <w:rFonts w:ascii="Arial" w:hAnsi="Arial" w:cs="宋体"/>
                <w:color w:val="auto"/>
                <w:highlight w:val="none"/>
              </w:rPr>
            </w:pPr>
            <w:r>
              <w:rPr>
                <w:rFonts w:hint="eastAsia" w:ascii="Arial" w:hAnsi="Arial" w:cs="宋体"/>
                <w:color w:val="auto"/>
                <w:highlight w:val="none"/>
              </w:rPr>
              <w:t>（5）提供样品的时间：</w:t>
            </w:r>
            <w:r>
              <w:rPr>
                <w:rFonts w:hint="eastAsia" w:ascii="Arial" w:hAnsi="Arial" w:cs="宋体"/>
                <w:snapToGrid w:val="0"/>
                <w:color w:val="auto"/>
                <w:kern w:val="28"/>
                <w:highlight w:val="none"/>
                <w:u w:val="single"/>
                <w:lang w:val="en-US" w:eastAsia="zh-CN"/>
              </w:rPr>
              <w:t xml:space="preserve"> /</w:t>
            </w:r>
            <w:r>
              <w:rPr>
                <w:rFonts w:hint="eastAsia" w:ascii="Arial" w:hAnsi="Arial" w:cs="宋体"/>
                <w:color w:val="auto"/>
                <w:kern w:val="0"/>
                <w:highlight w:val="none"/>
              </w:rPr>
              <w:t>，地点：</w:t>
            </w:r>
            <w:r>
              <w:rPr>
                <w:rFonts w:hint="eastAsia" w:ascii="Arial" w:hAnsi="Arial" w:cs="宋体"/>
                <w:snapToGrid w:val="0"/>
                <w:color w:val="auto"/>
                <w:kern w:val="28"/>
                <w:highlight w:val="none"/>
                <w:u w:val="single"/>
                <w:lang w:val="en-US" w:eastAsia="zh-CN"/>
              </w:rPr>
              <w:t xml:space="preserve"> / </w:t>
            </w:r>
            <w:r>
              <w:rPr>
                <w:rFonts w:hint="eastAsia" w:ascii="Arial" w:hAnsi="Arial" w:cs="宋体"/>
                <w:color w:val="auto"/>
                <w:kern w:val="0"/>
                <w:highlight w:val="none"/>
                <w:lang w:val="en-US" w:eastAsia="zh-CN"/>
              </w:rPr>
              <w:t>指定地点</w:t>
            </w:r>
            <w:r>
              <w:rPr>
                <w:rFonts w:hint="eastAsia" w:ascii="Arial" w:hAnsi="Arial" w:cs="宋体"/>
                <w:bCs/>
                <w:color w:val="auto"/>
                <w:szCs w:val="21"/>
                <w:highlight w:val="none"/>
              </w:rPr>
              <w:t>，</w:t>
            </w:r>
            <w:r>
              <w:rPr>
                <w:rFonts w:hint="eastAsia" w:ascii="Arial" w:hAnsi="Arial" w:cs="宋体"/>
                <w:color w:val="auto"/>
                <w:kern w:val="0"/>
                <w:highlight w:val="none"/>
              </w:rPr>
              <w:t>联系人</w:t>
            </w:r>
            <w:r>
              <w:rPr>
                <w:rFonts w:hint="eastAsia" w:ascii="Arial" w:hAnsi="Arial" w:cs="宋体"/>
                <w:color w:val="auto"/>
                <w:highlight w:val="none"/>
              </w:rPr>
              <w:t>：</w:t>
            </w:r>
            <w:r>
              <w:rPr>
                <w:rFonts w:hint="eastAsia" w:ascii="Arial" w:hAnsi="Arial" w:cs="宋体"/>
                <w:snapToGrid w:val="0"/>
                <w:color w:val="auto"/>
                <w:kern w:val="28"/>
                <w:highlight w:val="none"/>
                <w:u w:val="single"/>
                <w:lang w:val="en-US" w:eastAsia="zh-CN"/>
              </w:rPr>
              <w:t xml:space="preserve"> /</w:t>
            </w:r>
            <w:r>
              <w:rPr>
                <w:rFonts w:hint="eastAsia" w:ascii="Arial" w:hAnsi="Arial" w:cs="宋体"/>
                <w:color w:val="auto"/>
                <w:highlight w:val="none"/>
              </w:rPr>
              <w:t>，</w:t>
            </w:r>
            <w:r>
              <w:rPr>
                <w:rFonts w:hint="eastAsia" w:ascii="Arial" w:hAnsi="Arial" w:cs="宋体"/>
                <w:color w:val="auto"/>
                <w:kern w:val="28"/>
                <w:highlight w:val="none"/>
              </w:rPr>
              <w:t>联系电</w:t>
            </w:r>
            <w:r>
              <w:rPr>
                <w:rFonts w:hint="eastAsia" w:ascii="Arial" w:hAnsi="Arial" w:cs="宋体"/>
                <w:color w:val="auto"/>
                <w:highlight w:val="none"/>
              </w:rPr>
              <w:t>话：</w:t>
            </w:r>
            <w:r>
              <w:rPr>
                <w:rFonts w:hint="eastAsia" w:ascii="Arial" w:hAnsi="Arial" w:cs="宋体"/>
                <w:snapToGrid w:val="0"/>
                <w:color w:val="auto"/>
                <w:kern w:val="28"/>
                <w:highlight w:val="none"/>
                <w:u w:val="single"/>
                <w:lang w:val="en-US" w:eastAsia="zh-CN"/>
              </w:rPr>
              <w:t xml:space="preserve"> /</w:t>
            </w:r>
            <w:r>
              <w:rPr>
                <w:rFonts w:hint="eastAsia" w:ascii="Arial" w:hAnsi="Arial" w:cs="宋体"/>
                <w:color w:val="auto"/>
                <w:highlight w:val="none"/>
              </w:rPr>
              <w:t>。请供应商在上述时间内提供样品并按规定位置安装完毕。超过截止时间的，采购人或采购代理机构将不予接收。</w:t>
            </w:r>
          </w:p>
          <w:p w14:paraId="51EC6D5D">
            <w:pPr>
              <w:snapToGrid w:val="0"/>
              <w:spacing w:line="400" w:lineRule="exact"/>
              <w:rPr>
                <w:rFonts w:ascii="Arial" w:hAnsi="Arial" w:cs="宋体"/>
                <w:b/>
                <w:bCs/>
                <w:color w:val="auto"/>
                <w:highlight w:val="none"/>
              </w:rPr>
            </w:pPr>
            <w:r>
              <w:rPr>
                <w:rFonts w:hint="eastAsia" w:ascii="Arial" w:hAnsi="Arial" w:cs="宋体"/>
                <w:b/>
                <w:bCs/>
                <w:color w:val="auto"/>
                <w:highlight w:val="none"/>
              </w:rPr>
              <w:t>（6）供应商需要在样品表面上粘贴一张写有“项目名称”、“项目编号”、“样品名称”及“供应商名称”的A4纸标识并加盖公章。未注明样品所属供应商，该样品不予接</w:t>
            </w:r>
            <w:r>
              <w:rPr>
                <w:rFonts w:hint="eastAsia" w:ascii="Arial" w:hAnsi="Arial" w:cs="宋体"/>
                <w:b/>
                <w:bCs/>
                <w:color w:val="auto"/>
                <w:highlight w:val="none"/>
                <w:lang w:val="en-US" w:eastAsia="zh-CN"/>
              </w:rPr>
              <w:t>收</w:t>
            </w:r>
            <w:r>
              <w:rPr>
                <w:rFonts w:hint="eastAsia" w:ascii="Arial" w:hAnsi="Arial" w:cs="宋体"/>
                <w:b/>
                <w:bCs/>
                <w:color w:val="auto"/>
                <w:highlight w:val="none"/>
              </w:rPr>
              <w:t>。</w:t>
            </w:r>
          </w:p>
          <w:p w14:paraId="50811A46">
            <w:pPr>
              <w:snapToGrid w:val="0"/>
              <w:spacing w:line="400" w:lineRule="exact"/>
              <w:rPr>
                <w:rFonts w:ascii="Arial" w:hAnsi="Arial" w:cs="宋体"/>
                <w:color w:val="auto"/>
                <w:highlight w:val="none"/>
              </w:rPr>
            </w:pPr>
            <w:r>
              <w:rPr>
                <w:rFonts w:hint="eastAsia" w:ascii="Arial" w:hAnsi="Arial" w:cs="宋体"/>
                <w:color w:val="auto"/>
                <w:highlight w:val="none"/>
              </w:rPr>
              <w:t>（7）采购活动结束后，除第一中标候选人提供的样品外，采购人或采购代理机构将通知其余供应商在规定的时间内取回，逾期未取回的，采购人、采购代理机构不负保管义务；对于第一中标候选人提供的样品，采购人将进行保管、封存，并作为履约验收的参考。</w:t>
            </w:r>
          </w:p>
          <w:p w14:paraId="41097251">
            <w:pPr>
              <w:snapToGrid w:val="0"/>
              <w:spacing w:line="400" w:lineRule="exact"/>
              <w:rPr>
                <w:rFonts w:ascii="Arial" w:hAnsi="Arial" w:cs="宋体"/>
                <w:b/>
                <w:color w:val="auto"/>
                <w:szCs w:val="21"/>
                <w:highlight w:val="none"/>
              </w:rPr>
            </w:pPr>
            <w:r>
              <w:rPr>
                <w:rFonts w:hint="eastAsia" w:ascii="Arial" w:hAnsi="Arial" w:cs="宋体"/>
                <w:color w:val="auto"/>
                <w:highlight w:val="none"/>
              </w:rPr>
              <w:t>（8）制作、运输、安装和保管样品所发生的一切费用由供应商自理。</w:t>
            </w:r>
          </w:p>
        </w:tc>
      </w:tr>
      <w:tr w14:paraId="338B8B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0E529D0A">
            <w:pPr>
              <w:snapToGrid w:val="0"/>
              <w:spacing w:line="400" w:lineRule="exact"/>
              <w:jc w:val="center"/>
              <w:rPr>
                <w:rFonts w:hint="eastAsia" w:ascii="Arial" w:hAnsi="Arial" w:eastAsia="宋体" w:cs="宋体"/>
                <w:bCs/>
                <w:color w:val="auto"/>
                <w:szCs w:val="21"/>
                <w:highlight w:val="none"/>
                <w:lang w:eastAsia="zh-CN"/>
              </w:rPr>
            </w:pPr>
            <w:r>
              <w:rPr>
                <w:rFonts w:hint="eastAsia" w:ascii="Arial" w:hAnsi="Arial" w:cs="宋体"/>
                <w:bCs/>
                <w:color w:val="auto"/>
                <w:szCs w:val="21"/>
                <w:highlight w:val="none"/>
                <w:lang w:val="en-US" w:eastAsia="zh-CN"/>
              </w:rPr>
              <w:t>8</w:t>
            </w:r>
          </w:p>
        </w:tc>
        <w:tc>
          <w:tcPr>
            <w:tcW w:w="1456" w:type="dxa"/>
            <w:vAlign w:val="center"/>
          </w:tcPr>
          <w:p w14:paraId="4B1D5FEA">
            <w:pPr>
              <w:snapToGrid w:val="0"/>
              <w:spacing w:line="400" w:lineRule="exact"/>
              <w:jc w:val="center"/>
              <w:rPr>
                <w:rFonts w:ascii="Arial" w:hAnsi="Arial" w:cs="宋体"/>
                <w:bCs/>
                <w:color w:val="auto"/>
                <w:szCs w:val="21"/>
                <w:highlight w:val="none"/>
              </w:rPr>
            </w:pPr>
            <w:r>
              <w:rPr>
                <w:rFonts w:hint="eastAsia" w:ascii="Arial" w:hAnsi="Arial" w:cs="宋体"/>
                <w:b/>
                <w:color w:val="auto"/>
                <w:szCs w:val="21"/>
                <w:highlight w:val="none"/>
              </w:rPr>
              <w:t>方案讲演示</w:t>
            </w:r>
          </w:p>
        </w:tc>
        <w:tc>
          <w:tcPr>
            <w:tcW w:w="6740" w:type="dxa"/>
            <w:vAlign w:val="center"/>
          </w:tcPr>
          <w:p w14:paraId="74C034AF">
            <w:pPr>
              <w:snapToGrid w:val="0"/>
              <w:spacing w:line="400" w:lineRule="exact"/>
              <w:rPr>
                <w:rFonts w:ascii="Arial" w:hAnsi="Arial" w:cs="宋体"/>
                <w:color w:val="auto"/>
                <w:szCs w:val="21"/>
                <w:highlight w:val="none"/>
              </w:rPr>
            </w:pPr>
            <w:r>
              <w:rPr>
                <w:rFonts w:hint="eastAsia" w:ascii="Arial" w:hAnsi="Arial" w:cs="宋体"/>
                <w:color w:val="auto"/>
                <w:kern w:val="0"/>
                <w:szCs w:val="21"/>
                <w:highlight w:val="none"/>
              </w:rPr>
              <w:t>■</w:t>
            </w:r>
            <w:r>
              <w:rPr>
                <w:rFonts w:hint="eastAsia" w:ascii="Arial" w:hAnsi="Arial" w:cs="宋体"/>
                <w:color w:val="auto"/>
                <w:szCs w:val="21"/>
                <w:highlight w:val="none"/>
              </w:rPr>
              <w:t>不组织。</w:t>
            </w:r>
          </w:p>
          <w:p w14:paraId="1441FDE0">
            <w:pPr>
              <w:snapToGrid w:val="0"/>
              <w:spacing w:line="400" w:lineRule="exact"/>
              <w:rPr>
                <w:rFonts w:ascii="Arial" w:hAnsi="Arial" w:cs="宋体"/>
                <w:b/>
                <w:color w:val="auto"/>
                <w:kern w:val="0"/>
                <w:szCs w:val="21"/>
                <w:highlight w:val="none"/>
                <w:lang w:val="zh-CN"/>
              </w:rPr>
            </w:pPr>
            <w:r>
              <w:rPr>
                <w:rFonts w:hint="eastAsia" w:ascii="Arial" w:hAnsi="Arial" w:cs="宋体"/>
                <w:color w:val="auto"/>
                <w:kern w:val="0"/>
                <w:szCs w:val="21"/>
                <w:highlight w:val="none"/>
              </w:rPr>
              <w:t>□组织。</w:t>
            </w:r>
          </w:p>
        </w:tc>
      </w:tr>
      <w:tr w14:paraId="09E21B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Merge w:val="restart"/>
            <w:vAlign w:val="center"/>
          </w:tcPr>
          <w:p w14:paraId="1A00D0E6">
            <w:pPr>
              <w:snapToGrid w:val="0"/>
              <w:spacing w:line="400" w:lineRule="exact"/>
              <w:jc w:val="center"/>
              <w:rPr>
                <w:rFonts w:hint="eastAsia" w:ascii="Arial" w:hAnsi="Arial" w:eastAsia="宋体" w:cs="宋体"/>
                <w:bCs/>
                <w:color w:val="auto"/>
                <w:szCs w:val="21"/>
                <w:highlight w:val="none"/>
                <w:lang w:eastAsia="zh-CN"/>
              </w:rPr>
            </w:pPr>
            <w:r>
              <w:rPr>
                <w:rFonts w:hint="eastAsia" w:ascii="Arial" w:hAnsi="Arial" w:cs="宋体"/>
                <w:bCs/>
                <w:color w:val="auto"/>
                <w:szCs w:val="21"/>
                <w:highlight w:val="none"/>
                <w:lang w:val="en-US" w:eastAsia="zh-CN"/>
              </w:rPr>
              <w:t>9</w:t>
            </w:r>
          </w:p>
        </w:tc>
        <w:tc>
          <w:tcPr>
            <w:tcW w:w="1456" w:type="dxa"/>
            <w:vMerge w:val="restart"/>
            <w:vAlign w:val="center"/>
          </w:tcPr>
          <w:p w14:paraId="146E111D">
            <w:pPr>
              <w:snapToGrid w:val="0"/>
              <w:spacing w:line="400" w:lineRule="exact"/>
              <w:rPr>
                <w:rFonts w:ascii="Arial" w:hAnsi="Arial" w:cs="宋体"/>
                <w:b/>
                <w:color w:val="auto"/>
                <w:sz w:val="28"/>
                <w:szCs w:val="28"/>
                <w:highlight w:val="none"/>
                <w:lang w:val="zh-CN"/>
              </w:rPr>
            </w:pPr>
            <w:r>
              <w:rPr>
                <w:rFonts w:hint="eastAsia" w:ascii="Arial" w:hAnsi="Arial" w:cs="宋体"/>
                <w:b/>
                <w:color w:val="auto"/>
                <w:szCs w:val="21"/>
                <w:highlight w:val="none"/>
                <w:lang w:val="zh-CN"/>
              </w:rPr>
              <w:t>供应商应当提供的资格</w:t>
            </w:r>
            <w:r>
              <w:rPr>
                <w:rFonts w:hint="eastAsia" w:ascii="Arial" w:hAnsi="Arial" w:cs="宋体"/>
                <w:b/>
                <w:color w:val="auto"/>
                <w:szCs w:val="21"/>
                <w:highlight w:val="none"/>
              </w:rPr>
              <w:t>证明文件、商务技术文件、报价文件</w:t>
            </w:r>
          </w:p>
        </w:tc>
        <w:tc>
          <w:tcPr>
            <w:tcW w:w="6740" w:type="dxa"/>
            <w:vAlign w:val="center"/>
          </w:tcPr>
          <w:p w14:paraId="6DE9AD65">
            <w:pPr>
              <w:snapToGrid w:val="0"/>
              <w:spacing w:line="400" w:lineRule="exact"/>
              <w:rPr>
                <w:rFonts w:ascii="Arial" w:hAnsi="Arial" w:cs="宋体"/>
                <w:snapToGrid w:val="0"/>
                <w:color w:val="auto"/>
                <w:kern w:val="0"/>
                <w:szCs w:val="21"/>
                <w:highlight w:val="none"/>
              </w:rPr>
            </w:pPr>
            <w:r>
              <w:rPr>
                <w:rFonts w:hint="eastAsia" w:ascii="Arial" w:hAnsi="Arial" w:cs="宋体"/>
                <w:b/>
                <w:bCs/>
                <w:color w:val="auto"/>
                <w:szCs w:val="21"/>
                <w:highlight w:val="none"/>
              </w:rPr>
              <w:t>（1）资格证明文件：</w:t>
            </w:r>
            <w:r>
              <w:rPr>
                <w:rFonts w:hint="eastAsia" w:ascii="Arial" w:hAnsi="Arial" w:cs="宋体"/>
                <w:color w:val="auto"/>
                <w:szCs w:val="21"/>
                <w:highlight w:val="none"/>
              </w:rPr>
              <w:t>详见采购文件第二</w:t>
            </w:r>
            <w:r>
              <w:rPr>
                <w:rFonts w:hint="eastAsia" w:ascii="Arial" w:hAnsi="Arial" w:cs="宋体"/>
                <w:color w:val="auto"/>
                <w:szCs w:val="21"/>
                <w:highlight w:val="none"/>
                <w:lang w:val="en-US" w:eastAsia="zh-CN"/>
              </w:rPr>
              <w:t>章</w:t>
            </w:r>
            <w:r>
              <w:rPr>
                <w:rFonts w:hint="eastAsia" w:ascii="Arial" w:hAnsi="Arial" w:cs="宋体"/>
                <w:color w:val="auto"/>
                <w:szCs w:val="21"/>
                <w:highlight w:val="none"/>
              </w:rPr>
              <w:t>供应商须知第11.1款。</w:t>
            </w:r>
            <w:r>
              <w:rPr>
                <w:rFonts w:hint="eastAsia" w:ascii="Arial" w:hAnsi="Arial" w:cs="宋体"/>
                <w:b/>
                <w:bCs/>
                <w:color w:val="auto"/>
                <w:kern w:val="0"/>
                <w:szCs w:val="21"/>
                <w:highlight w:val="none"/>
                <w:lang w:val="zh-CN"/>
              </w:rPr>
              <w:t>供应商未提供有效的资格证明文件的，视为供应商不具备采购文件中规定的资格要求，投标无效。</w:t>
            </w:r>
          </w:p>
        </w:tc>
      </w:tr>
      <w:tr w14:paraId="3ACB76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14:paraId="6A954EFE">
            <w:pPr>
              <w:autoSpaceDE w:val="0"/>
              <w:autoSpaceDN w:val="0"/>
              <w:snapToGrid w:val="0"/>
              <w:spacing w:line="400" w:lineRule="exact"/>
              <w:ind w:firstLine="420"/>
              <w:jc w:val="center"/>
              <w:rPr>
                <w:rFonts w:ascii="Arial" w:hAnsi="Arial" w:cs="宋体"/>
                <w:bCs/>
                <w:color w:val="auto"/>
                <w:sz w:val="28"/>
                <w:szCs w:val="28"/>
                <w:highlight w:val="none"/>
                <w:lang w:val="zh-CN"/>
              </w:rPr>
            </w:pPr>
          </w:p>
        </w:tc>
        <w:tc>
          <w:tcPr>
            <w:tcW w:w="1456" w:type="dxa"/>
            <w:vMerge w:val="continue"/>
            <w:vAlign w:val="center"/>
          </w:tcPr>
          <w:p w14:paraId="578368F8">
            <w:pPr>
              <w:snapToGrid w:val="0"/>
              <w:spacing w:line="400" w:lineRule="exact"/>
              <w:jc w:val="center"/>
              <w:rPr>
                <w:rFonts w:ascii="Arial" w:hAnsi="Arial" w:cs="宋体"/>
                <w:b/>
                <w:color w:val="auto"/>
                <w:sz w:val="28"/>
                <w:szCs w:val="28"/>
                <w:highlight w:val="none"/>
                <w:lang w:val="zh-CN"/>
              </w:rPr>
            </w:pPr>
          </w:p>
        </w:tc>
        <w:tc>
          <w:tcPr>
            <w:tcW w:w="6740" w:type="dxa"/>
            <w:vAlign w:val="center"/>
          </w:tcPr>
          <w:p w14:paraId="121062D2">
            <w:pPr>
              <w:snapToGrid w:val="0"/>
              <w:spacing w:line="400" w:lineRule="exact"/>
              <w:rPr>
                <w:rFonts w:ascii="Arial" w:hAnsi="Arial" w:cs="宋体"/>
                <w:color w:val="auto"/>
                <w:szCs w:val="21"/>
                <w:highlight w:val="none"/>
              </w:rPr>
            </w:pPr>
            <w:r>
              <w:rPr>
                <w:rFonts w:hint="eastAsia" w:ascii="Arial" w:hAnsi="Arial" w:cs="宋体"/>
                <w:b/>
                <w:bCs/>
                <w:color w:val="auto"/>
                <w:szCs w:val="21"/>
                <w:highlight w:val="none"/>
              </w:rPr>
              <w:t>（2）商务技术文件：</w:t>
            </w:r>
            <w:r>
              <w:rPr>
                <w:rFonts w:hint="eastAsia" w:ascii="Arial" w:hAnsi="Arial" w:cs="宋体"/>
                <w:color w:val="auto"/>
                <w:szCs w:val="21"/>
                <w:highlight w:val="none"/>
              </w:rPr>
              <w:t>根据采购文件第二</w:t>
            </w:r>
            <w:r>
              <w:rPr>
                <w:rFonts w:hint="eastAsia" w:ascii="Arial" w:hAnsi="Arial" w:cs="宋体"/>
                <w:color w:val="auto"/>
                <w:szCs w:val="21"/>
                <w:highlight w:val="none"/>
                <w:lang w:val="en-US" w:eastAsia="zh-CN"/>
              </w:rPr>
              <w:t>章</w:t>
            </w:r>
            <w:r>
              <w:rPr>
                <w:rFonts w:hint="eastAsia" w:ascii="Arial" w:hAnsi="Arial" w:cs="宋体"/>
                <w:color w:val="auto"/>
                <w:szCs w:val="21"/>
                <w:highlight w:val="none"/>
              </w:rPr>
              <w:t>供应商须知第11.2款和采购文件第四</w:t>
            </w:r>
            <w:r>
              <w:rPr>
                <w:rFonts w:hint="eastAsia" w:ascii="Arial" w:hAnsi="Arial" w:cs="宋体"/>
                <w:color w:val="auto"/>
                <w:szCs w:val="21"/>
                <w:highlight w:val="none"/>
                <w:lang w:val="en-US" w:eastAsia="zh-CN"/>
              </w:rPr>
              <w:t>章</w:t>
            </w:r>
            <w:r>
              <w:rPr>
                <w:rFonts w:hint="eastAsia" w:ascii="Arial" w:hAnsi="Arial" w:cs="宋体"/>
                <w:color w:val="auto"/>
                <w:szCs w:val="21"/>
                <w:highlight w:val="none"/>
              </w:rPr>
              <w:t>评标办法提供。</w:t>
            </w:r>
          </w:p>
        </w:tc>
      </w:tr>
      <w:tr w14:paraId="349B6F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14:paraId="4E394DDA">
            <w:pPr>
              <w:autoSpaceDE w:val="0"/>
              <w:autoSpaceDN w:val="0"/>
              <w:snapToGrid w:val="0"/>
              <w:spacing w:line="400" w:lineRule="exact"/>
              <w:ind w:firstLine="420"/>
              <w:jc w:val="center"/>
              <w:rPr>
                <w:rFonts w:ascii="Arial" w:hAnsi="Arial" w:cs="宋体"/>
                <w:bCs/>
                <w:color w:val="auto"/>
                <w:sz w:val="28"/>
                <w:szCs w:val="28"/>
                <w:highlight w:val="none"/>
                <w:lang w:val="zh-CN"/>
              </w:rPr>
            </w:pPr>
          </w:p>
        </w:tc>
        <w:tc>
          <w:tcPr>
            <w:tcW w:w="1456" w:type="dxa"/>
            <w:vMerge w:val="continue"/>
            <w:vAlign w:val="center"/>
          </w:tcPr>
          <w:p w14:paraId="0ECBB5CD">
            <w:pPr>
              <w:snapToGrid w:val="0"/>
              <w:spacing w:line="400" w:lineRule="exact"/>
              <w:jc w:val="center"/>
              <w:rPr>
                <w:rFonts w:ascii="Arial" w:hAnsi="Arial" w:cs="宋体"/>
                <w:b/>
                <w:color w:val="auto"/>
                <w:sz w:val="28"/>
                <w:szCs w:val="28"/>
                <w:highlight w:val="none"/>
                <w:lang w:val="zh-CN"/>
              </w:rPr>
            </w:pPr>
          </w:p>
        </w:tc>
        <w:tc>
          <w:tcPr>
            <w:tcW w:w="6740" w:type="dxa"/>
            <w:vAlign w:val="center"/>
          </w:tcPr>
          <w:p w14:paraId="70E4412C">
            <w:pPr>
              <w:snapToGrid w:val="0"/>
              <w:spacing w:line="400" w:lineRule="exact"/>
              <w:rPr>
                <w:rFonts w:ascii="Arial" w:hAnsi="Arial" w:cs="宋体"/>
                <w:color w:val="auto"/>
                <w:szCs w:val="21"/>
                <w:highlight w:val="none"/>
              </w:rPr>
            </w:pPr>
            <w:r>
              <w:rPr>
                <w:rFonts w:hint="eastAsia" w:ascii="Arial" w:hAnsi="Arial" w:cs="宋体"/>
                <w:b/>
                <w:bCs/>
                <w:color w:val="auto"/>
                <w:szCs w:val="21"/>
                <w:highlight w:val="none"/>
              </w:rPr>
              <w:t>（3）报价文件：</w:t>
            </w:r>
            <w:r>
              <w:rPr>
                <w:rFonts w:hint="eastAsia" w:ascii="Arial" w:hAnsi="Arial" w:cs="宋体"/>
                <w:color w:val="auto"/>
                <w:szCs w:val="21"/>
                <w:highlight w:val="none"/>
              </w:rPr>
              <w:t>根据采购文件第二</w:t>
            </w:r>
            <w:r>
              <w:rPr>
                <w:rFonts w:hint="eastAsia" w:ascii="Arial" w:hAnsi="Arial" w:cs="宋体"/>
                <w:color w:val="auto"/>
                <w:szCs w:val="21"/>
                <w:highlight w:val="none"/>
                <w:lang w:val="en-US" w:eastAsia="zh-CN"/>
              </w:rPr>
              <w:t>章</w:t>
            </w:r>
            <w:r>
              <w:rPr>
                <w:rFonts w:hint="eastAsia" w:ascii="Arial" w:hAnsi="Arial" w:cs="宋体"/>
                <w:color w:val="auto"/>
                <w:szCs w:val="21"/>
                <w:highlight w:val="none"/>
              </w:rPr>
              <w:t>供应商须知第11.3款提供。</w:t>
            </w:r>
          </w:p>
        </w:tc>
      </w:tr>
      <w:tr w14:paraId="0F8D30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750" w:type="dxa"/>
            <w:vAlign w:val="center"/>
          </w:tcPr>
          <w:p w14:paraId="3CE860D6">
            <w:pPr>
              <w:snapToGrid w:val="0"/>
              <w:spacing w:line="400" w:lineRule="exact"/>
              <w:jc w:val="center"/>
              <w:rPr>
                <w:rFonts w:hint="default" w:ascii="Arial" w:hAnsi="Arial" w:eastAsia="宋体" w:cs="宋体"/>
                <w:bCs/>
                <w:color w:val="auto"/>
                <w:szCs w:val="21"/>
                <w:highlight w:val="none"/>
                <w:lang w:val="en-US" w:eastAsia="zh-CN"/>
              </w:rPr>
            </w:pPr>
            <w:r>
              <w:rPr>
                <w:rFonts w:hint="eastAsia" w:ascii="Arial" w:hAnsi="Arial" w:cs="宋体"/>
                <w:bCs/>
                <w:color w:val="auto"/>
                <w:szCs w:val="21"/>
                <w:highlight w:val="none"/>
                <w:lang w:val="en-US" w:eastAsia="zh-CN"/>
              </w:rPr>
              <w:t>10</w:t>
            </w:r>
          </w:p>
        </w:tc>
        <w:tc>
          <w:tcPr>
            <w:tcW w:w="1456" w:type="dxa"/>
            <w:vAlign w:val="center"/>
          </w:tcPr>
          <w:p w14:paraId="47879160">
            <w:pPr>
              <w:snapToGrid w:val="0"/>
              <w:spacing w:line="400" w:lineRule="exact"/>
              <w:jc w:val="center"/>
              <w:rPr>
                <w:rFonts w:ascii="Arial" w:hAnsi="Arial" w:cs="宋体"/>
                <w:b/>
                <w:color w:val="auto"/>
                <w:szCs w:val="21"/>
                <w:highlight w:val="none"/>
              </w:rPr>
            </w:pPr>
            <w:r>
              <w:rPr>
                <w:rFonts w:hint="eastAsia" w:ascii="Arial" w:hAnsi="Arial" w:cs="宋体"/>
                <w:b/>
                <w:color w:val="auto"/>
                <w:szCs w:val="21"/>
                <w:highlight w:val="none"/>
              </w:rPr>
              <w:t>节能产品、环境标志产品</w:t>
            </w:r>
          </w:p>
        </w:tc>
        <w:tc>
          <w:tcPr>
            <w:tcW w:w="6740" w:type="dxa"/>
            <w:vAlign w:val="center"/>
          </w:tcPr>
          <w:p w14:paraId="21D8CA34">
            <w:pPr>
              <w:keepLines/>
              <w:widowControl/>
              <w:overflowPunct w:val="0"/>
              <w:adjustRightInd w:val="0"/>
              <w:snapToGrid w:val="0"/>
              <w:rPr>
                <w:rFonts w:ascii="Arial" w:hAnsi="Arial" w:cs="宋体"/>
                <w:color w:val="auto"/>
                <w:szCs w:val="21"/>
                <w:highlight w:val="none"/>
              </w:rPr>
            </w:pPr>
            <w:r>
              <w:rPr>
                <w:rFonts w:hint="eastAsia" w:ascii="Arial" w:hAnsi="Arial" w:cs="宋体"/>
                <w:color w:val="auto"/>
                <w:kern w:val="0"/>
                <w:szCs w:val="21"/>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4FFF44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750" w:type="dxa"/>
            <w:vAlign w:val="center"/>
          </w:tcPr>
          <w:p w14:paraId="52F2B965">
            <w:pPr>
              <w:snapToGrid w:val="0"/>
              <w:spacing w:line="400" w:lineRule="exact"/>
              <w:jc w:val="center"/>
              <w:rPr>
                <w:rFonts w:hint="default" w:ascii="Arial" w:hAnsi="Arial" w:eastAsia="宋体" w:cs="宋体"/>
                <w:bCs/>
                <w:color w:val="auto"/>
                <w:szCs w:val="21"/>
                <w:highlight w:val="none"/>
                <w:lang w:val="en-US" w:eastAsia="zh-CN"/>
              </w:rPr>
            </w:pPr>
            <w:r>
              <w:rPr>
                <w:rFonts w:hint="eastAsia" w:ascii="Arial" w:hAnsi="Arial" w:cs="宋体"/>
                <w:bCs/>
                <w:color w:val="auto"/>
                <w:szCs w:val="21"/>
                <w:highlight w:val="none"/>
                <w:lang w:val="en-US" w:eastAsia="zh-CN"/>
              </w:rPr>
              <w:t>11</w:t>
            </w:r>
          </w:p>
        </w:tc>
        <w:tc>
          <w:tcPr>
            <w:tcW w:w="1456" w:type="dxa"/>
            <w:vAlign w:val="center"/>
          </w:tcPr>
          <w:p w14:paraId="46B92036">
            <w:pPr>
              <w:snapToGrid w:val="0"/>
              <w:spacing w:line="400" w:lineRule="exact"/>
              <w:jc w:val="center"/>
              <w:rPr>
                <w:rFonts w:ascii="Arial" w:hAnsi="Arial" w:cs="宋体"/>
                <w:b/>
                <w:color w:val="auto"/>
                <w:szCs w:val="21"/>
                <w:highlight w:val="none"/>
              </w:rPr>
            </w:pPr>
            <w:r>
              <w:rPr>
                <w:rFonts w:hint="eastAsia" w:ascii="Arial" w:hAnsi="Arial" w:cs="宋体"/>
                <w:b/>
                <w:color w:val="auto"/>
                <w:szCs w:val="21"/>
                <w:highlight w:val="none"/>
              </w:rPr>
              <w:t>报价要求</w:t>
            </w:r>
          </w:p>
        </w:tc>
        <w:tc>
          <w:tcPr>
            <w:tcW w:w="6740" w:type="dxa"/>
            <w:vAlign w:val="center"/>
          </w:tcPr>
          <w:p w14:paraId="531FE831">
            <w:pPr>
              <w:snapToGrid w:val="0"/>
              <w:spacing w:line="400" w:lineRule="exact"/>
              <w:rPr>
                <w:rFonts w:ascii="Arial" w:hAnsi="Arial" w:cs="宋体"/>
                <w:b/>
                <w:bCs/>
                <w:color w:val="auto"/>
                <w:szCs w:val="21"/>
                <w:highlight w:val="none"/>
              </w:rPr>
            </w:pPr>
            <w:r>
              <w:rPr>
                <w:rFonts w:hint="eastAsia" w:ascii="Arial" w:hAnsi="Arial" w:cs="宋体"/>
                <w:b/>
                <w:color w:val="auto"/>
                <w:szCs w:val="21"/>
                <w:highlight w:val="none"/>
              </w:rPr>
              <w:t>★</w:t>
            </w:r>
            <w:r>
              <w:rPr>
                <w:rFonts w:hint="eastAsia" w:ascii="Arial" w:hAnsi="Arial" w:cs="宋体"/>
                <w:b/>
                <w:bCs/>
                <w:color w:val="auto"/>
                <w:kern w:val="0"/>
                <w:szCs w:val="21"/>
                <w:highlight w:val="none"/>
              </w:rPr>
              <w:t>投标报价为交钥匙价，</w:t>
            </w:r>
            <w:r>
              <w:rPr>
                <w:rFonts w:hint="eastAsia" w:ascii="Arial" w:hAnsi="Arial"/>
                <w:bCs/>
                <w:color w:val="auto"/>
                <w:szCs w:val="21"/>
                <w:highlight w:val="none"/>
              </w:rPr>
              <w:t>包括但不限于产品及零件费用、货物运至项目现场的运输费、装卸费、安装调试、产品保护、现场清理、保险费、培训费、验收、技术资料、售后服务、利润、税金、中标服务费等</w:t>
            </w:r>
            <w:r>
              <w:rPr>
                <w:rFonts w:hint="eastAsia" w:ascii="Arial" w:hAnsi="Arial" w:cs="Arial"/>
                <w:bCs/>
                <w:color w:val="auto"/>
                <w:szCs w:val="21"/>
                <w:highlight w:val="none"/>
                <w:shd w:val="clear" w:color="auto" w:fill="FFFFFF"/>
              </w:rPr>
              <w:t>达到采购人所有要求</w:t>
            </w:r>
            <w:r>
              <w:rPr>
                <w:rFonts w:hint="eastAsia" w:ascii="Arial" w:hAnsi="Arial"/>
                <w:color w:val="auto"/>
                <w:highlight w:val="none"/>
              </w:rPr>
              <w:t>所需的一切费用</w:t>
            </w:r>
            <w:r>
              <w:rPr>
                <w:rFonts w:hint="eastAsia" w:ascii="Arial" w:hAnsi="Arial" w:cs="宋体"/>
                <w:color w:val="auto"/>
                <w:kern w:val="0"/>
                <w:szCs w:val="21"/>
                <w:highlight w:val="none"/>
                <w:lang w:val="zh-CN"/>
              </w:rPr>
              <w:t>。</w:t>
            </w:r>
            <w:r>
              <w:rPr>
                <w:rFonts w:hint="eastAsia" w:ascii="Arial" w:hAnsi="Arial" w:cs="宋体"/>
                <w:b/>
                <w:bCs/>
                <w:color w:val="auto"/>
                <w:kern w:val="0"/>
                <w:szCs w:val="21"/>
                <w:highlight w:val="none"/>
                <w:lang w:val="zh-CN"/>
              </w:rPr>
              <w:t>投标文件</w:t>
            </w:r>
            <w:r>
              <w:rPr>
                <w:rFonts w:hint="eastAsia" w:ascii="Arial" w:hAnsi="Arial" w:cs="宋体"/>
                <w:b/>
                <w:bCs/>
                <w:color w:val="auto"/>
                <w:szCs w:val="21"/>
                <w:highlight w:val="none"/>
              </w:rPr>
              <w:t>开标一览表（报价表）是报价的唯一载体，如供应商在政府采购云平台填写的投标报价与投标文件报价文件中开标一览表（报价表）不一致的，以报价文件中开标一览表（报价表）为准。</w:t>
            </w:r>
          </w:p>
          <w:p w14:paraId="7F6B1A95">
            <w:pPr>
              <w:snapToGrid w:val="0"/>
              <w:spacing w:line="400" w:lineRule="exact"/>
              <w:rPr>
                <w:rFonts w:ascii="Arial" w:hAnsi="Arial" w:cs="宋体"/>
                <w:color w:val="auto"/>
                <w:kern w:val="0"/>
                <w:szCs w:val="21"/>
                <w:highlight w:val="none"/>
                <w:lang w:val="zh-CN"/>
              </w:rPr>
            </w:pPr>
            <w:r>
              <w:rPr>
                <w:rFonts w:hint="eastAsia" w:ascii="Arial" w:hAnsi="Arial" w:cs="宋体"/>
                <w:color w:val="auto"/>
                <w:kern w:val="0"/>
                <w:szCs w:val="21"/>
                <w:highlight w:val="none"/>
                <w:lang w:val="zh-CN"/>
              </w:rPr>
              <w:t>投标文件中价格全部采用人民币报价。采购文件未列明，而供应商认为必需的费用也需列入报价。</w:t>
            </w:r>
          </w:p>
          <w:p w14:paraId="3FE08695">
            <w:pPr>
              <w:snapToGrid w:val="0"/>
              <w:spacing w:line="400" w:lineRule="exact"/>
              <w:rPr>
                <w:rFonts w:ascii="Arial" w:hAnsi="Arial" w:cs="宋体"/>
                <w:b/>
                <w:color w:val="auto"/>
                <w:kern w:val="0"/>
                <w:szCs w:val="21"/>
                <w:highlight w:val="none"/>
              </w:rPr>
            </w:pPr>
            <w:r>
              <w:rPr>
                <w:rFonts w:hint="eastAsia" w:ascii="Arial" w:hAnsi="Arial"/>
                <w:color w:val="auto"/>
                <w:szCs w:val="21"/>
                <w:highlight w:val="none"/>
              </w:rPr>
              <w:t>不论投标结果如何，供应商均应自行承担所有与投标有关的全部费用（采购文件有相反规定除外）。</w:t>
            </w:r>
          </w:p>
        </w:tc>
      </w:tr>
      <w:tr w14:paraId="1048F8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22FB4EA9">
            <w:pPr>
              <w:snapToGrid w:val="0"/>
              <w:spacing w:line="400" w:lineRule="exact"/>
              <w:jc w:val="center"/>
              <w:rPr>
                <w:rFonts w:hint="eastAsia" w:ascii="Arial" w:hAnsi="Arial" w:eastAsia="宋体" w:cs="宋体"/>
                <w:bCs/>
                <w:color w:val="auto"/>
                <w:szCs w:val="21"/>
                <w:highlight w:val="none"/>
                <w:lang w:eastAsia="zh-CN"/>
              </w:rPr>
            </w:pPr>
            <w:r>
              <w:rPr>
                <w:rFonts w:hint="eastAsia" w:ascii="Arial" w:hAnsi="Arial" w:cs="宋体"/>
                <w:bCs/>
                <w:color w:val="auto"/>
                <w:szCs w:val="21"/>
                <w:highlight w:val="none"/>
              </w:rPr>
              <w:t>1</w:t>
            </w:r>
            <w:r>
              <w:rPr>
                <w:rFonts w:hint="eastAsia" w:ascii="Arial" w:hAnsi="Arial" w:cs="宋体"/>
                <w:bCs/>
                <w:color w:val="auto"/>
                <w:szCs w:val="21"/>
                <w:highlight w:val="none"/>
                <w:lang w:val="en-US" w:eastAsia="zh-CN"/>
              </w:rPr>
              <w:t>2</w:t>
            </w:r>
          </w:p>
        </w:tc>
        <w:tc>
          <w:tcPr>
            <w:tcW w:w="1456" w:type="dxa"/>
            <w:vAlign w:val="center"/>
          </w:tcPr>
          <w:p w14:paraId="16D791C7">
            <w:pPr>
              <w:snapToGrid w:val="0"/>
              <w:spacing w:line="400" w:lineRule="exact"/>
              <w:jc w:val="center"/>
              <w:rPr>
                <w:rFonts w:ascii="Arial" w:hAnsi="Arial" w:cs="宋体"/>
                <w:b/>
                <w:color w:val="auto"/>
                <w:szCs w:val="21"/>
                <w:highlight w:val="none"/>
              </w:rPr>
            </w:pPr>
            <w:r>
              <w:rPr>
                <w:rFonts w:hint="eastAsia" w:ascii="Arial" w:hAnsi="Arial" w:cs="宋体"/>
                <w:b/>
                <w:color w:val="auto"/>
                <w:szCs w:val="21"/>
                <w:highlight w:val="none"/>
              </w:rPr>
              <w:t>中小企业信用融资</w:t>
            </w:r>
          </w:p>
        </w:tc>
        <w:tc>
          <w:tcPr>
            <w:tcW w:w="6740" w:type="dxa"/>
            <w:vAlign w:val="center"/>
          </w:tcPr>
          <w:p w14:paraId="2BA11F18">
            <w:pPr>
              <w:snapToGrid w:val="0"/>
              <w:spacing w:line="400" w:lineRule="exact"/>
              <w:rPr>
                <w:rFonts w:ascii="Arial" w:hAnsi="Arial" w:cs="宋体"/>
                <w:color w:val="auto"/>
                <w:szCs w:val="21"/>
                <w:highlight w:val="none"/>
              </w:rPr>
            </w:pPr>
            <w:r>
              <w:rPr>
                <w:rFonts w:hint="eastAsia" w:ascii="Arial" w:hAnsi="Arial" w:cs="宋体"/>
                <w:snapToGrid w:val="0"/>
                <w:color w:val="auto"/>
                <w:kern w:val="28"/>
                <w:szCs w:val="21"/>
                <w:highlight w:val="none"/>
              </w:rPr>
              <w:t>供应商中标后也可在“政采云”平台申请政采贷：操作路径：登录政采云平台-金融服务中心-【融资服务】，可在热门申请中选择产品直接申请，也可点击云智贷匹配适合产品进行申请，或者在可申请项目中根据该项目进行申请。</w:t>
            </w:r>
          </w:p>
        </w:tc>
      </w:tr>
      <w:tr w14:paraId="4BECDC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0C2DC66E">
            <w:pPr>
              <w:snapToGrid w:val="0"/>
              <w:spacing w:line="400" w:lineRule="exact"/>
              <w:jc w:val="center"/>
              <w:rPr>
                <w:rFonts w:hint="eastAsia" w:ascii="Arial" w:hAnsi="Arial" w:eastAsia="宋体" w:cs="宋体"/>
                <w:bCs/>
                <w:color w:val="auto"/>
                <w:szCs w:val="21"/>
                <w:highlight w:val="none"/>
                <w:lang w:eastAsia="zh-CN"/>
              </w:rPr>
            </w:pPr>
            <w:r>
              <w:rPr>
                <w:rFonts w:hint="eastAsia" w:ascii="Arial" w:hAnsi="Arial" w:cs="宋体"/>
                <w:bCs/>
                <w:color w:val="auto"/>
                <w:szCs w:val="21"/>
                <w:highlight w:val="none"/>
              </w:rPr>
              <w:t>1</w:t>
            </w:r>
            <w:r>
              <w:rPr>
                <w:rFonts w:hint="eastAsia" w:ascii="Arial" w:hAnsi="Arial" w:cs="宋体"/>
                <w:bCs/>
                <w:color w:val="auto"/>
                <w:szCs w:val="21"/>
                <w:highlight w:val="none"/>
                <w:lang w:val="en-US" w:eastAsia="zh-CN"/>
              </w:rPr>
              <w:t>3</w:t>
            </w:r>
          </w:p>
        </w:tc>
        <w:tc>
          <w:tcPr>
            <w:tcW w:w="1456" w:type="dxa"/>
            <w:vAlign w:val="center"/>
          </w:tcPr>
          <w:p w14:paraId="15461A7E">
            <w:pPr>
              <w:snapToGrid w:val="0"/>
              <w:spacing w:line="400" w:lineRule="exact"/>
              <w:jc w:val="center"/>
              <w:rPr>
                <w:rFonts w:hint="eastAsia" w:ascii="Arial" w:hAnsi="Arial" w:cs="宋体"/>
                <w:b/>
                <w:color w:val="auto"/>
                <w:szCs w:val="21"/>
                <w:highlight w:val="none"/>
              </w:rPr>
            </w:pPr>
            <w:r>
              <w:rPr>
                <w:rFonts w:hint="eastAsia" w:ascii="Arial" w:hAnsi="Arial" w:cs="宋体"/>
                <w:b/>
                <w:color w:val="auto"/>
                <w:szCs w:val="21"/>
                <w:highlight w:val="none"/>
              </w:rPr>
              <w:t>电子备份投标文件</w:t>
            </w:r>
          </w:p>
          <w:p w14:paraId="2DB42E69">
            <w:pPr>
              <w:snapToGrid w:val="0"/>
              <w:spacing w:line="400" w:lineRule="exact"/>
              <w:jc w:val="center"/>
              <w:rPr>
                <w:rFonts w:ascii="Arial" w:hAnsi="Arial" w:cs="宋体"/>
                <w:b/>
                <w:color w:val="auto"/>
                <w:szCs w:val="21"/>
                <w:highlight w:val="none"/>
              </w:rPr>
            </w:pPr>
            <w:r>
              <w:rPr>
                <w:rFonts w:hint="eastAsia" w:ascii="Arial" w:hAnsi="Arial" w:cs="宋体"/>
                <w:b/>
                <w:color w:val="auto"/>
                <w:szCs w:val="21"/>
                <w:highlight w:val="none"/>
                <w:lang w:val="en-US" w:eastAsia="zh-CN"/>
              </w:rPr>
              <w:t>递交方式</w:t>
            </w:r>
          </w:p>
        </w:tc>
        <w:tc>
          <w:tcPr>
            <w:tcW w:w="6740" w:type="dxa"/>
            <w:vAlign w:val="center"/>
          </w:tcPr>
          <w:p w14:paraId="7E2227D3">
            <w:pPr>
              <w:keepNext w:val="0"/>
              <w:keepLines w:val="0"/>
              <w:pageBreakBefore w:val="0"/>
              <w:widowControl w:val="0"/>
              <w:kinsoku/>
              <w:wordWrap/>
              <w:overflowPunct/>
              <w:topLinePunct w:val="0"/>
              <w:autoSpaceDE/>
              <w:autoSpaceDN/>
              <w:bidi w:val="0"/>
              <w:adjustRightInd/>
              <w:snapToGrid w:val="0"/>
              <w:spacing w:line="0" w:lineRule="atLeas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bidi="ar"/>
              </w:rPr>
              <w:t>电子备份投标文件</w:t>
            </w:r>
            <w:r>
              <w:rPr>
                <w:rFonts w:hint="eastAsia" w:ascii="宋体" w:hAnsi="宋体" w:cs="宋体"/>
                <w:b/>
                <w:bCs/>
                <w:color w:val="auto"/>
                <w:kern w:val="0"/>
                <w:szCs w:val="21"/>
                <w:highlight w:val="none"/>
                <w:lang w:val="en-US" w:eastAsia="zh-CN" w:bidi="ar"/>
              </w:rPr>
              <w:t>（不强制要求）</w:t>
            </w:r>
            <w:r>
              <w:rPr>
                <w:rFonts w:hint="eastAsia" w:ascii="宋体" w:hAnsi="宋体" w:cs="宋体"/>
                <w:color w:val="auto"/>
                <w:kern w:val="0"/>
                <w:szCs w:val="21"/>
                <w:highlight w:val="none"/>
                <w:lang w:val="en-US" w:eastAsia="zh-CN" w:bidi="ar"/>
              </w:rPr>
              <w:t>：</w:t>
            </w:r>
            <w:r>
              <w:rPr>
                <w:rFonts w:hint="eastAsia" w:ascii="宋体" w:hAnsi="宋体" w:cs="仿宋"/>
                <w:bCs/>
                <w:color w:val="auto"/>
                <w:kern w:val="0"/>
                <w:szCs w:val="21"/>
                <w:highlight w:val="none"/>
              </w:rPr>
              <w:t>供应商于</w:t>
            </w:r>
            <w:r>
              <w:rPr>
                <w:rFonts w:hint="eastAsia" w:ascii="宋体" w:hAnsi="宋体" w:cs="宋体"/>
                <w:color w:val="auto"/>
                <w:kern w:val="0"/>
                <w:szCs w:val="21"/>
                <w:highlight w:val="none"/>
              </w:rPr>
              <w:t>提交投标文件截止时间前，将以U盘或光盘存储的电子备份投标文件（1份，含资格文件、商务和技术文件、报价文件）密封，采用现场递交或邮寄送达方式递交。</w:t>
            </w:r>
          </w:p>
          <w:p w14:paraId="63128C67">
            <w:pPr>
              <w:keepNext w:val="0"/>
              <w:keepLines w:val="0"/>
              <w:pageBreakBefore w:val="0"/>
              <w:widowControl w:val="0"/>
              <w:kinsoku/>
              <w:wordWrap/>
              <w:overflowPunct/>
              <w:topLinePunct w:val="0"/>
              <w:autoSpaceDE/>
              <w:autoSpaceDN/>
              <w:bidi w:val="0"/>
              <w:adjustRightInd/>
              <w:snapToGrid w:val="0"/>
              <w:spacing w:line="0" w:lineRule="atLeas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方式一：现场递交方式，供应商可安排授权代表在投标截止时间前将电子备份投标文件送至</w:t>
            </w:r>
            <w:r>
              <w:rPr>
                <w:rFonts w:ascii="宋体" w:hAnsi="宋体" w:cs="Arial"/>
                <w:bCs/>
                <w:color w:val="auto"/>
                <w:szCs w:val="21"/>
                <w:highlight w:val="none"/>
              </w:rPr>
              <w:fldChar w:fldCharType="begin"/>
            </w:r>
            <w:r>
              <w:rPr>
                <w:rFonts w:ascii="宋体" w:hAnsi="宋体" w:cs="Arial"/>
                <w:bCs/>
                <w:color w:val="auto"/>
                <w:szCs w:val="21"/>
                <w:highlight w:val="none"/>
              </w:rPr>
              <w:instrText xml:space="preserve"> HYPERLINK "http://www.xsbm.gov.cn/zbtb/" \t "_blank" </w:instrText>
            </w:r>
            <w:r>
              <w:rPr>
                <w:rFonts w:ascii="宋体" w:hAnsi="宋体" w:cs="Arial"/>
                <w:bCs/>
                <w:color w:val="auto"/>
                <w:szCs w:val="21"/>
                <w:highlight w:val="none"/>
              </w:rPr>
              <w:fldChar w:fldCharType="separate"/>
            </w:r>
            <w:r>
              <w:rPr>
                <w:rFonts w:hint="eastAsia" w:ascii="宋体" w:hAnsi="宋体" w:cs="Arial"/>
                <w:bCs/>
                <w:color w:val="auto"/>
                <w:szCs w:val="21"/>
                <w:highlight w:val="none"/>
                <w:lang w:val="en-US" w:eastAsia="zh-CN"/>
              </w:rPr>
              <w:t>北仑区</w:t>
            </w:r>
            <w:r>
              <w:rPr>
                <w:rFonts w:ascii="宋体" w:hAnsi="宋体" w:cs="Arial"/>
                <w:bCs/>
                <w:color w:val="auto"/>
                <w:szCs w:val="21"/>
                <w:highlight w:val="none"/>
              </w:rPr>
              <w:t>公共资源交易中心</w:t>
            </w:r>
            <w:r>
              <w:rPr>
                <w:rFonts w:ascii="宋体" w:hAnsi="宋体" w:cs="Arial"/>
                <w:bCs/>
                <w:color w:val="auto"/>
                <w:szCs w:val="21"/>
                <w:highlight w:val="none"/>
              </w:rPr>
              <w:fldChar w:fldCharType="end"/>
            </w:r>
            <w:r>
              <w:rPr>
                <w:rFonts w:hint="eastAsia" w:ascii="宋体" w:hAnsi="宋体" w:cs="Arial"/>
                <w:bCs/>
                <w:color w:val="auto"/>
                <w:szCs w:val="21"/>
                <w:highlight w:val="none"/>
              </w:rPr>
              <w:t>评标区</w:t>
            </w:r>
            <w:r>
              <w:rPr>
                <w:rFonts w:hint="eastAsia" w:ascii="宋体" w:hAnsi="宋体" w:cs="Arial"/>
                <w:bCs/>
                <w:color w:val="auto"/>
                <w:szCs w:val="21"/>
                <w:highlight w:val="none"/>
                <w:lang w:eastAsia="zh-CN"/>
              </w:rPr>
              <w:t>（</w:t>
            </w:r>
            <w:r>
              <w:rPr>
                <w:rFonts w:hint="eastAsia"/>
                <w:b w:val="0"/>
                <w:bCs w:val="0"/>
                <w:color w:val="auto"/>
                <w:szCs w:val="21"/>
                <w:highlight w:val="none"/>
              </w:rPr>
              <w:t>宁波市北仑区长江路1166号</w:t>
            </w:r>
            <w:r>
              <w:rPr>
                <w:rFonts w:hint="eastAsia" w:ascii="宋体" w:hAnsi="宋体" w:cs="Arial"/>
                <w:bCs/>
                <w:color w:val="auto"/>
                <w:szCs w:val="21"/>
                <w:highlight w:val="none"/>
              </w:rPr>
              <w:t>）</w:t>
            </w:r>
            <w:r>
              <w:rPr>
                <w:rFonts w:hint="eastAsia" w:ascii="宋体" w:hAnsi="宋体" w:cs="宋体"/>
                <w:color w:val="auto"/>
                <w:kern w:val="0"/>
                <w:szCs w:val="21"/>
                <w:highlight w:val="none"/>
              </w:rPr>
              <w:t>。</w:t>
            </w:r>
          </w:p>
          <w:p w14:paraId="738FCB47">
            <w:pPr>
              <w:keepNext w:val="0"/>
              <w:keepLines w:val="0"/>
              <w:pageBreakBefore w:val="0"/>
              <w:widowControl w:val="0"/>
              <w:kinsoku/>
              <w:wordWrap/>
              <w:overflowPunct/>
              <w:topLinePunct w:val="0"/>
              <w:autoSpaceDE/>
              <w:autoSpaceDN/>
              <w:bidi w:val="0"/>
              <w:adjustRightInd/>
              <w:snapToGrid w:val="0"/>
              <w:spacing w:line="0" w:lineRule="atLeast"/>
              <w:jc w:val="left"/>
              <w:textAlignment w:val="auto"/>
              <w:rPr>
                <w:rFonts w:ascii="Arial" w:hAnsi="Arial" w:cs="宋体"/>
                <w:snapToGrid w:val="0"/>
                <w:color w:val="auto"/>
                <w:kern w:val="28"/>
                <w:szCs w:val="21"/>
                <w:highlight w:val="none"/>
              </w:rPr>
            </w:pPr>
            <w:r>
              <w:rPr>
                <w:rFonts w:hint="eastAsia" w:ascii="宋体" w:hAnsi="宋体" w:cs="宋体"/>
                <w:color w:val="auto"/>
                <w:kern w:val="0"/>
                <w:szCs w:val="21"/>
                <w:highlight w:val="none"/>
              </w:rPr>
              <w:t>方式二：邮寄送达地址：</w:t>
            </w:r>
            <w:r>
              <w:rPr>
                <w:rFonts w:hint="eastAsia" w:ascii="宋体" w:hAnsi="宋体" w:cs="宋体"/>
                <w:color w:val="auto"/>
                <w:szCs w:val="21"/>
                <w:highlight w:val="none"/>
              </w:rPr>
              <w:t>宁波慧泽工程管理咨询有限公司</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宁波市鄞州区民安路45号银亿东岸国际B座7-4</w:t>
            </w:r>
            <w:r>
              <w:rPr>
                <w:rFonts w:hint="eastAsia" w:ascii="宋体" w:hAnsi="宋体" w:cs="宋体"/>
                <w:color w:val="auto"/>
                <w:kern w:val="0"/>
                <w:szCs w:val="21"/>
                <w:highlight w:val="none"/>
              </w:rPr>
              <w:t>），联系方式：</w:t>
            </w:r>
            <w:r>
              <w:rPr>
                <w:rFonts w:hint="eastAsia" w:ascii="宋体" w:hAnsi="宋体" w:cs="宋体"/>
                <w:color w:val="auto"/>
                <w:kern w:val="0"/>
                <w:szCs w:val="21"/>
                <w:highlight w:val="none"/>
                <w:lang w:val="en-US" w:eastAsia="zh-CN"/>
              </w:rPr>
              <w:t>刘工</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en-US" w:eastAsia="zh-CN"/>
              </w:rPr>
              <w:t>13362851624</w:t>
            </w:r>
            <w:r>
              <w:rPr>
                <w:rFonts w:hint="eastAsia" w:ascii="宋体" w:hAnsi="宋体" w:cs="宋体"/>
                <w:color w:val="auto"/>
                <w:kern w:val="0"/>
                <w:szCs w:val="21"/>
                <w:highlight w:val="none"/>
              </w:rPr>
              <w:t>。供应商邮寄后须将邮件单号发送至代理机构电子邮箱（电子邮箱：</w:t>
            </w:r>
            <w:r>
              <w:rPr>
                <w:rFonts w:hint="eastAsia" w:ascii="宋体" w:hAnsi="宋体" w:cs="宋体"/>
                <w:color w:val="auto"/>
                <w:kern w:val="0"/>
                <w:szCs w:val="21"/>
                <w:highlight w:val="none"/>
                <w:lang w:val="en-US" w:eastAsia="zh-CN"/>
              </w:rPr>
              <w:t>hzzhaobiao@nbhuize.cn</w:t>
            </w:r>
            <w:r>
              <w:rPr>
                <w:rFonts w:hint="eastAsia" w:ascii="宋体" w:hAnsi="宋体" w:cs="宋体"/>
                <w:color w:val="auto"/>
                <w:kern w:val="0"/>
                <w:szCs w:val="21"/>
                <w:highlight w:val="none"/>
              </w:rPr>
              <w:t>），并致电采购代理机构，以便采购代理机构查询物流记录。各供应商应当确保电子备份投标文件的密封包装在邮寄过程保持完好，并在邮寄包裹上注明项目名称、采购编号，因邮寄造成电子备份投标文件密封破损而不符合招标文件对投标文件的密封要求、或邮寄过程中导致电子备份投标文件未在投标截止时间前送达的，代理机构将拒绝其电子备份投标文件。各供应商自行考虑邮寄在途时间，电子备份投标文件送达时间以代理机构工作人员实际签收时间为准。</w:t>
            </w:r>
          </w:p>
        </w:tc>
      </w:tr>
      <w:tr w14:paraId="55DB2C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0" w:type="dxa"/>
            <w:vMerge w:val="restart"/>
            <w:vAlign w:val="center"/>
          </w:tcPr>
          <w:p w14:paraId="1882376F">
            <w:pPr>
              <w:snapToGrid w:val="0"/>
              <w:spacing w:line="400" w:lineRule="exact"/>
              <w:jc w:val="center"/>
              <w:rPr>
                <w:rFonts w:hint="eastAsia" w:ascii="Arial" w:hAnsi="Arial" w:eastAsia="宋体" w:cs="宋体"/>
                <w:bCs/>
                <w:color w:val="auto"/>
                <w:szCs w:val="21"/>
                <w:highlight w:val="none"/>
                <w:lang w:eastAsia="zh-CN"/>
              </w:rPr>
            </w:pPr>
            <w:r>
              <w:rPr>
                <w:rFonts w:hint="eastAsia" w:ascii="Arial" w:hAnsi="Arial" w:cs="宋体"/>
                <w:bCs/>
                <w:color w:val="auto"/>
                <w:szCs w:val="21"/>
                <w:highlight w:val="none"/>
              </w:rPr>
              <w:t>1</w:t>
            </w:r>
            <w:r>
              <w:rPr>
                <w:rFonts w:hint="eastAsia" w:ascii="Arial" w:hAnsi="Arial" w:cs="宋体"/>
                <w:bCs/>
                <w:color w:val="auto"/>
                <w:szCs w:val="21"/>
                <w:highlight w:val="none"/>
                <w:lang w:val="en-US" w:eastAsia="zh-CN"/>
              </w:rPr>
              <w:t>4</w:t>
            </w:r>
          </w:p>
        </w:tc>
        <w:tc>
          <w:tcPr>
            <w:tcW w:w="1456" w:type="dxa"/>
            <w:vMerge w:val="restart"/>
            <w:vAlign w:val="center"/>
          </w:tcPr>
          <w:p w14:paraId="007D8670">
            <w:pPr>
              <w:snapToGrid w:val="0"/>
              <w:spacing w:line="400" w:lineRule="exact"/>
              <w:jc w:val="center"/>
              <w:rPr>
                <w:rFonts w:ascii="Arial" w:hAnsi="Arial" w:cs="宋体"/>
                <w:b/>
                <w:color w:val="auto"/>
                <w:szCs w:val="21"/>
                <w:highlight w:val="none"/>
              </w:rPr>
            </w:pPr>
            <w:r>
              <w:rPr>
                <w:rFonts w:hint="eastAsia" w:ascii="Arial" w:hAnsi="Arial" w:cs="仿宋_GB2312"/>
                <w:b/>
                <w:color w:val="auto"/>
                <w:szCs w:val="21"/>
                <w:highlight w:val="none"/>
              </w:rPr>
              <w:t>特别说明</w:t>
            </w:r>
          </w:p>
        </w:tc>
        <w:tc>
          <w:tcPr>
            <w:tcW w:w="6740" w:type="dxa"/>
            <w:vAlign w:val="center"/>
          </w:tcPr>
          <w:p w14:paraId="6E058DE5">
            <w:pPr>
              <w:snapToGrid w:val="0"/>
              <w:spacing w:line="400" w:lineRule="exact"/>
              <w:rPr>
                <w:rFonts w:ascii="Arial" w:hAnsi="Arial" w:cs="宋体"/>
                <w:snapToGrid w:val="0"/>
                <w:color w:val="auto"/>
                <w:kern w:val="28"/>
                <w:szCs w:val="21"/>
                <w:highlight w:val="none"/>
              </w:rPr>
            </w:pPr>
            <w:r>
              <w:rPr>
                <w:rFonts w:hint="eastAsia" w:ascii="Arial" w:hAnsi="Arial" w:cs="宋体"/>
                <w:color w:val="auto"/>
                <w:kern w:val="0"/>
                <w:szCs w:val="21"/>
                <w:highlight w:val="none"/>
              </w:rPr>
              <w:t>□</w:t>
            </w:r>
            <w:r>
              <w:rPr>
                <w:rFonts w:hint="eastAsia" w:ascii="Arial" w:hAnsi="Arial" w:cs="宋体"/>
                <w:snapToGrid w:val="0"/>
                <w:color w:val="auto"/>
                <w:kern w:val="28"/>
                <w:szCs w:val="21"/>
                <w:highlight w:val="none"/>
              </w:rPr>
              <w:t>联合体投标的，联合体各方分别提供与联合体协议中规定的分工内容相应的业绩证明材料，业绩数量以提供材料较少的一方为准。</w:t>
            </w:r>
          </w:p>
        </w:tc>
      </w:tr>
      <w:tr w14:paraId="48B456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14:paraId="1751DA14">
            <w:pPr>
              <w:snapToGrid w:val="0"/>
              <w:spacing w:line="400" w:lineRule="exact"/>
              <w:jc w:val="center"/>
              <w:rPr>
                <w:rFonts w:ascii="Arial" w:hAnsi="Arial" w:cs="宋体"/>
                <w:bCs/>
                <w:color w:val="auto"/>
                <w:szCs w:val="21"/>
                <w:highlight w:val="none"/>
              </w:rPr>
            </w:pPr>
          </w:p>
        </w:tc>
        <w:tc>
          <w:tcPr>
            <w:tcW w:w="1456" w:type="dxa"/>
            <w:vMerge w:val="continue"/>
            <w:vAlign w:val="center"/>
          </w:tcPr>
          <w:p w14:paraId="562247CF">
            <w:pPr>
              <w:autoSpaceDE w:val="0"/>
              <w:autoSpaceDN w:val="0"/>
              <w:snapToGrid w:val="0"/>
              <w:spacing w:line="400" w:lineRule="exact"/>
              <w:ind w:firstLine="420"/>
              <w:jc w:val="center"/>
              <w:rPr>
                <w:rFonts w:ascii="Arial" w:hAnsi="Arial" w:cs="宋体"/>
                <w:b/>
                <w:color w:val="auto"/>
                <w:sz w:val="28"/>
                <w:szCs w:val="28"/>
                <w:highlight w:val="none"/>
                <w:lang w:val="zh-CN"/>
              </w:rPr>
            </w:pPr>
          </w:p>
        </w:tc>
        <w:tc>
          <w:tcPr>
            <w:tcW w:w="6740" w:type="dxa"/>
            <w:vAlign w:val="center"/>
          </w:tcPr>
          <w:p w14:paraId="356EB62D">
            <w:pPr>
              <w:snapToGrid w:val="0"/>
              <w:spacing w:line="400" w:lineRule="exact"/>
              <w:rPr>
                <w:rFonts w:ascii="Arial" w:hAnsi="Arial" w:cs="宋体"/>
                <w:snapToGrid w:val="0"/>
                <w:color w:val="auto"/>
                <w:kern w:val="28"/>
                <w:szCs w:val="21"/>
                <w:highlight w:val="none"/>
              </w:rPr>
            </w:pPr>
            <w:r>
              <w:rPr>
                <w:rFonts w:hint="eastAsia" w:ascii="Arial" w:hAnsi="Arial" w:cs="宋体"/>
                <w:color w:val="auto"/>
                <w:kern w:val="0"/>
                <w:szCs w:val="21"/>
                <w:highlight w:val="none"/>
              </w:rPr>
              <w:t>□</w:t>
            </w:r>
            <w:r>
              <w:rPr>
                <w:rFonts w:hint="eastAsia" w:ascii="Arial" w:hAnsi="Arial" w:cs="宋体"/>
                <w:snapToGrid w:val="0"/>
                <w:color w:val="auto"/>
                <w:kern w:val="28"/>
                <w:szCs w:val="21"/>
                <w:highlight w:val="none"/>
              </w:rPr>
              <w:t>联合体投标的，联合体各方均需按采购文件第四</w:t>
            </w:r>
            <w:r>
              <w:rPr>
                <w:rFonts w:hint="eastAsia" w:ascii="Arial" w:hAnsi="Arial" w:cs="宋体"/>
                <w:snapToGrid w:val="0"/>
                <w:color w:val="auto"/>
                <w:kern w:val="28"/>
                <w:szCs w:val="21"/>
                <w:highlight w:val="none"/>
                <w:lang w:val="en-US" w:eastAsia="zh-CN"/>
              </w:rPr>
              <w:t>章</w:t>
            </w:r>
            <w:r>
              <w:rPr>
                <w:rFonts w:hint="eastAsia" w:ascii="Arial" w:hAnsi="Arial" w:cs="宋体"/>
                <w:snapToGrid w:val="0"/>
                <w:color w:val="auto"/>
                <w:kern w:val="28"/>
                <w:szCs w:val="21"/>
                <w:highlight w:val="none"/>
              </w:rPr>
              <w:t>评标办法要求提供资信证明文件，否则视为不符合相关要求。</w:t>
            </w:r>
          </w:p>
          <w:p w14:paraId="0E188B59">
            <w:pPr>
              <w:snapToGrid w:val="0"/>
              <w:spacing w:line="400" w:lineRule="exact"/>
              <w:rPr>
                <w:rFonts w:ascii="Arial" w:hAnsi="Arial" w:cs="宋体"/>
                <w:snapToGrid w:val="0"/>
                <w:color w:val="auto"/>
                <w:kern w:val="28"/>
                <w:szCs w:val="21"/>
                <w:highlight w:val="none"/>
              </w:rPr>
            </w:pPr>
            <w:r>
              <w:rPr>
                <w:rFonts w:hint="eastAsia" w:ascii="Arial" w:hAnsi="Arial" w:cs="宋体"/>
                <w:color w:val="auto"/>
                <w:kern w:val="0"/>
                <w:szCs w:val="21"/>
                <w:highlight w:val="none"/>
                <w:lang w:eastAsia="zh-CN"/>
              </w:rPr>
              <w:t>□</w:t>
            </w:r>
            <w:r>
              <w:rPr>
                <w:rFonts w:hint="eastAsia" w:ascii="Arial" w:hAnsi="Arial" w:cs="宋体"/>
                <w:snapToGrid w:val="0"/>
                <w:color w:val="auto"/>
                <w:kern w:val="28"/>
                <w:szCs w:val="21"/>
                <w:highlight w:val="none"/>
              </w:rPr>
              <w:t>联合体投标的，联合体中有一方或者联合体成员根据分工按采购文件第四</w:t>
            </w:r>
            <w:r>
              <w:rPr>
                <w:rFonts w:hint="eastAsia" w:ascii="Arial" w:hAnsi="Arial" w:cs="宋体"/>
                <w:snapToGrid w:val="0"/>
                <w:color w:val="auto"/>
                <w:kern w:val="28"/>
                <w:szCs w:val="21"/>
                <w:highlight w:val="none"/>
                <w:lang w:val="en-US" w:eastAsia="zh-CN"/>
              </w:rPr>
              <w:t>章</w:t>
            </w:r>
            <w:r>
              <w:rPr>
                <w:rFonts w:hint="eastAsia" w:ascii="Arial" w:hAnsi="Arial" w:cs="宋体"/>
                <w:snapToGrid w:val="0"/>
                <w:color w:val="auto"/>
                <w:kern w:val="28"/>
                <w:szCs w:val="21"/>
                <w:highlight w:val="none"/>
              </w:rPr>
              <w:t>评标办法要求提供资信证明文件的，视为符合了相关要求。</w:t>
            </w:r>
          </w:p>
        </w:tc>
      </w:tr>
      <w:tr w14:paraId="35148F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39324B9C">
            <w:pPr>
              <w:snapToGrid w:val="0"/>
              <w:spacing w:line="400" w:lineRule="exact"/>
              <w:jc w:val="center"/>
              <w:rPr>
                <w:rFonts w:hint="default" w:ascii="Arial" w:hAnsi="Arial" w:eastAsia="宋体" w:cs="宋体"/>
                <w:bCs/>
                <w:color w:val="auto"/>
                <w:szCs w:val="21"/>
                <w:highlight w:val="none"/>
                <w:lang w:val="en-US" w:eastAsia="zh-CN"/>
              </w:rPr>
            </w:pPr>
            <w:r>
              <w:rPr>
                <w:rFonts w:hint="eastAsia" w:ascii="Arial" w:hAnsi="Arial" w:cs="宋体"/>
                <w:bCs/>
                <w:color w:val="auto"/>
                <w:szCs w:val="21"/>
                <w:highlight w:val="none"/>
                <w:lang w:val="en-US" w:eastAsia="zh-CN"/>
              </w:rPr>
              <w:t>15</w:t>
            </w:r>
          </w:p>
        </w:tc>
        <w:tc>
          <w:tcPr>
            <w:tcW w:w="1456" w:type="dxa"/>
            <w:vAlign w:val="center"/>
          </w:tcPr>
          <w:p w14:paraId="675BAF11">
            <w:pPr>
              <w:snapToGrid w:val="0"/>
              <w:spacing w:line="400" w:lineRule="exact"/>
              <w:jc w:val="center"/>
              <w:rPr>
                <w:rFonts w:ascii="Arial" w:hAnsi="Arial" w:cs="仿宋_GB2312"/>
                <w:b/>
                <w:color w:val="auto"/>
                <w:szCs w:val="21"/>
                <w:highlight w:val="none"/>
              </w:rPr>
            </w:pPr>
            <w:r>
              <w:rPr>
                <w:rFonts w:hint="eastAsia" w:ascii="Arial" w:hAnsi="Arial" w:cs="仿宋_GB2312"/>
                <w:b/>
                <w:color w:val="auto"/>
                <w:szCs w:val="21"/>
                <w:highlight w:val="none"/>
              </w:rPr>
              <w:t>中标服务费的</w:t>
            </w:r>
          </w:p>
          <w:p w14:paraId="60B9117A">
            <w:pPr>
              <w:snapToGrid w:val="0"/>
              <w:spacing w:line="400" w:lineRule="exact"/>
              <w:jc w:val="center"/>
              <w:rPr>
                <w:rFonts w:ascii="Arial" w:hAnsi="Arial" w:cs="仿宋_GB2312"/>
                <w:b/>
                <w:color w:val="auto"/>
                <w:szCs w:val="21"/>
                <w:highlight w:val="none"/>
              </w:rPr>
            </w:pPr>
            <w:r>
              <w:rPr>
                <w:rFonts w:hint="eastAsia" w:ascii="Arial" w:hAnsi="Arial" w:cs="仿宋_GB2312"/>
                <w:b/>
                <w:color w:val="auto"/>
                <w:szCs w:val="21"/>
                <w:highlight w:val="none"/>
              </w:rPr>
              <w:t>收取标准</w:t>
            </w:r>
          </w:p>
        </w:tc>
        <w:tc>
          <w:tcPr>
            <w:tcW w:w="6740" w:type="dxa"/>
            <w:vAlign w:val="center"/>
          </w:tcPr>
          <w:p w14:paraId="13B46E1E">
            <w:pPr>
              <w:spacing w:line="400" w:lineRule="exact"/>
              <w:rPr>
                <w:color w:val="auto"/>
                <w:highlight w:val="none"/>
              </w:rPr>
            </w:pPr>
            <w:r>
              <w:rPr>
                <w:color w:val="auto"/>
                <w:szCs w:val="21"/>
                <w:highlight w:val="none"/>
              </w:rPr>
              <w:t>中标服务费的收取：本招标公司参照下表的服务招标费率的规定（差额累进制），</w:t>
            </w:r>
            <w:r>
              <w:rPr>
                <w:rFonts w:hint="eastAsia"/>
                <w:bCs/>
                <w:color w:val="auto"/>
                <w:highlight w:val="none"/>
              </w:rPr>
              <w:t>按照中介超市中选金额6750元向成交人收取</w:t>
            </w:r>
            <w:r>
              <w:rPr>
                <w:color w:val="auto"/>
                <w:szCs w:val="21"/>
                <w:highlight w:val="none"/>
              </w:rPr>
              <w:t>。</w:t>
            </w:r>
          </w:p>
          <w:tbl>
            <w:tblPr>
              <w:tblStyle w:val="44"/>
              <w:tblW w:w="5219"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2233"/>
            </w:tblGrid>
            <w:tr w14:paraId="2927F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986" w:type="dxa"/>
                  <w:tcBorders>
                    <w:tl2br w:val="single" w:color="auto" w:sz="4" w:space="0"/>
                  </w:tcBorders>
                </w:tcPr>
                <w:p w14:paraId="63AA65F2">
                  <w:pPr>
                    <w:spacing w:line="380" w:lineRule="exact"/>
                    <w:rPr>
                      <w:b/>
                      <w:color w:val="auto"/>
                      <w:highlight w:val="none"/>
                    </w:rPr>
                  </w:pPr>
                  <w:r>
                    <w:rPr>
                      <w:b/>
                      <w:color w:val="auto"/>
                      <w:sz w:val="20"/>
                      <w:highlight w:val="none"/>
                    </w:rPr>
                    <mc:AlternateContent>
                      <mc:Choice Requires="wps">
                        <w:drawing>
                          <wp:anchor distT="0" distB="0" distL="0" distR="0" simplePos="0" relativeHeight="251666432"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1027" name="Line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round/>
                                    </a:ln>
                                  </wps:spPr>
                                  <wps:bodyPr/>
                                </wps:wsp>
                              </a:graphicData>
                            </a:graphic>
                          </wp:anchor>
                        </w:drawing>
                      </mc:Choice>
                      <mc:Fallback>
                        <w:pict>
                          <v:line id="Line 2" o:spid="_x0000_s1026" o:spt="20" style="position:absolute;left:0pt;margin-left:-9pt;margin-top:-0.5pt;height:0pt;width:0.05pt;z-index:251666432;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l606GbUBAACCAwAADgAAAGRycy9lMm9Eb2MueG1srVNNb9sw&#10;DL0P2H8QdF/semi3GXF6aNBdii3Ath+g6MMWoC+QSpz8+1Fymm7dpYf5YFMU+cj3SK/vT96xowa0&#10;MQz8ZtVypoOMyoZx4L9+Pn74zBlmEZRwMeiBnzXy+837d+s59bqLU3RKAyOQgP2cBj7lnPqmQTlp&#10;L3AVkw50aSJ4kekIY6NAzITuXdO17V0zR1AJotSI5N0ul/yCCG8BjMZYqbdRHrwOeUEF7UQmSjjZ&#10;hHxTuzVGy/zdGNSZuYET01zfVITsfXk3m7XoRxBpsvLSgnhLC684eWEDFb1CbUUW7AD2HyhvJUSM&#10;Jq9k9M1CpCpCLG7aV9r8mETSlQtJjekqOv4/WPntuANmFW1C233iLAhPM3+yQbOuiDMn7CnmIezg&#10;csK0g8L0ZMCXL3Fgpyro+SqoPmUmyXn38ZYz+exvXpISYP6qo2fFGLijelU+cXzCTIUo9Dmk1HCB&#10;zQP/ctsVOEFLZ2jYZPpEjWMYay5GZ9Wjda5kIIz7BwfsKMrg61PoEO5fYaXIVuC0xNWrZSUgHoJa&#10;ElygvKLDwrxY+6jOVZDqp9FU5Msaldn/ea7ZL7/O5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r&#10;kdN+1QAAAAkBAAAPAAAAAAAAAAEAIAAAACIAAABkcnMvZG93bnJldi54bWxQSwECFAAUAAAACACH&#10;TuJAl606GbUBAACCAwAADgAAAAAAAAABACAAAAAkAQAAZHJzL2Uyb0RvYy54bWxQSwUGAAAAAAYA&#10;BgBZAQAASwUAAAAA&#10;">
                            <v:fill on="f" focussize="0,0"/>
                            <v:stroke color="#000000" joinstyle="round"/>
                            <v:imagedata o:title=""/>
                            <o:lock v:ext="edit" aspectratio="f"/>
                          </v:line>
                        </w:pict>
                      </mc:Fallback>
                    </mc:AlternateContent>
                  </w:r>
                  <w:r>
                    <w:rPr>
                      <w:b/>
                      <w:color w:val="auto"/>
                      <w:highlight w:val="none"/>
                    </w:rPr>
                    <w:t xml:space="preserve">                      费率　　　　　　</w:t>
                  </w:r>
                </w:p>
                <w:p w14:paraId="7BC19265">
                  <w:pPr>
                    <w:spacing w:line="380" w:lineRule="exact"/>
                    <w:rPr>
                      <w:b/>
                      <w:color w:val="auto"/>
                      <w:highlight w:val="none"/>
                    </w:rPr>
                  </w:pPr>
                  <w:r>
                    <w:rPr>
                      <w:b/>
                      <w:color w:val="auto"/>
                      <w:highlight w:val="none"/>
                    </w:rPr>
                    <w:t>中标金额（万元）</w:t>
                  </w:r>
                </w:p>
              </w:tc>
              <w:tc>
                <w:tcPr>
                  <w:tcW w:w="2233" w:type="dxa"/>
                  <w:vAlign w:val="center"/>
                </w:tcPr>
                <w:p w14:paraId="20B49528">
                  <w:pPr>
                    <w:spacing w:line="380" w:lineRule="exact"/>
                    <w:jc w:val="center"/>
                    <w:rPr>
                      <w:b/>
                      <w:color w:val="auto"/>
                      <w:highlight w:val="none"/>
                    </w:rPr>
                  </w:pPr>
                  <w:r>
                    <w:rPr>
                      <w:b/>
                      <w:color w:val="auto"/>
                      <w:highlight w:val="none"/>
                    </w:rPr>
                    <w:t>货物招标</w:t>
                  </w:r>
                </w:p>
              </w:tc>
            </w:tr>
            <w:tr w14:paraId="5B0E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986" w:type="dxa"/>
                  <w:vAlign w:val="center"/>
                </w:tcPr>
                <w:p w14:paraId="0EA7E534">
                  <w:pPr>
                    <w:spacing w:line="380" w:lineRule="exact"/>
                    <w:jc w:val="center"/>
                    <w:rPr>
                      <w:color w:val="auto"/>
                      <w:highlight w:val="none"/>
                    </w:rPr>
                  </w:pPr>
                  <w:r>
                    <w:rPr>
                      <w:color w:val="auto"/>
                      <w:highlight w:val="none"/>
                    </w:rPr>
                    <w:t>100以下</w:t>
                  </w:r>
                </w:p>
              </w:tc>
              <w:tc>
                <w:tcPr>
                  <w:tcW w:w="2233" w:type="dxa"/>
                  <w:vAlign w:val="center"/>
                </w:tcPr>
                <w:p w14:paraId="08F43C54">
                  <w:pPr>
                    <w:spacing w:line="380" w:lineRule="exact"/>
                    <w:jc w:val="center"/>
                    <w:rPr>
                      <w:color w:val="auto"/>
                      <w:highlight w:val="none"/>
                    </w:rPr>
                  </w:pPr>
                  <w:r>
                    <w:rPr>
                      <w:color w:val="auto"/>
                      <w:highlight w:val="none"/>
                    </w:rPr>
                    <w:t>1.5%</w:t>
                  </w:r>
                </w:p>
              </w:tc>
            </w:tr>
            <w:tr w14:paraId="2F1C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2986" w:type="dxa"/>
                  <w:vAlign w:val="center"/>
                </w:tcPr>
                <w:p w14:paraId="35AEFBA5">
                  <w:pPr>
                    <w:spacing w:line="380" w:lineRule="exact"/>
                    <w:jc w:val="center"/>
                    <w:rPr>
                      <w:color w:val="auto"/>
                      <w:highlight w:val="none"/>
                    </w:rPr>
                  </w:pPr>
                  <w:r>
                    <w:rPr>
                      <w:color w:val="auto"/>
                      <w:highlight w:val="none"/>
                    </w:rPr>
                    <w:t>100-500</w:t>
                  </w:r>
                </w:p>
              </w:tc>
              <w:tc>
                <w:tcPr>
                  <w:tcW w:w="2233" w:type="dxa"/>
                  <w:vAlign w:val="center"/>
                </w:tcPr>
                <w:p w14:paraId="4F95B3CF">
                  <w:pPr>
                    <w:spacing w:line="380" w:lineRule="exact"/>
                    <w:jc w:val="center"/>
                    <w:rPr>
                      <w:color w:val="auto"/>
                      <w:highlight w:val="none"/>
                    </w:rPr>
                  </w:pPr>
                  <w:r>
                    <w:rPr>
                      <w:color w:val="auto"/>
                      <w:highlight w:val="none"/>
                    </w:rPr>
                    <w:t>1.1%</w:t>
                  </w:r>
                </w:p>
              </w:tc>
            </w:tr>
            <w:tr w14:paraId="30785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trPr>
              <w:tc>
                <w:tcPr>
                  <w:tcW w:w="2986" w:type="dxa"/>
                  <w:vAlign w:val="center"/>
                </w:tcPr>
                <w:p w14:paraId="4334D818">
                  <w:pPr>
                    <w:spacing w:line="380" w:lineRule="exact"/>
                    <w:jc w:val="center"/>
                    <w:rPr>
                      <w:color w:val="auto"/>
                      <w:highlight w:val="none"/>
                    </w:rPr>
                  </w:pPr>
                  <w:r>
                    <w:rPr>
                      <w:color w:val="auto"/>
                      <w:highlight w:val="none"/>
                    </w:rPr>
                    <w:t>500-1000</w:t>
                  </w:r>
                </w:p>
              </w:tc>
              <w:tc>
                <w:tcPr>
                  <w:tcW w:w="2233" w:type="dxa"/>
                  <w:vAlign w:val="center"/>
                </w:tcPr>
                <w:p w14:paraId="4850869A">
                  <w:pPr>
                    <w:spacing w:line="380" w:lineRule="exact"/>
                    <w:jc w:val="center"/>
                    <w:rPr>
                      <w:color w:val="auto"/>
                      <w:highlight w:val="none"/>
                    </w:rPr>
                  </w:pPr>
                  <w:r>
                    <w:rPr>
                      <w:color w:val="auto"/>
                      <w:highlight w:val="none"/>
                    </w:rPr>
                    <w:t>0.8%</w:t>
                  </w:r>
                </w:p>
              </w:tc>
            </w:tr>
          </w:tbl>
          <w:p w14:paraId="4CEF91C1">
            <w:pPr>
              <w:spacing w:line="400" w:lineRule="exact"/>
              <w:rPr>
                <w:color w:val="auto"/>
                <w:szCs w:val="21"/>
                <w:highlight w:val="none"/>
              </w:rPr>
            </w:pPr>
            <w:r>
              <w:rPr>
                <w:color w:val="auto"/>
                <w:szCs w:val="21"/>
                <w:highlight w:val="none"/>
              </w:rPr>
              <w:t>本次中标服务费汇入以下账户：</w:t>
            </w:r>
          </w:p>
          <w:p w14:paraId="7C78A70A">
            <w:pPr>
              <w:snapToGrid w:val="0"/>
              <w:spacing w:line="400" w:lineRule="exact"/>
              <w:rPr>
                <w:rFonts w:ascii="Arial" w:hAnsi="Arial" w:cs="宋体"/>
                <w:color w:val="auto"/>
                <w:szCs w:val="21"/>
                <w:highlight w:val="none"/>
              </w:rPr>
            </w:pPr>
            <w:r>
              <w:rPr>
                <w:rFonts w:hint="eastAsia" w:ascii="Arial" w:hAnsi="Arial" w:cs="宋体"/>
                <w:color w:val="auto"/>
                <w:szCs w:val="21"/>
                <w:highlight w:val="none"/>
              </w:rPr>
              <w:t>户</w:t>
            </w:r>
            <w:r>
              <w:rPr>
                <w:rFonts w:hint="eastAsia" w:ascii="Arial" w:hAnsi="Arial" w:cs="宋体"/>
                <w:color w:val="auto"/>
                <w:szCs w:val="21"/>
                <w:highlight w:val="none"/>
                <w:lang w:val="en-US" w:eastAsia="zh-CN"/>
              </w:rPr>
              <w:t xml:space="preserve">    </w:t>
            </w:r>
            <w:r>
              <w:rPr>
                <w:rFonts w:hint="eastAsia" w:ascii="Arial" w:hAnsi="Arial" w:cs="宋体"/>
                <w:color w:val="auto"/>
                <w:szCs w:val="21"/>
                <w:highlight w:val="none"/>
              </w:rPr>
              <w:t>名：宁波慧泽工程管理咨询有限公司</w:t>
            </w:r>
          </w:p>
          <w:p w14:paraId="23D24795">
            <w:pPr>
              <w:snapToGrid w:val="0"/>
              <w:spacing w:line="400" w:lineRule="exact"/>
              <w:rPr>
                <w:rFonts w:ascii="Arial" w:hAnsi="Arial" w:cs="宋体"/>
                <w:color w:val="auto"/>
                <w:szCs w:val="21"/>
                <w:highlight w:val="none"/>
              </w:rPr>
            </w:pPr>
            <w:r>
              <w:rPr>
                <w:rFonts w:hint="eastAsia" w:ascii="Arial" w:hAnsi="Arial" w:cs="宋体"/>
                <w:color w:val="auto"/>
                <w:szCs w:val="21"/>
                <w:highlight w:val="none"/>
              </w:rPr>
              <w:t>开户银行：宁波银行鼓楼支行</w:t>
            </w:r>
          </w:p>
          <w:p w14:paraId="2E8DDF59">
            <w:pPr>
              <w:snapToGrid w:val="0"/>
              <w:spacing w:line="400" w:lineRule="exact"/>
              <w:rPr>
                <w:rFonts w:ascii="Arial" w:hAnsi="Arial"/>
                <w:color w:val="auto"/>
                <w:szCs w:val="21"/>
                <w:highlight w:val="none"/>
              </w:rPr>
            </w:pPr>
            <w:r>
              <w:rPr>
                <w:rFonts w:hint="eastAsia" w:ascii="Arial" w:hAnsi="Arial" w:cs="宋体"/>
                <w:color w:val="auto"/>
                <w:szCs w:val="21"/>
                <w:highlight w:val="none"/>
              </w:rPr>
              <w:t>银行账号：2403 0122 0002 08510</w:t>
            </w:r>
          </w:p>
        </w:tc>
      </w:tr>
      <w:tr w14:paraId="004588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207A0041">
            <w:pPr>
              <w:snapToGrid w:val="0"/>
              <w:spacing w:line="400" w:lineRule="exact"/>
              <w:jc w:val="center"/>
              <w:rPr>
                <w:rFonts w:hint="default" w:ascii="Arial" w:hAnsi="Arial" w:eastAsia="宋体" w:cs="宋体"/>
                <w:bCs/>
                <w:color w:val="auto"/>
                <w:szCs w:val="21"/>
                <w:highlight w:val="none"/>
                <w:lang w:val="en-US" w:eastAsia="zh-CN"/>
              </w:rPr>
            </w:pPr>
            <w:r>
              <w:rPr>
                <w:rFonts w:hint="eastAsia" w:ascii="Arial" w:hAnsi="Arial" w:cs="宋体"/>
                <w:bCs/>
                <w:color w:val="auto"/>
                <w:szCs w:val="21"/>
                <w:highlight w:val="none"/>
                <w:lang w:val="en-US" w:eastAsia="zh-CN"/>
              </w:rPr>
              <w:t>16</w:t>
            </w:r>
          </w:p>
        </w:tc>
        <w:tc>
          <w:tcPr>
            <w:tcW w:w="1456" w:type="dxa"/>
            <w:vAlign w:val="center"/>
          </w:tcPr>
          <w:p w14:paraId="3F31FE17">
            <w:pPr>
              <w:snapToGrid w:val="0"/>
              <w:spacing w:line="400" w:lineRule="exact"/>
              <w:jc w:val="center"/>
              <w:rPr>
                <w:rFonts w:ascii="Arial" w:hAnsi="Arial" w:cs="仿宋_GB2312"/>
                <w:b/>
                <w:color w:val="auto"/>
                <w:szCs w:val="21"/>
                <w:highlight w:val="none"/>
              </w:rPr>
            </w:pPr>
            <w:r>
              <w:rPr>
                <w:rFonts w:hint="eastAsia" w:ascii="Arial" w:hAnsi="Arial" w:cs="仿宋_GB2312"/>
                <w:b/>
                <w:color w:val="auto"/>
                <w:szCs w:val="21"/>
                <w:highlight w:val="none"/>
              </w:rPr>
              <w:t>转让</w:t>
            </w:r>
          </w:p>
        </w:tc>
        <w:tc>
          <w:tcPr>
            <w:tcW w:w="6740" w:type="dxa"/>
            <w:vAlign w:val="center"/>
          </w:tcPr>
          <w:p w14:paraId="40C2E0DF">
            <w:pPr>
              <w:snapToGrid w:val="0"/>
              <w:spacing w:line="400" w:lineRule="exact"/>
              <w:rPr>
                <w:rFonts w:ascii="Arial" w:hAnsi="Arial"/>
                <w:color w:val="auto"/>
                <w:kern w:val="0"/>
                <w:szCs w:val="21"/>
                <w:highlight w:val="none"/>
              </w:rPr>
            </w:pPr>
            <w:r>
              <w:rPr>
                <w:rFonts w:hint="eastAsia" w:ascii="Arial" w:hAnsi="Arial"/>
                <w:color w:val="auto"/>
                <w:kern w:val="0"/>
                <w:szCs w:val="21"/>
                <w:highlight w:val="none"/>
              </w:rPr>
              <w:t>本项目不得转让、</w:t>
            </w:r>
            <w:r>
              <w:rPr>
                <w:rFonts w:hint="eastAsia" w:ascii="Arial" w:hAnsi="Arial"/>
                <w:color w:val="auto"/>
                <w:kern w:val="0"/>
                <w:szCs w:val="21"/>
                <w:highlight w:val="none"/>
                <w:lang w:val="en-US" w:eastAsia="zh-CN"/>
              </w:rPr>
              <w:t>分</w:t>
            </w:r>
            <w:r>
              <w:rPr>
                <w:rFonts w:hint="eastAsia" w:ascii="Arial" w:hAnsi="Arial"/>
                <w:color w:val="auto"/>
                <w:kern w:val="0"/>
                <w:szCs w:val="21"/>
                <w:highlight w:val="none"/>
              </w:rPr>
              <w:t>包。</w:t>
            </w:r>
          </w:p>
        </w:tc>
      </w:tr>
      <w:tr w14:paraId="19339B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06C32933">
            <w:pPr>
              <w:snapToGrid w:val="0"/>
              <w:spacing w:line="400" w:lineRule="exact"/>
              <w:jc w:val="center"/>
              <w:rPr>
                <w:rFonts w:hint="default" w:ascii="Arial" w:hAnsi="Arial" w:eastAsia="宋体" w:cs="宋体"/>
                <w:bCs/>
                <w:color w:val="auto"/>
                <w:szCs w:val="21"/>
                <w:highlight w:val="none"/>
                <w:lang w:val="en-US" w:eastAsia="zh-CN"/>
              </w:rPr>
            </w:pPr>
            <w:r>
              <w:rPr>
                <w:rFonts w:hint="eastAsia" w:ascii="Arial" w:hAnsi="Arial" w:cs="宋体"/>
                <w:bCs/>
                <w:color w:val="auto"/>
                <w:szCs w:val="21"/>
                <w:highlight w:val="none"/>
                <w:lang w:val="en-US" w:eastAsia="zh-CN"/>
              </w:rPr>
              <w:t>17</w:t>
            </w:r>
          </w:p>
        </w:tc>
        <w:tc>
          <w:tcPr>
            <w:tcW w:w="1456" w:type="dxa"/>
            <w:vAlign w:val="center"/>
          </w:tcPr>
          <w:p w14:paraId="0EC898AE">
            <w:pPr>
              <w:snapToGrid w:val="0"/>
              <w:spacing w:line="400" w:lineRule="exact"/>
              <w:jc w:val="center"/>
              <w:rPr>
                <w:rFonts w:ascii="Arial" w:hAnsi="Arial" w:cs="仿宋_GB2312"/>
                <w:b/>
                <w:color w:val="auto"/>
                <w:szCs w:val="21"/>
                <w:highlight w:val="none"/>
              </w:rPr>
            </w:pPr>
            <w:r>
              <w:rPr>
                <w:rFonts w:hint="eastAsia" w:ascii="Arial" w:hAnsi="Arial" w:cs="仿宋_GB2312"/>
                <w:b/>
                <w:color w:val="auto"/>
                <w:szCs w:val="21"/>
                <w:highlight w:val="none"/>
              </w:rPr>
              <w:t>解释</w:t>
            </w:r>
          </w:p>
        </w:tc>
        <w:tc>
          <w:tcPr>
            <w:tcW w:w="6740" w:type="dxa"/>
            <w:vAlign w:val="center"/>
          </w:tcPr>
          <w:p w14:paraId="66F3AF53">
            <w:pPr>
              <w:snapToGrid w:val="0"/>
              <w:spacing w:line="400" w:lineRule="exact"/>
              <w:rPr>
                <w:rFonts w:ascii="Arial" w:hAnsi="Arial"/>
                <w:color w:val="auto"/>
                <w:kern w:val="0"/>
                <w:szCs w:val="21"/>
                <w:highlight w:val="none"/>
              </w:rPr>
            </w:pPr>
            <w:r>
              <w:rPr>
                <w:rFonts w:hint="eastAsia" w:ascii="Arial" w:hAnsi="Arial"/>
                <w:color w:val="auto"/>
                <w:szCs w:val="21"/>
                <w:highlight w:val="none"/>
              </w:rPr>
              <w:t>本采购文件的解释权属于采购人及采购代理机构。</w:t>
            </w:r>
          </w:p>
        </w:tc>
      </w:tr>
    </w:tbl>
    <w:p w14:paraId="3FEF3238">
      <w:pPr>
        <w:numPr>
          <w:ilvl w:val="0"/>
          <w:numId w:val="10"/>
        </w:numPr>
        <w:snapToGrid w:val="0"/>
        <w:spacing w:line="360" w:lineRule="auto"/>
        <w:jc w:val="left"/>
        <w:outlineLvl w:val="0"/>
        <w:rPr>
          <w:rFonts w:ascii="Arial" w:hAnsi="Arial" w:cs="宋体"/>
          <w:b/>
          <w:color w:val="auto"/>
          <w:szCs w:val="21"/>
          <w:highlight w:val="none"/>
        </w:rPr>
        <w:sectPr>
          <w:footerReference r:id="rId6" w:type="default"/>
          <w:pgSz w:w="11907" w:h="16840"/>
          <w:pgMar w:top="1276" w:right="1474" w:bottom="1242" w:left="1474" w:header="720" w:footer="720" w:gutter="0"/>
          <w:pgNumType w:start="15"/>
          <w:cols w:space="720" w:num="1"/>
          <w:docGrid w:linePitch="285" w:charSpace="0"/>
        </w:sectPr>
      </w:pPr>
    </w:p>
    <w:p w14:paraId="16754D27">
      <w:pPr>
        <w:pageBreakBefore w:val="0"/>
        <w:kinsoku/>
        <w:wordWrap/>
        <w:overflowPunct/>
        <w:topLinePunct w:val="0"/>
        <w:bidi w:val="0"/>
        <w:adjustRightInd/>
        <w:spacing w:line="420" w:lineRule="exact"/>
        <w:ind w:firstLine="3845" w:firstLineChars="1197"/>
        <w:textAlignment w:val="auto"/>
        <w:outlineLvl w:val="1"/>
        <w:rPr>
          <w:rFonts w:hint="eastAsia" w:ascii="宋体" w:hAnsi="宋体" w:cs="宋体"/>
          <w:b/>
          <w:color w:val="auto"/>
          <w:sz w:val="32"/>
          <w:szCs w:val="20"/>
          <w:highlight w:val="none"/>
        </w:rPr>
      </w:pPr>
      <w:bookmarkStart w:id="21" w:name="_Toc19896"/>
      <w:r>
        <w:rPr>
          <w:rFonts w:hint="eastAsia" w:ascii="宋体" w:hAnsi="宋体" w:cs="宋体"/>
          <w:b/>
          <w:color w:val="auto"/>
          <w:sz w:val="32"/>
          <w:szCs w:val="20"/>
          <w:highlight w:val="none"/>
        </w:rPr>
        <w:t>一、总则</w:t>
      </w:r>
      <w:bookmarkEnd w:id="21"/>
    </w:p>
    <w:p w14:paraId="21E58273">
      <w:pPr>
        <w:pageBreakBefore w:val="0"/>
        <w:kinsoku/>
        <w:wordWrap/>
        <w:overflowPunct/>
        <w:topLinePunct w:val="0"/>
        <w:bidi w:val="0"/>
        <w:snapToGrid w:val="0"/>
        <w:spacing w:line="420" w:lineRule="exact"/>
        <w:ind w:firstLine="361" w:firstLineChars="150"/>
        <w:jc w:val="left"/>
        <w:textAlignment w:val="auto"/>
        <w:outlineLvl w:val="1"/>
        <w:rPr>
          <w:rFonts w:hint="eastAsia" w:ascii="宋体" w:hAnsi="宋体" w:cs="宋体"/>
          <w:b/>
          <w:color w:val="auto"/>
          <w:sz w:val="24"/>
          <w:highlight w:val="none"/>
        </w:rPr>
      </w:pPr>
      <w:bookmarkStart w:id="22" w:name="_Toc4803"/>
      <w:r>
        <w:rPr>
          <w:rFonts w:hint="eastAsia" w:ascii="宋体" w:hAnsi="宋体" w:cs="宋体"/>
          <w:b/>
          <w:color w:val="auto"/>
          <w:sz w:val="24"/>
          <w:highlight w:val="none"/>
        </w:rPr>
        <w:t>1. 适用范围</w:t>
      </w:r>
      <w:bookmarkEnd w:id="22"/>
    </w:p>
    <w:p w14:paraId="11E4F25C">
      <w:pPr>
        <w:pageBreakBefore w:val="0"/>
        <w:kinsoku/>
        <w:wordWrap/>
        <w:overflowPunct/>
        <w:topLinePunct w:val="0"/>
        <w:bidi w:val="0"/>
        <w:snapToGrid w:val="0"/>
        <w:spacing w:line="42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00EDDF67">
      <w:pPr>
        <w:pageBreakBefore w:val="0"/>
        <w:kinsoku/>
        <w:wordWrap/>
        <w:overflowPunct/>
        <w:topLinePunct w:val="0"/>
        <w:bidi w:val="0"/>
        <w:snapToGrid w:val="0"/>
        <w:spacing w:line="420" w:lineRule="exact"/>
        <w:ind w:firstLine="361" w:firstLineChars="150"/>
        <w:jc w:val="left"/>
        <w:textAlignment w:val="auto"/>
        <w:outlineLvl w:val="1"/>
        <w:rPr>
          <w:rFonts w:hint="eastAsia" w:ascii="宋体" w:hAnsi="宋体" w:cs="宋体"/>
          <w:b/>
          <w:color w:val="auto"/>
          <w:sz w:val="24"/>
          <w:highlight w:val="none"/>
        </w:rPr>
      </w:pPr>
      <w:bookmarkStart w:id="23" w:name="_Toc17533"/>
      <w:r>
        <w:rPr>
          <w:rFonts w:hint="eastAsia" w:ascii="宋体" w:hAnsi="宋体" w:cs="宋体"/>
          <w:b/>
          <w:color w:val="auto"/>
          <w:sz w:val="24"/>
          <w:highlight w:val="none"/>
        </w:rPr>
        <w:t>2.定义</w:t>
      </w:r>
      <w:bookmarkEnd w:id="23"/>
    </w:p>
    <w:p w14:paraId="53B05152">
      <w:pPr>
        <w:pageBreakBefore w:val="0"/>
        <w:kinsoku/>
        <w:wordWrap/>
        <w:overflowPunct/>
        <w:topLinePunct w:val="0"/>
        <w:bidi w:val="0"/>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4C626B26">
      <w:pPr>
        <w:pageBreakBefore w:val="0"/>
        <w:kinsoku/>
        <w:wordWrap/>
        <w:overflowPunct/>
        <w:topLinePunct w:val="0"/>
        <w:bidi w:val="0"/>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2.2 “采购代理机构”系指招标公告中载明的本项目的采购代理机构。</w:t>
      </w:r>
    </w:p>
    <w:p w14:paraId="6E1FB190">
      <w:pPr>
        <w:pageBreakBefore w:val="0"/>
        <w:kinsoku/>
        <w:wordWrap/>
        <w:overflowPunct/>
        <w:topLinePunct w:val="0"/>
        <w:bidi w:val="0"/>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2.3 “投标人”系指响应招标、参加投标竞争的法人、其他组织或者自然人。</w:t>
      </w:r>
    </w:p>
    <w:p w14:paraId="546A7BCF">
      <w:pPr>
        <w:pageBreakBefore w:val="0"/>
        <w:kinsoku/>
        <w:wordWrap/>
        <w:overflowPunct/>
        <w:topLinePunct w:val="0"/>
        <w:bidi w:val="0"/>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585F15C0">
      <w:pPr>
        <w:pageBreakBefore w:val="0"/>
        <w:kinsoku/>
        <w:wordWrap/>
        <w:overflowPunct/>
        <w:topLinePunct w:val="0"/>
        <w:bidi w:val="0"/>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2.5“电子签章”系指数据电文中以电子形式所含、所附用于识别签名人身份并表明签名人认可其中内容的数据；“公章”系指单位法定名称章。因特殊原因需要使用冠以法定名称的业务专用章的，投标时须提供《业务专用章使用说明函》（附件2）。</w:t>
      </w:r>
    </w:p>
    <w:p w14:paraId="1D0BDC7D">
      <w:pPr>
        <w:pageBreakBefore w:val="0"/>
        <w:kinsoku/>
        <w:wordWrap/>
        <w:overflowPunct/>
        <w:topLinePunct w:val="0"/>
        <w:bidi w:val="0"/>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2.6“电子交易平台”系指本项目政府采购活动所依托的政府采购云平台（https://www.zcygov.cn/）。</w:t>
      </w:r>
    </w:p>
    <w:p w14:paraId="252ADF7C">
      <w:pPr>
        <w:pageBreakBefore w:val="0"/>
        <w:kinsoku/>
        <w:wordWrap/>
        <w:overflowPunct/>
        <w:topLinePunct w:val="0"/>
        <w:bidi w:val="0"/>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2.7 “</w:t>
      </w:r>
      <w:r>
        <w:rPr>
          <w:rFonts w:hint="eastAsia" w:ascii="宋体" w:hAnsi="宋体" w:cs="宋体"/>
          <w:bCs/>
          <w:color w:val="auto"/>
          <w:szCs w:val="21"/>
          <w:highlight w:val="none"/>
        </w:rPr>
        <w:t>★</w:t>
      </w:r>
      <w:r>
        <w:rPr>
          <w:rFonts w:hint="eastAsia" w:ascii="宋体" w:hAnsi="宋体" w:cs="宋体"/>
          <w:color w:val="auto"/>
          <w:sz w:val="24"/>
          <w:highlight w:val="none"/>
        </w:rPr>
        <w:t>” 系指实质性要求条款，“</w:t>
      </w:r>
      <w:r>
        <w:rPr>
          <w:rFonts w:hint="eastAsia" w:ascii="宋体" w:hAnsi="宋体" w:cs="宋体"/>
          <w:color w:val="auto"/>
          <w:kern w:val="0"/>
          <w:sz w:val="24"/>
          <w:highlight w:val="none"/>
        </w:rPr>
        <w:t>■</w:t>
      </w:r>
      <w:r>
        <w:rPr>
          <w:rFonts w:hint="eastAsia" w:ascii="宋体" w:hAnsi="宋体" w:cs="宋体"/>
          <w:color w:val="auto"/>
          <w:sz w:val="24"/>
          <w:highlight w:val="none"/>
        </w:rPr>
        <w:t>” 系指适用本项目的要求，“</w:t>
      </w:r>
      <w:r>
        <w:rPr>
          <w:rFonts w:hint="eastAsia" w:ascii="宋体" w:hAnsi="宋体" w:cs="宋体"/>
          <w:color w:val="auto"/>
          <w:kern w:val="0"/>
          <w:sz w:val="24"/>
          <w:highlight w:val="none"/>
        </w:rPr>
        <w:t>☐</w:t>
      </w:r>
      <w:r>
        <w:rPr>
          <w:rFonts w:hint="eastAsia" w:ascii="宋体" w:hAnsi="宋体" w:cs="宋体"/>
          <w:color w:val="auto"/>
          <w:sz w:val="24"/>
          <w:highlight w:val="none"/>
        </w:rPr>
        <w:t>” 系指不适用本项目的要求。</w:t>
      </w:r>
    </w:p>
    <w:p w14:paraId="55010193">
      <w:pPr>
        <w:pageBreakBefore w:val="0"/>
        <w:kinsoku/>
        <w:wordWrap/>
        <w:overflowPunct/>
        <w:topLinePunct w:val="0"/>
        <w:bidi w:val="0"/>
        <w:spacing w:line="420" w:lineRule="exact"/>
        <w:ind w:firstLine="241" w:firstLineChars="100"/>
        <w:textAlignment w:val="auto"/>
        <w:rPr>
          <w:rFonts w:hint="eastAsia"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2DA59ED8">
      <w:pPr>
        <w:pageBreakBefore w:val="0"/>
        <w:kinsoku/>
        <w:wordWrap/>
        <w:overflowPunct/>
        <w:topLinePunct w:val="0"/>
        <w:bidi w:val="0"/>
        <w:spacing w:line="420" w:lineRule="exact"/>
        <w:ind w:firstLine="240" w:firstLineChars="100"/>
        <w:textAlignment w:val="auto"/>
        <w:rPr>
          <w:rFonts w:hint="eastAsia"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p>
    <w:p w14:paraId="0088E8DF">
      <w:pPr>
        <w:pageBreakBefore w:val="0"/>
        <w:kinsoku/>
        <w:wordWrap/>
        <w:overflowPunct/>
        <w:topLinePunct w:val="0"/>
        <w:bidi w:val="0"/>
        <w:spacing w:line="420" w:lineRule="exact"/>
        <w:ind w:firstLine="240" w:firstLineChars="100"/>
        <w:textAlignment w:val="auto"/>
        <w:rPr>
          <w:rFonts w:hint="eastAsia" w:ascii="宋体" w:hAnsi="宋体" w:cs="宋体"/>
          <w:color w:val="auto"/>
          <w:sz w:val="24"/>
          <w:highlight w:val="none"/>
        </w:rPr>
      </w:pPr>
      <w:r>
        <w:rPr>
          <w:rFonts w:hint="eastAsia" w:ascii="宋体" w:hAnsi="宋体" w:cs="宋体"/>
          <w:color w:val="auto"/>
          <w:sz w:val="24"/>
          <w:highlight w:val="none"/>
        </w:rPr>
        <w:t>3.2 支持绿色发展</w:t>
      </w:r>
    </w:p>
    <w:p w14:paraId="6FF32CC3">
      <w:pPr>
        <w:pageBreakBefore w:val="0"/>
        <w:kinsoku/>
        <w:wordWrap/>
        <w:overflowPunct/>
        <w:topLinePunct w:val="0"/>
        <w:bidi w:val="0"/>
        <w:spacing w:line="420" w:lineRule="exact"/>
        <w:ind w:firstLine="480" w:firstLineChars="200"/>
        <w:textAlignment w:val="auto"/>
        <w:rPr>
          <w:rFonts w:hint="eastAsia"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Cs/>
          <w:color w:val="auto"/>
          <w:szCs w:val="21"/>
          <w:highlight w:val="none"/>
        </w:rPr>
        <w:t>★</w:t>
      </w:r>
      <w:r>
        <w:rPr>
          <w:rFonts w:hint="eastAsia" w:ascii="宋体" w:hAnsi="宋体" w:cs="宋体"/>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r>
        <w:rPr>
          <w:rFonts w:hint="eastAsia" w:ascii="宋体" w:hAnsi="宋体" w:cs="宋体"/>
          <w:bCs/>
          <w:color w:val="auto"/>
          <w:sz w:val="24"/>
          <w:highlight w:val="none"/>
        </w:rPr>
        <w:t>（</w:t>
      </w:r>
      <w:r>
        <w:rPr>
          <w:rFonts w:ascii="宋体" w:hAnsi="宋体" w:cs="宋体"/>
          <w:b/>
          <w:bCs/>
          <w:color w:val="auto"/>
          <w:sz w:val="24"/>
          <w:highlight w:val="none"/>
        </w:rPr>
        <w:t>《节能产品政府采购品目清单》详见《关于印发节能产品政府采购品目清单的通知(财库[2019]19号)》(如遇调整，按最新清单执行)。</w:t>
      </w:r>
    </w:p>
    <w:p w14:paraId="5E2B9B4A">
      <w:pPr>
        <w:pageBreakBefore w:val="0"/>
        <w:kinsoku/>
        <w:wordWrap/>
        <w:overflowPunct/>
        <w:topLinePunct w:val="0"/>
        <w:bidi w:val="0"/>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3.2.2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45CD5EE8">
      <w:pPr>
        <w:pageBreakBefore w:val="0"/>
        <w:kinsoku/>
        <w:wordWrap/>
        <w:overflowPunct/>
        <w:topLinePunct w:val="0"/>
        <w:bidi w:val="0"/>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3.2.3 鼓励供应商在参加政府采购过程中开展绿色设计、选择绿色材料、打造绿色制造工艺、开展绿色运输、做好废弃产品回收处理，实现产品全周期的绿色环保。</w:t>
      </w:r>
    </w:p>
    <w:p w14:paraId="7312A430">
      <w:pPr>
        <w:pageBreakBefore w:val="0"/>
        <w:kinsoku/>
        <w:wordWrap/>
        <w:overflowPunct/>
        <w:topLinePunct w:val="0"/>
        <w:bidi w:val="0"/>
        <w:spacing w:line="420" w:lineRule="exact"/>
        <w:ind w:firstLine="240" w:firstLineChars="100"/>
        <w:textAlignment w:val="auto"/>
        <w:rPr>
          <w:rFonts w:hint="eastAsia" w:ascii="宋体" w:hAnsi="宋体" w:cs="宋体"/>
          <w:color w:val="auto"/>
          <w:sz w:val="24"/>
          <w:highlight w:val="none"/>
        </w:rPr>
      </w:pPr>
      <w:r>
        <w:rPr>
          <w:rFonts w:hint="eastAsia" w:ascii="宋体" w:hAnsi="宋体" w:cs="宋体"/>
          <w:color w:val="auto"/>
          <w:sz w:val="24"/>
          <w:highlight w:val="none"/>
        </w:rPr>
        <w:t>3.3支持中小企业发展</w:t>
      </w:r>
    </w:p>
    <w:p w14:paraId="0DF9F579">
      <w:pPr>
        <w:pageBreakBefore w:val="0"/>
        <w:kinsoku/>
        <w:wordWrap/>
        <w:overflowPunct/>
        <w:topLinePunct w:val="0"/>
        <w:bidi w:val="0"/>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293D253E">
      <w:pPr>
        <w:pageBreakBefore w:val="0"/>
        <w:kinsoku/>
        <w:wordWrap/>
        <w:overflowPunct/>
        <w:topLinePunct w:val="0"/>
        <w:bidi w:val="0"/>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7930144A">
      <w:pPr>
        <w:pageBreakBefore w:val="0"/>
        <w:widowControl/>
        <w:kinsoku/>
        <w:wordWrap/>
        <w:overflowPunct/>
        <w:topLinePunct w:val="0"/>
        <w:bidi w:val="0"/>
        <w:spacing w:line="420" w:lineRule="exact"/>
        <w:ind w:firstLine="480" w:firstLineChars="200"/>
        <w:jc w:val="left"/>
        <w:textAlignment w:val="auto"/>
        <w:rPr>
          <w:rFonts w:hint="eastAsia" w:ascii="宋体" w:hAnsi="宋体" w:cs="宋体"/>
          <w:color w:val="auto"/>
          <w:kern w:val="0"/>
          <w:sz w:val="24"/>
          <w:highlight w:val="none"/>
        </w:rPr>
      </w:pPr>
      <w:r>
        <w:rPr>
          <w:rFonts w:hint="eastAsia"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094965CF">
      <w:pPr>
        <w:pageBreakBefore w:val="0"/>
        <w:widowControl/>
        <w:kinsoku/>
        <w:wordWrap/>
        <w:overflowPunct/>
        <w:topLinePunct w:val="0"/>
        <w:bidi w:val="0"/>
        <w:spacing w:line="420" w:lineRule="exact"/>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6BE7124F">
      <w:pPr>
        <w:pageBreakBefore w:val="0"/>
        <w:kinsoku/>
        <w:wordWrap/>
        <w:overflowPunct/>
        <w:topLinePunct w:val="0"/>
        <w:bidi w:val="0"/>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3.3.3对于未预留份额专门面向中小企业的政府采购货物项目，以及预留份额政府采购货物项目中的非预留部分标项，对小型和微型企业的投标报价给予10%的扣除，用扣除后的价格参与评审。接受大中型企业与小微企业组成联合体或者允许大中型企业向一家或者多家小微企业分包的政府采购货物项目，对于</w:t>
      </w:r>
      <w:bookmarkStart w:id="24" w:name="_Hlk101132181"/>
      <w:r>
        <w:rPr>
          <w:rFonts w:hint="eastAsia" w:ascii="宋体" w:hAnsi="宋体" w:cs="宋体"/>
          <w:color w:val="auto"/>
          <w:sz w:val="24"/>
          <w:highlight w:val="none"/>
        </w:rPr>
        <w:t>联合协议或者分包意向协议约定小微企业的合同份额占到合同总金额30%以上的</w:t>
      </w:r>
      <w:bookmarkEnd w:id="24"/>
      <w:r>
        <w:rPr>
          <w:rFonts w:hint="eastAsia" w:ascii="宋体" w:hAnsi="宋体" w:cs="宋体"/>
          <w:color w:val="auto"/>
          <w:sz w:val="24"/>
          <w:highlight w:val="none"/>
        </w:rPr>
        <w:t>，对联合体或者大中型企业的报价给予4%的扣除，用扣除后的价格参加评审。组成联合体或者接受分包的小微企业与联合体内其他企业、分包企业之间存在直接控股、管理关系的，不享受价格扣除优惠政策。</w:t>
      </w:r>
    </w:p>
    <w:p w14:paraId="2E6EB0C0">
      <w:pPr>
        <w:pageBreakBefore w:val="0"/>
        <w:kinsoku/>
        <w:wordWrap/>
        <w:overflowPunct/>
        <w:topLinePunct w:val="0"/>
        <w:bidi w:val="0"/>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44DAC873">
      <w:pPr>
        <w:pageBreakBefore w:val="0"/>
        <w:kinsoku/>
        <w:wordWrap/>
        <w:overflowPunct/>
        <w:topLinePunct w:val="0"/>
        <w:bidi w:val="0"/>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6AC90E55">
      <w:pPr>
        <w:pageBreakBefore w:val="0"/>
        <w:kinsoku/>
        <w:wordWrap/>
        <w:overflowPunct/>
        <w:topLinePunct w:val="0"/>
        <w:bidi w:val="0"/>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60D71FB1">
      <w:pPr>
        <w:pageBreakBefore w:val="0"/>
        <w:kinsoku/>
        <w:wordWrap/>
        <w:overflowPunct/>
        <w:topLinePunct w:val="0"/>
        <w:bidi w:val="0"/>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58D2656D">
      <w:pPr>
        <w:pageBreakBefore w:val="0"/>
        <w:kinsoku/>
        <w:wordWrap/>
        <w:overflowPunct/>
        <w:topLinePunct w:val="0"/>
        <w:bidi w:val="0"/>
        <w:spacing w:line="420" w:lineRule="exact"/>
        <w:ind w:firstLine="240" w:firstLineChars="100"/>
        <w:textAlignment w:val="auto"/>
        <w:rPr>
          <w:rFonts w:hint="eastAsia"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1DF79B30">
      <w:pPr>
        <w:pageBreakBefore w:val="0"/>
        <w:kinsoku/>
        <w:wordWrap/>
        <w:overflowPunct/>
        <w:topLinePunct w:val="0"/>
        <w:bidi w:val="0"/>
        <w:spacing w:line="420" w:lineRule="exact"/>
        <w:ind w:firstLine="240" w:firstLineChars="100"/>
        <w:textAlignment w:val="auto"/>
        <w:rPr>
          <w:rFonts w:hint="eastAsia" w:ascii="宋体" w:hAnsi="宋体" w:cs="宋体"/>
          <w:color w:val="auto"/>
          <w:sz w:val="24"/>
          <w:highlight w:val="none"/>
        </w:rPr>
      </w:pPr>
      <w:r>
        <w:rPr>
          <w:rFonts w:hint="eastAsia" w:ascii="宋体" w:hAnsi="宋体" w:cs="宋体"/>
          <w:color w:val="auto"/>
          <w:sz w:val="24"/>
          <w:highlight w:val="none"/>
        </w:rPr>
        <w:t>对省级以上主管部门认定的首台套产品，自纳入《省推广应用指导目录》起三年内参加政府采购活动，视同已具备相应销售业绩，业绩分为满分。</w:t>
      </w:r>
      <w:r>
        <w:rPr>
          <w:rFonts w:hint="eastAsia" w:ascii="宋体" w:hAnsi="宋体" w:cs="宋体"/>
          <w:color w:val="auto"/>
          <w:sz w:val="24"/>
          <w:highlight w:val="none"/>
        </w:rPr>
        <w:cr/>
      </w:r>
      <w:r>
        <w:rPr>
          <w:rFonts w:hint="eastAsia" w:ascii="宋体" w:hAnsi="宋体" w:cs="宋体"/>
          <w:color w:val="auto"/>
          <w:sz w:val="24"/>
          <w:highlight w:val="none"/>
        </w:rPr>
        <w:t xml:space="preserve">  3.5平等对待内外资企业和符合条件的破产重整企业</w:t>
      </w:r>
    </w:p>
    <w:p w14:paraId="7C90E015">
      <w:pPr>
        <w:pageBreakBefore w:val="0"/>
        <w:kinsoku/>
        <w:wordWrap/>
        <w:overflowPunct/>
        <w:topLinePunct w:val="0"/>
        <w:bidi w:val="0"/>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p>
    <w:p w14:paraId="7408CB72">
      <w:pPr>
        <w:pageBreakBefore w:val="0"/>
        <w:kinsoku/>
        <w:wordWrap/>
        <w:overflowPunct/>
        <w:topLinePunct w:val="0"/>
        <w:bidi w:val="0"/>
        <w:spacing w:line="420" w:lineRule="exact"/>
        <w:ind w:firstLine="240" w:firstLineChars="100"/>
        <w:textAlignment w:val="auto"/>
        <w:rPr>
          <w:rFonts w:hint="eastAsia" w:ascii="宋体" w:hAnsi="宋体" w:cs="宋体"/>
          <w:color w:val="auto"/>
          <w:sz w:val="24"/>
          <w:highlight w:val="none"/>
        </w:rPr>
      </w:pPr>
      <w:r>
        <w:rPr>
          <w:rFonts w:hint="eastAsia" w:ascii="宋体" w:hAnsi="宋体" w:cs="宋体"/>
          <w:color w:val="auto"/>
          <w:sz w:val="24"/>
          <w:highlight w:val="none"/>
        </w:rPr>
        <w:t>3.6支持本国产品</w:t>
      </w:r>
    </w:p>
    <w:p w14:paraId="34D1645F">
      <w:pPr>
        <w:pageBreakBefore w:val="0"/>
        <w:kinsoku/>
        <w:wordWrap/>
        <w:overflowPunct/>
        <w:topLinePunct w:val="0"/>
        <w:bidi w:val="0"/>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3.6.1本国产品标准(依据《国务院办公厅关于在政府采购中实施本国产品标准及相关政策的通知》国办发〔2025〕34号)</w:t>
      </w:r>
    </w:p>
    <w:p w14:paraId="104C3E64">
      <w:pPr>
        <w:pageBreakBefore w:val="0"/>
        <w:kinsoku/>
        <w:wordWrap/>
        <w:overflowPunct/>
        <w:topLinePunct w:val="0"/>
        <w:bidi w:val="0"/>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本国产品应当符合以下条件：</w:t>
      </w:r>
    </w:p>
    <w:p w14:paraId="238C2F41">
      <w:pPr>
        <w:pageBreakBefore w:val="0"/>
        <w:kinsoku/>
        <w:wordWrap/>
        <w:overflowPunct/>
        <w:topLinePunct w:val="0"/>
        <w:bidi w:val="0"/>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（一）在中国境内生产</w:t>
      </w:r>
    </w:p>
    <w:p w14:paraId="6D47EC01">
      <w:pPr>
        <w:pageBreakBefore w:val="0"/>
        <w:kinsoku/>
        <w:wordWrap/>
        <w:overflowPunct/>
        <w:topLinePunct w:val="0"/>
        <w:bidi w:val="0"/>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2675F58F">
      <w:pPr>
        <w:pageBreakBefore w:val="0"/>
        <w:kinsoku/>
        <w:wordWrap/>
        <w:overflowPunct/>
        <w:topLinePunct w:val="0"/>
        <w:bidi w:val="0"/>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1.为确保产品在运输或者储存期间保持某种状态而进行的操作；</w:t>
      </w:r>
    </w:p>
    <w:p w14:paraId="21EE4DEC">
      <w:pPr>
        <w:pageBreakBefore w:val="0"/>
        <w:kinsoku/>
        <w:wordWrap/>
        <w:overflowPunct/>
        <w:topLinePunct w:val="0"/>
        <w:bidi w:val="0"/>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2.为产品运输或者销售进行的包装或者展示；</w:t>
      </w:r>
    </w:p>
    <w:p w14:paraId="5BE6F89B">
      <w:pPr>
        <w:pageBreakBefore w:val="0"/>
        <w:kinsoku/>
        <w:wordWrap/>
        <w:overflowPunct/>
        <w:topLinePunct w:val="0"/>
        <w:bidi w:val="0"/>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3.在产品或者其包装上粘贴或者印刷品牌、标志、标识以及其他用于区别的标记；</w:t>
      </w:r>
    </w:p>
    <w:p w14:paraId="40094D5C">
      <w:pPr>
        <w:pageBreakBefore w:val="0"/>
        <w:kinsoku/>
        <w:wordWrap/>
        <w:overflowPunct/>
        <w:topLinePunct w:val="0"/>
        <w:bidi w:val="0"/>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4.简单的上漆、磨光和分装；</w:t>
      </w:r>
    </w:p>
    <w:p w14:paraId="15586222">
      <w:pPr>
        <w:pageBreakBefore w:val="0"/>
        <w:kinsoku/>
        <w:wordWrap/>
        <w:overflowPunct/>
        <w:topLinePunct w:val="0"/>
        <w:bidi w:val="0"/>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5.其他不属于属性改变的情形。</w:t>
      </w:r>
    </w:p>
    <w:p w14:paraId="3154136E">
      <w:pPr>
        <w:pageBreakBefore w:val="0"/>
        <w:kinsoku/>
        <w:wordWrap/>
        <w:overflowPunct/>
        <w:topLinePunct w:val="0"/>
        <w:bidi w:val="0"/>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（二）在中国境内生产的组件成本占比达到规定比例</w:t>
      </w:r>
    </w:p>
    <w:p w14:paraId="1FB00569">
      <w:pPr>
        <w:pageBreakBefore w:val="0"/>
        <w:kinsoku/>
        <w:wordWrap/>
        <w:overflowPunct/>
        <w:topLinePunct w:val="0"/>
        <w:bidi w:val="0"/>
        <w:spacing w:line="420" w:lineRule="exact"/>
        <w:ind w:firstLine="480" w:firstLineChars="200"/>
        <w:textAlignment w:val="auto"/>
        <w:rPr>
          <w:rFonts w:hint="eastAsia" w:ascii="宋体" w:hAnsi="宋体" w:cs="宋体"/>
          <w:color w:val="auto"/>
          <w:sz w:val="24"/>
          <w:highlight w:val="none"/>
        </w:rPr>
      </w:pPr>
      <w:r>
        <w:rPr>
          <w:rFonts w:ascii="宋体" w:hAnsi="宋体"/>
          <w:color w:val="auto"/>
          <w:sz w:val="24"/>
          <w:highlight w:val="none"/>
        </w:rPr>
        <w:drawing>
          <wp:anchor distT="0" distB="0" distL="114300" distR="114300" simplePos="0" relativeHeight="251667456" behindDoc="0" locked="0" layoutInCell="1" allowOverlap="1">
            <wp:simplePos x="0" y="0"/>
            <wp:positionH relativeFrom="column">
              <wp:posOffset>516890</wp:posOffset>
            </wp:positionH>
            <wp:positionV relativeFrom="paragraph">
              <wp:posOffset>368935</wp:posOffset>
            </wp:positionV>
            <wp:extent cx="4189730" cy="605155"/>
            <wp:effectExtent l="0" t="0" r="1270" b="4445"/>
            <wp:wrapTopAndBottom/>
            <wp:docPr id="5" name="图片 1" descr="W020250930645245947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W020250930645245947614"/>
                    <pic:cNvPicPr>
                      <a:picLocks noChangeAspect="1"/>
                    </pic:cNvPicPr>
                  </pic:nvPicPr>
                  <pic:blipFill>
                    <a:blip r:embed="rId18"/>
                    <a:stretch>
                      <a:fillRect/>
                    </a:stretch>
                  </pic:blipFill>
                  <pic:spPr>
                    <a:xfrm>
                      <a:off x="0" y="0"/>
                      <a:ext cx="4189730" cy="605155"/>
                    </a:xfrm>
                    <a:prstGeom prst="rect">
                      <a:avLst/>
                    </a:prstGeom>
                    <a:noFill/>
                    <a:ln>
                      <a:noFill/>
                    </a:ln>
                  </pic:spPr>
                </pic:pic>
              </a:graphicData>
            </a:graphic>
          </wp:anchor>
        </w:drawing>
      </w:r>
      <w:r>
        <w:rPr>
          <w:rFonts w:hint="eastAsia" w:ascii="宋体" w:hAnsi="宋体" w:cs="宋体"/>
          <w:color w:val="auto"/>
          <w:sz w:val="24"/>
          <w:highlight w:val="none"/>
        </w:rPr>
        <w:t>产品在中国境内生产的组件成本占比应当达到规定比例，计算公式为：</w:t>
      </w:r>
    </w:p>
    <w:p w14:paraId="3297221B">
      <w:pPr>
        <w:pageBreakBefore w:val="0"/>
        <w:kinsoku/>
        <w:wordWrap/>
        <w:overflowPunct/>
        <w:topLinePunct w:val="0"/>
        <w:bidi w:val="0"/>
        <w:spacing w:line="420" w:lineRule="exact"/>
        <w:ind w:firstLine="480" w:firstLineChars="200"/>
        <w:textAlignment w:val="auto"/>
        <w:rPr>
          <w:rFonts w:hint="eastAsia" w:ascii="宋体" w:hAnsi="宋体" w:cs="宋体"/>
          <w:color w:val="auto"/>
          <w:sz w:val="24"/>
          <w:highlight w:val="none"/>
        </w:rPr>
      </w:pPr>
    </w:p>
    <w:p w14:paraId="49F14110">
      <w:pPr>
        <w:pageBreakBefore w:val="0"/>
        <w:kinsoku/>
        <w:wordWrap/>
        <w:overflowPunct/>
        <w:topLinePunct w:val="0"/>
        <w:bidi w:val="0"/>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042F7898">
      <w:pPr>
        <w:pageBreakBefore w:val="0"/>
        <w:kinsoku/>
        <w:wordWrap/>
        <w:overflowPunct/>
        <w:topLinePunct w:val="0"/>
        <w:bidi w:val="0"/>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（三）特定产品的关键组件、关键工序符合相关要求</w:t>
      </w:r>
    </w:p>
    <w:p w14:paraId="65BB6035">
      <w:pPr>
        <w:pageBreakBefore w:val="0"/>
        <w:kinsoku/>
        <w:wordWrap/>
        <w:overflowPunct/>
        <w:topLinePunct w:val="0"/>
        <w:bidi w:val="0"/>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对特定产品，在符合本通知第一条第（一）项和第（二）项条件的基础上，应当符合财政部会同有关行业主管部门确定的其关键组件、关键工序在中国境内生产、完成等要求。</w:t>
      </w:r>
    </w:p>
    <w:p w14:paraId="5A016528">
      <w:pPr>
        <w:pageBreakBefore w:val="0"/>
        <w:kinsoku/>
        <w:wordWrap/>
        <w:overflowPunct/>
        <w:topLinePunct w:val="0"/>
        <w:bidi w:val="0"/>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3.6.2 本国产品标准的适用范围</w:t>
      </w:r>
    </w:p>
    <w:p w14:paraId="27F9BD1C">
      <w:pPr>
        <w:pageBreakBefore w:val="0"/>
        <w:kinsoku/>
        <w:wordWrap/>
        <w:overflowPunct/>
        <w:topLinePunct w:val="0"/>
        <w:bidi w:val="0"/>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5994EA3">
      <w:pPr>
        <w:pageBreakBefore w:val="0"/>
        <w:kinsoku/>
        <w:wordWrap/>
        <w:overflowPunct/>
        <w:topLinePunct w:val="0"/>
        <w:bidi w:val="0"/>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3.6.3 对本国产品的支持政策</w:t>
      </w:r>
    </w:p>
    <w:p w14:paraId="3ACED579">
      <w:pPr>
        <w:pageBreakBefore w:val="0"/>
        <w:kinsoku/>
        <w:wordWrap/>
        <w:overflowPunct/>
        <w:topLinePunct w:val="0"/>
        <w:bidi w:val="0"/>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政府采购活动中既有本国产品又有非本国产品参与竞争的，依法对本国产品给予价格评审优惠，对本国产品的报价给予20%的价格扣除，用扣除后的价格参与评审。</w:t>
      </w:r>
    </w:p>
    <w:p w14:paraId="18839B18">
      <w:pPr>
        <w:pageBreakBefore w:val="0"/>
        <w:kinsoku/>
        <w:wordWrap/>
        <w:overflowPunct/>
        <w:topLinePunct w:val="0"/>
        <w:bidi w:val="0"/>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3066258">
      <w:pPr>
        <w:pageBreakBefore w:val="0"/>
        <w:kinsoku/>
        <w:wordWrap/>
        <w:overflowPunct/>
        <w:topLinePunct w:val="0"/>
        <w:bidi w:val="0"/>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3.6.4有关证明文件</w:t>
      </w:r>
    </w:p>
    <w:p w14:paraId="2A63A402">
      <w:pPr>
        <w:pageBreakBefore w:val="0"/>
        <w:kinsoku/>
        <w:wordWrap/>
        <w:overflowPunct/>
        <w:topLinePunct w:val="0"/>
        <w:bidi w:val="0"/>
        <w:spacing w:line="42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供应商提供产品符合《国务院办公厅关于在政府采购中实施本国产品标准及相关政策的通知》（国办发〔2025〕34号）本国产品相关规定的，提供《关于符合本国产品标准的声明函》（格式见本采购文件第六部分，以下简称《声明函》）或财政部会同有关部门规定的有关证明文件，该产品视为本国产品。供应商提供虚假《声明函》、虚假证明文件谋取中标、成交的，依照《中华人民共和国政府采购法》等法律法规规定追究相应责任。</w:t>
      </w:r>
    </w:p>
    <w:p w14:paraId="4E6DF375">
      <w:pPr>
        <w:pageBreakBefore w:val="0"/>
        <w:kinsoku/>
        <w:wordWrap/>
        <w:overflowPunct/>
        <w:topLinePunct w:val="0"/>
        <w:bidi w:val="0"/>
        <w:spacing w:line="420" w:lineRule="exact"/>
        <w:textAlignment w:val="auto"/>
        <w:rPr>
          <w:rFonts w:hint="eastAsia" w:ascii="宋体" w:hAnsi="宋体" w:cs="宋体"/>
          <w:b/>
          <w:color w:val="auto"/>
          <w:highlight w:val="none"/>
        </w:rPr>
      </w:pPr>
      <w:r>
        <w:rPr>
          <w:rFonts w:hint="eastAsia" w:ascii="宋体" w:hAnsi="宋体" w:cs="宋体"/>
          <w:b/>
          <w:color w:val="auto"/>
          <w:sz w:val="24"/>
          <w:highlight w:val="none"/>
        </w:rPr>
        <w:t>4. 询问、质疑、投诉</w:t>
      </w:r>
    </w:p>
    <w:p w14:paraId="695A8CE4">
      <w:pPr>
        <w:pStyle w:val="126"/>
        <w:pageBreakBefore w:val="0"/>
        <w:shd w:val="clear" w:color="auto" w:fill="FFFFFF"/>
        <w:kinsoku/>
        <w:wordWrap/>
        <w:overflowPunct/>
        <w:topLinePunct w:val="0"/>
        <w:bidi w:val="0"/>
        <w:snapToGrid w:val="0"/>
        <w:spacing w:before="0" w:beforeAutospacing="0" w:after="0" w:afterAutospacing="0" w:line="420" w:lineRule="exact"/>
        <w:ind w:firstLine="480" w:firstLineChars="200"/>
        <w:contextualSpacing/>
        <w:textAlignment w:val="auto"/>
        <w:rPr>
          <w:rFonts w:hint="eastAsia"/>
          <w:color w:val="auto"/>
          <w:highlight w:val="none"/>
          <w:lang w:val="zh-CN"/>
        </w:rPr>
      </w:pPr>
      <w:r>
        <w:rPr>
          <w:rFonts w:hint="eastAsia"/>
          <w:color w:val="auto"/>
          <w:highlight w:val="none"/>
          <w:lang w:val="zh-CN"/>
        </w:rPr>
        <w:t>4.1在线询问、质疑、投诉</w:t>
      </w:r>
    </w:p>
    <w:p w14:paraId="78B84DDE">
      <w:pPr>
        <w:pStyle w:val="126"/>
        <w:pageBreakBefore w:val="0"/>
        <w:shd w:val="clear" w:color="auto" w:fill="FFFFFF"/>
        <w:kinsoku/>
        <w:wordWrap/>
        <w:overflowPunct/>
        <w:topLinePunct w:val="0"/>
        <w:bidi w:val="0"/>
        <w:snapToGrid w:val="0"/>
        <w:spacing w:before="0" w:beforeAutospacing="0" w:after="0" w:afterAutospacing="0" w:line="420" w:lineRule="exact"/>
        <w:ind w:firstLine="480" w:firstLineChars="200"/>
        <w:contextualSpacing/>
        <w:textAlignment w:val="auto"/>
        <w:rPr>
          <w:rFonts w:hint="eastAsia"/>
          <w:color w:val="auto"/>
          <w:highlight w:val="none"/>
          <w:lang w:val="zh-CN"/>
        </w:rPr>
      </w:pPr>
      <w:r>
        <w:rPr>
          <w:rFonts w:hint="eastAsia"/>
          <w:color w:val="auto"/>
          <w:highlight w:val="none"/>
          <w:lang w:val="zh-CN"/>
        </w:rPr>
        <w:t>根据《浙江省财政厅关于进一步促进政府采购公平竞争打造最优营商环境的通知》（浙财采监</w:t>
      </w:r>
      <w:r>
        <w:rPr>
          <w:color w:val="auto"/>
          <w:highlight w:val="none"/>
        </w:rPr>
        <w:t>〔</w:t>
      </w:r>
      <w:r>
        <w:rPr>
          <w:rFonts w:hint="eastAsia"/>
          <w:color w:val="auto"/>
          <w:highlight w:val="none"/>
          <w:lang w:val="zh-CN"/>
        </w:rPr>
        <w:t>2021</w:t>
      </w:r>
      <w:r>
        <w:rPr>
          <w:color w:val="auto"/>
          <w:highlight w:val="none"/>
        </w:rPr>
        <w:t>〕</w:t>
      </w:r>
      <w:r>
        <w:rPr>
          <w:rFonts w:hint="eastAsia"/>
          <w:color w:val="auto"/>
          <w:highlight w:val="none"/>
          <w:lang w:val="zh-CN"/>
        </w:rPr>
        <w:t>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EB275C3">
      <w:pPr>
        <w:pageBreakBefore w:val="0"/>
        <w:kinsoku/>
        <w:wordWrap/>
        <w:overflowPunct/>
        <w:topLinePunct w:val="0"/>
        <w:autoSpaceDE w:val="0"/>
        <w:autoSpaceDN w:val="0"/>
        <w:bidi w:val="0"/>
        <w:spacing w:line="420" w:lineRule="exact"/>
        <w:ind w:firstLine="480" w:firstLineChars="200"/>
        <w:jc w:val="left"/>
        <w:textAlignment w:val="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010CCFE8">
      <w:pPr>
        <w:pageBreakBefore w:val="0"/>
        <w:kinsoku/>
        <w:wordWrap/>
        <w:overflowPunct/>
        <w:topLinePunct w:val="0"/>
        <w:autoSpaceDE w:val="0"/>
        <w:autoSpaceDN w:val="0"/>
        <w:bidi w:val="0"/>
        <w:spacing w:line="420" w:lineRule="exact"/>
        <w:ind w:firstLine="480" w:firstLineChars="200"/>
        <w:jc w:val="left"/>
        <w:textAlignment w:val="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D870FD9">
      <w:pPr>
        <w:pageBreakBefore w:val="0"/>
        <w:tabs>
          <w:tab w:val="left" w:pos="2622"/>
        </w:tabs>
        <w:kinsoku/>
        <w:wordWrap/>
        <w:overflowPunct/>
        <w:topLinePunct w:val="0"/>
        <w:autoSpaceDE w:val="0"/>
        <w:autoSpaceDN w:val="0"/>
        <w:bidi w:val="0"/>
        <w:spacing w:line="420" w:lineRule="exact"/>
        <w:ind w:firstLine="480" w:firstLineChars="200"/>
        <w:jc w:val="left"/>
        <w:textAlignment w:val="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r>
        <w:rPr>
          <w:rFonts w:hint="eastAsia" w:ascii="宋体" w:hAnsi="宋体" w:cs="宋体"/>
          <w:color w:val="auto"/>
          <w:kern w:val="0"/>
          <w:sz w:val="24"/>
          <w:highlight w:val="none"/>
          <w:lang w:val="zh-CN"/>
        </w:rPr>
        <w:tab/>
      </w:r>
    </w:p>
    <w:p w14:paraId="14CF4183">
      <w:pPr>
        <w:pStyle w:val="55"/>
        <w:pageBreakBefore w:val="0"/>
        <w:kinsoku/>
        <w:wordWrap/>
        <w:overflowPunct/>
        <w:topLinePunct w:val="0"/>
        <w:bidi w:val="0"/>
        <w:spacing w:line="420" w:lineRule="exact"/>
        <w:ind w:firstLine="480"/>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rPr>
        <w:t>4.3.1</w:t>
      </w:r>
      <w:r>
        <w:rPr>
          <w:rFonts w:hint="eastAsia" w:ascii="宋体" w:hAnsi="宋体" w:eastAsia="宋体" w:cs="宋体"/>
          <w:color w:val="auto"/>
          <w:sz w:val="24"/>
          <w:szCs w:val="24"/>
          <w:highlight w:val="none"/>
          <w:lang w:val="zh-CN"/>
        </w:rPr>
        <w:t>供应商认为采购文件、采购过程、中标或者成交结果使自己的权益受到损害的，可以在知道或者应知其权益受到损害之日起七个工作日内向采购人、采购代理机构提出质疑。为有效保护供应商合法权益和提高采购效率，鼓励供应商发现自己的权益受到损害后尽早提出质疑。</w:t>
      </w:r>
      <w:r>
        <w:rPr>
          <w:rFonts w:hint="eastAsia" w:ascii="宋体" w:hAnsi="宋体" w:eastAsia="宋体" w:cs="宋体"/>
          <w:b/>
          <w:bCs/>
          <w:color w:val="auto"/>
          <w:sz w:val="24"/>
          <w:szCs w:val="24"/>
          <w:highlight w:val="none"/>
          <w:lang w:val="zh-CN"/>
        </w:rPr>
        <w:t>供应商</w:t>
      </w:r>
      <w:r>
        <w:rPr>
          <w:rFonts w:hint="eastAsia" w:ascii="宋体" w:hAnsi="宋体" w:eastAsia="宋体" w:cs="宋体"/>
          <w:b/>
          <w:bCs/>
          <w:color w:val="auto"/>
          <w:sz w:val="24"/>
          <w:szCs w:val="24"/>
          <w:highlight w:val="none"/>
        </w:rPr>
        <w:t>应</w:t>
      </w:r>
      <w:r>
        <w:rPr>
          <w:rFonts w:hint="eastAsia" w:ascii="宋体" w:hAnsi="宋体" w:eastAsia="宋体" w:cs="宋体"/>
          <w:b/>
          <w:bCs/>
          <w:color w:val="auto"/>
          <w:sz w:val="24"/>
          <w:szCs w:val="24"/>
          <w:highlight w:val="none"/>
          <w:lang w:val="zh-CN"/>
        </w:rPr>
        <w:t>在法定质疑期内一次性提出针对同一采购程序环节的质疑。</w:t>
      </w:r>
    </w:p>
    <w:p w14:paraId="3BE1F244">
      <w:pPr>
        <w:pStyle w:val="55"/>
        <w:pageBreakBefore w:val="0"/>
        <w:kinsoku/>
        <w:wordWrap/>
        <w:overflowPunct/>
        <w:topLinePunct w:val="0"/>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4.3.2</w:t>
      </w:r>
      <w:r>
        <w:rPr>
          <w:rFonts w:hint="eastAsia" w:ascii="宋体" w:hAnsi="宋体" w:eastAsia="宋体" w:cs="宋体"/>
          <w:color w:val="auto"/>
          <w:sz w:val="24"/>
          <w:szCs w:val="24"/>
          <w:highlight w:val="none"/>
          <w:lang w:val="zh-CN"/>
        </w:rPr>
        <w:t>供应商知道或者应知其权益受到损害之日，是指：</w:t>
      </w:r>
    </w:p>
    <w:p w14:paraId="23C15268">
      <w:pPr>
        <w:pStyle w:val="55"/>
        <w:pageBreakBefore w:val="0"/>
        <w:kinsoku/>
        <w:wordWrap/>
        <w:overflowPunct/>
        <w:topLinePunct w:val="0"/>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对可以质疑的采购文件提出质疑的，为获取采购文件之日；获取采购文件时采购公告期限已届满的，为采购公告期限届满之日；</w:t>
      </w:r>
    </w:p>
    <w:p w14:paraId="005B3511">
      <w:pPr>
        <w:pStyle w:val="55"/>
        <w:pageBreakBefore w:val="0"/>
        <w:kinsoku/>
        <w:wordWrap/>
        <w:overflowPunct/>
        <w:topLinePunct w:val="0"/>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对采购过程中开标、资格审查、符合性审查和评审等环节提出质疑的，为各采购程序环节结束之日；</w:t>
      </w:r>
    </w:p>
    <w:p w14:paraId="34231C96">
      <w:pPr>
        <w:pStyle w:val="55"/>
        <w:pageBreakBefore w:val="0"/>
        <w:kinsoku/>
        <w:wordWrap/>
        <w:overflowPunct/>
        <w:topLinePunct w:val="0"/>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对中标或者成交结果提出质疑的，为中标或者成交结果公告期限届满之日；</w:t>
      </w:r>
    </w:p>
    <w:p w14:paraId="48900CE0">
      <w:pPr>
        <w:pStyle w:val="55"/>
        <w:pageBreakBefore w:val="0"/>
        <w:kinsoku/>
        <w:wordWrap/>
        <w:overflowPunct/>
        <w:topLinePunct w:val="0"/>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采购文件、采购过程、中标或者成交结果发生澄清、修改、更正的，对经澄清、修改、更正的部分内容提出质疑的，为通知送达供应商之日或者澄清公告、更正公告发布之日。</w:t>
      </w:r>
    </w:p>
    <w:p w14:paraId="4817AD38">
      <w:pPr>
        <w:pStyle w:val="55"/>
        <w:pageBreakBefore w:val="0"/>
        <w:kinsoku/>
        <w:wordWrap/>
        <w:overflowPunct/>
        <w:topLinePunct w:val="0"/>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.3.3提出质疑的供应商（以下简称质疑供应商）应当是参与所质疑项目（采购包）采购活动的供应商。潜在供应商已依法获取其可质疑的采购文件的，可以对该采购文件提出质疑。</w:t>
      </w:r>
    </w:p>
    <w:p w14:paraId="6B7459BD">
      <w:pPr>
        <w:pStyle w:val="55"/>
        <w:pageBreakBefore w:val="0"/>
        <w:kinsoku/>
        <w:wordWrap/>
        <w:overflowPunct/>
        <w:topLinePunct w:val="0"/>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项目设立、项目预算、采购方式、组织形式、进口产品核准、采购需求调查过程、专门面向中小企业采购、合同履约等不属于可质疑事项。</w:t>
      </w:r>
    </w:p>
    <w:p w14:paraId="73F12DA3">
      <w:pPr>
        <w:pStyle w:val="55"/>
        <w:pageBreakBefore w:val="0"/>
        <w:kinsoku/>
        <w:wordWrap/>
        <w:overflowPunct/>
        <w:topLinePunct w:val="0"/>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4.3.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质疑供应商通过电子交易平台提交质疑函的，提出质疑日期为质疑函在电子交易平台提交当日。质疑供应商通过邮寄提交质疑函的，质疑供应商应在质疑期内交邮，并承担邮寄费用。质疑供应商现场递交质疑函的，采购人、采购代理机构应向质疑供应商出具签收回执，注明接收日期。</w:t>
      </w:r>
    </w:p>
    <w:p w14:paraId="1D4ADDF2">
      <w:pPr>
        <w:pStyle w:val="21"/>
        <w:pageBreakBefore w:val="0"/>
        <w:kinsoku/>
        <w:wordWrap/>
        <w:overflowPunct/>
        <w:topLinePunct w:val="0"/>
        <w:bidi w:val="0"/>
        <w:spacing w:line="420" w:lineRule="exact"/>
        <w:ind w:firstLine="480" w:firstLineChars="200"/>
        <w:textAlignment w:val="auto"/>
        <w:rPr>
          <w:rFonts w:hint="eastAsia" w:hAnsi="宋体" w:cs="宋体"/>
          <w:color w:val="auto"/>
          <w:kern w:val="0"/>
          <w:sz w:val="24"/>
          <w:highlight w:val="none"/>
          <w:lang w:val="zh-CN"/>
        </w:rPr>
      </w:pPr>
      <w:r>
        <w:rPr>
          <w:rFonts w:hint="eastAsia" w:hAnsi="宋体" w:cs="宋体"/>
          <w:color w:val="auto"/>
          <w:sz w:val="24"/>
          <w:szCs w:val="24"/>
          <w:highlight w:val="none"/>
        </w:rPr>
        <w:t>4</w:t>
      </w:r>
      <w:r>
        <w:rPr>
          <w:rFonts w:hint="eastAsia" w:hAnsi="宋体" w:cs="宋体"/>
          <w:color w:val="auto"/>
          <w:sz w:val="24"/>
          <w:szCs w:val="24"/>
          <w:highlight w:val="none"/>
          <w:lang w:val="zh-CN"/>
        </w:rPr>
        <w:t>.3.</w:t>
      </w:r>
      <w:r>
        <w:rPr>
          <w:rFonts w:hint="eastAsia" w:hAnsi="宋体" w:cs="宋体"/>
          <w:color w:val="auto"/>
          <w:sz w:val="24"/>
          <w:szCs w:val="24"/>
          <w:highlight w:val="none"/>
          <w:lang w:val="en-US" w:eastAsia="zh-CN"/>
        </w:rPr>
        <w:t>5</w:t>
      </w:r>
      <w:r>
        <w:rPr>
          <w:rFonts w:hint="eastAsia" w:hAnsi="宋体" w:cs="宋体"/>
          <w:color w:val="auto"/>
          <w:sz w:val="24"/>
          <w:highlight w:val="none"/>
        </w:rPr>
        <w:t>供应商提出质疑应当提交质疑函和必要的证明材料。质疑函应当包括下列内容：</w:t>
      </w:r>
    </w:p>
    <w:p w14:paraId="0A6BFA10">
      <w:pPr>
        <w:pStyle w:val="21"/>
        <w:pageBreakBefore w:val="0"/>
        <w:kinsoku/>
        <w:wordWrap/>
        <w:overflowPunct/>
        <w:topLinePunct w:val="0"/>
        <w:bidi w:val="0"/>
        <w:spacing w:line="420" w:lineRule="exact"/>
        <w:ind w:firstLine="480" w:firstLineChars="200"/>
        <w:textAlignment w:val="auto"/>
        <w:rPr>
          <w:rFonts w:hint="eastAsia" w:hAnsi="宋体" w:cs="宋体"/>
          <w:color w:val="auto"/>
          <w:kern w:val="0"/>
          <w:sz w:val="24"/>
          <w:highlight w:val="none"/>
          <w:lang w:val="zh-CN"/>
        </w:rPr>
      </w:pPr>
      <w:r>
        <w:rPr>
          <w:rFonts w:hint="eastAsia" w:hAnsi="宋体" w:cs="宋体"/>
          <w:color w:val="auto"/>
          <w:kern w:val="0"/>
          <w:sz w:val="24"/>
          <w:highlight w:val="none"/>
          <w:lang w:val="zh-CN"/>
        </w:rPr>
        <w:t>（</w:t>
      </w:r>
      <w:r>
        <w:rPr>
          <w:rFonts w:hint="eastAsia" w:hAnsi="宋体" w:cs="宋体"/>
          <w:color w:val="auto"/>
          <w:kern w:val="0"/>
          <w:sz w:val="24"/>
          <w:highlight w:val="none"/>
        </w:rPr>
        <w:t>1）</w:t>
      </w:r>
      <w:r>
        <w:rPr>
          <w:rFonts w:hint="eastAsia" w:hAnsi="宋体" w:cs="宋体"/>
          <w:color w:val="auto"/>
          <w:kern w:val="0"/>
          <w:sz w:val="24"/>
          <w:highlight w:val="none"/>
          <w:lang w:val="zh-CN"/>
        </w:rPr>
        <w:t>供应商的姓名或者名称、地址、邮编、联系人及联系电话；</w:t>
      </w:r>
    </w:p>
    <w:p w14:paraId="03FB67A4">
      <w:pPr>
        <w:pStyle w:val="21"/>
        <w:pageBreakBefore w:val="0"/>
        <w:kinsoku/>
        <w:wordWrap/>
        <w:overflowPunct/>
        <w:topLinePunct w:val="0"/>
        <w:bidi w:val="0"/>
        <w:spacing w:line="420" w:lineRule="exact"/>
        <w:ind w:firstLine="480" w:firstLineChars="200"/>
        <w:textAlignment w:val="auto"/>
        <w:rPr>
          <w:rFonts w:hint="eastAsia" w:hAnsi="宋体" w:cs="宋体"/>
          <w:color w:val="auto"/>
          <w:kern w:val="0"/>
          <w:sz w:val="24"/>
          <w:highlight w:val="none"/>
          <w:lang w:val="zh-CN"/>
        </w:rPr>
      </w:pPr>
      <w:r>
        <w:rPr>
          <w:rFonts w:hint="eastAsia" w:hAnsi="宋体" w:cs="宋体"/>
          <w:color w:val="auto"/>
          <w:kern w:val="0"/>
          <w:sz w:val="24"/>
          <w:highlight w:val="none"/>
          <w:lang w:val="zh-CN"/>
        </w:rPr>
        <w:t>（</w:t>
      </w:r>
      <w:r>
        <w:rPr>
          <w:rFonts w:hint="eastAsia" w:hAnsi="宋体" w:cs="宋体"/>
          <w:color w:val="auto"/>
          <w:kern w:val="0"/>
          <w:sz w:val="24"/>
          <w:highlight w:val="none"/>
        </w:rPr>
        <w:t>2）</w:t>
      </w:r>
      <w:r>
        <w:rPr>
          <w:rFonts w:hint="eastAsia" w:hAnsi="宋体" w:cs="宋体"/>
          <w:color w:val="auto"/>
          <w:kern w:val="0"/>
          <w:sz w:val="24"/>
          <w:highlight w:val="none"/>
          <w:lang w:val="zh-CN"/>
        </w:rPr>
        <w:t>质疑项目的名称、编号；</w:t>
      </w:r>
    </w:p>
    <w:p w14:paraId="37D093ED">
      <w:pPr>
        <w:pStyle w:val="21"/>
        <w:pageBreakBefore w:val="0"/>
        <w:kinsoku/>
        <w:wordWrap/>
        <w:overflowPunct/>
        <w:topLinePunct w:val="0"/>
        <w:bidi w:val="0"/>
        <w:spacing w:line="420" w:lineRule="exact"/>
        <w:ind w:firstLine="480" w:firstLineChars="200"/>
        <w:textAlignment w:val="auto"/>
        <w:rPr>
          <w:rFonts w:hint="eastAsia" w:hAnsi="宋体" w:cs="宋体"/>
          <w:color w:val="auto"/>
          <w:kern w:val="0"/>
          <w:sz w:val="24"/>
          <w:highlight w:val="none"/>
          <w:lang w:val="zh-CN"/>
        </w:rPr>
      </w:pPr>
      <w:r>
        <w:rPr>
          <w:rFonts w:hint="eastAsia" w:hAnsi="宋体" w:cs="宋体"/>
          <w:color w:val="auto"/>
          <w:kern w:val="0"/>
          <w:sz w:val="24"/>
          <w:highlight w:val="none"/>
          <w:lang w:val="zh-CN"/>
        </w:rPr>
        <w:t>（</w:t>
      </w:r>
      <w:r>
        <w:rPr>
          <w:rFonts w:hint="eastAsia" w:hAnsi="宋体" w:cs="宋体"/>
          <w:color w:val="auto"/>
          <w:kern w:val="0"/>
          <w:sz w:val="24"/>
          <w:highlight w:val="none"/>
        </w:rPr>
        <w:t>3）</w:t>
      </w:r>
      <w:r>
        <w:rPr>
          <w:rFonts w:hint="eastAsia" w:hAnsi="宋体" w:cs="宋体"/>
          <w:color w:val="auto"/>
          <w:kern w:val="0"/>
          <w:sz w:val="24"/>
          <w:highlight w:val="none"/>
          <w:lang w:val="zh-CN"/>
        </w:rPr>
        <w:t>具体、明确的质疑事项和与质疑事项相关的请求；</w:t>
      </w:r>
    </w:p>
    <w:p w14:paraId="12138AEB">
      <w:pPr>
        <w:pStyle w:val="21"/>
        <w:pageBreakBefore w:val="0"/>
        <w:kinsoku/>
        <w:wordWrap/>
        <w:overflowPunct/>
        <w:topLinePunct w:val="0"/>
        <w:bidi w:val="0"/>
        <w:spacing w:line="420" w:lineRule="exact"/>
        <w:ind w:firstLine="480" w:firstLineChars="200"/>
        <w:textAlignment w:val="auto"/>
        <w:rPr>
          <w:rFonts w:hint="eastAsia" w:hAnsi="宋体" w:cs="宋体"/>
          <w:color w:val="auto"/>
          <w:kern w:val="0"/>
          <w:sz w:val="24"/>
          <w:highlight w:val="none"/>
          <w:lang w:val="zh-CN"/>
        </w:rPr>
      </w:pPr>
      <w:r>
        <w:rPr>
          <w:rFonts w:hint="eastAsia" w:hAnsi="宋体" w:cs="宋体"/>
          <w:color w:val="auto"/>
          <w:kern w:val="0"/>
          <w:sz w:val="24"/>
          <w:highlight w:val="none"/>
          <w:lang w:val="zh-CN"/>
        </w:rPr>
        <w:t>（</w:t>
      </w:r>
      <w:r>
        <w:rPr>
          <w:rFonts w:hint="eastAsia" w:hAnsi="宋体" w:cs="宋体"/>
          <w:color w:val="auto"/>
          <w:kern w:val="0"/>
          <w:sz w:val="24"/>
          <w:highlight w:val="none"/>
        </w:rPr>
        <w:t>4）</w:t>
      </w:r>
      <w:r>
        <w:rPr>
          <w:rFonts w:hint="eastAsia" w:hAnsi="宋体" w:cs="宋体"/>
          <w:color w:val="auto"/>
          <w:kern w:val="0"/>
          <w:sz w:val="24"/>
          <w:highlight w:val="none"/>
          <w:lang w:val="zh-CN"/>
        </w:rPr>
        <w:t>事实依据；</w:t>
      </w:r>
    </w:p>
    <w:p w14:paraId="1C82785B">
      <w:pPr>
        <w:pStyle w:val="21"/>
        <w:pageBreakBefore w:val="0"/>
        <w:kinsoku/>
        <w:wordWrap/>
        <w:overflowPunct/>
        <w:topLinePunct w:val="0"/>
        <w:bidi w:val="0"/>
        <w:spacing w:line="420" w:lineRule="exact"/>
        <w:ind w:firstLine="480" w:firstLineChars="200"/>
        <w:textAlignment w:val="auto"/>
        <w:rPr>
          <w:rFonts w:hint="eastAsia" w:hAnsi="宋体" w:cs="宋体"/>
          <w:color w:val="auto"/>
          <w:kern w:val="0"/>
          <w:sz w:val="24"/>
          <w:highlight w:val="none"/>
          <w:lang w:val="zh-CN"/>
        </w:rPr>
      </w:pPr>
      <w:r>
        <w:rPr>
          <w:rFonts w:hint="eastAsia" w:hAnsi="宋体" w:cs="宋体"/>
          <w:color w:val="auto"/>
          <w:kern w:val="0"/>
          <w:sz w:val="24"/>
          <w:highlight w:val="none"/>
          <w:lang w:val="zh-CN"/>
        </w:rPr>
        <w:t>（</w:t>
      </w:r>
      <w:r>
        <w:rPr>
          <w:rFonts w:hint="eastAsia" w:hAnsi="宋体" w:cs="宋体"/>
          <w:color w:val="auto"/>
          <w:kern w:val="0"/>
          <w:sz w:val="24"/>
          <w:highlight w:val="none"/>
        </w:rPr>
        <w:t>5）</w:t>
      </w:r>
      <w:r>
        <w:rPr>
          <w:rFonts w:hint="eastAsia" w:hAnsi="宋体" w:cs="宋体"/>
          <w:color w:val="auto"/>
          <w:kern w:val="0"/>
          <w:sz w:val="24"/>
          <w:highlight w:val="none"/>
          <w:lang w:val="zh-CN"/>
        </w:rPr>
        <w:t>必要的法律依据；</w:t>
      </w:r>
    </w:p>
    <w:p w14:paraId="7BAC019B">
      <w:pPr>
        <w:pStyle w:val="21"/>
        <w:pageBreakBefore w:val="0"/>
        <w:kinsoku/>
        <w:wordWrap/>
        <w:overflowPunct/>
        <w:topLinePunct w:val="0"/>
        <w:bidi w:val="0"/>
        <w:spacing w:line="420" w:lineRule="exact"/>
        <w:ind w:firstLine="480" w:firstLineChars="200"/>
        <w:textAlignment w:val="auto"/>
        <w:rPr>
          <w:rFonts w:hint="eastAsia" w:hAnsi="宋体" w:cs="宋体"/>
          <w:color w:val="auto"/>
          <w:kern w:val="0"/>
          <w:sz w:val="24"/>
          <w:highlight w:val="none"/>
          <w:lang w:val="zh-CN"/>
        </w:rPr>
      </w:pPr>
      <w:r>
        <w:rPr>
          <w:rFonts w:hint="eastAsia" w:hAnsi="宋体" w:cs="宋体"/>
          <w:color w:val="auto"/>
          <w:kern w:val="0"/>
          <w:sz w:val="24"/>
          <w:highlight w:val="none"/>
          <w:lang w:val="zh-CN"/>
        </w:rPr>
        <w:t>（</w:t>
      </w:r>
      <w:r>
        <w:rPr>
          <w:rFonts w:hint="eastAsia" w:hAnsi="宋体" w:cs="宋体"/>
          <w:color w:val="auto"/>
          <w:kern w:val="0"/>
          <w:sz w:val="24"/>
          <w:highlight w:val="none"/>
        </w:rPr>
        <w:t>6）</w:t>
      </w:r>
      <w:r>
        <w:rPr>
          <w:rFonts w:hint="eastAsia" w:hAnsi="宋体" w:cs="宋体"/>
          <w:color w:val="auto"/>
          <w:kern w:val="0"/>
          <w:sz w:val="24"/>
          <w:highlight w:val="none"/>
          <w:lang w:val="zh-CN"/>
        </w:rPr>
        <w:t>提出质疑的日期。</w:t>
      </w:r>
    </w:p>
    <w:p w14:paraId="6CB9A89D">
      <w:pPr>
        <w:pStyle w:val="126"/>
        <w:pageBreakBefore w:val="0"/>
        <w:shd w:val="clear" w:color="auto" w:fill="FFFFFF"/>
        <w:kinsoku/>
        <w:wordWrap/>
        <w:overflowPunct/>
        <w:topLinePunct w:val="0"/>
        <w:bidi w:val="0"/>
        <w:snapToGrid w:val="0"/>
        <w:spacing w:before="0" w:beforeAutospacing="0" w:after="0" w:afterAutospacing="0" w:line="420" w:lineRule="exact"/>
        <w:ind w:firstLine="480" w:firstLineChars="200"/>
        <w:contextualSpacing/>
        <w:textAlignment w:val="auto"/>
        <w:rPr>
          <w:rFonts w:hint="eastAsia"/>
          <w:color w:val="auto"/>
          <w:highlight w:val="none"/>
        </w:rPr>
      </w:pPr>
      <w:r>
        <w:rPr>
          <w:rFonts w:hint="eastAsia"/>
          <w:color w:val="auto"/>
          <w:highlight w:val="none"/>
        </w:rPr>
        <w:t xml:space="preserve"> 供应商为自然人的，应当由本人签字；供应商为法人或者其他组织的，应当由法定代表人、主要负责人，或者其授权代表签字或者盖章，并加盖公章。以联合体形式参加政府采购活动的，其投诉应当由组成联合体的所有供应商共同提出。</w:t>
      </w:r>
    </w:p>
    <w:p w14:paraId="1625D5A0">
      <w:pPr>
        <w:pStyle w:val="55"/>
        <w:pageBreakBefore w:val="0"/>
        <w:kinsoku/>
        <w:wordWrap/>
        <w:overflowPunct/>
        <w:topLinePunct w:val="0"/>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供应商提出质疑可使用财政部制定的质疑函范本，该范本可在浙江政府采购网下载专区下载。</w:t>
      </w:r>
    </w:p>
    <w:p w14:paraId="1AD0D1D1">
      <w:pPr>
        <w:pStyle w:val="55"/>
        <w:pageBreakBefore w:val="0"/>
        <w:kinsoku/>
        <w:wordWrap/>
        <w:overflowPunct/>
        <w:topLinePunct w:val="0"/>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4.3.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供应商提交的质疑函缺少具体明确的质疑事项、事实依据、必要的法律依据、与质疑事项相关的请求、签章等内容的，采购人、采购代理机构可通知其在法定质疑期内补充、完善。质疑供应商在法定质疑期内未按要求补充、完善的，自行承担不利后果。</w:t>
      </w:r>
    </w:p>
    <w:p w14:paraId="5C5D7475">
      <w:pPr>
        <w:pStyle w:val="55"/>
        <w:pageBreakBefore w:val="0"/>
        <w:kinsoku/>
        <w:wordWrap/>
        <w:overflowPunct/>
        <w:topLinePunct w:val="0"/>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人、采购代理机构有初步证据认为质疑供应商权益未受到损害的，可要求其提供属于潜在供应商或者合法权益受到损害的证明材料。经营主体明显不具有履行合同所必需的设备和专业技术能力的，不属于潜在供应商。</w:t>
      </w:r>
    </w:p>
    <w:p w14:paraId="3BE9BE6A">
      <w:pPr>
        <w:pStyle w:val="126"/>
        <w:pageBreakBefore w:val="0"/>
        <w:shd w:val="clear" w:color="auto" w:fill="FFFFFF"/>
        <w:kinsoku/>
        <w:wordWrap/>
        <w:overflowPunct/>
        <w:topLinePunct w:val="0"/>
        <w:bidi w:val="0"/>
        <w:snapToGrid w:val="0"/>
        <w:spacing w:before="0" w:beforeAutospacing="0" w:after="0" w:afterAutospacing="0" w:line="420" w:lineRule="exact"/>
        <w:ind w:firstLine="400"/>
        <w:contextualSpacing/>
        <w:textAlignment w:val="auto"/>
        <w:rPr>
          <w:rFonts w:hint="eastAsia"/>
          <w:color w:val="auto"/>
          <w:highlight w:val="none"/>
        </w:rPr>
      </w:pPr>
      <w:r>
        <w:rPr>
          <w:rFonts w:hint="eastAsia"/>
          <w:color w:val="auto"/>
          <w:highlight w:val="none"/>
        </w:rPr>
        <w:t>4.3.</w:t>
      </w:r>
      <w:r>
        <w:rPr>
          <w:rFonts w:hint="eastAsia"/>
          <w:color w:val="auto"/>
          <w:highlight w:val="none"/>
          <w:lang w:val="en-US" w:eastAsia="zh-CN"/>
        </w:rPr>
        <w:t>7</w:t>
      </w:r>
      <w:r>
        <w:rPr>
          <w:rFonts w:hint="eastAsia"/>
          <w:color w:val="auto"/>
          <w:highlight w:val="none"/>
        </w:rPr>
        <w:t>供应商有下列情形之一的，质疑事项不予处理，由采购人、采购代理机构收到质疑函后七个工作日内书面通知质疑供应商：</w:t>
      </w:r>
    </w:p>
    <w:p w14:paraId="34465C41">
      <w:pPr>
        <w:pStyle w:val="126"/>
        <w:pageBreakBefore w:val="0"/>
        <w:shd w:val="clear" w:color="auto" w:fill="FFFFFF"/>
        <w:kinsoku/>
        <w:wordWrap/>
        <w:overflowPunct/>
        <w:topLinePunct w:val="0"/>
        <w:bidi w:val="0"/>
        <w:snapToGrid w:val="0"/>
        <w:spacing w:after="240" w:afterAutospacing="0" w:line="420" w:lineRule="exact"/>
        <w:ind w:firstLine="400"/>
        <w:contextualSpacing/>
        <w:textAlignment w:val="auto"/>
        <w:rPr>
          <w:rFonts w:hint="eastAsia"/>
          <w:color w:val="auto"/>
          <w:highlight w:val="none"/>
        </w:rPr>
      </w:pPr>
      <w:bookmarkStart w:id="25" w:name="OLE_LINK3"/>
      <w:r>
        <w:rPr>
          <w:rFonts w:hint="eastAsia"/>
          <w:color w:val="auto"/>
          <w:highlight w:val="none"/>
        </w:rPr>
        <w:t>（1）</w:t>
      </w:r>
      <w:bookmarkEnd w:id="25"/>
      <w:r>
        <w:rPr>
          <w:rFonts w:hint="eastAsia"/>
          <w:color w:val="auto"/>
          <w:highlight w:val="none"/>
        </w:rPr>
        <w:t>潜在供应商未提供依法获取采购文件证据材料，对采购文件提出质疑的；</w:t>
      </w:r>
    </w:p>
    <w:p w14:paraId="50005CEC">
      <w:pPr>
        <w:pStyle w:val="126"/>
        <w:pageBreakBefore w:val="0"/>
        <w:shd w:val="clear" w:color="auto" w:fill="FFFFFF"/>
        <w:kinsoku/>
        <w:wordWrap/>
        <w:overflowPunct/>
        <w:topLinePunct w:val="0"/>
        <w:bidi w:val="0"/>
        <w:snapToGrid w:val="0"/>
        <w:spacing w:after="240" w:afterAutospacing="0" w:line="420" w:lineRule="exact"/>
        <w:ind w:firstLine="400"/>
        <w:contextualSpacing/>
        <w:textAlignment w:val="auto"/>
        <w:rPr>
          <w:rFonts w:hint="eastAsia"/>
          <w:color w:val="auto"/>
          <w:highlight w:val="none"/>
        </w:rPr>
      </w:pPr>
      <w:r>
        <w:rPr>
          <w:rFonts w:hint="eastAsia"/>
          <w:color w:val="auto"/>
          <w:highlight w:val="none"/>
        </w:rPr>
        <w:t>（2）供应商未按采购人、采购代理机构要求提供项目设置的特定资格条件证明材料，对特定资格条件以外的采购文件内容提出质疑的；</w:t>
      </w:r>
    </w:p>
    <w:p w14:paraId="010F3A4B">
      <w:pPr>
        <w:pStyle w:val="126"/>
        <w:pageBreakBefore w:val="0"/>
        <w:shd w:val="clear" w:color="auto" w:fill="FFFFFF"/>
        <w:kinsoku/>
        <w:wordWrap/>
        <w:overflowPunct/>
        <w:topLinePunct w:val="0"/>
        <w:bidi w:val="0"/>
        <w:snapToGrid w:val="0"/>
        <w:spacing w:after="240" w:afterAutospacing="0" w:line="420" w:lineRule="exact"/>
        <w:ind w:firstLine="400"/>
        <w:contextualSpacing/>
        <w:textAlignment w:val="auto"/>
        <w:rPr>
          <w:rFonts w:hint="eastAsia"/>
          <w:color w:val="auto"/>
          <w:highlight w:val="none"/>
        </w:rPr>
      </w:pPr>
      <w:r>
        <w:rPr>
          <w:rFonts w:hint="eastAsia"/>
          <w:color w:val="auto"/>
          <w:highlight w:val="none"/>
        </w:rPr>
        <w:t>（3）未提交投标文件，对采购过程、采购结果提出质疑的；</w:t>
      </w:r>
    </w:p>
    <w:p w14:paraId="79AADA23">
      <w:pPr>
        <w:pStyle w:val="126"/>
        <w:pageBreakBefore w:val="0"/>
        <w:shd w:val="clear" w:color="auto" w:fill="FFFFFF"/>
        <w:kinsoku/>
        <w:wordWrap/>
        <w:overflowPunct/>
        <w:topLinePunct w:val="0"/>
        <w:bidi w:val="0"/>
        <w:snapToGrid w:val="0"/>
        <w:spacing w:after="240" w:afterAutospacing="0" w:line="420" w:lineRule="exact"/>
        <w:ind w:firstLine="400"/>
        <w:contextualSpacing/>
        <w:textAlignment w:val="auto"/>
        <w:rPr>
          <w:rFonts w:hint="eastAsia"/>
          <w:color w:val="auto"/>
          <w:highlight w:val="none"/>
        </w:rPr>
      </w:pPr>
      <w:r>
        <w:rPr>
          <w:rFonts w:hint="eastAsia"/>
          <w:color w:val="auto"/>
          <w:highlight w:val="none"/>
        </w:rPr>
        <w:t>（4）未通过资格审查，对评审过程、采购结果提出质疑的；</w:t>
      </w:r>
    </w:p>
    <w:p w14:paraId="34B49EDF">
      <w:pPr>
        <w:pStyle w:val="126"/>
        <w:pageBreakBefore w:val="0"/>
        <w:shd w:val="clear" w:color="auto" w:fill="FFFFFF"/>
        <w:kinsoku/>
        <w:wordWrap/>
        <w:overflowPunct/>
        <w:topLinePunct w:val="0"/>
        <w:bidi w:val="0"/>
        <w:snapToGrid w:val="0"/>
        <w:spacing w:after="240" w:afterAutospacing="0" w:line="420" w:lineRule="exact"/>
        <w:ind w:firstLine="400"/>
        <w:contextualSpacing/>
        <w:textAlignment w:val="auto"/>
        <w:rPr>
          <w:rFonts w:hint="eastAsia"/>
          <w:color w:val="auto"/>
          <w:highlight w:val="none"/>
        </w:rPr>
      </w:pPr>
      <w:r>
        <w:rPr>
          <w:rFonts w:hint="eastAsia"/>
          <w:color w:val="auto"/>
          <w:highlight w:val="none"/>
        </w:rPr>
        <w:t>（5）未通过符合性审查，对符合性审查后的评审活动、采购结果提出质疑的；</w:t>
      </w:r>
    </w:p>
    <w:p w14:paraId="27B38847">
      <w:pPr>
        <w:pStyle w:val="126"/>
        <w:pageBreakBefore w:val="0"/>
        <w:shd w:val="clear" w:color="auto" w:fill="FFFFFF"/>
        <w:kinsoku/>
        <w:wordWrap/>
        <w:overflowPunct/>
        <w:topLinePunct w:val="0"/>
        <w:bidi w:val="0"/>
        <w:snapToGrid w:val="0"/>
        <w:spacing w:after="240" w:afterAutospacing="0" w:line="420" w:lineRule="exact"/>
        <w:ind w:firstLine="400"/>
        <w:contextualSpacing/>
        <w:textAlignment w:val="auto"/>
        <w:rPr>
          <w:rFonts w:hint="eastAsia"/>
          <w:color w:val="auto"/>
          <w:highlight w:val="none"/>
        </w:rPr>
      </w:pPr>
      <w:r>
        <w:rPr>
          <w:rFonts w:hint="eastAsia"/>
          <w:color w:val="auto"/>
          <w:highlight w:val="none"/>
        </w:rPr>
        <w:t>（6）未通过采购文件规定的方式提出质疑的；</w:t>
      </w:r>
    </w:p>
    <w:p w14:paraId="40BB343E">
      <w:pPr>
        <w:pStyle w:val="126"/>
        <w:pageBreakBefore w:val="0"/>
        <w:shd w:val="clear" w:color="auto" w:fill="FFFFFF"/>
        <w:kinsoku/>
        <w:wordWrap/>
        <w:overflowPunct/>
        <w:topLinePunct w:val="0"/>
        <w:bidi w:val="0"/>
        <w:snapToGrid w:val="0"/>
        <w:spacing w:after="240" w:afterAutospacing="0" w:line="420" w:lineRule="exact"/>
        <w:ind w:firstLine="400"/>
        <w:contextualSpacing/>
        <w:textAlignment w:val="auto"/>
        <w:rPr>
          <w:rFonts w:hint="eastAsia"/>
          <w:color w:val="auto"/>
          <w:highlight w:val="none"/>
        </w:rPr>
      </w:pPr>
      <w:r>
        <w:rPr>
          <w:rFonts w:hint="eastAsia"/>
          <w:color w:val="auto"/>
          <w:highlight w:val="none"/>
        </w:rPr>
        <w:t>（7）提出质疑时间已超出法定质疑期的；</w:t>
      </w:r>
    </w:p>
    <w:p w14:paraId="09506537">
      <w:pPr>
        <w:pStyle w:val="126"/>
        <w:pageBreakBefore w:val="0"/>
        <w:shd w:val="clear" w:color="auto" w:fill="FFFFFF"/>
        <w:kinsoku/>
        <w:wordWrap/>
        <w:overflowPunct/>
        <w:topLinePunct w:val="0"/>
        <w:bidi w:val="0"/>
        <w:snapToGrid w:val="0"/>
        <w:spacing w:after="240" w:afterAutospacing="0" w:line="420" w:lineRule="exact"/>
        <w:ind w:firstLine="400"/>
        <w:contextualSpacing/>
        <w:textAlignment w:val="auto"/>
        <w:rPr>
          <w:rFonts w:hint="eastAsia"/>
          <w:color w:val="auto"/>
          <w:highlight w:val="none"/>
        </w:rPr>
      </w:pPr>
      <w:r>
        <w:rPr>
          <w:rFonts w:hint="eastAsia"/>
          <w:color w:val="auto"/>
          <w:highlight w:val="none"/>
        </w:rPr>
        <w:t>（8）采购文件要求供应商在法定质疑期内一次性提出针对同一采购程序环节质疑，再次提出质疑的；</w:t>
      </w:r>
    </w:p>
    <w:p w14:paraId="6975C707">
      <w:pPr>
        <w:pStyle w:val="126"/>
        <w:pageBreakBefore w:val="0"/>
        <w:shd w:val="clear" w:color="auto" w:fill="FFFFFF"/>
        <w:kinsoku/>
        <w:wordWrap/>
        <w:overflowPunct/>
        <w:topLinePunct w:val="0"/>
        <w:bidi w:val="0"/>
        <w:snapToGrid w:val="0"/>
        <w:spacing w:after="240" w:afterAutospacing="0" w:line="420" w:lineRule="exact"/>
        <w:ind w:firstLine="400"/>
        <w:contextualSpacing/>
        <w:textAlignment w:val="auto"/>
        <w:rPr>
          <w:rFonts w:hint="eastAsia"/>
          <w:color w:val="auto"/>
          <w:highlight w:val="none"/>
        </w:rPr>
      </w:pPr>
      <w:r>
        <w:rPr>
          <w:rFonts w:hint="eastAsia"/>
          <w:color w:val="auto"/>
          <w:highlight w:val="none"/>
        </w:rPr>
        <w:t>（9）质疑函未按采购人、采购代理机构要求补充完善签署、盖章、联系方式、提交合法有效的授权委托书的；</w:t>
      </w:r>
    </w:p>
    <w:p w14:paraId="6F13D031">
      <w:pPr>
        <w:pStyle w:val="126"/>
        <w:pageBreakBefore w:val="0"/>
        <w:shd w:val="clear" w:color="auto" w:fill="FFFFFF"/>
        <w:kinsoku/>
        <w:wordWrap/>
        <w:overflowPunct/>
        <w:topLinePunct w:val="0"/>
        <w:bidi w:val="0"/>
        <w:snapToGrid w:val="0"/>
        <w:spacing w:after="240" w:afterAutospacing="0" w:line="420" w:lineRule="exact"/>
        <w:ind w:firstLine="400"/>
        <w:contextualSpacing/>
        <w:textAlignment w:val="auto"/>
        <w:rPr>
          <w:rFonts w:hint="eastAsia"/>
          <w:color w:val="auto"/>
          <w:highlight w:val="none"/>
        </w:rPr>
      </w:pPr>
      <w:r>
        <w:rPr>
          <w:rFonts w:hint="eastAsia"/>
          <w:color w:val="auto"/>
          <w:highlight w:val="none"/>
        </w:rPr>
        <w:t>（10）质疑供应商未按照采购人、采购代理机构要求提供属于潜在供应商或其合法权益受到损害的事实依据的；</w:t>
      </w:r>
    </w:p>
    <w:p w14:paraId="49F20BCA">
      <w:pPr>
        <w:pStyle w:val="126"/>
        <w:pageBreakBefore w:val="0"/>
        <w:shd w:val="clear" w:color="auto" w:fill="FFFFFF"/>
        <w:kinsoku/>
        <w:wordWrap/>
        <w:overflowPunct/>
        <w:topLinePunct w:val="0"/>
        <w:bidi w:val="0"/>
        <w:snapToGrid w:val="0"/>
        <w:spacing w:after="240" w:afterAutospacing="0" w:line="420" w:lineRule="exact"/>
        <w:ind w:firstLine="400"/>
        <w:contextualSpacing/>
        <w:textAlignment w:val="auto"/>
        <w:rPr>
          <w:rFonts w:hint="eastAsia"/>
          <w:color w:val="auto"/>
          <w:highlight w:val="none"/>
        </w:rPr>
      </w:pPr>
      <w:r>
        <w:rPr>
          <w:rFonts w:hint="eastAsia"/>
          <w:color w:val="auto"/>
          <w:highlight w:val="none"/>
        </w:rPr>
        <w:t>（11）以联合体形式参加政府采购活动，联合体成员未共同提出质疑的；</w:t>
      </w:r>
    </w:p>
    <w:p w14:paraId="2048818C">
      <w:pPr>
        <w:pStyle w:val="126"/>
        <w:pageBreakBefore w:val="0"/>
        <w:shd w:val="clear" w:color="auto" w:fill="FFFFFF"/>
        <w:kinsoku/>
        <w:wordWrap/>
        <w:overflowPunct/>
        <w:topLinePunct w:val="0"/>
        <w:bidi w:val="0"/>
        <w:snapToGrid w:val="0"/>
        <w:spacing w:after="240" w:afterAutospacing="0" w:line="420" w:lineRule="exact"/>
        <w:ind w:firstLine="400"/>
        <w:contextualSpacing/>
        <w:textAlignment w:val="auto"/>
        <w:rPr>
          <w:rFonts w:hint="eastAsia"/>
          <w:color w:val="auto"/>
          <w:highlight w:val="none"/>
        </w:rPr>
      </w:pPr>
      <w:r>
        <w:rPr>
          <w:rFonts w:hint="eastAsia"/>
          <w:color w:val="auto"/>
          <w:highlight w:val="none"/>
        </w:rPr>
        <w:t>（12）法律法规或省级以上财政部门规定的其他情形。</w:t>
      </w:r>
    </w:p>
    <w:p w14:paraId="6B485FC5">
      <w:pPr>
        <w:pStyle w:val="126"/>
        <w:pageBreakBefore w:val="0"/>
        <w:shd w:val="clear" w:color="auto" w:fill="FFFFFF"/>
        <w:kinsoku/>
        <w:wordWrap/>
        <w:overflowPunct/>
        <w:topLinePunct w:val="0"/>
        <w:bidi w:val="0"/>
        <w:snapToGrid w:val="0"/>
        <w:spacing w:after="240" w:afterAutospacing="0" w:line="420" w:lineRule="exact"/>
        <w:ind w:firstLine="480" w:firstLineChars="200"/>
        <w:contextualSpacing/>
        <w:textAlignment w:val="auto"/>
        <w:rPr>
          <w:rFonts w:hint="eastAsia"/>
          <w:color w:val="auto"/>
          <w:highlight w:val="none"/>
          <w:lang w:val="zh-CN"/>
        </w:rPr>
      </w:pPr>
      <w:r>
        <w:rPr>
          <w:rFonts w:hint="eastAsia"/>
          <w:color w:val="auto"/>
          <w:highlight w:val="none"/>
          <w:lang w:val="zh-CN"/>
        </w:rPr>
        <w:t>4.4供应商投诉</w:t>
      </w:r>
    </w:p>
    <w:p w14:paraId="36F78679">
      <w:pPr>
        <w:pStyle w:val="126"/>
        <w:pageBreakBefore w:val="0"/>
        <w:shd w:val="clear" w:color="auto" w:fill="FFFFFF"/>
        <w:kinsoku/>
        <w:wordWrap/>
        <w:overflowPunct/>
        <w:topLinePunct w:val="0"/>
        <w:bidi w:val="0"/>
        <w:snapToGrid w:val="0"/>
        <w:spacing w:before="0" w:beforeAutospacing="0" w:after="0" w:afterAutospacing="0" w:line="420" w:lineRule="exact"/>
        <w:ind w:firstLine="480" w:firstLineChars="200"/>
        <w:contextualSpacing/>
        <w:textAlignment w:val="auto"/>
        <w:rPr>
          <w:rFonts w:hint="eastAsia"/>
          <w:color w:val="auto"/>
          <w:highlight w:val="none"/>
        </w:rPr>
      </w:pPr>
      <w:r>
        <w:rPr>
          <w:rFonts w:hint="eastAsia"/>
          <w:color w:val="auto"/>
          <w:highlight w:val="none"/>
        </w:rPr>
        <w:t>4.4.1质疑供应商对采购人、采购代理机构的答复不满意或者采购人、采购代理机构未在规定的时间内作出答复的，可以在答复期满后十五个工作日内向同级政府采购监督管理部门提出投诉。</w:t>
      </w:r>
    </w:p>
    <w:p w14:paraId="0A5293CE">
      <w:pPr>
        <w:pStyle w:val="126"/>
        <w:pageBreakBefore w:val="0"/>
        <w:shd w:val="clear" w:color="auto" w:fill="FFFFFF"/>
        <w:kinsoku/>
        <w:wordWrap/>
        <w:overflowPunct/>
        <w:topLinePunct w:val="0"/>
        <w:bidi w:val="0"/>
        <w:snapToGrid w:val="0"/>
        <w:spacing w:after="240" w:afterAutospacing="0" w:line="420" w:lineRule="exact"/>
        <w:ind w:firstLine="400"/>
        <w:contextualSpacing/>
        <w:textAlignment w:val="auto"/>
        <w:rPr>
          <w:rFonts w:hint="eastAsia"/>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30298113">
      <w:pPr>
        <w:pStyle w:val="126"/>
        <w:pageBreakBefore w:val="0"/>
        <w:shd w:val="clear" w:color="auto" w:fill="FFFFFF"/>
        <w:kinsoku/>
        <w:wordWrap/>
        <w:overflowPunct/>
        <w:topLinePunct w:val="0"/>
        <w:bidi w:val="0"/>
        <w:snapToGrid w:val="0"/>
        <w:spacing w:after="240" w:afterAutospacing="0" w:line="420" w:lineRule="exact"/>
        <w:ind w:firstLine="400"/>
        <w:contextualSpacing/>
        <w:textAlignment w:val="auto"/>
        <w:rPr>
          <w:rFonts w:hint="eastAsia"/>
          <w:color w:val="auto"/>
          <w:highlight w:val="none"/>
        </w:rPr>
      </w:pPr>
      <w:r>
        <w:rPr>
          <w:rFonts w:hint="eastAsia"/>
          <w:color w:val="auto"/>
          <w:highlight w:val="none"/>
        </w:rPr>
        <w:t>4.4.3供应商投诉应当有明确的请求和必要的证明材料。</w:t>
      </w:r>
    </w:p>
    <w:p w14:paraId="4001C5E2">
      <w:pPr>
        <w:pStyle w:val="126"/>
        <w:pageBreakBefore w:val="0"/>
        <w:shd w:val="clear" w:color="auto" w:fill="FFFFFF"/>
        <w:kinsoku/>
        <w:wordWrap/>
        <w:overflowPunct/>
        <w:topLinePunct w:val="0"/>
        <w:bidi w:val="0"/>
        <w:snapToGrid w:val="0"/>
        <w:spacing w:after="240" w:afterAutospacing="0" w:line="420" w:lineRule="exact"/>
        <w:ind w:firstLine="400"/>
        <w:contextualSpacing/>
        <w:textAlignment w:val="auto"/>
        <w:rPr>
          <w:rFonts w:hint="eastAsia"/>
          <w:color w:val="auto"/>
          <w:highlight w:val="none"/>
        </w:rPr>
      </w:pPr>
      <w:r>
        <w:rPr>
          <w:rFonts w:hint="eastAsia"/>
          <w:color w:val="auto"/>
          <w:highlight w:val="none"/>
        </w:rPr>
        <w:t>4.4.4 以联合体形式参加政府采购活动的，其投诉应当由组成联合体的所有供应商共同提出。</w:t>
      </w:r>
    </w:p>
    <w:p w14:paraId="4F3B027B">
      <w:pPr>
        <w:pStyle w:val="126"/>
        <w:pageBreakBefore w:val="0"/>
        <w:shd w:val="clear" w:color="auto" w:fill="FFFFFF"/>
        <w:kinsoku/>
        <w:wordWrap/>
        <w:overflowPunct/>
        <w:topLinePunct w:val="0"/>
        <w:bidi w:val="0"/>
        <w:snapToGrid w:val="0"/>
        <w:spacing w:after="240" w:afterAutospacing="0" w:line="420" w:lineRule="exact"/>
        <w:ind w:firstLine="480" w:firstLineChars="200"/>
        <w:contextualSpacing/>
        <w:textAlignment w:val="auto"/>
        <w:rPr>
          <w:rFonts w:hint="eastAsia"/>
          <w:color w:val="auto"/>
          <w:highlight w:val="none"/>
        </w:rPr>
      </w:pPr>
      <w:r>
        <w:rPr>
          <w:rFonts w:hint="eastAsia"/>
          <w:color w:val="auto"/>
          <w:highlight w:val="none"/>
        </w:rPr>
        <w:t>4.4.5投诉材料</w:t>
      </w:r>
      <w:r>
        <w:rPr>
          <w:rFonts w:hint="eastAsia" w:hAnsi="Courier New"/>
          <w:color w:val="auto"/>
          <w:highlight w:val="none"/>
        </w:rPr>
        <w:t>寄送</w:t>
      </w:r>
      <w:r>
        <w:rPr>
          <w:rFonts w:hint="eastAsia"/>
          <w:color w:val="auto"/>
          <w:highlight w:val="none"/>
        </w:rPr>
        <w:t>相关信息详见《第一部分  招标公告》。</w:t>
      </w:r>
    </w:p>
    <w:p w14:paraId="5E077ACD">
      <w:pPr>
        <w:pStyle w:val="126"/>
        <w:pageBreakBefore w:val="0"/>
        <w:shd w:val="clear" w:color="auto" w:fill="FFFFFF"/>
        <w:kinsoku/>
        <w:wordWrap/>
        <w:overflowPunct/>
        <w:topLinePunct w:val="0"/>
        <w:bidi w:val="0"/>
        <w:snapToGrid w:val="0"/>
        <w:spacing w:after="240" w:afterAutospacing="0" w:line="420" w:lineRule="exact"/>
        <w:ind w:firstLine="480" w:firstLineChars="200"/>
        <w:contextualSpacing/>
        <w:textAlignment w:val="auto"/>
        <w:rPr>
          <w:rFonts w:hint="eastAsia"/>
          <w:color w:val="auto"/>
          <w:highlight w:val="none"/>
        </w:rPr>
      </w:pPr>
      <w:r>
        <w:rPr>
          <w:rFonts w:hint="eastAsia"/>
          <w:color w:val="auto"/>
          <w:highlight w:val="none"/>
        </w:rPr>
        <w:t>投诉书</w:t>
      </w:r>
      <w:r>
        <w:rPr>
          <w:rFonts w:hint="eastAsia"/>
          <w:color w:val="auto"/>
          <w:highlight w:val="none"/>
          <w:lang w:val="zh-CN"/>
        </w:rPr>
        <w:t>使用财政部制定的</w:t>
      </w:r>
      <w:r>
        <w:rPr>
          <w:rFonts w:hint="eastAsia"/>
          <w:color w:val="auto"/>
          <w:highlight w:val="none"/>
        </w:rPr>
        <w:t>投诉书</w:t>
      </w:r>
      <w:r>
        <w:rPr>
          <w:rFonts w:hint="eastAsia"/>
          <w:color w:val="auto"/>
          <w:highlight w:val="none"/>
          <w:lang w:val="zh-CN"/>
        </w:rPr>
        <w:t>范本，该范本可在浙江政府采购网下载专区下载。</w:t>
      </w:r>
    </w:p>
    <w:p w14:paraId="3BAD8B70">
      <w:pPr>
        <w:pStyle w:val="190"/>
        <w:pageBreakBefore w:val="0"/>
        <w:kinsoku/>
        <w:wordWrap/>
        <w:overflowPunct/>
        <w:topLinePunct w:val="0"/>
        <w:bidi w:val="0"/>
        <w:snapToGrid w:val="0"/>
        <w:spacing w:before="0" w:line="420" w:lineRule="exact"/>
        <w:ind w:firstLine="360"/>
        <w:textAlignment w:val="auto"/>
        <w:rPr>
          <w:rFonts w:hint="eastAsia" w:ascii="宋体" w:hAnsi="宋体" w:cs="宋体"/>
          <w:color w:val="auto"/>
          <w:sz w:val="18"/>
          <w:szCs w:val="18"/>
          <w:highlight w:val="none"/>
        </w:rPr>
      </w:pPr>
    </w:p>
    <w:p w14:paraId="1682C809">
      <w:pPr>
        <w:pageBreakBefore w:val="0"/>
        <w:kinsoku/>
        <w:wordWrap/>
        <w:overflowPunct/>
        <w:topLinePunct w:val="0"/>
        <w:bidi w:val="0"/>
        <w:adjustRightInd/>
        <w:spacing w:line="420" w:lineRule="exact"/>
        <w:jc w:val="center"/>
        <w:textAlignment w:val="auto"/>
        <w:outlineLvl w:val="1"/>
        <w:rPr>
          <w:rFonts w:hint="eastAsia" w:ascii="宋体" w:hAnsi="宋体" w:cs="宋体"/>
          <w:b/>
          <w:color w:val="auto"/>
          <w:sz w:val="32"/>
          <w:szCs w:val="20"/>
          <w:highlight w:val="none"/>
        </w:rPr>
      </w:pPr>
      <w:r>
        <w:rPr>
          <w:rFonts w:hint="eastAsia" w:ascii="宋体" w:hAnsi="宋体" w:cs="宋体"/>
          <w:b/>
          <w:color w:val="auto"/>
          <w:sz w:val="32"/>
          <w:szCs w:val="20"/>
          <w:highlight w:val="none"/>
        </w:rPr>
        <w:t xml:space="preserve">      </w:t>
      </w:r>
      <w:bookmarkStart w:id="26" w:name="_Toc20717"/>
      <w:r>
        <w:rPr>
          <w:rFonts w:hint="eastAsia" w:ascii="宋体" w:hAnsi="宋体" w:cs="宋体"/>
          <w:b/>
          <w:color w:val="auto"/>
          <w:sz w:val="32"/>
          <w:szCs w:val="20"/>
          <w:highlight w:val="none"/>
        </w:rPr>
        <w:t>二、招标文件的构成、澄清、修改</w:t>
      </w:r>
      <w:bookmarkEnd w:id="26"/>
    </w:p>
    <w:p w14:paraId="7FD82D81">
      <w:pPr>
        <w:pStyle w:val="21"/>
        <w:pageBreakBefore w:val="0"/>
        <w:kinsoku/>
        <w:wordWrap/>
        <w:overflowPunct/>
        <w:topLinePunct w:val="0"/>
        <w:bidi w:val="0"/>
        <w:spacing w:line="420" w:lineRule="exact"/>
        <w:textAlignment w:val="auto"/>
        <w:rPr>
          <w:rFonts w:hint="eastAsia" w:hAnsi="宋体" w:cs="宋体"/>
          <w:b/>
          <w:color w:val="auto"/>
          <w:sz w:val="24"/>
          <w:szCs w:val="24"/>
          <w:highlight w:val="none"/>
        </w:rPr>
      </w:pPr>
      <w:r>
        <w:rPr>
          <w:rFonts w:hint="eastAsia" w:hAnsi="宋体" w:cs="宋体"/>
          <w:b/>
          <w:color w:val="auto"/>
          <w:sz w:val="24"/>
          <w:szCs w:val="24"/>
          <w:highlight w:val="none"/>
        </w:rPr>
        <w:t>5．招标文件的构成</w:t>
      </w:r>
    </w:p>
    <w:p w14:paraId="582A32C2">
      <w:pPr>
        <w:pStyle w:val="21"/>
        <w:pageBreakBefore w:val="0"/>
        <w:kinsoku/>
        <w:wordWrap/>
        <w:overflowPunct/>
        <w:topLinePunct w:val="0"/>
        <w:bidi w:val="0"/>
        <w:spacing w:line="420" w:lineRule="exact"/>
        <w:ind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5.1 招标文件包括下列文件及附件：</w:t>
      </w:r>
    </w:p>
    <w:p w14:paraId="6C81AE19">
      <w:pPr>
        <w:pStyle w:val="21"/>
        <w:pageBreakBefore w:val="0"/>
        <w:tabs>
          <w:tab w:val="left" w:pos="840"/>
        </w:tabs>
        <w:kinsoku/>
        <w:wordWrap/>
        <w:overflowPunct/>
        <w:topLinePunct w:val="0"/>
        <w:bidi w:val="0"/>
        <w:spacing w:line="420" w:lineRule="exact"/>
        <w:ind w:firstLine="960" w:firstLineChars="400"/>
        <w:textAlignment w:val="auto"/>
        <w:rPr>
          <w:rFonts w:hint="eastAsia" w:hAnsi="宋体" w:cs="宋体"/>
          <w:color w:val="auto"/>
          <w:sz w:val="24"/>
          <w:szCs w:val="24"/>
          <w:highlight w:val="none"/>
        </w:rPr>
      </w:pPr>
      <w:r>
        <w:rPr>
          <w:rFonts w:hint="eastAsia" w:hAnsi="宋体" w:cs="宋体"/>
          <w:color w:val="auto"/>
          <w:sz w:val="24"/>
          <w:szCs w:val="24"/>
          <w:highlight w:val="none"/>
        </w:rPr>
        <w:t>5.1.1招标公告；</w:t>
      </w:r>
    </w:p>
    <w:p w14:paraId="035BEA26">
      <w:pPr>
        <w:pStyle w:val="21"/>
        <w:pageBreakBefore w:val="0"/>
        <w:tabs>
          <w:tab w:val="left" w:pos="840"/>
        </w:tabs>
        <w:kinsoku/>
        <w:wordWrap/>
        <w:overflowPunct/>
        <w:topLinePunct w:val="0"/>
        <w:bidi w:val="0"/>
        <w:spacing w:line="420" w:lineRule="exact"/>
        <w:ind w:firstLine="960" w:firstLineChars="400"/>
        <w:textAlignment w:val="auto"/>
        <w:rPr>
          <w:rFonts w:hint="eastAsia" w:hAnsi="宋体" w:cs="宋体"/>
          <w:color w:val="auto"/>
          <w:sz w:val="24"/>
          <w:szCs w:val="24"/>
          <w:highlight w:val="none"/>
        </w:rPr>
      </w:pPr>
      <w:r>
        <w:rPr>
          <w:rFonts w:hint="eastAsia" w:hAnsi="宋体" w:cs="宋体"/>
          <w:color w:val="auto"/>
          <w:sz w:val="24"/>
          <w:szCs w:val="24"/>
          <w:highlight w:val="none"/>
        </w:rPr>
        <w:t>5.1.2投标人须知；</w:t>
      </w:r>
    </w:p>
    <w:p w14:paraId="56BBDE9F">
      <w:pPr>
        <w:pStyle w:val="21"/>
        <w:pageBreakBefore w:val="0"/>
        <w:tabs>
          <w:tab w:val="left" w:pos="840"/>
        </w:tabs>
        <w:kinsoku/>
        <w:wordWrap/>
        <w:overflowPunct/>
        <w:topLinePunct w:val="0"/>
        <w:bidi w:val="0"/>
        <w:spacing w:line="420" w:lineRule="exact"/>
        <w:ind w:firstLine="960" w:firstLineChars="400"/>
        <w:textAlignment w:val="auto"/>
        <w:rPr>
          <w:rFonts w:hint="eastAsia" w:hAnsi="宋体" w:cs="宋体"/>
          <w:color w:val="auto"/>
          <w:sz w:val="24"/>
          <w:szCs w:val="24"/>
          <w:highlight w:val="none"/>
        </w:rPr>
      </w:pPr>
      <w:r>
        <w:rPr>
          <w:rFonts w:hint="eastAsia" w:hAnsi="宋体" w:cs="宋体"/>
          <w:color w:val="auto"/>
          <w:sz w:val="24"/>
          <w:szCs w:val="24"/>
          <w:highlight w:val="none"/>
        </w:rPr>
        <w:t>5.1.3采购需求；</w:t>
      </w:r>
    </w:p>
    <w:p w14:paraId="193C0DE7">
      <w:pPr>
        <w:pStyle w:val="21"/>
        <w:pageBreakBefore w:val="0"/>
        <w:tabs>
          <w:tab w:val="left" w:pos="840"/>
        </w:tabs>
        <w:kinsoku/>
        <w:wordWrap/>
        <w:overflowPunct/>
        <w:topLinePunct w:val="0"/>
        <w:bidi w:val="0"/>
        <w:spacing w:line="420" w:lineRule="exact"/>
        <w:ind w:firstLine="960" w:firstLineChars="400"/>
        <w:textAlignment w:val="auto"/>
        <w:rPr>
          <w:rFonts w:hint="eastAsia" w:hAnsi="宋体" w:cs="宋体"/>
          <w:color w:val="auto"/>
          <w:sz w:val="24"/>
          <w:szCs w:val="24"/>
          <w:highlight w:val="none"/>
        </w:rPr>
      </w:pPr>
      <w:r>
        <w:rPr>
          <w:rFonts w:hint="eastAsia" w:hAnsi="宋体" w:cs="宋体"/>
          <w:color w:val="auto"/>
          <w:sz w:val="24"/>
          <w:szCs w:val="24"/>
          <w:highlight w:val="none"/>
        </w:rPr>
        <w:t>5.1.4评标办法；</w:t>
      </w:r>
    </w:p>
    <w:p w14:paraId="2943B471">
      <w:pPr>
        <w:pStyle w:val="21"/>
        <w:pageBreakBefore w:val="0"/>
        <w:tabs>
          <w:tab w:val="left" w:pos="840"/>
        </w:tabs>
        <w:kinsoku/>
        <w:wordWrap/>
        <w:overflowPunct/>
        <w:topLinePunct w:val="0"/>
        <w:bidi w:val="0"/>
        <w:spacing w:line="420" w:lineRule="exact"/>
        <w:ind w:firstLine="960" w:firstLineChars="400"/>
        <w:textAlignment w:val="auto"/>
        <w:rPr>
          <w:rFonts w:hint="eastAsia" w:hAnsi="宋体" w:cs="宋体"/>
          <w:color w:val="auto"/>
          <w:sz w:val="24"/>
          <w:szCs w:val="24"/>
          <w:highlight w:val="none"/>
        </w:rPr>
      </w:pPr>
      <w:r>
        <w:rPr>
          <w:rFonts w:hint="eastAsia" w:hAnsi="宋体" w:cs="宋体"/>
          <w:color w:val="auto"/>
          <w:sz w:val="24"/>
          <w:szCs w:val="24"/>
          <w:highlight w:val="none"/>
        </w:rPr>
        <w:t>5.1.5拟签订的合同文本；</w:t>
      </w:r>
    </w:p>
    <w:p w14:paraId="1F8F2C62">
      <w:pPr>
        <w:pStyle w:val="21"/>
        <w:pageBreakBefore w:val="0"/>
        <w:tabs>
          <w:tab w:val="left" w:pos="840"/>
        </w:tabs>
        <w:kinsoku/>
        <w:wordWrap/>
        <w:overflowPunct/>
        <w:topLinePunct w:val="0"/>
        <w:bidi w:val="0"/>
        <w:spacing w:line="420" w:lineRule="exact"/>
        <w:ind w:firstLine="960" w:firstLineChars="400"/>
        <w:textAlignment w:val="auto"/>
        <w:rPr>
          <w:rFonts w:hint="eastAsia"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5A78C665">
      <w:pPr>
        <w:pageBreakBefore w:val="0"/>
        <w:kinsoku/>
        <w:wordWrap/>
        <w:overflowPunct/>
        <w:topLinePunct w:val="0"/>
        <w:bidi w:val="0"/>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2F1DC0F1">
      <w:pPr>
        <w:pStyle w:val="21"/>
        <w:pageBreakBefore w:val="0"/>
        <w:kinsoku/>
        <w:wordWrap/>
        <w:overflowPunct/>
        <w:topLinePunct w:val="0"/>
        <w:bidi w:val="0"/>
        <w:spacing w:line="420" w:lineRule="exact"/>
        <w:textAlignment w:val="auto"/>
        <w:rPr>
          <w:rFonts w:hint="eastAsia" w:hAnsi="宋体" w:cs="宋体"/>
          <w:b/>
          <w:color w:val="auto"/>
          <w:sz w:val="24"/>
          <w:szCs w:val="24"/>
          <w:highlight w:val="none"/>
        </w:rPr>
      </w:pPr>
      <w:r>
        <w:rPr>
          <w:rFonts w:hint="eastAsia" w:hAnsi="宋体" w:cs="宋体"/>
          <w:b/>
          <w:color w:val="auto"/>
          <w:sz w:val="24"/>
          <w:szCs w:val="24"/>
          <w:highlight w:val="none"/>
        </w:rPr>
        <w:t>6. 招标文件的澄清、修改</w:t>
      </w:r>
    </w:p>
    <w:p w14:paraId="434E0FB9">
      <w:pPr>
        <w:pStyle w:val="190"/>
        <w:pageBreakBefore w:val="0"/>
        <w:kinsoku/>
        <w:wordWrap/>
        <w:overflowPunct/>
        <w:topLinePunct w:val="0"/>
        <w:bidi w:val="0"/>
        <w:snapToGrid w:val="0"/>
        <w:spacing w:before="0" w:line="420" w:lineRule="exact"/>
        <w:ind w:firstLine="480"/>
        <w:textAlignment w:val="auto"/>
        <w:rPr>
          <w:rFonts w:hint="eastAsia"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6.1已获取招标文件的潜在投标人，若有问题需要澄清，应于投标截止时间前，以书面形式向采购代理机构提出。</w:t>
      </w:r>
    </w:p>
    <w:p w14:paraId="2C2991F4">
      <w:pPr>
        <w:pStyle w:val="190"/>
        <w:pageBreakBefore w:val="0"/>
        <w:kinsoku/>
        <w:wordWrap/>
        <w:overflowPunct/>
        <w:topLinePunct w:val="0"/>
        <w:bidi w:val="0"/>
        <w:snapToGrid w:val="0"/>
        <w:spacing w:before="0" w:line="420" w:lineRule="exact"/>
        <w:ind w:firstLine="480"/>
        <w:textAlignment w:val="auto"/>
        <w:rPr>
          <w:rFonts w:hint="eastAsia" w:ascii="宋体" w:hAnsi="宋体" w:cs="宋体"/>
          <w:color w:val="auto"/>
          <w:highlight w:val="none"/>
        </w:rPr>
      </w:pPr>
      <w:r>
        <w:rPr>
          <w:rFonts w:hint="eastAsia" w:ascii="宋体" w:hAnsi="宋体" w:cs="宋体"/>
          <w:color w:val="auto"/>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20F88E99">
      <w:pPr>
        <w:pStyle w:val="14"/>
        <w:pageBreakBefore w:val="0"/>
        <w:kinsoku/>
        <w:wordWrap/>
        <w:overflowPunct/>
        <w:topLinePunct w:val="0"/>
        <w:bidi w:val="0"/>
        <w:spacing w:line="420" w:lineRule="exact"/>
        <w:textAlignment w:val="auto"/>
        <w:rPr>
          <w:rFonts w:hint="eastAsia" w:hAnsi="宋体" w:cs="宋体"/>
          <w:color w:val="auto"/>
          <w:sz w:val="18"/>
          <w:szCs w:val="18"/>
          <w:highlight w:val="none"/>
          <w:lang w:val="en-US"/>
        </w:rPr>
      </w:pPr>
      <w:r>
        <w:rPr>
          <w:rFonts w:hint="eastAsia" w:hAnsi="宋体" w:cs="宋体"/>
          <w:color w:val="auto"/>
          <w:szCs w:val="24"/>
          <w:highlight w:val="none"/>
          <w:lang w:val="en-US"/>
        </w:rPr>
        <w:t xml:space="preserve">    </w:t>
      </w:r>
    </w:p>
    <w:p w14:paraId="5990C0AC">
      <w:pPr>
        <w:pageBreakBefore w:val="0"/>
        <w:kinsoku/>
        <w:wordWrap/>
        <w:overflowPunct/>
        <w:topLinePunct w:val="0"/>
        <w:bidi w:val="0"/>
        <w:adjustRightInd/>
        <w:spacing w:line="420" w:lineRule="exact"/>
        <w:jc w:val="center"/>
        <w:textAlignment w:val="auto"/>
        <w:outlineLvl w:val="1"/>
        <w:rPr>
          <w:rFonts w:hint="eastAsia" w:ascii="宋体" w:hAnsi="宋体" w:cs="宋体"/>
          <w:b/>
          <w:color w:val="auto"/>
          <w:sz w:val="30"/>
          <w:szCs w:val="20"/>
          <w:highlight w:val="none"/>
        </w:rPr>
      </w:pPr>
      <w:bookmarkStart w:id="27" w:name="_Toc6708"/>
      <w:r>
        <w:rPr>
          <w:rFonts w:hint="eastAsia" w:ascii="宋体" w:hAnsi="宋体" w:cs="宋体"/>
          <w:b/>
          <w:color w:val="auto"/>
          <w:sz w:val="30"/>
          <w:szCs w:val="20"/>
          <w:highlight w:val="none"/>
        </w:rPr>
        <w:t>三、投标</w:t>
      </w:r>
      <w:bookmarkEnd w:id="27"/>
    </w:p>
    <w:p w14:paraId="1ACF8E8E">
      <w:pPr>
        <w:pStyle w:val="21"/>
        <w:pageBreakBefore w:val="0"/>
        <w:kinsoku/>
        <w:wordWrap/>
        <w:overflowPunct/>
        <w:topLinePunct w:val="0"/>
        <w:bidi w:val="0"/>
        <w:spacing w:line="420" w:lineRule="exact"/>
        <w:textAlignment w:val="auto"/>
        <w:rPr>
          <w:rFonts w:hint="eastAsia" w:hAnsi="宋体" w:cs="宋体"/>
          <w:b/>
          <w:color w:val="auto"/>
          <w:sz w:val="24"/>
          <w:szCs w:val="24"/>
          <w:highlight w:val="none"/>
        </w:rPr>
      </w:pPr>
      <w:r>
        <w:rPr>
          <w:rFonts w:hint="eastAsia" w:hAnsi="宋体" w:cs="宋体"/>
          <w:b/>
          <w:color w:val="auto"/>
          <w:sz w:val="24"/>
          <w:szCs w:val="24"/>
          <w:highlight w:val="none"/>
        </w:rPr>
        <w:t>7. 招标文件的获取</w:t>
      </w:r>
    </w:p>
    <w:p w14:paraId="72D9D7C9">
      <w:pPr>
        <w:pageBreakBefore w:val="0"/>
        <w:kinsoku/>
        <w:wordWrap/>
        <w:overflowPunct/>
        <w:topLinePunct w:val="0"/>
        <w:bidi w:val="0"/>
        <w:spacing w:line="420" w:lineRule="exact"/>
        <w:ind w:firstLine="480" w:firstLineChars="200"/>
        <w:textAlignment w:val="auto"/>
        <w:rPr>
          <w:rFonts w:hint="eastAsia"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17E3AD7E">
      <w:pPr>
        <w:pStyle w:val="21"/>
        <w:pageBreakBefore w:val="0"/>
        <w:kinsoku/>
        <w:wordWrap/>
        <w:overflowPunct/>
        <w:topLinePunct w:val="0"/>
        <w:bidi w:val="0"/>
        <w:spacing w:line="420" w:lineRule="exact"/>
        <w:textAlignment w:val="auto"/>
        <w:rPr>
          <w:rFonts w:hint="eastAsia" w:hAnsi="宋体" w:cs="宋体"/>
          <w:b/>
          <w:color w:val="auto"/>
          <w:sz w:val="24"/>
          <w:szCs w:val="24"/>
          <w:highlight w:val="none"/>
        </w:rPr>
      </w:pPr>
      <w:r>
        <w:rPr>
          <w:rFonts w:hint="eastAsia" w:hAnsi="宋体" w:cs="宋体"/>
          <w:b/>
          <w:color w:val="auto"/>
          <w:sz w:val="24"/>
          <w:szCs w:val="24"/>
          <w:highlight w:val="none"/>
        </w:rPr>
        <w:t>8.开标前答疑会或现场考察</w:t>
      </w:r>
    </w:p>
    <w:p w14:paraId="1A90DDF8">
      <w:pPr>
        <w:pStyle w:val="21"/>
        <w:pageBreakBefore w:val="0"/>
        <w:kinsoku/>
        <w:wordWrap/>
        <w:overflowPunct/>
        <w:topLinePunct w:val="0"/>
        <w:bidi w:val="0"/>
        <w:spacing w:line="420" w:lineRule="exact"/>
        <w:ind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6E122DAB">
      <w:pPr>
        <w:pStyle w:val="21"/>
        <w:pageBreakBefore w:val="0"/>
        <w:kinsoku/>
        <w:wordWrap/>
        <w:overflowPunct/>
        <w:topLinePunct w:val="0"/>
        <w:bidi w:val="0"/>
        <w:spacing w:line="420" w:lineRule="exact"/>
        <w:textAlignment w:val="auto"/>
        <w:rPr>
          <w:rFonts w:hint="eastAsia" w:hAnsi="宋体" w:cs="宋体"/>
          <w:b/>
          <w:color w:val="auto"/>
          <w:szCs w:val="24"/>
          <w:highlight w:val="none"/>
        </w:rPr>
      </w:pPr>
      <w:r>
        <w:rPr>
          <w:rFonts w:hint="eastAsia" w:hAnsi="宋体" w:cs="宋体"/>
          <w:b/>
          <w:color w:val="auto"/>
          <w:kern w:val="28"/>
          <w:sz w:val="24"/>
          <w:szCs w:val="24"/>
          <w:highlight w:val="none"/>
        </w:rPr>
        <w:t>9.投标保证金</w:t>
      </w:r>
    </w:p>
    <w:p w14:paraId="23939B9F">
      <w:pPr>
        <w:pStyle w:val="9"/>
        <w:pageBreakBefore w:val="0"/>
        <w:numPr>
          <w:ilvl w:val="0"/>
          <w:numId w:val="0"/>
        </w:numPr>
        <w:kinsoku/>
        <w:wordWrap/>
        <w:overflowPunct/>
        <w:topLinePunct w:val="0"/>
        <w:bidi w:val="0"/>
        <w:spacing w:line="420" w:lineRule="exact"/>
        <w:ind w:leftChars="196"/>
        <w:textAlignment w:val="auto"/>
        <w:rPr>
          <w:rFonts w:hint="eastAsia" w:hAnsi="宋体" w:cs="宋体"/>
          <w:color w:val="auto"/>
          <w:sz w:val="24"/>
          <w:highlight w:val="none"/>
        </w:rPr>
      </w:pPr>
      <w:r>
        <w:rPr>
          <w:rFonts w:hint="eastAsia" w:hAnsi="宋体" w:cs="宋体"/>
          <w:color w:val="auto"/>
          <w:sz w:val="24"/>
          <w:highlight w:val="none"/>
        </w:rPr>
        <w:t>详见《第二部分 投标人须知》前附表。</w:t>
      </w:r>
    </w:p>
    <w:p w14:paraId="25120356">
      <w:pPr>
        <w:pStyle w:val="21"/>
        <w:pageBreakBefore w:val="0"/>
        <w:kinsoku/>
        <w:wordWrap/>
        <w:overflowPunct/>
        <w:topLinePunct w:val="0"/>
        <w:bidi w:val="0"/>
        <w:spacing w:line="420" w:lineRule="exact"/>
        <w:textAlignment w:val="auto"/>
        <w:rPr>
          <w:rFonts w:hint="eastAsia" w:hAnsi="宋体" w:cs="宋体"/>
          <w:b/>
          <w:color w:val="auto"/>
          <w:sz w:val="24"/>
          <w:szCs w:val="24"/>
          <w:highlight w:val="none"/>
        </w:rPr>
      </w:pPr>
      <w:r>
        <w:rPr>
          <w:rFonts w:hint="eastAsia" w:hAnsi="宋体" w:cs="宋体"/>
          <w:b/>
          <w:color w:val="auto"/>
          <w:sz w:val="24"/>
          <w:szCs w:val="24"/>
          <w:highlight w:val="none"/>
        </w:rPr>
        <w:t>10. 投标文件的语言</w:t>
      </w:r>
    </w:p>
    <w:p w14:paraId="29DC734F">
      <w:pPr>
        <w:pageBreakBefore w:val="0"/>
        <w:kinsoku/>
        <w:wordWrap/>
        <w:overflowPunct/>
        <w:topLinePunct w:val="0"/>
        <w:autoSpaceDE w:val="0"/>
        <w:autoSpaceDN w:val="0"/>
        <w:bidi w:val="0"/>
        <w:spacing w:line="420" w:lineRule="exact"/>
        <w:ind w:firstLine="480" w:firstLineChars="200"/>
        <w:textAlignment w:val="auto"/>
        <w:rPr>
          <w:rFonts w:hint="eastAsia"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4515F852">
      <w:pPr>
        <w:pStyle w:val="21"/>
        <w:pageBreakBefore w:val="0"/>
        <w:kinsoku/>
        <w:wordWrap/>
        <w:overflowPunct/>
        <w:topLinePunct w:val="0"/>
        <w:bidi w:val="0"/>
        <w:spacing w:line="420" w:lineRule="exact"/>
        <w:textAlignment w:val="auto"/>
        <w:rPr>
          <w:rFonts w:hint="eastAsia" w:hAnsi="宋体" w:cs="宋体"/>
          <w:b/>
          <w:color w:val="auto"/>
          <w:sz w:val="24"/>
          <w:szCs w:val="24"/>
          <w:highlight w:val="none"/>
        </w:rPr>
      </w:pPr>
      <w:r>
        <w:rPr>
          <w:rFonts w:hint="eastAsia" w:hAnsi="宋体" w:cs="宋体"/>
          <w:b/>
          <w:color w:val="auto"/>
          <w:sz w:val="24"/>
          <w:szCs w:val="24"/>
          <w:highlight w:val="none"/>
        </w:rPr>
        <w:t>11. 投标文件的组成</w:t>
      </w:r>
    </w:p>
    <w:p w14:paraId="6C626DF1">
      <w:pPr>
        <w:pageBreakBefore w:val="0"/>
        <w:kinsoku/>
        <w:wordWrap/>
        <w:overflowPunct/>
        <w:topLinePunct w:val="0"/>
        <w:bidi w:val="0"/>
        <w:spacing w:line="420" w:lineRule="exact"/>
        <w:ind w:firstLine="480" w:firstLineChars="200"/>
        <w:textAlignment w:val="auto"/>
        <w:rPr>
          <w:rFonts w:hint="eastAsia" w:ascii="宋体" w:hAnsi="宋体" w:cs="宋体"/>
          <w:b w:val="0"/>
          <w:bCs/>
          <w:color w:val="auto"/>
          <w:sz w:val="24"/>
          <w:highlight w:val="none"/>
        </w:rPr>
      </w:pPr>
      <w:r>
        <w:rPr>
          <w:rFonts w:hint="eastAsia" w:ascii="宋体" w:hAnsi="宋体" w:cs="宋体"/>
          <w:b w:val="0"/>
          <w:bCs/>
          <w:color w:val="auto"/>
          <w:sz w:val="24"/>
          <w:highlight w:val="none"/>
        </w:rPr>
        <w:t>（1）投标人资格声明函（格式见附件）；</w:t>
      </w:r>
    </w:p>
    <w:p w14:paraId="13408951">
      <w:pPr>
        <w:pageBreakBefore w:val="0"/>
        <w:kinsoku/>
        <w:wordWrap/>
        <w:overflowPunct/>
        <w:topLinePunct w:val="0"/>
        <w:bidi w:val="0"/>
        <w:spacing w:line="420" w:lineRule="exact"/>
        <w:ind w:firstLine="480" w:firstLineChars="200"/>
        <w:textAlignment w:val="auto"/>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2</w:t>
      </w:r>
      <w:r>
        <w:rPr>
          <w:rFonts w:hint="eastAsia" w:ascii="宋体" w:hAnsi="宋体" w:cs="宋体"/>
          <w:b w:val="0"/>
          <w:bCs/>
          <w:color w:val="auto"/>
          <w:sz w:val="24"/>
          <w:highlight w:val="none"/>
        </w:rPr>
        <w:t>）有效的企业法人营业执照（或事业法人登记证）、其他组织（个体工商户）的营业执照或者民办非企业单位登记证书（复印件加盖公章）；</w:t>
      </w:r>
    </w:p>
    <w:p w14:paraId="4588D60C">
      <w:pPr>
        <w:pageBreakBefore w:val="0"/>
        <w:kinsoku/>
        <w:wordWrap/>
        <w:overflowPunct/>
        <w:topLinePunct w:val="0"/>
        <w:bidi w:val="0"/>
        <w:spacing w:line="420" w:lineRule="exact"/>
        <w:ind w:firstLine="480" w:firstLineChars="200"/>
        <w:textAlignment w:val="auto"/>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3</w:t>
      </w:r>
      <w:r>
        <w:rPr>
          <w:rFonts w:hint="eastAsia" w:ascii="宋体" w:hAnsi="宋体" w:cs="宋体"/>
          <w:b w:val="0"/>
          <w:bCs/>
          <w:color w:val="auto"/>
          <w:sz w:val="24"/>
          <w:highlight w:val="none"/>
        </w:rPr>
        <w:t>）本项目特定资格条件的证明文件（如有，提供复印件加盖公章）；</w:t>
      </w:r>
    </w:p>
    <w:p w14:paraId="4B5E979D">
      <w:pPr>
        <w:pageBreakBefore w:val="0"/>
        <w:kinsoku/>
        <w:wordWrap/>
        <w:overflowPunct/>
        <w:topLinePunct w:val="0"/>
        <w:bidi w:val="0"/>
        <w:spacing w:line="420" w:lineRule="exact"/>
        <w:ind w:firstLine="480" w:firstLineChars="200"/>
        <w:textAlignment w:val="auto"/>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4</w:t>
      </w:r>
      <w:r>
        <w:rPr>
          <w:rFonts w:hint="eastAsia" w:ascii="宋体" w:hAnsi="宋体" w:cs="宋体"/>
          <w:b w:val="0"/>
          <w:bCs/>
          <w:color w:val="auto"/>
          <w:sz w:val="24"/>
          <w:highlight w:val="none"/>
        </w:rPr>
        <w:t>）采购文件要求的其他资格条件证明材料（如有）。</w:t>
      </w:r>
    </w:p>
    <w:p w14:paraId="325BDE27">
      <w:pPr>
        <w:pageBreakBefore w:val="0"/>
        <w:kinsoku/>
        <w:wordWrap/>
        <w:overflowPunct/>
        <w:topLinePunct w:val="0"/>
        <w:bidi w:val="0"/>
        <w:spacing w:line="42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商务技术</w:t>
      </w:r>
      <w:r>
        <w:rPr>
          <w:rFonts w:hint="eastAsia" w:ascii="宋体" w:hAnsi="宋体" w:cs="宋体"/>
          <w:b/>
          <w:color w:val="auto"/>
          <w:sz w:val="24"/>
          <w:highlight w:val="none"/>
          <w:lang w:val="zh-CN"/>
        </w:rPr>
        <w:t>文件：</w:t>
      </w:r>
    </w:p>
    <w:p w14:paraId="1D2E00F0">
      <w:pPr>
        <w:pageBreakBefore w:val="0"/>
        <w:kinsoku/>
        <w:wordWrap/>
        <w:overflowPunct/>
        <w:topLinePunct w:val="0"/>
        <w:bidi w:val="0"/>
        <w:spacing w:line="420" w:lineRule="exact"/>
        <w:ind w:firstLine="480" w:firstLineChars="200"/>
        <w:textAlignment w:val="auto"/>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1</w:t>
      </w:r>
      <w:r>
        <w:rPr>
          <w:rFonts w:hint="eastAsia" w:ascii="宋体" w:hAnsi="宋体" w:cs="宋体"/>
          <w:b w:val="0"/>
          <w:bCs/>
          <w:color w:val="auto"/>
          <w:sz w:val="24"/>
          <w:highlight w:val="none"/>
        </w:rPr>
        <w:t>）投标函（格式见附件）；</w:t>
      </w:r>
    </w:p>
    <w:p w14:paraId="48BEFA06">
      <w:pPr>
        <w:pageBreakBefore w:val="0"/>
        <w:kinsoku/>
        <w:wordWrap/>
        <w:overflowPunct/>
        <w:topLinePunct w:val="0"/>
        <w:bidi w:val="0"/>
        <w:spacing w:line="420" w:lineRule="exact"/>
        <w:ind w:firstLine="480" w:firstLineChars="200"/>
        <w:textAlignment w:val="auto"/>
        <w:rPr>
          <w:rFonts w:hint="eastAsia" w:ascii="宋体" w:hAnsi="宋体" w:cs="宋体"/>
          <w:b w:val="0"/>
          <w:bCs/>
          <w:color w:val="auto"/>
          <w:sz w:val="24"/>
          <w:highlight w:val="none"/>
        </w:rPr>
      </w:pP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2</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rPr>
        <w:t>法定代表人的身份证明或法定代表人授权书【投标人的代表若为非法定代表人的，必须提交法定代表人授权书及授权代表开标之日前近三个月内任意一个月投标人为其的缴纳社保证明加盖公章，格式见附件】；</w:t>
      </w:r>
    </w:p>
    <w:p w14:paraId="74C7F56D">
      <w:pPr>
        <w:pageBreakBefore w:val="0"/>
        <w:kinsoku/>
        <w:wordWrap/>
        <w:overflowPunct/>
        <w:topLinePunct w:val="0"/>
        <w:bidi w:val="0"/>
        <w:spacing w:line="420" w:lineRule="exact"/>
        <w:ind w:firstLine="480" w:firstLineChars="200"/>
        <w:textAlignment w:val="auto"/>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3</w:t>
      </w:r>
      <w:r>
        <w:rPr>
          <w:rFonts w:hint="eastAsia" w:ascii="宋体" w:hAnsi="宋体" w:cs="宋体"/>
          <w:b w:val="0"/>
          <w:bCs/>
          <w:color w:val="auto"/>
          <w:sz w:val="24"/>
          <w:highlight w:val="none"/>
        </w:rPr>
        <w:t>）投标人基本情况说明（格式见附件)；</w:t>
      </w:r>
    </w:p>
    <w:p w14:paraId="2A491A9B">
      <w:pPr>
        <w:pageBreakBefore w:val="0"/>
        <w:kinsoku/>
        <w:wordWrap/>
        <w:overflowPunct/>
        <w:topLinePunct w:val="0"/>
        <w:bidi w:val="0"/>
        <w:spacing w:line="420" w:lineRule="exact"/>
        <w:ind w:firstLine="480" w:firstLineChars="200"/>
        <w:textAlignment w:val="auto"/>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4</w:t>
      </w:r>
      <w:r>
        <w:rPr>
          <w:rFonts w:hint="eastAsia" w:ascii="宋体" w:hAnsi="宋体" w:cs="宋体"/>
          <w:b w:val="0"/>
          <w:bCs/>
          <w:color w:val="auto"/>
          <w:sz w:val="24"/>
          <w:highlight w:val="none"/>
        </w:rPr>
        <w:t>）商务</w:t>
      </w:r>
      <w:r>
        <w:rPr>
          <w:rFonts w:hint="eastAsia" w:ascii="宋体" w:hAnsi="宋体" w:cs="宋体"/>
          <w:b w:val="0"/>
          <w:bCs/>
          <w:color w:val="auto"/>
          <w:sz w:val="24"/>
          <w:highlight w:val="none"/>
          <w:lang w:val="en-US" w:eastAsia="zh-CN"/>
        </w:rPr>
        <w:t>需求</w:t>
      </w:r>
      <w:r>
        <w:rPr>
          <w:rFonts w:hint="eastAsia" w:ascii="宋体" w:hAnsi="宋体" w:cs="宋体"/>
          <w:b w:val="0"/>
          <w:bCs/>
          <w:color w:val="auto"/>
          <w:sz w:val="24"/>
          <w:highlight w:val="none"/>
        </w:rPr>
        <w:t>偏离</w:t>
      </w:r>
      <w:r>
        <w:rPr>
          <w:rFonts w:hint="eastAsia" w:ascii="宋体" w:hAnsi="宋体" w:cs="宋体"/>
          <w:b w:val="0"/>
          <w:bCs/>
          <w:color w:val="auto"/>
          <w:sz w:val="24"/>
          <w:highlight w:val="none"/>
          <w:lang w:val="en-US" w:eastAsia="zh-CN"/>
        </w:rPr>
        <w:t>表</w:t>
      </w:r>
      <w:r>
        <w:rPr>
          <w:rFonts w:hint="eastAsia" w:ascii="宋体" w:hAnsi="宋体" w:cs="宋体"/>
          <w:b w:val="0"/>
          <w:bCs/>
          <w:color w:val="auto"/>
          <w:sz w:val="24"/>
          <w:highlight w:val="none"/>
        </w:rPr>
        <w:t>（格式见附件)；</w:t>
      </w:r>
    </w:p>
    <w:p w14:paraId="3DC82665">
      <w:pPr>
        <w:pageBreakBefore w:val="0"/>
        <w:kinsoku/>
        <w:wordWrap/>
        <w:overflowPunct/>
        <w:topLinePunct w:val="0"/>
        <w:bidi w:val="0"/>
        <w:spacing w:line="420" w:lineRule="exact"/>
        <w:ind w:firstLine="480" w:firstLineChars="200"/>
        <w:textAlignment w:val="auto"/>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lang w:val="en-US" w:eastAsia="zh-CN"/>
        </w:rPr>
        <w:t>（5）技术需求</w:t>
      </w:r>
      <w:r>
        <w:rPr>
          <w:rFonts w:hint="eastAsia" w:ascii="宋体" w:hAnsi="宋体" w:cs="宋体"/>
          <w:b w:val="0"/>
          <w:bCs/>
          <w:color w:val="auto"/>
          <w:sz w:val="24"/>
          <w:highlight w:val="none"/>
        </w:rPr>
        <w:t>偏离表（格式见附件）</w:t>
      </w:r>
      <w:r>
        <w:rPr>
          <w:rFonts w:hint="eastAsia" w:ascii="宋体" w:hAnsi="宋体" w:cs="宋体"/>
          <w:b w:val="0"/>
          <w:bCs/>
          <w:color w:val="auto"/>
          <w:sz w:val="24"/>
          <w:highlight w:val="none"/>
          <w:lang w:eastAsia="zh-CN"/>
        </w:rPr>
        <w:t>；</w:t>
      </w:r>
    </w:p>
    <w:p w14:paraId="563FFEF8">
      <w:pPr>
        <w:pageBreakBefore w:val="0"/>
        <w:kinsoku/>
        <w:wordWrap/>
        <w:overflowPunct/>
        <w:topLinePunct w:val="0"/>
        <w:bidi w:val="0"/>
        <w:spacing w:line="420" w:lineRule="exact"/>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6</w:t>
      </w:r>
      <w:r>
        <w:rPr>
          <w:rFonts w:hint="eastAsia" w:ascii="宋体" w:hAnsi="宋体" w:cs="宋体"/>
          <w:b w:val="0"/>
          <w:bCs/>
          <w:color w:val="auto"/>
          <w:sz w:val="24"/>
          <w:highlight w:val="none"/>
        </w:rPr>
        <w:t>）</w:t>
      </w:r>
      <w:r>
        <w:rPr>
          <w:rFonts w:hint="eastAsia" w:ascii="宋体" w:hAnsi="宋体" w:cs="宋体"/>
          <w:b w:val="0"/>
          <w:bCs/>
          <w:color w:val="auto"/>
          <w:sz w:val="24"/>
          <w:highlight w:val="none"/>
          <w:lang w:eastAsia="zh-CN"/>
        </w:rPr>
        <w:t>距采购人最近或者能为本项目提供最优服务的网点情况；</w:t>
      </w:r>
    </w:p>
    <w:p w14:paraId="2CB18BA5">
      <w:pPr>
        <w:pageBreakBefore w:val="0"/>
        <w:kinsoku/>
        <w:wordWrap/>
        <w:overflowPunct/>
        <w:topLinePunct w:val="0"/>
        <w:bidi w:val="0"/>
        <w:spacing w:line="420" w:lineRule="exact"/>
        <w:ind w:firstLine="480" w:firstLineChars="200"/>
        <w:textAlignment w:val="auto"/>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7</w:t>
      </w:r>
      <w:r>
        <w:rPr>
          <w:rFonts w:hint="eastAsia" w:ascii="宋体" w:hAnsi="宋体" w:cs="宋体"/>
          <w:b w:val="0"/>
          <w:bCs/>
          <w:color w:val="auto"/>
          <w:sz w:val="24"/>
          <w:highlight w:val="none"/>
        </w:rPr>
        <w:t>）技术需求中要求提供的证明资料（按要求提供）；</w:t>
      </w:r>
    </w:p>
    <w:p w14:paraId="31CAD4AA">
      <w:pPr>
        <w:pageBreakBefore w:val="0"/>
        <w:kinsoku/>
        <w:wordWrap/>
        <w:overflowPunct/>
        <w:topLinePunct w:val="0"/>
        <w:bidi w:val="0"/>
        <w:spacing w:line="420" w:lineRule="exact"/>
        <w:ind w:firstLine="480" w:firstLineChars="200"/>
        <w:textAlignment w:val="auto"/>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8</w:t>
      </w:r>
      <w:r>
        <w:rPr>
          <w:rFonts w:hint="eastAsia" w:ascii="宋体" w:hAnsi="宋体" w:cs="宋体"/>
          <w:b w:val="0"/>
          <w:bCs/>
          <w:color w:val="auto"/>
          <w:sz w:val="24"/>
          <w:highlight w:val="none"/>
        </w:rPr>
        <w:t>）第四章评标办法及评分标准中需提供的所有内容（按评分要求逐项提供）；</w:t>
      </w:r>
    </w:p>
    <w:p w14:paraId="44CE62BE">
      <w:pPr>
        <w:pageBreakBefore w:val="0"/>
        <w:kinsoku/>
        <w:wordWrap/>
        <w:overflowPunct/>
        <w:topLinePunct w:val="0"/>
        <w:bidi w:val="0"/>
        <w:spacing w:line="420" w:lineRule="exact"/>
        <w:ind w:firstLine="480" w:firstLineChars="200"/>
        <w:textAlignment w:val="auto"/>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9</w:t>
      </w:r>
      <w:r>
        <w:rPr>
          <w:rFonts w:hint="eastAsia" w:ascii="宋体" w:hAnsi="宋体" w:cs="宋体"/>
          <w:b w:val="0"/>
          <w:bCs/>
          <w:color w:val="auto"/>
          <w:sz w:val="24"/>
          <w:highlight w:val="none"/>
        </w:rPr>
        <w:t>）投标人认为有必要提交的其他商务技术说明文件和资料 。</w:t>
      </w:r>
    </w:p>
    <w:p w14:paraId="7B1A283C">
      <w:pPr>
        <w:pageBreakBefore w:val="0"/>
        <w:kinsoku/>
        <w:wordWrap/>
        <w:overflowPunct/>
        <w:topLinePunct w:val="0"/>
        <w:bidi w:val="0"/>
        <w:spacing w:line="420" w:lineRule="exact"/>
        <w:ind w:firstLine="482" w:firstLineChars="200"/>
        <w:textAlignment w:val="auto"/>
        <w:rPr>
          <w:rFonts w:hint="eastAsia" w:ascii="宋体" w:hAnsi="宋体" w:cs="宋体"/>
          <w:b/>
          <w:color w:val="auto"/>
          <w:sz w:val="24"/>
          <w:highlight w:val="none"/>
          <w:lang w:val="zh-CN"/>
        </w:rPr>
      </w:pPr>
      <w:r>
        <w:rPr>
          <w:rFonts w:hint="eastAsia" w:ascii="宋体" w:hAnsi="宋体" w:cs="宋体"/>
          <w:b/>
          <w:color w:val="auto"/>
          <w:sz w:val="24"/>
          <w:highlight w:val="none"/>
        </w:rPr>
        <w:t xml:space="preserve">报价文件： </w:t>
      </w:r>
    </w:p>
    <w:p w14:paraId="60C2C570">
      <w:pPr>
        <w:pageBreakBefore w:val="0"/>
        <w:kinsoku/>
        <w:wordWrap/>
        <w:overflowPunct/>
        <w:topLinePunct w:val="0"/>
        <w:bidi w:val="0"/>
        <w:spacing w:line="420" w:lineRule="exact"/>
        <w:ind w:firstLine="480" w:firstLineChars="200"/>
        <w:textAlignment w:val="auto"/>
        <w:rPr>
          <w:rFonts w:hint="eastAsia" w:ascii="宋体" w:hAnsi="宋体" w:cs="宋体"/>
          <w:b w:val="0"/>
          <w:bCs/>
          <w:color w:val="auto"/>
          <w:sz w:val="24"/>
          <w:highlight w:val="none"/>
        </w:rPr>
      </w:pPr>
      <w:r>
        <w:rPr>
          <w:rFonts w:hint="eastAsia" w:ascii="宋体" w:hAnsi="宋体" w:cs="宋体"/>
          <w:b w:val="0"/>
          <w:bCs/>
          <w:color w:val="auto"/>
          <w:sz w:val="24"/>
          <w:highlight w:val="none"/>
        </w:rPr>
        <w:t>（1）开标一览表（格式见附件）；</w:t>
      </w:r>
    </w:p>
    <w:p w14:paraId="58681A22">
      <w:pPr>
        <w:pageBreakBefore w:val="0"/>
        <w:kinsoku/>
        <w:wordWrap/>
        <w:overflowPunct/>
        <w:topLinePunct w:val="0"/>
        <w:bidi w:val="0"/>
        <w:spacing w:line="420" w:lineRule="exact"/>
        <w:ind w:firstLine="480" w:firstLineChars="200"/>
        <w:textAlignment w:val="auto"/>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2</w:t>
      </w:r>
      <w:r>
        <w:rPr>
          <w:rFonts w:hint="eastAsia" w:ascii="宋体" w:hAnsi="宋体" w:cs="宋体"/>
          <w:b w:val="0"/>
          <w:bCs/>
          <w:color w:val="auto"/>
          <w:sz w:val="24"/>
          <w:highlight w:val="none"/>
        </w:rPr>
        <w:t>）分项报价表（格式见附件）；</w:t>
      </w:r>
    </w:p>
    <w:p w14:paraId="5BDFCA5A">
      <w:pPr>
        <w:pageBreakBefore w:val="0"/>
        <w:kinsoku/>
        <w:wordWrap/>
        <w:overflowPunct/>
        <w:topLinePunct w:val="0"/>
        <w:bidi w:val="0"/>
        <w:spacing w:line="420" w:lineRule="exact"/>
        <w:ind w:firstLine="480" w:firstLineChars="200"/>
        <w:textAlignment w:val="auto"/>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3</w:t>
      </w:r>
      <w:r>
        <w:rPr>
          <w:rFonts w:hint="eastAsia" w:ascii="宋体" w:hAnsi="宋体" w:cs="宋体"/>
          <w:b w:val="0"/>
          <w:bCs/>
          <w:color w:val="auto"/>
          <w:sz w:val="24"/>
          <w:highlight w:val="none"/>
        </w:rPr>
        <w:t>）中小企业声明函（格式见附件）；</w:t>
      </w:r>
    </w:p>
    <w:p w14:paraId="02FFD568">
      <w:pPr>
        <w:pageBreakBefore w:val="0"/>
        <w:kinsoku/>
        <w:wordWrap/>
        <w:overflowPunct/>
        <w:topLinePunct w:val="0"/>
        <w:bidi w:val="0"/>
        <w:spacing w:line="420" w:lineRule="exact"/>
        <w:ind w:firstLine="480" w:firstLineChars="200"/>
        <w:textAlignment w:val="auto"/>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4</w:t>
      </w:r>
      <w:r>
        <w:rPr>
          <w:rFonts w:hint="eastAsia" w:ascii="宋体" w:hAnsi="宋体" w:cs="宋体"/>
          <w:b w:val="0"/>
          <w:bCs/>
          <w:color w:val="auto"/>
          <w:sz w:val="24"/>
          <w:highlight w:val="none"/>
        </w:rPr>
        <w:t>）残疾人福利性单位声明函（如有，格式见附件）。</w:t>
      </w:r>
    </w:p>
    <w:p w14:paraId="20FF7A87">
      <w:pPr>
        <w:pageBreakBefore w:val="0"/>
        <w:kinsoku/>
        <w:wordWrap/>
        <w:overflowPunct/>
        <w:topLinePunct w:val="0"/>
        <w:bidi w:val="0"/>
        <w:spacing w:line="420" w:lineRule="exact"/>
        <w:ind w:firstLine="480" w:firstLineChars="200"/>
        <w:textAlignment w:val="auto"/>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5</w:t>
      </w:r>
      <w:r>
        <w:rPr>
          <w:rFonts w:hint="eastAsia" w:ascii="宋体" w:hAnsi="宋体" w:cs="宋体"/>
          <w:b w:val="0"/>
          <w:bCs/>
          <w:color w:val="auto"/>
          <w:sz w:val="24"/>
          <w:highlight w:val="none"/>
        </w:rPr>
        <w:t>）监狱企业证明文件（如有，自行提供证明资料）。</w:t>
      </w:r>
    </w:p>
    <w:p w14:paraId="4CDB91C0">
      <w:pPr>
        <w:pageBreakBefore w:val="0"/>
        <w:kinsoku/>
        <w:wordWrap/>
        <w:overflowPunct/>
        <w:topLinePunct w:val="0"/>
        <w:bidi w:val="0"/>
        <w:spacing w:line="420" w:lineRule="exact"/>
        <w:ind w:firstLine="480" w:firstLineChars="200"/>
        <w:textAlignment w:val="auto"/>
        <w:rPr>
          <w:rFonts w:hint="eastAsia" w:ascii="宋体" w:hAnsi="宋体" w:cs="宋体"/>
          <w:b w:val="0"/>
          <w:bCs/>
          <w:color w:val="auto"/>
          <w:sz w:val="24"/>
          <w:highlight w:val="none"/>
          <w:lang w:eastAsia="zh-CN"/>
        </w:rPr>
      </w:pP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6</w:t>
      </w: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关于符合本国产品标准的</w:t>
      </w:r>
      <w:r>
        <w:rPr>
          <w:rFonts w:hint="eastAsia" w:ascii="宋体" w:hAnsi="宋体" w:cs="宋体"/>
          <w:b w:val="0"/>
          <w:bCs/>
          <w:color w:val="auto"/>
          <w:sz w:val="24"/>
          <w:highlight w:val="none"/>
        </w:rPr>
        <w:t>声明函</w:t>
      </w:r>
      <w:r>
        <w:rPr>
          <w:rFonts w:hint="eastAsia" w:ascii="宋体" w:hAnsi="宋体" w:cs="宋体"/>
          <w:b w:val="0"/>
          <w:bCs/>
          <w:color w:val="auto"/>
          <w:sz w:val="24"/>
          <w:highlight w:val="none"/>
          <w:lang w:eastAsia="zh-CN"/>
        </w:rPr>
        <w:t>；</w:t>
      </w:r>
    </w:p>
    <w:p w14:paraId="197DB1E1">
      <w:pPr>
        <w:pageBreakBefore w:val="0"/>
        <w:kinsoku/>
        <w:wordWrap/>
        <w:overflowPunct/>
        <w:topLinePunct w:val="0"/>
        <w:bidi w:val="0"/>
        <w:spacing w:line="420" w:lineRule="exact"/>
        <w:ind w:firstLine="482" w:firstLineChars="200"/>
        <w:textAlignment w:val="auto"/>
        <w:rPr>
          <w:rFonts w:hint="eastAsia" w:ascii="宋体" w:hAnsi="宋体" w:cs="宋体"/>
          <w:b/>
          <w:color w:val="auto"/>
          <w:sz w:val="24"/>
          <w:szCs w:val="21"/>
          <w:highlight w:val="none"/>
        </w:rPr>
      </w:pPr>
      <w:r>
        <w:rPr>
          <w:rFonts w:hint="eastAsia" w:ascii="宋体" w:hAnsi="宋体" w:cs="宋体"/>
          <w:b/>
          <w:color w:val="auto"/>
          <w:sz w:val="24"/>
          <w:highlight w:val="none"/>
        </w:rPr>
        <w:t>注：投标文件含有采购人不能接受的附加条件的，投标无效；投标人提供虚假材料投标的，投标无效。</w:t>
      </w:r>
      <w:r>
        <w:rPr>
          <w:rFonts w:hint="eastAsia"/>
          <w:b/>
          <w:color w:val="auto"/>
          <w:sz w:val="24"/>
          <w:highlight w:val="none"/>
          <w:shd w:val="clear" w:color="auto" w:fill="FFFFFF"/>
        </w:rPr>
        <w:t>投标人应对投标文件中材料的真实性、合法性负责。投标人可事先在公开官网查询、核对相关证书和报告内容，确保投标（响应）文件资料准确无误。</w:t>
      </w:r>
    </w:p>
    <w:p w14:paraId="7C826DF0">
      <w:pPr>
        <w:pageBreakBefore w:val="0"/>
        <w:kinsoku/>
        <w:wordWrap/>
        <w:overflowPunct/>
        <w:topLinePunct w:val="0"/>
        <w:bidi w:val="0"/>
        <w:snapToGrid w:val="0"/>
        <w:spacing w:line="420" w:lineRule="exact"/>
        <w:textAlignment w:val="auto"/>
        <w:rPr>
          <w:rFonts w:hint="eastAsia" w:ascii="宋体" w:hAnsi="宋体" w:cs="宋体"/>
          <w:b/>
          <w:color w:val="auto"/>
          <w:sz w:val="24"/>
          <w:highlight w:val="none"/>
        </w:rPr>
      </w:pPr>
      <w:bookmarkStart w:id="28" w:name="_Toc14413"/>
      <w:r>
        <w:rPr>
          <w:rFonts w:hint="eastAsia" w:ascii="宋体" w:hAnsi="宋体" w:cs="宋体"/>
          <w:b/>
          <w:color w:val="auto"/>
          <w:sz w:val="24"/>
          <w:highlight w:val="none"/>
        </w:rPr>
        <w:t>12</w:t>
      </w:r>
      <w:r>
        <w:rPr>
          <w:rFonts w:hint="eastAsia" w:ascii="宋体" w:hAnsi="宋体" w:cs="宋体"/>
          <w:b/>
          <w:color w:val="auto"/>
          <w:sz w:val="24"/>
          <w:highlight w:val="none"/>
          <w:lang w:val="zh-CN"/>
        </w:rPr>
        <w:t xml:space="preserve">. </w:t>
      </w:r>
      <w:r>
        <w:rPr>
          <w:rFonts w:hint="eastAsia" w:ascii="宋体" w:hAnsi="宋体" w:cs="宋体"/>
          <w:b/>
          <w:color w:val="auto"/>
          <w:sz w:val="24"/>
          <w:highlight w:val="none"/>
        </w:rPr>
        <w:t>投标文件的编制</w:t>
      </w:r>
      <w:bookmarkEnd w:id="28"/>
    </w:p>
    <w:p w14:paraId="246C0F3B">
      <w:pPr>
        <w:pageBreakBefore w:val="0"/>
        <w:kinsoku/>
        <w:wordWrap/>
        <w:overflowPunct/>
        <w:topLinePunct w:val="0"/>
        <w:bidi w:val="0"/>
        <w:spacing w:line="420" w:lineRule="exact"/>
        <w:ind w:firstLine="480" w:firstLineChars="200"/>
        <w:textAlignment w:val="auto"/>
        <w:rPr>
          <w:rFonts w:hint="eastAsia"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3A873DD2">
      <w:pPr>
        <w:pageBreakBefore w:val="0"/>
        <w:kinsoku/>
        <w:wordWrap/>
        <w:overflowPunct/>
        <w:topLinePunct w:val="0"/>
        <w:bidi w:val="0"/>
        <w:spacing w:line="420" w:lineRule="exact"/>
        <w:ind w:firstLine="480" w:firstLineChars="200"/>
        <w:textAlignment w:val="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3E292F7E">
      <w:pPr>
        <w:pageBreakBefore w:val="0"/>
        <w:kinsoku/>
        <w:wordWrap/>
        <w:overflowPunct/>
        <w:topLinePunct w:val="0"/>
        <w:bidi w:val="0"/>
        <w:spacing w:line="420" w:lineRule="exact"/>
        <w:ind w:firstLine="480" w:firstLineChars="200"/>
        <w:textAlignment w:val="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2CA907D5">
      <w:pPr>
        <w:pageBreakBefore w:val="0"/>
        <w:kinsoku/>
        <w:wordWrap/>
        <w:overflowPunct/>
        <w:topLinePunct w:val="0"/>
        <w:bidi w:val="0"/>
        <w:snapToGrid w:val="0"/>
        <w:spacing w:line="420" w:lineRule="exact"/>
        <w:textAlignment w:val="auto"/>
        <w:rPr>
          <w:rFonts w:hint="eastAsia" w:ascii="宋体" w:hAnsi="宋体" w:cs="宋体"/>
          <w:b/>
          <w:color w:val="auto"/>
          <w:sz w:val="24"/>
          <w:highlight w:val="none"/>
        </w:rPr>
      </w:pPr>
      <w:r>
        <w:rPr>
          <w:rFonts w:hint="eastAsia" w:ascii="宋体" w:hAnsi="宋体" w:cs="宋体"/>
          <w:b/>
          <w:color w:val="auto"/>
          <w:sz w:val="24"/>
          <w:highlight w:val="none"/>
        </w:rPr>
        <w:t>13.投标文件的签署、盖章</w:t>
      </w:r>
    </w:p>
    <w:p w14:paraId="368F61BD">
      <w:pPr>
        <w:pStyle w:val="190"/>
        <w:pageBreakBefore w:val="0"/>
        <w:kinsoku/>
        <w:wordWrap/>
        <w:overflowPunct/>
        <w:topLinePunct w:val="0"/>
        <w:bidi w:val="0"/>
        <w:snapToGrid w:val="0"/>
        <w:spacing w:before="0" w:line="420" w:lineRule="exact"/>
        <w:ind w:firstLine="480"/>
        <w:textAlignment w:val="auto"/>
        <w:rPr>
          <w:rFonts w:hint="eastAsia" w:ascii="宋体" w:hAnsi="宋体" w:cs="宋体"/>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p>
    <w:p w14:paraId="5E5161A8">
      <w:pPr>
        <w:pStyle w:val="190"/>
        <w:pageBreakBefore w:val="0"/>
        <w:kinsoku/>
        <w:wordWrap/>
        <w:overflowPunct/>
        <w:topLinePunct w:val="0"/>
        <w:bidi w:val="0"/>
        <w:snapToGrid w:val="0"/>
        <w:spacing w:before="0" w:line="420" w:lineRule="exact"/>
        <w:ind w:firstLine="480"/>
        <w:textAlignment w:val="auto"/>
        <w:rPr>
          <w:rFonts w:hint="eastAsia" w:ascii="宋体" w:hAnsi="宋体" w:cs="宋体"/>
          <w:b/>
          <w:color w:val="auto"/>
          <w:highlight w:val="none"/>
        </w:rPr>
      </w:pPr>
      <w:r>
        <w:rPr>
          <w:rFonts w:hint="eastAsia" w:ascii="宋体" w:hAnsi="宋体" w:cs="宋体"/>
          <w:bCs/>
          <w:color w:val="auto"/>
          <w:szCs w:val="21"/>
          <w:highlight w:val="none"/>
        </w:rPr>
        <w:t>★</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15F2629D">
      <w:pPr>
        <w:pStyle w:val="190"/>
        <w:pageBreakBefore w:val="0"/>
        <w:kinsoku/>
        <w:wordWrap/>
        <w:overflowPunct/>
        <w:topLinePunct w:val="0"/>
        <w:bidi w:val="0"/>
        <w:snapToGrid w:val="0"/>
        <w:spacing w:before="0" w:line="420" w:lineRule="exact"/>
        <w:ind w:firstLine="480"/>
        <w:textAlignment w:val="auto"/>
        <w:rPr>
          <w:rFonts w:hint="eastAsia"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13.2为确保网上操作合法、有效和安全，投标人应当在投标截止时间前完成在“政府采购云平台”的身份认证，确保在电子投标过程中能够对相关数据电文进行加密和使用电子签章。</w:t>
      </w:r>
    </w:p>
    <w:p w14:paraId="15928145">
      <w:pPr>
        <w:pStyle w:val="190"/>
        <w:pageBreakBefore w:val="0"/>
        <w:kinsoku/>
        <w:wordWrap/>
        <w:overflowPunct/>
        <w:topLinePunct w:val="0"/>
        <w:bidi w:val="0"/>
        <w:snapToGrid w:val="0"/>
        <w:spacing w:before="0" w:line="420" w:lineRule="exact"/>
        <w:ind w:firstLine="480"/>
        <w:textAlignment w:val="auto"/>
        <w:rPr>
          <w:rFonts w:hint="eastAsia" w:ascii="宋体" w:hAnsi="宋体" w:cs="宋体"/>
          <w:color w:val="auto"/>
          <w:szCs w:val="24"/>
          <w:highlight w:val="none"/>
        </w:rPr>
      </w:pPr>
      <w:r>
        <w:rPr>
          <w:rFonts w:hint="eastAsia" w:ascii="宋体" w:hAnsi="宋体" w:cs="宋体"/>
          <w:color w:val="auto"/>
          <w:highlight w:val="none"/>
        </w:rPr>
        <w:t>13.3招标文件对投标文件签署、盖章的要求适用于电子签章。</w:t>
      </w:r>
    </w:p>
    <w:p w14:paraId="1EDB1B4B">
      <w:pPr>
        <w:pStyle w:val="190"/>
        <w:pageBreakBefore w:val="0"/>
        <w:kinsoku/>
        <w:wordWrap/>
        <w:overflowPunct/>
        <w:topLinePunct w:val="0"/>
        <w:bidi w:val="0"/>
        <w:spacing w:before="0" w:line="420" w:lineRule="exact"/>
        <w:ind w:firstLine="0" w:firstLineChars="0"/>
        <w:textAlignment w:val="auto"/>
        <w:rPr>
          <w:rFonts w:hint="eastAsia"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0299FA10">
      <w:pPr>
        <w:pStyle w:val="190"/>
        <w:pageBreakBefore w:val="0"/>
        <w:kinsoku/>
        <w:wordWrap/>
        <w:overflowPunct/>
        <w:topLinePunct w:val="0"/>
        <w:bidi w:val="0"/>
        <w:spacing w:line="420" w:lineRule="exact"/>
        <w:ind w:firstLine="480"/>
        <w:textAlignment w:val="auto"/>
        <w:rPr>
          <w:rFonts w:hint="eastAsia"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7339D345">
      <w:pPr>
        <w:pStyle w:val="190"/>
        <w:pageBreakBefore w:val="0"/>
        <w:kinsoku/>
        <w:wordWrap/>
        <w:overflowPunct/>
        <w:topLinePunct w:val="0"/>
        <w:bidi w:val="0"/>
        <w:spacing w:before="0" w:line="420" w:lineRule="exact"/>
        <w:ind w:firstLine="480"/>
        <w:textAlignment w:val="auto"/>
        <w:rPr>
          <w:rFonts w:hint="eastAsia"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5F616CED">
      <w:pPr>
        <w:pStyle w:val="190"/>
        <w:pageBreakBefore w:val="0"/>
        <w:kinsoku/>
        <w:wordWrap/>
        <w:overflowPunct/>
        <w:topLinePunct w:val="0"/>
        <w:bidi w:val="0"/>
        <w:spacing w:before="0" w:line="420" w:lineRule="exact"/>
        <w:ind w:firstLine="480"/>
        <w:textAlignment w:val="auto"/>
        <w:rPr>
          <w:rFonts w:hint="eastAsia" w:ascii="宋体" w:hAnsi="宋体" w:cs="宋体"/>
          <w:color w:val="auto"/>
          <w:szCs w:val="24"/>
          <w:highlight w:val="none"/>
        </w:rPr>
      </w:pPr>
      <w:r>
        <w:rPr>
          <w:rFonts w:hint="eastAsia" w:ascii="宋体" w:hAnsi="宋体" w:cs="宋体"/>
          <w:color w:val="auto"/>
          <w:szCs w:val="24"/>
          <w:highlight w:val="none"/>
        </w:rPr>
        <w:t>14.3采购人、采购代理机构可以视情况延长投标文件提交的截止时间。在上述情况下，采购代理机构与投标人以前在投标截止期方面的全部权利、责任和义务，将适用于延长至新的投标截止期。</w:t>
      </w:r>
    </w:p>
    <w:p w14:paraId="5C79F81E">
      <w:pPr>
        <w:pStyle w:val="21"/>
        <w:pageBreakBefore w:val="0"/>
        <w:kinsoku/>
        <w:wordWrap/>
        <w:overflowPunct/>
        <w:topLinePunct w:val="0"/>
        <w:bidi w:val="0"/>
        <w:spacing w:line="420" w:lineRule="exact"/>
        <w:textAlignment w:val="auto"/>
        <w:rPr>
          <w:rFonts w:hint="eastAsia" w:hAnsi="宋体" w:cs="宋体"/>
          <w:b/>
          <w:color w:val="auto"/>
          <w:sz w:val="24"/>
          <w:szCs w:val="24"/>
          <w:highlight w:val="none"/>
        </w:rPr>
      </w:pPr>
      <w:r>
        <w:rPr>
          <w:rFonts w:hint="eastAsia" w:hAnsi="宋体" w:cs="宋体"/>
          <w:b/>
          <w:color w:val="auto"/>
          <w:sz w:val="24"/>
          <w:szCs w:val="24"/>
          <w:highlight w:val="none"/>
        </w:rPr>
        <w:t>15.备份投标文件</w:t>
      </w:r>
    </w:p>
    <w:p w14:paraId="66494733">
      <w:pPr>
        <w:pStyle w:val="21"/>
        <w:pageBreakBefore w:val="0"/>
        <w:kinsoku/>
        <w:wordWrap/>
        <w:overflowPunct/>
        <w:topLinePunct w:val="0"/>
        <w:bidi w:val="0"/>
        <w:spacing w:line="420" w:lineRule="exact"/>
        <w:ind w:firstLine="360" w:firstLineChars="150"/>
        <w:textAlignment w:val="auto"/>
        <w:rPr>
          <w:rFonts w:hint="eastAsia"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15.1投标人在电子交易平台传输递交投标文件后，还可以在投标截止时间前直接提交或者以邮寄方式递交备份投标文件1份，</w:t>
      </w:r>
      <w:r>
        <w:rPr>
          <w:rFonts w:hint="eastAsia" w:hAnsi="宋体" w:cs="宋体"/>
          <w:b/>
          <w:color w:val="auto"/>
          <w:sz w:val="24"/>
          <w:szCs w:val="24"/>
          <w:highlight w:val="none"/>
        </w:rPr>
        <w:t>但采购人、采购代理机构不强制投标人提交备份投标文件。</w:t>
      </w:r>
    </w:p>
    <w:p w14:paraId="491A62BD">
      <w:pPr>
        <w:pStyle w:val="21"/>
        <w:pageBreakBefore w:val="0"/>
        <w:kinsoku/>
        <w:wordWrap/>
        <w:overflowPunct/>
        <w:topLinePunct w:val="0"/>
        <w:bidi w:val="0"/>
        <w:spacing w:line="420" w:lineRule="exact"/>
        <w:ind w:firstLine="480" w:firstLineChars="200"/>
        <w:textAlignment w:val="auto"/>
        <w:rPr>
          <w:rFonts w:hint="eastAsia"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kern w:val="28"/>
          <w:sz w:val="24"/>
          <w:highlight w:val="none"/>
        </w:rPr>
        <w:t>U盘存储</w:t>
      </w:r>
      <w:r>
        <w:rPr>
          <w:rFonts w:hint="eastAsia" w:hAnsi="宋体" w:cs="宋体"/>
          <w:color w:val="auto"/>
          <w:sz w:val="24"/>
          <w:highlight w:val="none"/>
        </w:rPr>
        <w:t>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307CE97B">
      <w:pPr>
        <w:pStyle w:val="21"/>
        <w:pageBreakBefore w:val="0"/>
        <w:kinsoku/>
        <w:wordWrap/>
        <w:overflowPunct/>
        <w:topLinePunct w:val="0"/>
        <w:bidi w:val="0"/>
        <w:spacing w:line="420" w:lineRule="exact"/>
        <w:ind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15.3直接提交备份投标文件的，投标人应于投标截止时间前在招标文件第二部分投标人须知前附表载明地点将备份投标文件提交给采购代理机构，采购代理机构将拒绝接受逾期送达的备份投标文件。</w:t>
      </w:r>
    </w:p>
    <w:p w14:paraId="1F577742">
      <w:pPr>
        <w:pStyle w:val="21"/>
        <w:pageBreakBefore w:val="0"/>
        <w:kinsoku/>
        <w:wordWrap/>
        <w:overflowPunct/>
        <w:topLinePunct w:val="0"/>
        <w:bidi w:val="0"/>
        <w:spacing w:line="420" w:lineRule="exact"/>
        <w:ind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15.4以邮寄方式递交备份投标文件的，投标人应先将备份投标文件按要求密封和标记，再进行邮件外包装后邮寄。备份投标文件须在招标文件第二部分投标人须知前附表规定截止时间之前送达到规定的地点</w:t>
      </w:r>
      <w:r>
        <w:rPr>
          <w:rFonts w:hint="eastAsia" w:hAnsi="宋体" w:cs="宋体"/>
          <w:snapToGrid/>
          <w:color w:val="auto"/>
          <w:sz w:val="24"/>
          <w:szCs w:val="24"/>
          <w:highlight w:val="none"/>
        </w:rPr>
        <w:t>；</w:t>
      </w:r>
      <w:r>
        <w:rPr>
          <w:rFonts w:hint="eastAsia" w:hAnsi="宋体" w:cs="宋体"/>
          <w:color w:val="auto"/>
          <w:sz w:val="24"/>
          <w:szCs w:val="24"/>
          <w:highlight w:val="none"/>
        </w:rPr>
        <w:t>送达时间以签收人签收时间为准。采购代理机构将拒绝接受逾期送达的备份投标文件。邮寄过程中，电子备份投标文件发生泄露、遗失、损坏或延期送达等情况的，由投标人自行负责。</w:t>
      </w:r>
    </w:p>
    <w:p w14:paraId="09DFD9A6">
      <w:pPr>
        <w:pStyle w:val="21"/>
        <w:pageBreakBefore w:val="0"/>
        <w:kinsoku/>
        <w:wordWrap/>
        <w:overflowPunct/>
        <w:topLinePunct w:val="0"/>
        <w:bidi w:val="0"/>
        <w:spacing w:line="420" w:lineRule="exact"/>
        <w:ind w:firstLine="479" w:firstLineChars="199"/>
        <w:textAlignment w:val="auto"/>
        <w:rPr>
          <w:rFonts w:hint="eastAsia"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5801BF94">
      <w:pPr>
        <w:pStyle w:val="190"/>
        <w:pageBreakBefore w:val="0"/>
        <w:kinsoku/>
        <w:wordWrap/>
        <w:overflowPunct/>
        <w:topLinePunct w:val="0"/>
        <w:bidi w:val="0"/>
        <w:spacing w:before="0" w:line="420" w:lineRule="exact"/>
        <w:ind w:firstLine="0" w:firstLineChars="0"/>
        <w:textAlignment w:val="auto"/>
        <w:rPr>
          <w:rFonts w:hint="eastAsia" w:ascii="宋体" w:hAnsi="宋体" w:cs="宋体"/>
          <w:b/>
          <w:color w:val="auto"/>
          <w:szCs w:val="24"/>
          <w:highlight w:val="none"/>
        </w:rPr>
      </w:pPr>
      <w:r>
        <w:rPr>
          <w:rFonts w:hint="eastAsia" w:ascii="宋体" w:hAnsi="宋体" w:cs="宋体"/>
          <w:b/>
          <w:color w:val="auto"/>
          <w:szCs w:val="24"/>
          <w:highlight w:val="none"/>
        </w:rPr>
        <w:t>16.投标文件的无效处理</w:t>
      </w:r>
    </w:p>
    <w:p w14:paraId="5526794F">
      <w:pPr>
        <w:pStyle w:val="15"/>
        <w:pageBreakBefore w:val="0"/>
        <w:kinsoku/>
        <w:wordWrap/>
        <w:overflowPunct/>
        <w:topLinePunct w:val="0"/>
        <w:bidi w:val="0"/>
        <w:adjustRightInd w:val="0"/>
        <w:spacing w:line="420" w:lineRule="exact"/>
        <w:ind w:firstLine="360" w:firstLineChars="150"/>
        <w:textAlignment w:val="auto"/>
        <w:rPr>
          <w:rFonts w:hint="eastAsia" w:ascii="宋体" w:hAnsi="宋体" w:eastAsia="宋体" w:cs="宋体"/>
          <w:color w:val="auto"/>
          <w:spacing w:val="0"/>
          <w:kern w:val="2"/>
          <w:sz w:val="24"/>
          <w:szCs w:val="21"/>
          <w:highlight w:val="none"/>
        </w:rPr>
      </w:pPr>
      <w:r>
        <w:rPr>
          <w:rFonts w:hint="eastAsia" w:ascii="宋体" w:hAnsi="宋体" w:eastAsia="宋体" w:cs="宋体"/>
          <w:color w:val="auto"/>
          <w:spacing w:val="0"/>
          <w:kern w:val="2"/>
          <w:sz w:val="24"/>
          <w:szCs w:val="21"/>
          <w:highlight w:val="none"/>
        </w:rPr>
        <w:t>有招标文件第四部分4.2规定的情形之一的，投标无效：</w:t>
      </w:r>
    </w:p>
    <w:p w14:paraId="55E43E02">
      <w:pPr>
        <w:pStyle w:val="190"/>
        <w:pageBreakBefore w:val="0"/>
        <w:kinsoku/>
        <w:wordWrap/>
        <w:overflowPunct/>
        <w:topLinePunct w:val="0"/>
        <w:bidi w:val="0"/>
        <w:spacing w:before="0" w:line="420" w:lineRule="exact"/>
        <w:ind w:firstLine="0" w:firstLineChars="0"/>
        <w:textAlignment w:val="auto"/>
        <w:rPr>
          <w:rFonts w:hint="eastAsia" w:ascii="宋体" w:hAnsi="宋体" w:cs="宋体"/>
          <w:b/>
          <w:color w:val="auto"/>
          <w:szCs w:val="24"/>
          <w:highlight w:val="none"/>
        </w:rPr>
      </w:pPr>
      <w:r>
        <w:rPr>
          <w:rFonts w:hint="eastAsia" w:ascii="宋体" w:hAnsi="宋体" w:cs="宋体"/>
          <w:b/>
          <w:color w:val="auto"/>
          <w:szCs w:val="24"/>
          <w:highlight w:val="none"/>
        </w:rPr>
        <w:t>17.投标有效期</w:t>
      </w:r>
    </w:p>
    <w:p w14:paraId="7B7464ED">
      <w:pPr>
        <w:pageBreakBefore w:val="0"/>
        <w:kinsoku/>
        <w:wordWrap/>
        <w:overflowPunct/>
        <w:topLinePunct w:val="0"/>
        <w:bidi w:val="0"/>
        <w:spacing w:line="420" w:lineRule="exact"/>
        <w:ind w:firstLine="480" w:firstLineChars="200"/>
        <w:textAlignment w:val="auto"/>
        <w:rPr>
          <w:rFonts w:hint="eastAsia" w:ascii="宋体" w:hAnsi="宋体" w:cs="宋体"/>
          <w:color w:val="auto"/>
          <w:sz w:val="24"/>
          <w:szCs w:val="20"/>
          <w:highlight w:val="none"/>
        </w:rPr>
      </w:pPr>
      <w:r>
        <w:rPr>
          <w:rFonts w:hint="eastAsia" w:ascii="宋体" w:hAnsi="宋体" w:cs="宋体"/>
          <w:color w:val="auto"/>
          <w:sz w:val="24"/>
          <w:szCs w:val="20"/>
          <w:highlight w:val="none"/>
        </w:rPr>
        <w:t>17.1投标有效期为从提交投标文件的截止之日起90天。</w:t>
      </w:r>
    </w:p>
    <w:p w14:paraId="09BADF76">
      <w:pPr>
        <w:pageBreakBefore w:val="0"/>
        <w:kinsoku/>
        <w:wordWrap/>
        <w:overflowPunct/>
        <w:topLinePunct w:val="0"/>
        <w:bidi w:val="0"/>
        <w:spacing w:line="420" w:lineRule="exact"/>
        <w:ind w:firstLine="420" w:firstLineChars="200"/>
        <w:textAlignment w:val="auto"/>
        <w:rPr>
          <w:rFonts w:hint="eastAsia" w:ascii="宋体" w:hAnsi="宋体" w:cs="宋体"/>
          <w:b/>
          <w:color w:val="auto"/>
          <w:sz w:val="24"/>
          <w:szCs w:val="21"/>
          <w:highlight w:val="none"/>
        </w:rPr>
      </w:pPr>
      <w:r>
        <w:rPr>
          <w:rFonts w:hint="eastAsia" w:ascii="宋体" w:hAnsi="宋体" w:cs="宋体"/>
          <w:bCs/>
          <w:color w:val="auto"/>
          <w:szCs w:val="21"/>
          <w:highlight w:val="none"/>
        </w:rPr>
        <w:t>★</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416BB36E">
      <w:pPr>
        <w:pStyle w:val="190"/>
        <w:pageBreakBefore w:val="0"/>
        <w:kinsoku/>
        <w:wordWrap/>
        <w:overflowPunct/>
        <w:topLinePunct w:val="0"/>
        <w:bidi w:val="0"/>
        <w:spacing w:before="0" w:line="420" w:lineRule="exact"/>
        <w:ind w:firstLine="480"/>
        <w:textAlignment w:val="auto"/>
        <w:rPr>
          <w:rFonts w:hint="eastAsia"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48FC866D">
      <w:pPr>
        <w:pStyle w:val="190"/>
        <w:pageBreakBefore w:val="0"/>
        <w:kinsoku/>
        <w:wordWrap/>
        <w:overflowPunct/>
        <w:topLinePunct w:val="0"/>
        <w:bidi w:val="0"/>
        <w:spacing w:before="0" w:line="420" w:lineRule="exact"/>
        <w:ind w:firstLine="480"/>
        <w:textAlignment w:val="auto"/>
        <w:rPr>
          <w:rFonts w:hint="eastAsia" w:ascii="宋体" w:hAnsi="宋体" w:cs="宋体"/>
          <w:color w:val="auto"/>
          <w:highlight w:val="none"/>
        </w:rPr>
      </w:pPr>
      <w:r>
        <w:rPr>
          <w:rFonts w:hint="eastAsia" w:ascii="宋体" w:hAnsi="宋体" w:cs="宋体"/>
          <w:color w:val="auto"/>
          <w:highlight w:val="none"/>
        </w:rPr>
        <w:t>17.3在原定投标有效期满之前，如果出现特殊情况，采购代理机构可以以书面形式通知投标人延长投标有效期。投标人同意延长的，不得要求或被允许修改其投标文件，投标人拒绝延长的，其投标无效。</w:t>
      </w:r>
    </w:p>
    <w:p w14:paraId="60E9B729">
      <w:pPr>
        <w:pStyle w:val="190"/>
        <w:pageBreakBefore w:val="0"/>
        <w:kinsoku/>
        <w:wordWrap/>
        <w:overflowPunct/>
        <w:topLinePunct w:val="0"/>
        <w:bidi w:val="0"/>
        <w:spacing w:before="0" w:line="420" w:lineRule="exact"/>
        <w:ind w:firstLine="1928" w:firstLineChars="600"/>
        <w:textAlignment w:val="auto"/>
        <w:outlineLvl w:val="1"/>
        <w:rPr>
          <w:rFonts w:hint="eastAsia" w:ascii="宋体" w:hAnsi="宋体" w:cs="宋体"/>
          <w:b/>
          <w:color w:val="auto"/>
          <w:sz w:val="32"/>
          <w:highlight w:val="none"/>
        </w:rPr>
      </w:pPr>
      <w:bookmarkStart w:id="29" w:name="_Toc24357"/>
      <w:r>
        <w:rPr>
          <w:rFonts w:hint="eastAsia" w:ascii="宋体" w:hAnsi="宋体" w:cs="宋体"/>
          <w:b/>
          <w:color w:val="auto"/>
          <w:sz w:val="32"/>
          <w:highlight w:val="none"/>
        </w:rPr>
        <w:t>四、开标、资格审查与信用信息查询</w:t>
      </w:r>
      <w:bookmarkEnd w:id="29"/>
    </w:p>
    <w:p w14:paraId="1E73C828">
      <w:pPr>
        <w:pStyle w:val="191"/>
        <w:pageBreakBefore w:val="0"/>
        <w:kinsoku/>
        <w:wordWrap/>
        <w:overflowPunct/>
        <w:topLinePunct w:val="0"/>
        <w:bidi w:val="0"/>
        <w:spacing w:before="0" w:line="420" w:lineRule="exact"/>
        <w:ind w:left="0" w:firstLine="241" w:firstLineChars="100"/>
        <w:contextualSpacing/>
        <w:textAlignment w:val="auto"/>
        <w:rPr>
          <w:rFonts w:hint="eastAsia"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64518C08">
      <w:pPr>
        <w:pStyle w:val="191"/>
        <w:pageBreakBefore w:val="0"/>
        <w:kinsoku/>
        <w:wordWrap/>
        <w:overflowPunct/>
        <w:topLinePunct w:val="0"/>
        <w:bidi w:val="0"/>
        <w:spacing w:before="0" w:line="420" w:lineRule="exact"/>
        <w:ind w:left="0" w:firstLine="480" w:firstLineChars="20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18.1采购代理机构按照招标文件规定的时间通过电子交易平台组织开标，所有投标人均应当准时在线参加。投标人不足3家的，不得开标。</w:t>
      </w:r>
    </w:p>
    <w:p w14:paraId="0ED3D362">
      <w:pPr>
        <w:pStyle w:val="191"/>
        <w:pageBreakBefore w:val="0"/>
        <w:kinsoku/>
        <w:wordWrap/>
        <w:overflowPunct/>
        <w:topLinePunct w:val="0"/>
        <w:bidi w:val="0"/>
        <w:spacing w:before="0" w:line="420" w:lineRule="exact"/>
        <w:ind w:left="0" w:firstLine="240" w:firstLineChars="10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18.2开标时，电子交易平台按开标时间自动提取所有投标文件。采购代理机构依托电子交易平台发起开始解密指令，投标人按照平台提示和招标文件的规定在半小时内完成在线解密。</w:t>
      </w:r>
    </w:p>
    <w:p w14:paraId="37FE99C1">
      <w:pPr>
        <w:pStyle w:val="191"/>
        <w:pageBreakBefore w:val="0"/>
        <w:kinsoku/>
        <w:wordWrap/>
        <w:overflowPunct/>
        <w:topLinePunct w:val="0"/>
        <w:bidi w:val="0"/>
        <w:spacing w:before="0" w:line="420" w:lineRule="exact"/>
        <w:ind w:left="0" w:firstLine="241" w:firstLineChars="100"/>
        <w:contextualSpacing/>
        <w:textAlignment w:val="auto"/>
        <w:rPr>
          <w:rFonts w:hint="eastAsia" w:ascii="宋体" w:hAnsi="宋体" w:cs="宋体"/>
          <w:b/>
          <w:color w:val="auto"/>
          <w:sz w:val="24"/>
          <w:highlight w:val="none"/>
        </w:rPr>
      </w:pPr>
      <w:r>
        <w:rPr>
          <w:rFonts w:hint="eastAsia" w:ascii="宋体" w:hAnsi="宋体" w:cs="宋体"/>
          <w:b/>
          <w:bCs/>
          <w:color w:val="auto"/>
          <w:sz w:val="24"/>
          <w:highlight w:val="none"/>
        </w:rPr>
        <w:t>　18.3投标</w:t>
      </w:r>
      <w:r>
        <w:rPr>
          <w:rFonts w:hint="eastAsia" w:ascii="宋体" w:hAnsi="宋体" w:cs="宋体"/>
          <w:b/>
          <w:color w:val="auto"/>
          <w:sz w:val="24"/>
          <w:highlight w:val="none"/>
        </w:rPr>
        <w:t>文件未按时解密，投标人提供了备份投标文件的，以备份投标文件作为依据，否则视为投标文件撤回。投标文件已按时解密的，备份投标文件自动失效。</w:t>
      </w:r>
    </w:p>
    <w:p w14:paraId="19913BA1">
      <w:pPr>
        <w:pageBreakBefore w:val="0"/>
        <w:widowControl/>
        <w:kinsoku/>
        <w:wordWrap/>
        <w:overflowPunct/>
        <w:topLinePunct w:val="0"/>
        <w:bidi w:val="0"/>
        <w:snapToGrid w:val="0"/>
        <w:spacing w:line="420" w:lineRule="exact"/>
        <w:jc w:val="left"/>
        <w:textAlignment w:val="auto"/>
        <w:rPr>
          <w:rFonts w:hint="eastAsia" w:ascii="宋体" w:hAnsi="宋体" w:cs="宋体"/>
          <w:b/>
          <w:color w:val="auto"/>
          <w:sz w:val="24"/>
          <w:szCs w:val="20"/>
          <w:highlight w:val="none"/>
        </w:rPr>
      </w:pPr>
      <w:r>
        <w:rPr>
          <w:rFonts w:hint="eastAsia" w:ascii="宋体" w:hAnsi="宋体" w:cs="宋体"/>
          <w:b/>
          <w:color w:val="auto"/>
          <w:sz w:val="24"/>
          <w:szCs w:val="20"/>
          <w:highlight w:val="none"/>
        </w:rPr>
        <w:t>　19.资格审查</w:t>
      </w:r>
    </w:p>
    <w:p w14:paraId="4B9B7AF2">
      <w:pPr>
        <w:pageBreakBefore w:val="0"/>
        <w:kinsoku/>
        <w:wordWrap/>
        <w:overflowPunct/>
        <w:topLinePunct w:val="0"/>
        <w:bidi w:val="0"/>
        <w:snapToGrid w:val="0"/>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kern w:val="0"/>
          <w:sz w:val="24"/>
          <w:highlight w:val="none"/>
        </w:rPr>
        <w:t>19.1</w:t>
      </w:r>
      <w:r>
        <w:rPr>
          <w:rFonts w:hint="eastAsia" w:ascii="宋体" w:hAnsi="宋体" w:cs="宋体"/>
          <w:color w:val="auto"/>
          <w:sz w:val="24"/>
          <w:highlight w:val="none"/>
        </w:rPr>
        <w:t>采购人或采购代理机构依据法律法规和招标文件的规定，对投标人的资格进行审查。</w:t>
      </w:r>
    </w:p>
    <w:p w14:paraId="574AB06F">
      <w:pPr>
        <w:pStyle w:val="190"/>
        <w:pageBreakBefore w:val="0"/>
        <w:kinsoku/>
        <w:wordWrap/>
        <w:overflowPunct/>
        <w:topLinePunct w:val="0"/>
        <w:bidi w:val="0"/>
        <w:spacing w:before="0" w:line="420" w:lineRule="exact"/>
        <w:ind w:firstLine="480"/>
        <w:textAlignment w:val="auto"/>
        <w:rPr>
          <w:rFonts w:hint="eastAsia" w:ascii="宋体" w:hAnsi="宋体" w:cs="宋体"/>
          <w:color w:val="auto"/>
          <w:highlight w:val="none"/>
        </w:rPr>
      </w:pPr>
      <w:r>
        <w:rPr>
          <w:rFonts w:hint="eastAsia" w:ascii="宋体" w:hAnsi="宋体" w:cs="宋体"/>
          <w:color w:val="auto"/>
          <w:kern w:val="0"/>
          <w:szCs w:val="24"/>
          <w:highlight w:val="none"/>
        </w:rPr>
        <w:t>19.2投标人未按照招标文件要求提供与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4B2C4605">
      <w:pPr>
        <w:pStyle w:val="190"/>
        <w:pageBreakBefore w:val="0"/>
        <w:kinsoku/>
        <w:wordWrap/>
        <w:overflowPunct/>
        <w:topLinePunct w:val="0"/>
        <w:bidi w:val="0"/>
        <w:spacing w:before="0" w:line="420" w:lineRule="exact"/>
        <w:ind w:firstLine="480"/>
        <w:textAlignment w:val="auto"/>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3对未通过资格审查的投标人，采购人或采购代理机构告知其未通过的原因。</w:t>
      </w:r>
    </w:p>
    <w:p w14:paraId="75112718">
      <w:pPr>
        <w:pStyle w:val="190"/>
        <w:pageBreakBefore w:val="0"/>
        <w:kinsoku/>
        <w:wordWrap/>
        <w:overflowPunct/>
        <w:topLinePunct w:val="0"/>
        <w:bidi w:val="0"/>
        <w:spacing w:before="0" w:line="420" w:lineRule="exact"/>
        <w:ind w:firstLine="480"/>
        <w:textAlignment w:val="auto"/>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4合格投标人不足3家的，不再评标。</w:t>
      </w:r>
    </w:p>
    <w:p w14:paraId="26EF0A1E">
      <w:pPr>
        <w:pStyle w:val="190"/>
        <w:pageBreakBefore w:val="0"/>
        <w:kinsoku/>
        <w:wordWrap/>
        <w:overflowPunct/>
        <w:topLinePunct w:val="0"/>
        <w:bidi w:val="0"/>
        <w:spacing w:before="0" w:line="420" w:lineRule="exact"/>
        <w:ind w:firstLine="0" w:firstLineChars="0"/>
        <w:textAlignment w:val="auto"/>
        <w:rPr>
          <w:rFonts w:hint="eastAsia" w:ascii="宋体" w:hAnsi="宋体" w:cs="宋体"/>
          <w:b/>
          <w:color w:val="auto"/>
          <w:szCs w:val="24"/>
          <w:highlight w:val="none"/>
        </w:rPr>
      </w:pPr>
      <w:r>
        <w:rPr>
          <w:rFonts w:hint="eastAsia" w:ascii="宋体" w:hAnsi="宋体" w:cs="宋体"/>
          <w:b/>
          <w:color w:val="auto"/>
          <w:szCs w:val="24"/>
          <w:highlight w:val="none"/>
        </w:rPr>
        <w:t>20.信用信息查询</w:t>
      </w:r>
    </w:p>
    <w:p w14:paraId="7CC30F16">
      <w:pPr>
        <w:pStyle w:val="190"/>
        <w:pageBreakBefore w:val="0"/>
        <w:kinsoku/>
        <w:wordWrap/>
        <w:overflowPunct/>
        <w:topLinePunct w:val="0"/>
        <w:bidi w:val="0"/>
        <w:spacing w:before="0" w:line="420" w:lineRule="exact"/>
        <w:ind w:firstLine="495" w:firstLineChars="0"/>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20.1信用信息查询渠道及截止时间：采购代理机构将在资格审查时通过“信用中国”网站(www.creditchina.gov.cn)、中国政府采购网(www.ccgp.gov.cn)渠道查询投标人接受资格审查时的信用记录。</w:t>
      </w:r>
    </w:p>
    <w:p w14:paraId="27AB48B7">
      <w:pPr>
        <w:pStyle w:val="190"/>
        <w:pageBreakBefore w:val="0"/>
        <w:kinsoku/>
        <w:wordWrap/>
        <w:overflowPunct/>
        <w:topLinePunct w:val="0"/>
        <w:bidi w:val="0"/>
        <w:spacing w:before="0" w:line="420" w:lineRule="exact"/>
        <w:ind w:firstLine="495" w:firstLineChars="0"/>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20C8BB03">
      <w:pPr>
        <w:pStyle w:val="190"/>
        <w:pageBreakBefore w:val="0"/>
        <w:kinsoku/>
        <w:wordWrap/>
        <w:overflowPunct/>
        <w:topLinePunct w:val="0"/>
        <w:bidi w:val="0"/>
        <w:spacing w:before="0" w:line="420" w:lineRule="exact"/>
        <w:ind w:firstLine="495" w:firstLineChars="0"/>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20.3信用信息的使用规则：经查询列入失信被执行人名单、重大税收违法失信主体、政府采购严重违法失信行为记录名单的投标人将被拒绝参与政府采购活动。</w:t>
      </w:r>
    </w:p>
    <w:p w14:paraId="1309443F">
      <w:pPr>
        <w:pStyle w:val="190"/>
        <w:pageBreakBefore w:val="0"/>
        <w:kinsoku/>
        <w:wordWrap/>
        <w:overflowPunct/>
        <w:topLinePunct w:val="0"/>
        <w:bidi w:val="0"/>
        <w:spacing w:before="0" w:line="420" w:lineRule="exact"/>
        <w:ind w:firstLine="480"/>
        <w:textAlignment w:val="auto"/>
        <w:rPr>
          <w:rFonts w:hint="eastAsia"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291C6175">
      <w:pPr>
        <w:pStyle w:val="190"/>
        <w:pageBreakBefore w:val="0"/>
        <w:kinsoku/>
        <w:wordWrap/>
        <w:overflowPunct/>
        <w:topLinePunct w:val="0"/>
        <w:bidi w:val="0"/>
        <w:spacing w:before="0" w:line="420" w:lineRule="exact"/>
        <w:ind w:firstLine="0" w:firstLineChars="0"/>
        <w:textAlignment w:val="auto"/>
        <w:rPr>
          <w:rFonts w:hint="eastAsia" w:ascii="宋体" w:hAnsi="宋体" w:cs="宋体"/>
          <w:color w:val="auto"/>
          <w:kern w:val="0"/>
          <w:szCs w:val="24"/>
          <w:highlight w:val="none"/>
        </w:rPr>
      </w:pPr>
    </w:p>
    <w:p w14:paraId="7DFCEAEB">
      <w:pPr>
        <w:pageBreakBefore w:val="0"/>
        <w:kinsoku/>
        <w:wordWrap/>
        <w:overflowPunct/>
        <w:topLinePunct w:val="0"/>
        <w:bidi w:val="0"/>
        <w:snapToGrid w:val="0"/>
        <w:spacing w:line="420" w:lineRule="exact"/>
        <w:jc w:val="center"/>
        <w:textAlignment w:val="auto"/>
        <w:outlineLvl w:val="1"/>
        <w:rPr>
          <w:rFonts w:hint="eastAsia" w:ascii="宋体" w:hAnsi="宋体" w:cs="宋体"/>
          <w:b/>
          <w:color w:val="auto"/>
          <w:sz w:val="36"/>
          <w:szCs w:val="36"/>
          <w:highlight w:val="none"/>
        </w:rPr>
      </w:pPr>
      <w:bookmarkStart w:id="30" w:name="_Toc23139"/>
      <w:r>
        <w:rPr>
          <w:rFonts w:hint="eastAsia" w:ascii="宋体" w:hAnsi="宋体" w:cs="宋体"/>
          <w:b/>
          <w:color w:val="auto"/>
          <w:sz w:val="36"/>
          <w:szCs w:val="36"/>
          <w:highlight w:val="none"/>
        </w:rPr>
        <w:t>五、评标</w:t>
      </w:r>
      <w:bookmarkEnd w:id="30"/>
    </w:p>
    <w:p w14:paraId="6BFE3F13">
      <w:pPr>
        <w:pageBreakBefore w:val="0"/>
        <w:kinsoku/>
        <w:wordWrap/>
        <w:overflowPunct/>
        <w:topLinePunct w:val="0"/>
        <w:bidi w:val="0"/>
        <w:spacing w:line="420" w:lineRule="exact"/>
        <w:textAlignment w:val="auto"/>
        <w:rPr>
          <w:rFonts w:hint="eastAsia" w:ascii="宋体" w:hAnsi="宋体" w:cs="宋体"/>
          <w:color w:val="auto"/>
          <w:sz w:val="24"/>
          <w:highlight w:val="none"/>
        </w:rPr>
      </w:pPr>
      <w:r>
        <w:rPr>
          <w:rFonts w:hint="eastAsia" w:ascii="宋体" w:hAnsi="宋体" w:cs="宋体"/>
          <w:bCs/>
          <w:color w:val="auto"/>
          <w:sz w:val="24"/>
          <w:highlight w:val="none"/>
        </w:rPr>
        <w:t>21.</w:t>
      </w:r>
      <w:r>
        <w:rPr>
          <w:rFonts w:hint="eastAsia" w:ascii="宋体" w:hAnsi="宋体" w:cs="宋体"/>
          <w:bCs/>
          <w:color w:val="auto"/>
          <w:highlight w:val="none"/>
        </w:rPr>
        <w:t xml:space="preserve"> </w:t>
      </w:r>
      <w:r>
        <w:rPr>
          <w:rFonts w:hint="eastAsia" w:ascii="宋体" w:hAnsi="宋体" w:cs="宋体"/>
          <w:bCs/>
          <w:color w:val="auto"/>
          <w:sz w:val="24"/>
          <w:highlight w:val="none"/>
        </w:rPr>
        <w:t>评</w:t>
      </w:r>
      <w:r>
        <w:rPr>
          <w:rFonts w:hint="eastAsia" w:ascii="宋体" w:hAnsi="宋体" w:cs="宋体"/>
          <w:color w:val="auto"/>
          <w:sz w:val="24"/>
          <w:highlight w:val="none"/>
        </w:rPr>
        <w:t>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p>
    <w:p w14:paraId="2F0F44B3">
      <w:pPr>
        <w:pageBreakBefore w:val="0"/>
        <w:kinsoku/>
        <w:wordWrap/>
        <w:overflowPunct/>
        <w:topLinePunct w:val="0"/>
        <w:bidi w:val="0"/>
        <w:spacing w:line="420" w:lineRule="exact"/>
        <w:textAlignment w:val="auto"/>
        <w:rPr>
          <w:rFonts w:hint="eastAsia" w:ascii="宋体" w:hAnsi="宋体" w:cs="宋体"/>
          <w:b/>
          <w:color w:val="auto"/>
          <w:sz w:val="24"/>
          <w:highlight w:val="none"/>
        </w:rPr>
      </w:pPr>
      <w:r>
        <w:rPr>
          <w:rFonts w:hint="eastAsia" w:ascii="宋体" w:hAnsi="宋体" w:cs="宋体"/>
          <w:b/>
          <w:color w:val="auto"/>
          <w:sz w:val="24"/>
          <w:highlight w:val="none"/>
        </w:rPr>
        <w:t>详见招标文件第四部分评标办法。</w:t>
      </w:r>
    </w:p>
    <w:p w14:paraId="6F02ABD4">
      <w:pPr>
        <w:pageBreakBefore w:val="0"/>
        <w:kinsoku/>
        <w:wordWrap/>
        <w:overflowPunct/>
        <w:topLinePunct w:val="0"/>
        <w:bidi w:val="0"/>
        <w:spacing w:line="420" w:lineRule="exact"/>
        <w:textAlignment w:val="auto"/>
        <w:rPr>
          <w:rFonts w:hint="eastAsia" w:ascii="宋体" w:hAnsi="宋体" w:cs="宋体"/>
          <w:b/>
          <w:color w:val="auto"/>
          <w:sz w:val="24"/>
          <w:highlight w:val="none"/>
        </w:rPr>
      </w:pPr>
    </w:p>
    <w:p w14:paraId="564E6320">
      <w:pPr>
        <w:pageBreakBefore w:val="0"/>
        <w:kinsoku/>
        <w:wordWrap/>
        <w:overflowPunct/>
        <w:topLinePunct w:val="0"/>
        <w:bidi w:val="0"/>
        <w:snapToGrid w:val="0"/>
        <w:spacing w:line="420" w:lineRule="exact"/>
        <w:jc w:val="center"/>
        <w:textAlignment w:val="auto"/>
        <w:outlineLvl w:val="1"/>
        <w:rPr>
          <w:rFonts w:hint="eastAsia" w:ascii="宋体" w:hAnsi="宋体" w:cs="宋体"/>
          <w:b/>
          <w:color w:val="auto"/>
          <w:sz w:val="36"/>
          <w:szCs w:val="36"/>
          <w:highlight w:val="none"/>
        </w:rPr>
      </w:pPr>
      <w:bookmarkStart w:id="31" w:name="_Toc32708"/>
      <w:r>
        <w:rPr>
          <w:rFonts w:hint="eastAsia" w:ascii="宋体" w:hAnsi="宋体" w:cs="宋体"/>
          <w:b/>
          <w:color w:val="auto"/>
          <w:sz w:val="36"/>
          <w:szCs w:val="36"/>
          <w:highlight w:val="none"/>
        </w:rPr>
        <w:t>六、定 标</w:t>
      </w:r>
      <w:bookmarkEnd w:id="31"/>
    </w:p>
    <w:p w14:paraId="1109B801">
      <w:pPr>
        <w:pStyle w:val="190"/>
        <w:pageBreakBefore w:val="0"/>
        <w:numPr>
          <w:ilvl w:val="0"/>
          <w:numId w:val="0"/>
        </w:numPr>
        <w:kinsoku/>
        <w:wordWrap/>
        <w:overflowPunct/>
        <w:topLinePunct w:val="0"/>
        <w:bidi w:val="0"/>
        <w:snapToGrid w:val="0"/>
        <w:spacing w:before="0" w:line="420" w:lineRule="exact"/>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22. 确定中标供应商</w:t>
      </w:r>
    </w:p>
    <w:p w14:paraId="2C896601">
      <w:pPr>
        <w:pStyle w:val="190"/>
        <w:pageBreakBefore w:val="0"/>
        <w:kinsoku/>
        <w:wordWrap/>
        <w:overflowPunct/>
        <w:topLinePunct w:val="0"/>
        <w:bidi w:val="0"/>
        <w:snapToGrid w:val="0"/>
        <w:spacing w:before="0" w:line="420" w:lineRule="exact"/>
        <w:ind w:firstLine="480"/>
        <w:textAlignment w:val="auto"/>
        <w:rPr>
          <w:rFonts w:hint="eastAsia"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5个工作日内在线确定中标或者成交供应商。中标、成交通知书和中标、成交结果公告应当在规定时间内同时发出。</w:t>
      </w:r>
    </w:p>
    <w:p w14:paraId="006F7220">
      <w:pPr>
        <w:pStyle w:val="190"/>
        <w:pageBreakBefore w:val="0"/>
        <w:numPr>
          <w:ilvl w:val="0"/>
          <w:numId w:val="11"/>
        </w:numPr>
        <w:kinsoku/>
        <w:wordWrap/>
        <w:overflowPunct/>
        <w:topLinePunct w:val="0"/>
        <w:bidi w:val="0"/>
        <w:snapToGrid w:val="0"/>
        <w:spacing w:before="0" w:line="420" w:lineRule="exact"/>
        <w:ind w:firstLine="0" w:firstLineChars="0"/>
        <w:textAlignment w:val="auto"/>
        <w:rPr>
          <w:rFonts w:hint="eastAsia" w:ascii="宋体" w:hAnsi="宋体" w:cs="宋体"/>
          <w:b/>
          <w:color w:val="auto"/>
          <w:szCs w:val="24"/>
          <w:highlight w:val="none"/>
        </w:rPr>
      </w:pPr>
      <w:r>
        <w:rPr>
          <w:rFonts w:hint="eastAsia" w:ascii="宋体" w:hAnsi="宋体" w:cs="宋体"/>
          <w:b/>
          <w:color w:val="auto"/>
          <w:szCs w:val="24"/>
          <w:highlight w:val="none"/>
        </w:rPr>
        <w:t>中标通知与中标结果公告</w:t>
      </w:r>
    </w:p>
    <w:p w14:paraId="0DA7C074">
      <w:pPr>
        <w:pStyle w:val="190"/>
        <w:pageBreakBefore w:val="0"/>
        <w:kinsoku/>
        <w:wordWrap/>
        <w:overflowPunct/>
        <w:topLinePunct w:val="0"/>
        <w:bidi w:val="0"/>
        <w:snapToGrid w:val="0"/>
        <w:spacing w:before="0" w:line="420" w:lineRule="exact"/>
        <w:ind w:firstLine="480"/>
        <w:textAlignment w:val="auto"/>
        <w:rPr>
          <w:rFonts w:hint="eastAsia" w:ascii="宋体" w:hAnsi="宋体" w:cs="宋体"/>
          <w:color w:val="auto"/>
          <w:szCs w:val="24"/>
          <w:highlight w:val="none"/>
        </w:rPr>
      </w:pPr>
      <w:r>
        <w:rPr>
          <w:rFonts w:hint="eastAsia" w:ascii="宋体" w:hAnsi="宋体" w:cs="宋体"/>
          <w:color w:val="auto"/>
          <w:szCs w:val="24"/>
          <w:highlight w:val="none"/>
        </w:rPr>
        <w:t>23.1自中标人确定之日起2个工作日内，采购代理机构通过电子交易平台向中标人发出中标通知书，同时编制发布采购结果公告。采购代理机构也可以以纸质形式进行中标通知。</w:t>
      </w:r>
    </w:p>
    <w:p w14:paraId="4E58DD9A">
      <w:pPr>
        <w:pStyle w:val="190"/>
        <w:pageBreakBefore w:val="0"/>
        <w:kinsoku/>
        <w:wordWrap/>
        <w:overflowPunct/>
        <w:topLinePunct w:val="0"/>
        <w:bidi w:val="0"/>
        <w:snapToGrid w:val="0"/>
        <w:spacing w:before="0" w:line="420" w:lineRule="exact"/>
        <w:ind w:firstLine="480"/>
        <w:textAlignment w:val="auto"/>
        <w:rPr>
          <w:rFonts w:hint="eastAsia" w:ascii="宋体" w:hAnsi="宋体" w:cs="宋体"/>
          <w:color w:val="auto"/>
          <w:szCs w:val="24"/>
          <w:highlight w:val="none"/>
        </w:rPr>
      </w:pPr>
      <w:r>
        <w:rPr>
          <w:rFonts w:hint="eastAsia" w:ascii="宋体" w:hAnsi="宋体" w:cs="宋体"/>
          <w:color w:val="auto"/>
          <w:szCs w:val="24"/>
          <w:highlight w:val="none"/>
        </w:rPr>
        <w:t>23.2中标结果公告内容包括采购人及其委托的采购代理机构的名称、地址、联系方式，项目名称和项目编号，中标人名称、地址和中标金额，主要中标标的的名称、规格型号、数量、单价或者标的基本概况等、中标公告期限以及评审专家名单、评分汇总及明细。</w:t>
      </w:r>
    </w:p>
    <w:p w14:paraId="764E34FD">
      <w:pPr>
        <w:pStyle w:val="190"/>
        <w:pageBreakBefore w:val="0"/>
        <w:kinsoku/>
        <w:wordWrap/>
        <w:overflowPunct/>
        <w:topLinePunct w:val="0"/>
        <w:bidi w:val="0"/>
        <w:snapToGrid w:val="0"/>
        <w:spacing w:before="0" w:line="420" w:lineRule="exact"/>
        <w:ind w:firstLine="480"/>
        <w:textAlignment w:val="auto"/>
        <w:rPr>
          <w:rFonts w:hint="eastAsia" w:ascii="宋体" w:hAnsi="宋体" w:cs="宋体"/>
          <w:color w:val="auto"/>
          <w:szCs w:val="24"/>
          <w:highlight w:val="none"/>
        </w:rPr>
      </w:pPr>
      <w:r>
        <w:rPr>
          <w:rFonts w:hint="eastAsia" w:ascii="宋体" w:hAnsi="宋体" w:cs="宋体"/>
          <w:color w:val="auto"/>
          <w:szCs w:val="24"/>
          <w:highlight w:val="none"/>
        </w:rPr>
        <w:t>23.3公告期限为1个工作日。</w:t>
      </w:r>
    </w:p>
    <w:p w14:paraId="078D28A9">
      <w:pPr>
        <w:pageBreakBefore w:val="0"/>
        <w:kinsoku/>
        <w:wordWrap/>
        <w:overflowPunct/>
        <w:topLinePunct w:val="0"/>
        <w:bidi w:val="0"/>
        <w:snapToGrid w:val="0"/>
        <w:spacing w:line="420" w:lineRule="exact"/>
        <w:ind w:left="120" w:leftChars="57" w:firstLine="482" w:firstLineChars="150"/>
        <w:jc w:val="center"/>
        <w:textAlignment w:val="auto"/>
        <w:rPr>
          <w:rFonts w:hint="eastAsia" w:ascii="宋体" w:hAnsi="宋体" w:cs="宋体"/>
          <w:b/>
          <w:color w:val="auto"/>
          <w:sz w:val="32"/>
          <w:highlight w:val="none"/>
        </w:rPr>
      </w:pPr>
    </w:p>
    <w:p w14:paraId="4A922F2C">
      <w:pPr>
        <w:pageBreakBefore w:val="0"/>
        <w:kinsoku/>
        <w:wordWrap/>
        <w:overflowPunct/>
        <w:topLinePunct w:val="0"/>
        <w:bidi w:val="0"/>
        <w:snapToGrid w:val="0"/>
        <w:spacing w:line="420" w:lineRule="exact"/>
        <w:ind w:left="120" w:leftChars="57" w:firstLine="482" w:firstLineChars="150"/>
        <w:jc w:val="center"/>
        <w:textAlignment w:val="auto"/>
        <w:outlineLvl w:val="1"/>
        <w:rPr>
          <w:rFonts w:hint="eastAsia" w:ascii="宋体" w:hAnsi="宋体" w:cs="宋体"/>
          <w:b/>
          <w:color w:val="auto"/>
          <w:sz w:val="32"/>
          <w:highlight w:val="none"/>
        </w:rPr>
      </w:pPr>
      <w:bookmarkStart w:id="32" w:name="_Toc22272"/>
      <w:r>
        <w:rPr>
          <w:rFonts w:hint="eastAsia" w:ascii="宋体" w:hAnsi="宋体" w:cs="宋体"/>
          <w:b/>
          <w:color w:val="auto"/>
          <w:sz w:val="32"/>
          <w:highlight w:val="none"/>
        </w:rPr>
        <w:t>七、合同授予</w:t>
      </w:r>
      <w:bookmarkEnd w:id="32"/>
    </w:p>
    <w:p w14:paraId="6F22493F">
      <w:pPr>
        <w:pStyle w:val="190"/>
        <w:pageBreakBefore w:val="0"/>
        <w:numPr>
          <w:ilvl w:val="0"/>
          <w:numId w:val="0"/>
        </w:numPr>
        <w:kinsoku/>
        <w:wordWrap/>
        <w:overflowPunct/>
        <w:topLinePunct w:val="0"/>
        <w:bidi w:val="0"/>
        <w:snapToGrid w:val="0"/>
        <w:spacing w:before="0" w:line="420" w:lineRule="exact"/>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24. 合同主要条款详见第五部分拟签订的合同文本。</w:t>
      </w:r>
    </w:p>
    <w:p w14:paraId="29B61239">
      <w:pPr>
        <w:pStyle w:val="190"/>
        <w:pageBreakBefore w:val="0"/>
        <w:numPr>
          <w:ilvl w:val="0"/>
          <w:numId w:val="0"/>
        </w:numPr>
        <w:kinsoku/>
        <w:wordWrap/>
        <w:overflowPunct/>
        <w:topLinePunct w:val="0"/>
        <w:bidi w:val="0"/>
        <w:snapToGrid w:val="0"/>
        <w:spacing w:before="0" w:line="420" w:lineRule="exact"/>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25. 合同的签订</w:t>
      </w:r>
    </w:p>
    <w:p w14:paraId="726E20DB">
      <w:pPr>
        <w:pStyle w:val="190"/>
        <w:pageBreakBefore w:val="0"/>
        <w:kinsoku/>
        <w:wordWrap/>
        <w:overflowPunct/>
        <w:topLinePunct w:val="0"/>
        <w:bidi w:val="0"/>
        <w:spacing w:before="0" w:line="420" w:lineRule="exact"/>
        <w:ind w:firstLine="480"/>
        <w:textAlignment w:val="auto"/>
        <w:rPr>
          <w:rFonts w:hint="eastAsia" w:ascii="宋体" w:hAnsi="宋体" w:cs="宋体"/>
          <w:color w:val="auto"/>
          <w:szCs w:val="24"/>
          <w:highlight w:val="none"/>
        </w:rPr>
      </w:pPr>
      <w:r>
        <w:rPr>
          <w:rFonts w:hint="eastAsia" w:ascii="宋体" w:hAnsi="宋体" w:cs="宋体"/>
          <w:color w:val="auto"/>
          <w:szCs w:val="24"/>
          <w:highlight w:val="none"/>
        </w:rPr>
        <w:t>25.1 采购人与中标供应商应当在中标通知书发出之日起三十日内，按照招标文件及中标供应商的投标文件确定的事项签订政府采购合同，并在合同签订之日起2个工作日内依法发布合同公告。</w:t>
      </w:r>
    </w:p>
    <w:p w14:paraId="2E59677C">
      <w:pPr>
        <w:pStyle w:val="190"/>
        <w:pageBreakBefore w:val="0"/>
        <w:kinsoku/>
        <w:wordWrap/>
        <w:overflowPunct/>
        <w:topLinePunct w:val="0"/>
        <w:bidi w:val="0"/>
        <w:snapToGrid w:val="0"/>
        <w:spacing w:before="0" w:line="420" w:lineRule="exact"/>
        <w:ind w:firstLine="480"/>
        <w:textAlignment w:val="auto"/>
        <w:rPr>
          <w:rFonts w:hint="eastAsia"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7C391793">
      <w:pPr>
        <w:pStyle w:val="190"/>
        <w:pageBreakBefore w:val="0"/>
        <w:kinsoku/>
        <w:wordWrap/>
        <w:overflowPunct/>
        <w:topLinePunct w:val="0"/>
        <w:bidi w:val="0"/>
        <w:snapToGrid w:val="0"/>
        <w:spacing w:before="0" w:line="420" w:lineRule="exact"/>
        <w:ind w:firstLine="480"/>
        <w:textAlignment w:val="auto"/>
        <w:rPr>
          <w:rFonts w:hint="eastAsia"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14:paraId="0B7DC1EB">
      <w:pPr>
        <w:pStyle w:val="190"/>
        <w:pageBreakBefore w:val="0"/>
        <w:kinsoku/>
        <w:wordWrap/>
        <w:overflowPunct/>
        <w:topLinePunct w:val="0"/>
        <w:bidi w:val="0"/>
        <w:snapToGrid w:val="0"/>
        <w:spacing w:before="0" w:line="420" w:lineRule="exact"/>
        <w:ind w:firstLine="480"/>
        <w:textAlignment w:val="auto"/>
        <w:rPr>
          <w:rFonts w:hint="eastAsia"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25.4中标供应商拒绝与采购人签订合同的，采购人可以按照评审报告推荐的中标或者成交候选人名单排序，确定下一候选人为中标供应商，也可以重新开展政府采购活动。</w:t>
      </w:r>
    </w:p>
    <w:p w14:paraId="6899A5E7">
      <w:pPr>
        <w:pStyle w:val="190"/>
        <w:pageBreakBefore w:val="0"/>
        <w:numPr>
          <w:ilvl w:val="0"/>
          <w:numId w:val="0"/>
        </w:numPr>
        <w:kinsoku/>
        <w:wordWrap/>
        <w:overflowPunct/>
        <w:topLinePunct w:val="0"/>
        <w:bidi w:val="0"/>
        <w:snapToGrid w:val="0"/>
        <w:spacing w:before="0" w:line="420" w:lineRule="exact"/>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26. 履约保证金（如有）</w:t>
      </w:r>
    </w:p>
    <w:p w14:paraId="216694CA">
      <w:pPr>
        <w:pStyle w:val="3"/>
        <w:pageBreakBefore w:val="0"/>
        <w:tabs>
          <w:tab w:val="left" w:pos="432"/>
        </w:tabs>
        <w:kinsoku/>
        <w:wordWrap/>
        <w:overflowPunct/>
        <w:topLinePunct w:val="0"/>
        <w:bidi w:val="0"/>
        <w:spacing w:line="420" w:lineRule="exact"/>
        <w:ind w:left="0" w:firstLine="480" w:firstLineChars="200"/>
        <w:textAlignment w:val="auto"/>
        <w:rPr>
          <w:rFonts w:hint="eastAsia" w:ascii="宋体" w:hAnsi="宋体" w:eastAsia="宋体" w:cs="宋体"/>
          <w:b w:val="0"/>
          <w:bCs w:val="0"/>
          <w:snapToGrid w:val="0"/>
          <w:color w:val="auto"/>
          <w:kern w:val="28"/>
          <w:sz w:val="24"/>
          <w:highlight w:val="none"/>
        </w:rPr>
      </w:pPr>
      <w:bookmarkStart w:id="33" w:name="_Toc5410"/>
      <w:r>
        <w:rPr>
          <w:rFonts w:hint="eastAsia" w:ascii="宋体" w:hAnsi="宋体" w:eastAsia="宋体" w:cs="宋体"/>
          <w:b w:val="0"/>
          <w:bCs w:val="0"/>
          <w:snapToGrid w:val="0"/>
          <w:color w:val="auto"/>
          <w:kern w:val="28"/>
          <w:sz w:val="24"/>
          <w:highlight w:val="none"/>
        </w:rPr>
        <w:t>拟签订的合同文本要求中标供应商提交履约保证金的，供应商应当以支票、汇票、本票或者金融机构、担保机构出具的保函等非现金形式提交。</w:t>
      </w:r>
      <w:bookmarkEnd w:id="33"/>
    </w:p>
    <w:p w14:paraId="5842EAE5">
      <w:pPr>
        <w:pageBreakBefore w:val="0"/>
        <w:kinsoku/>
        <w:wordWrap/>
        <w:overflowPunct/>
        <w:topLinePunct w:val="0"/>
        <w:bidi w:val="0"/>
        <w:spacing w:line="420" w:lineRule="exact"/>
        <w:textAlignment w:val="auto"/>
        <w:rPr>
          <w:rFonts w:hint="eastAsia" w:ascii="宋体" w:hAnsi="宋体" w:cs="宋体"/>
          <w:color w:val="auto"/>
          <w:highlight w:val="none"/>
        </w:rPr>
      </w:pPr>
    </w:p>
    <w:p w14:paraId="139D148A">
      <w:pPr>
        <w:pageBreakBefore w:val="0"/>
        <w:kinsoku/>
        <w:wordWrap/>
        <w:overflowPunct/>
        <w:topLinePunct w:val="0"/>
        <w:bidi w:val="0"/>
        <w:spacing w:line="420" w:lineRule="exact"/>
        <w:textAlignment w:val="auto"/>
        <w:rPr>
          <w:rFonts w:hint="eastAsia" w:ascii="宋体" w:hAnsi="宋体" w:cs="宋体"/>
          <w:b/>
          <w:color w:val="auto"/>
          <w:sz w:val="32"/>
          <w:highlight w:val="none"/>
        </w:rPr>
      </w:pPr>
      <w:bookmarkStart w:id="34" w:name="_Toc362"/>
    </w:p>
    <w:p w14:paraId="73A4023B">
      <w:pPr>
        <w:pageBreakBefore w:val="0"/>
        <w:kinsoku/>
        <w:wordWrap/>
        <w:overflowPunct/>
        <w:topLinePunct w:val="0"/>
        <w:bidi w:val="0"/>
        <w:snapToGrid w:val="0"/>
        <w:spacing w:line="420" w:lineRule="exact"/>
        <w:jc w:val="center"/>
        <w:textAlignment w:val="auto"/>
        <w:outlineLvl w:val="1"/>
        <w:rPr>
          <w:rFonts w:hint="eastAsia" w:ascii="宋体" w:hAnsi="宋体" w:cs="宋体"/>
          <w:b/>
          <w:color w:val="auto"/>
          <w:sz w:val="24"/>
          <w:highlight w:val="none"/>
        </w:rPr>
      </w:pPr>
      <w:r>
        <w:rPr>
          <w:rFonts w:hint="eastAsia" w:ascii="宋体" w:hAnsi="宋体" w:cs="宋体"/>
          <w:b/>
          <w:color w:val="auto"/>
          <w:sz w:val="32"/>
          <w:highlight w:val="none"/>
        </w:rPr>
        <w:t>八、电子交易活动的中止</w:t>
      </w:r>
      <w:bookmarkEnd w:id="34"/>
    </w:p>
    <w:p w14:paraId="52C8CA20">
      <w:pPr>
        <w:pStyle w:val="190"/>
        <w:pageBreakBefore w:val="0"/>
        <w:kinsoku/>
        <w:wordWrap/>
        <w:overflowPunct/>
        <w:topLinePunct w:val="0"/>
        <w:bidi w:val="0"/>
        <w:snapToGrid w:val="0"/>
        <w:spacing w:before="0" w:line="420" w:lineRule="exact"/>
        <w:ind w:firstLine="0" w:firstLineChars="0"/>
        <w:textAlignment w:val="auto"/>
        <w:rPr>
          <w:rFonts w:hint="eastAsia" w:ascii="宋体" w:hAnsi="宋体" w:cs="宋体"/>
          <w:color w:val="auto"/>
          <w:highlight w:val="none"/>
        </w:rPr>
      </w:pPr>
      <w:r>
        <w:rPr>
          <w:rFonts w:hint="eastAsia" w:ascii="宋体" w:hAnsi="宋体" w:cs="宋体"/>
          <w:b/>
          <w:bCs/>
          <w:color w:val="auto"/>
          <w:highlight w:val="none"/>
        </w:rPr>
        <w:t>27</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采购过程中出现以下情形，导致电子交易平台无法正常运行，或者无法保证电子交易的公平、公正和安全时，采购代理机构可中止电子交易活动：</w:t>
      </w:r>
    </w:p>
    <w:p w14:paraId="34D39A29">
      <w:pPr>
        <w:pStyle w:val="190"/>
        <w:pageBreakBefore w:val="0"/>
        <w:kinsoku/>
        <w:wordWrap/>
        <w:overflowPunct/>
        <w:topLinePunct w:val="0"/>
        <w:bidi w:val="0"/>
        <w:snapToGrid w:val="0"/>
        <w:spacing w:before="0" w:line="420" w:lineRule="exact"/>
        <w:ind w:firstLine="480"/>
        <w:textAlignment w:val="auto"/>
        <w:rPr>
          <w:rFonts w:hint="eastAsia" w:ascii="宋体" w:hAnsi="宋体" w:cs="宋体"/>
          <w:color w:val="auto"/>
          <w:highlight w:val="none"/>
        </w:rPr>
      </w:pPr>
      <w:r>
        <w:rPr>
          <w:rFonts w:hint="eastAsia" w:ascii="宋体" w:hAnsi="宋体" w:cs="宋体"/>
          <w:color w:val="auto"/>
          <w:highlight w:val="none"/>
        </w:rPr>
        <w:t xml:space="preserve">27.1电子交易平台发生故障而无法登录访问的； </w:t>
      </w:r>
    </w:p>
    <w:p w14:paraId="49751F1B">
      <w:pPr>
        <w:pStyle w:val="190"/>
        <w:pageBreakBefore w:val="0"/>
        <w:kinsoku/>
        <w:wordWrap/>
        <w:overflowPunct/>
        <w:topLinePunct w:val="0"/>
        <w:bidi w:val="0"/>
        <w:snapToGrid w:val="0"/>
        <w:spacing w:before="0" w:line="420" w:lineRule="exact"/>
        <w:ind w:firstLine="480"/>
        <w:textAlignment w:val="auto"/>
        <w:rPr>
          <w:rFonts w:hint="eastAsia" w:ascii="宋体" w:hAnsi="宋体" w:cs="宋体"/>
          <w:color w:val="auto"/>
          <w:highlight w:val="none"/>
        </w:rPr>
      </w:pPr>
      <w:r>
        <w:rPr>
          <w:rFonts w:hint="eastAsia" w:ascii="宋体" w:hAnsi="宋体" w:cs="宋体"/>
          <w:color w:val="auto"/>
          <w:highlight w:val="none"/>
        </w:rPr>
        <w:t>27.2电子交易平台应用或数据库出现错误，不能进行正常操作的；</w:t>
      </w:r>
    </w:p>
    <w:p w14:paraId="29771DA0">
      <w:pPr>
        <w:pStyle w:val="190"/>
        <w:pageBreakBefore w:val="0"/>
        <w:kinsoku/>
        <w:wordWrap/>
        <w:overflowPunct/>
        <w:topLinePunct w:val="0"/>
        <w:bidi w:val="0"/>
        <w:snapToGrid w:val="0"/>
        <w:spacing w:before="0" w:line="420" w:lineRule="exact"/>
        <w:ind w:firstLine="480"/>
        <w:textAlignment w:val="auto"/>
        <w:rPr>
          <w:rFonts w:hint="eastAsia" w:ascii="宋体" w:hAnsi="宋体" w:cs="宋体"/>
          <w:color w:val="auto"/>
          <w:highlight w:val="none"/>
        </w:rPr>
      </w:pPr>
      <w:r>
        <w:rPr>
          <w:rFonts w:hint="eastAsia" w:ascii="宋体" w:hAnsi="宋体" w:cs="宋体"/>
          <w:color w:val="auto"/>
          <w:highlight w:val="none"/>
        </w:rPr>
        <w:t>27.3电子交易平台发现严重安全漏洞，有潜在泄密危险的；</w:t>
      </w:r>
    </w:p>
    <w:p w14:paraId="71E66C77">
      <w:pPr>
        <w:pStyle w:val="190"/>
        <w:pageBreakBefore w:val="0"/>
        <w:kinsoku/>
        <w:wordWrap/>
        <w:overflowPunct/>
        <w:topLinePunct w:val="0"/>
        <w:bidi w:val="0"/>
        <w:snapToGrid w:val="0"/>
        <w:spacing w:before="0" w:line="420" w:lineRule="exact"/>
        <w:ind w:firstLine="480"/>
        <w:textAlignment w:val="auto"/>
        <w:rPr>
          <w:rFonts w:hint="eastAsia" w:ascii="宋体" w:hAnsi="宋体" w:cs="宋体"/>
          <w:color w:val="auto"/>
          <w:highlight w:val="none"/>
        </w:rPr>
      </w:pPr>
      <w:r>
        <w:rPr>
          <w:rFonts w:hint="eastAsia" w:ascii="宋体" w:hAnsi="宋体" w:cs="宋体"/>
          <w:color w:val="auto"/>
          <w:highlight w:val="none"/>
        </w:rPr>
        <w:t xml:space="preserve">27.4病毒发作导致不能进行正常操作的； </w:t>
      </w:r>
    </w:p>
    <w:p w14:paraId="4E18F02F">
      <w:pPr>
        <w:pStyle w:val="190"/>
        <w:pageBreakBefore w:val="0"/>
        <w:kinsoku/>
        <w:wordWrap/>
        <w:overflowPunct/>
        <w:topLinePunct w:val="0"/>
        <w:bidi w:val="0"/>
        <w:snapToGrid w:val="0"/>
        <w:spacing w:before="0" w:line="420" w:lineRule="exact"/>
        <w:ind w:firstLine="480"/>
        <w:textAlignment w:val="auto"/>
        <w:rPr>
          <w:rFonts w:hint="eastAsia" w:ascii="宋体" w:hAnsi="宋体" w:cs="宋体"/>
          <w:color w:val="auto"/>
          <w:highlight w:val="none"/>
        </w:rPr>
      </w:pPr>
      <w:r>
        <w:rPr>
          <w:rFonts w:hint="eastAsia" w:ascii="宋体" w:hAnsi="宋体" w:cs="宋体"/>
          <w:color w:val="auto"/>
          <w:highlight w:val="none"/>
        </w:rPr>
        <w:t>27.5其他无法保证电子交易的公平、公正和安全的情况。</w:t>
      </w:r>
    </w:p>
    <w:p w14:paraId="063172F0">
      <w:pPr>
        <w:pStyle w:val="190"/>
        <w:pageBreakBefore w:val="0"/>
        <w:kinsoku/>
        <w:wordWrap/>
        <w:overflowPunct/>
        <w:topLinePunct w:val="0"/>
        <w:bidi w:val="0"/>
        <w:snapToGrid w:val="0"/>
        <w:spacing w:before="0" w:line="420" w:lineRule="exact"/>
        <w:ind w:firstLine="0" w:firstLineChars="0"/>
        <w:textAlignment w:val="auto"/>
        <w:rPr>
          <w:rFonts w:hint="eastAsia" w:ascii="宋体" w:hAnsi="宋体" w:cs="宋体"/>
          <w:color w:val="auto"/>
          <w:highlight w:val="none"/>
        </w:rPr>
      </w:pPr>
      <w:r>
        <w:rPr>
          <w:rFonts w:hint="eastAsia" w:ascii="宋体" w:hAnsi="宋体" w:cs="宋体"/>
          <w:color w:val="auto"/>
          <w:highlight w:val="none"/>
        </w:rPr>
        <w:t xml:space="preserve"> 28.出现以上情形，不影响采购公平、公正性的，采购组织机构可以待上述情形消除后继续组织电子交易活动，也可以决定某些环节以纸质形式进行；影响或可能影响采购公平、公正性的，应当重新采购。</w:t>
      </w:r>
    </w:p>
    <w:p w14:paraId="1958FB12">
      <w:pPr>
        <w:pageBreakBefore w:val="0"/>
        <w:tabs>
          <w:tab w:val="left" w:pos="0"/>
        </w:tabs>
        <w:kinsoku/>
        <w:wordWrap/>
        <w:overflowPunct/>
        <w:topLinePunct w:val="0"/>
        <w:bidi w:val="0"/>
        <w:spacing w:line="420" w:lineRule="exact"/>
        <w:ind w:firstLine="480"/>
        <w:textAlignment w:val="auto"/>
        <w:rPr>
          <w:rFonts w:hint="eastAsia" w:ascii="宋体" w:hAnsi="宋体" w:cs="宋体"/>
          <w:color w:val="auto"/>
          <w:sz w:val="24"/>
          <w:highlight w:val="none"/>
        </w:rPr>
      </w:pPr>
    </w:p>
    <w:p w14:paraId="47297570">
      <w:pPr>
        <w:pageBreakBefore w:val="0"/>
        <w:kinsoku/>
        <w:wordWrap/>
        <w:overflowPunct/>
        <w:topLinePunct w:val="0"/>
        <w:bidi w:val="0"/>
        <w:snapToGrid w:val="0"/>
        <w:spacing w:line="420" w:lineRule="exact"/>
        <w:ind w:left="120" w:leftChars="57" w:firstLine="482" w:firstLineChars="150"/>
        <w:jc w:val="center"/>
        <w:textAlignment w:val="auto"/>
        <w:outlineLvl w:val="1"/>
        <w:rPr>
          <w:rFonts w:hint="eastAsia" w:ascii="宋体" w:hAnsi="宋体" w:cs="宋体"/>
          <w:b/>
          <w:color w:val="auto"/>
          <w:sz w:val="32"/>
          <w:highlight w:val="none"/>
        </w:rPr>
      </w:pPr>
      <w:bookmarkStart w:id="35" w:name="_Toc12798"/>
      <w:r>
        <w:rPr>
          <w:rFonts w:hint="eastAsia" w:ascii="宋体" w:hAnsi="宋体" w:cs="宋体"/>
          <w:b/>
          <w:color w:val="auto"/>
          <w:sz w:val="32"/>
          <w:highlight w:val="none"/>
        </w:rPr>
        <w:t>九、验收</w:t>
      </w:r>
      <w:bookmarkEnd w:id="35"/>
    </w:p>
    <w:p w14:paraId="0754D59C">
      <w:pPr>
        <w:pStyle w:val="190"/>
        <w:pageBreakBefore w:val="0"/>
        <w:numPr>
          <w:ilvl w:val="0"/>
          <w:numId w:val="0"/>
        </w:numPr>
        <w:kinsoku/>
        <w:wordWrap/>
        <w:overflowPunct/>
        <w:topLinePunct w:val="0"/>
        <w:bidi w:val="0"/>
        <w:snapToGrid w:val="0"/>
        <w:spacing w:before="0" w:line="420" w:lineRule="exact"/>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29.验收</w:t>
      </w:r>
    </w:p>
    <w:p w14:paraId="18498441">
      <w:pPr>
        <w:pageBreakBefore w:val="0"/>
        <w:tabs>
          <w:tab w:val="left" w:pos="0"/>
        </w:tabs>
        <w:kinsoku/>
        <w:wordWrap/>
        <w:overflowPunct/>
        <w:topLinePunct w:val="0"/>
        <w:bidi w:val="0"/>
        <w:spacing w:line="420" w:lineRule="exact"/>
        <w:ind w:firstLine="48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C656EE1">
      <w:pPr>
        <w:pageBreakBefore w:val="0"/>
        <w:tabs>
          <w:tab w:val="left" w:pos="0"/>
        </w:tabs>
        <w:kinsoku/>
        <w:wordWrap/>
        <w:overflowPunct/>
        <w:topLinePunct w:val="0"/>
        <w:bidi w:val="0"/>
        <w:spacing w:line="420" w:lineRule="exact"/>
        <w:ind w:firstLine="48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29.2采购人可以邀请参加本项目的其他投标人或者第三方机构参与验收。参与验收的投标人或者第三方机构的意见作为验收书的参考资料一并存档。</w:t>
      </w:r>
    </w:p>
    <w:p w14:paraId="26811887">
      <w:pPr>
        <w:pageBreakBefore w:val="0"/>
        <w:tabs>
          <w:tab w:val="left" w:pos="0"/>
        </w:tabs>
        <w:kinsoku/>
        <w:wordWrap/>
        <w:overflowPunct/>
        <w:topLinePunct w:val="0"/>
        <w:bidi w:val="0"/>
        <w:spacing w:line="420" w:lineRule="exact"/>
        <w:ind w:firstLine="48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3558615">
      <w:pPr>
        <w:pageBreakBefore w:val="0"/>
        <w:tabs>
          <w:tab w:val="left" w:pos="0"/>
        </w:tabs>
        <w:kinsoku/>
        <w:wordWrap/>
        <w:overflowPunct/>
        <w:topLinePunct w:val="0"/>
        <w:bidi w:val="0"/>
        <w:spacing w:line="420" w:lineRule="exact"/>
        <w:ind w:firstLine="480"/>
        <w:textAlignment w:val="auto"/>
        <w:rPr>
          <w:rFonts w:ascii="Arial" w:hAnsi="Arial" w:cs="宋体"/>
          <w:color w:val="auto"/>
          <w:szCs w:val="21"/>
          <w:highlight w:val="none"/>
        </w:rPr>
      </w:pPr>
      <w:r>
        <w:rPr>
          <w:rFonts w:hint="eastAsia" w:ascii="宋体" w:hAnsi="宋体" w:cs="宋体"/>
          <w:color w:val="auto"/>
          <w:kern w:val="0"/>
          <w:sz w:val="24"/>
          <w:highlight w:val="none"/>
        </w:rPr>
        <w:t>29.4验收合格的项目，采购人将根据采购合同的约定及时向供应商支付采购资金、退还履约保证金。验收不合格的项目，采购人将依法及时处理。采购合同的履行、违约责任和解决争议的方式等适用《中华人民共和国民法典》。</w:t>
      </w:r>
    </w:p>
    <w:p w14:paraId="173C117C">
      <w:pPr>
        <w:pStyle w:val="2"/>
        <w:spacing w:before="0" w:after="0" w:line="360" w:lineRule="auto"/>
        <w:jc w:val="center"/>
        <w:rPr>
          <w:rFonts w:ascii="Arial" w:hAnsi="Arial" w:cs="宋体"/>
          <w:color w:val="auto"/>
          <w:sz w:val="36"/>
          <w:szCs w:val="36"/>
          <w:highlight w:val="none"/>
        </w:rPr>
      </w:pPr>
      <w:bookmarkStart w:id="36" w:name="_Hlt68073093"/>
      <w:bookmarkEnd w:id="36"/>
      <w:bookmarkStart w:id="37" w:name="_Hlt75236290"/>
      <w:bookmarkEnd w:id="37"/>
      <w:bookmarkStart w:id="38" w:name="_Hlt75236101"/>
      <w:bookmarkEnd w:id="38"/>
      <w:bookmarkStart w:id="39" w:name="_Hlt74707468"/>
      <w:bookmarkEnd w:id="39"/>
      <w:bookmarkStart w:id="40" w:name="_Hlt68072990"/>
      <w:bookmarkEnd w:id="40"/>
      <w:bookmarkStart w:id="41" w:name="_Hlt74730295"/>
      <w:bookmarkEnd w:id="41"/>
      <w:bookmarkStart w:id="42" w:name="_Hlt74729768"/>
      <w:bookmarkEnd w:id="42"/>
      <w:bookmarkStart w:id="43" w:name="_Hlt68403820"/>
      <w:bookmarkEnd w:id="43"/>
      <w:bookmarkStart w:id="44" w:name="_Hlt68057669"/>
      <w:bookmarkEnd w:id="44"/>
      <w:bookmarkStart w:id="45" w:name="_Hlt74714665"/>
      <w:bookmarkEnd w:id="45"/>
      <w:bookmarkStart w:id="46" w:name="_Hlt68072998"/>
      <w:bookmarkEnd w:id="46"/>
      <w:bookmarkStart w:id="47" w:name="_Hlt75236011"/>
      <w:bookmarkEnd w:id="47"/>
      <w:r>
        <w:rPr>
          <w:rFonts w:hint="eastAsia" w:ascii="Arial" w:hAnsi="Arial" w:cs="宋体"/>
          <w:color w:val="auto"/>
          <w:sz w:val="36"/>
          <w:szCs w:val="36"/>
          <w:highlight w:val="none"/>
        </w:rPr>
        <w:br w:type="page"/>
      </w:r>
      <w:bookmarkStart w:id="48" w:name="_Toc9603"/>
      <w:bookmarkStart w:id="49" w:name="_Toc29582"/>
      <w:r>
        <w:rPr>
          <w:rFonts w:hint="eastAsia"/>
          <w:color w:val="auto"/>
          <w:sz w:val="30"/>
          <w:highlight w:val="none"/>
        </w:rPr>
        <w:t>第三章  采购需求</w:t>
      </w:r>
      <w:bookmarkEnd w:id="48"/>
      <w:bookmarkEnd w:id="49"/>
    </w:p>
    <w:p w14:paraId="4BF91081">
      <w:pPr>
        <w:spacing w:line="360" w:lineRule="auto"/>
        <w:jc w:val="center"/>
        <w:outlineLvl w:val="1"/>
        <w:rPr>
          <w:rFonts w:ascii="Arial" w:hAnsi="Arial"/>
          <w:b/>
          <w:color w:val="auto"/>
          <w:sz w:val="24"/>
          <w:szCs w:val="28"/>
          <w:highlight w:val="none"/>
        </w:rPr>
      </w:pPr>
      <w:bookmarkStart w:id="50" w:name="_Toc29273"/>
      <w:r>
        <w:rPr>
          <w:rFonts w:hint="eastAsia" w:ascii="Arial" w:hAnsi="Arial"/>
          <w:b/>
          <w:color w:val="auto"/>
          <w:sz w:val="24"/>
          <w:szCs w:val="28"/>
          <w:highlight w:val="none"/>
        </w:rPr>
        <w:t>前附表</w:t>
      </w:r>
      <w:bookmarkEnd w:id="50"/>
    </w:p>
    <w:tbl>
      <w:tblPr>
        <w:tblStyle w:val="44"/>
        <w:tblW w:w="9015" w:type="dxa"/>
        <w:tblInd w:w="-22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5"/>
        <w:gridCol w:w="3705"/>
        <w:gridCol w:w="4545"/>
      </w:tblGrid>
      <w:tr w14:paraId="08CECE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65" w:type="dxa"/>
            <w:vAlign w:val="center"/>
          </w:tcPr>
          <w:p w14:paraId="1CE061F3">
            <w:pPr>
              <w:snapToGrid w:val="0"/>
              <w:spacing w:line="400" w:lineRule="exact"/>
              <w:jc w:val="center"/>
              <w:outlineLvl w:val="1"/>
              <w:rPr>
                <w:rFonts w:ascii="Arial" w:hAnsi="Arial"/>
                <w:b/>
                <w:color w:val="auto"/>
                <w:szCs w:val="28"/>
                <w:highlight w:val="none"/>
              </w:rPr>
            </w:pPr>
            <w:bookmarkStart w:id="51" w:name="_Toc30145"/>
            <w:r>
              <w:rPr>
                <w:rFonts w:hint="eastAsia" w:ascii="Arial" w:hAnsi="Arial"/>
                <w:b/>
                <w:color w:val="auto"/>
                <w:szCs w:val="28"/>
                <w:highlight w:val="none"/>
              </w:rPr>
              <w:t>序号</w:t>
            </w:r>
            <w:bookmarkEnd w:id="51"/>
          </w:p>
        </w:tc>
        <w:tc>
          <w:tcPr>
            <w:tcW w:w="3705" w:type="dxa"/>
            <w:vAlign w:val="center"/>
          </w:tcPr>
          <w:p w14:paraId="4D8C248A">
            <w:pPr>
              <w:snapToGrid w:val="0"/>
              <w:spacing w:line="400" w:lineRule="exact"/>
              <w:jc w:val="center"/>
              <w:outlineLvl w:val="1"/>
              <w:rPr>
                <w:rFonts w:ascii="Arial" w:hAnsi="Arial"/>
                <w:b/>
                <w:color w:val="auto"/>
                <w:szCs w:val="28"/>
                <w:highlight w:val="none"/>
              </w:rPr>
            </w:pPr>
            <w:bookmarkStart w:id="52" w:name="_Toc17182"/>
            <w:r>
              <w:rPr>
                <w:rFonts w:hint="eastAsia" w:ascii="Arial" w:hAnsi="Arial"/>
                <w:b/>
                <w:color w:val="auto"/>
                <w:szCs w:val="28"/>
                <w:highlight w:val="none"/>
              </w:rPr>
              <w:t>子项</w:t>
            </w:r>
            <w:bookmarkEnd w:id="52"/>
          </w:p>
        </w:tc>
        <w:tc>
          <w:tcPr>
            <w:tcW w:w="4545" w:type="dxa"/>
            <w:vAlign w:val="center"/>
          </w:tcPr>
          <w:p w14:paraId="3041C829">
            <w:pPr>
              <w:snapToGrid w:val="0"/>
              <w:spacing w:line="400" w:lineRule="exact"/>
              <w:jc w:val="center"/>
              <w:outlineLvl w:val="1"/>
              <w:rPr>
                <w:rFonts w:ascii="Arial" w:hAnsi="Arial"/>
                <w:b/>
                <w:color w:val="auto"/>
                <w:szCs w:val="28"/>
                <w:highlight w:val="none"/>
              </w:rPr>
            </w:pPr>
            <w:bookmarkStart w:id="53" w:name="_Toc3959"/>
            <w:r>
              <w:rPr>
                <w:rFonts w:hint="eastAsia" w:ascii="Arial" w:hAnsi="Arial"/>
                <w:b/>
                <w:color w:val="auto"/>
                <w:szCs w:val="28"/>
                <w:highlight w:val="none"/>
              </w:rPr>
              <w:t>招标需求</w:t>
            </w:r>
            <w:bookmarkEnd w:id="53"/>
          </w:p>
        </w:tc>
      </w:tr>
      <w:tr w14:paraId="7F6C40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65" w:type="dxa"/>
            <w:vMerge w:val="restart"/>
            <w:vAlign w:val="center"/>
          </w:tcPr>
          <w:p w14:paraId="526DE889">
            <w:pPr>
              <w:snapToGrid w:val="0"/>
              <w:spacing w:line="400" w:lineRule="exact"/>
              <w:jc w:val="center"/>
              <w:outlineLvl w:val="1"/>
              <w:rPr>
                <w:rFonts w:ascii="Arial" w:hAnsi="Arial"/>
                <w:b/>
                <w:color w:val="auto"/>
                <w:szCs w:val="28"/>
                <w:highlight w:val="none"/>
              </w:rPr>
            </w:pPr>
            <w:bookmarkStart w:id="54" w:name="_Toc7050"/>
            <w:r>
              <w:rPr>
                <w:rFonts w:hint="eastAsia" w:ascii="Arial" w:hAnsi="Arial"/>
                <w:b/>
                <w:color w:val="auto"/>
                <w:szCs w:val="28"/>
                <w:highlight w:val="none"/>
              </w:rPr>
              <w:t>一</w:t>
            </w:r>
            <w:bookmarkEnd w:id="54"/>
          </w:p>
        </w:tc>
        <w:tc>
          <w:tcPr>
            <w:tcW w:w="3705" w:type="dxa"/>
            <w:vAlign w:val="center"/>
          </w:tcPr>
          <w:p w14:paraId="628C42F8">
            <w:pPr>
              <w:snapToGrid w:val="0"/>
              <w:spacing w:line="400" w:lineRule="exact"/>
              <w:outlineLvl w:val="1"/>
              <w:rPr>
                <w:rFonts w:ascii="Arial" w:hAnsi="Arial"/>
                <w:bCs/>
                <w:color w:val="auto"/>
                <w:szCs w:val="28"/>
                <w:highlight w:val="none"/>
              </w:rPr>
            </w:pPr>
            <w:bookmarkStart w:id="55" w:name="_Toc14506"/>
            <w:r>
              <w:rPr>
                <w:rFonts w:hint="eastAsia" w:ascii="Arial" w:hAnsi="Arial"/>
                <w:bCs/>
                <w:color w:val="auto"/>
                <w:szCs w:val="28"/>
                <w:highlight w:val="none"/>
              </w:rPr>
              <w:t>采购标的需实现的功能或者目标</w:t>
            </w:r>
            <w:bookmarkEnd w:id="55"/>
          </w:p>
        </w:tc>
        <w:tc>
          <w:tcPr>
            <w:tcW w:w="4545" w:type="dxa"/>
            <w:vAlign w:val="center"/>
          </w:tcPr>
          <w:p w14:paraId="39C61022">
            <w:pPr>
              <w:snapToGrid w:val="0"/>
              <w:spacing w:line="400" w:lineRule="exact"/>
              <w:outlineLvl w:val="1"/>
              <w:rPr>
                <w:rFonts w:ascii="Arial" w:hAnsi="Arial"/>
                <w:b/>
                <w:color w:val="auto"/>
                <w:szCs w:val="28"/>
                <w:highlight w:val="none"/>
              </w:rPr>
            </w:pPr>
            <w:bookmarkStart w:id="56" w:name="_Toc7987"/>
            <w:r>
              <w:rPr>
                <w:rFonts w:hint="eastAsia" w:ascii="Arial" w:hAnsi="Arial"/>
                <w:bCs/>
                <w:color w:val="auto"/>
                <w:szCs w:val="28"/>
                <w:highlight w:val="none"/>
              </w:rPr>
              <w:t>大碶派出所迁建工程-办案区智能化。</w:t>
            </w:r>
            <w:bookmarkEnd w:id="56"/>
          </w:p>
        </w:tc>
      </w:tr>
      <w:tr w14:paraId="19A25E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65" w:type="dxa"/>
            <w:vMerge w:val="continue"/>
            <w:vAlign w:val="center"/>
          </w:tcPr>
          <w:p w14:paraId="46CCFD76">
            <w:pPr>
              <w:snapToGrid w:val="0"/>
              <w:spacing w:line="400" w:lineRule="exact"/>
              <w:jc w:val="center"/>
              <w:rPr>
                <w:rFonts w:ascii="Arial" w:hAnsi="Arial"/>
                <w:b/>
                <w:color w:val="auto"/>
                <w:szCs w:val="28"/>
                <w:highlight w:val="none"/>
              </w:rPr>
            </w:pPr>
          </w:p>
        </w:tc>
        <w:tc>
          <w:tcPr>
            <w:tcW w:w="3705" w:type="dxa"/>
            <w:vAlign w:val="center"/>
          </w:tcPr>
          <w:p w14:paraId="4625B871">
            <w:pPr>
              <w:snapToGrid w:val="0"/>
              <w:spacing w:line="400" w:lineRule="exact"/>
              <w:outlineLvl w:val="1"/>
              <w:rPr>
                <w:rFonts w:ascii="Arial" w:hAnsi="Arial"/>
                <w:bCs/>
                <w:color w:val="auto"/>
                <w:szCs w:val="28"/>
                <w:highlight w:val="none"/>
              </w:rPr>
            </w:pPr>
            <w:bookmarkStart w:id="57" w:name="_Toc27661"/>
            <w:r>
              <w:rPr>
                <w:rFonts w:hint="eastAsia" w:ascii="Arial" w:hAnsi="Arial"/>
                <w:bCs/>
                <w:color w:val="auto"/>
                <w:szCs w:val="28"/>
                <w:highlight w:val="none"/>
              </w:rPr>
              <w:t>为落实政府采购需满足的要求</w:t>
            </w:r>
            <w:bookmarkEnd w:id="57"/>
          </w:p>
        </w:tc>
        <w:tc>
          <w:tcPr>
            <w:tcW w:w="4545" w:type="dxa"/>
            <w:vAlign w:val="center"/>
          </w:tcPr>
          <w:p w14:paraId="47B6ED3B">
            <w:pPr>
              <w:snapToGrid w:val="0"/>
              <w:spacing w:line="400" w:lineRule="exact"/>
              <w:outlineLvl w:val="1"/>
              <w:rPr>
                <w:rFonts w:ascii="Arial" w:hAnsi="Arial"/>
                <w:bCs/>
                <w:color w:val="auto"/>
                <w:szCs w:val="28"/>
                <w:highlight w:val="none"/>
              </w:rPr>
            </w:pPr>
            <w:bookmarkStart w:id="58" w:name="_Toc5517"/>
            <w:r>
              <w:rPr>
                <w:rFonts w:hint="eastAsia" w:ascii="Arial" w:hAnsi="Arial"/>
                <w:bCs/>
                <w:color w:val="auto"/>
                <w:szCs w:val="28"/>
                <w:highlight w:val="none"/>
              </w:rPr>
              <w:t>详见第一</w:t>
            </w:r>
            <w:r>
              <w:rPr>
                <w:rFonts w:hint="eastAsia" w:ascii="Arial" w:hAnsi="Arial"/>
                <w:bCs/>
                <w:color w:val="auto"/>
                <w:szCs w:val="28"/>
                <w:highlight w:val="none"/>
                <w:lang w:val="en-US" w:eastAsia="zh-CN"/>
              </w:rPr>
              <w:t>章</w:t>
            </w:r>
            <w:r>
              <w:rPr>
                <w:rFonts w:hint="eastAsia" w:ascii="Arial" w:hAnsi="Arial"/>
                <w:bCs/>
                <w:color w:val="auto"/>
                <w:szCs w:val="28"/>
                <w:highlight w:val="none"/>
              </w:rPr>
              <w:t xml:space="preserve"> 招标公告。</w:t>
            </w:r>
            <w:bookmarkEnd w:id="58"/>
          </w:p>
        </w:tc>
      </w:tr>
      <w:tr w14:paraId="306585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65" w:type="dxa"/>
            <w:vAlign w:val="center"/>
          </w:tcPr>
          <w:p w14:paraId="189D645D">
            <w:pPr>
              <w:snapToGrid w:val="0"/>
              <w:spacing w:line="400" w:lineRule="exact"/>
              <w:jc w:val="center"/>
              <w:outlineLvl w:val="1"/>
              <w:rPr>
                <w:rFonts w:ascii="Arial" w:hAnsi="Arial"/>
                <w:b/>
                <w:color w:val="auto"/>
                <w:szCs w:val="28"/>
                <w:highlight w:val="none"/>
              </w:rPr>
            </w:pPr>
            <w:bookmarkStart w:id="59" w:name="_Toc29841"/>
            <w:r>
              <w:rPr>
                <w:rFonts w:hint="eastAsia" w:ascii="Arial" w:hAnsi="Arial"/>
                <w:b/>
                <w:color w:val="auto"/>
                <w:szCs w:val="28"/>
                <w:highlight w:val="none"/>
              </w:rPr>
              <w:t>二</w:t>
            </w:r>
            <w:bookmarkEnd w:id="59"/>
          </w:p>
        </w:tc>
        <w:tc>
          <w:tcPr>
            <w:tcW w:w="3705" w:type="dxa"/>
            <w:vAlign w:val="center"/>
          </w:tcPr>
          <w:p w14:paraId="4B6763F4">
            <w:pPr>
              <w:snapToGrid w:val="0"/>
              <w:spacing w:line="400" w:lineRule="exact"/>
              <w:outlineLvl w:val="1"/>
              <w:rPr>
                <w:rFonts w:ascii="Arial" w:hAnsi="Arial"/>
                <w:bCs/>
                <w:color w:val="auto"/>
                <w:szCs w:val="28"/>
                <w:highlight w:val="none"/>
              </w:rPr>
            </w:pPr>
            <w:bookmarkStart w:id="60" w:name="_Toc25071"/>
            <w:r>
              <w:rPr>
                <w:rFonts w:hint="eastAsia" w:ascii="Arial" w:hAnsi="Arial"/>
                <w:bCs/>
                <w:color w:val="auto"/>
                <w:szCs w:val="28"/>
                <w:highlight w:val="none"/>
              </w:rPr>
              <w:t>采购标的需执行的国家相关标准、行业标准、地方标准或者其他标准规范</w:t>
            </w:r>
            <w:bookmarkEnd w:id="60"/>
          </w:p>
        </w:tc>
        <w:tc>
          <w:tcPr>
            <w:tcW w:w="4545" w:type="dxa"/>
            <w:vAlign w:val="center"/>
          </w:tcPr>
          <w:p w14:paraId="69E470F3">
            <w:pPr>
              <w:snapToGrid w:val="0"/>
              <w:spacing w:line="400" w:lineRule="exact"/>
              <w:outlineLvl w:val="1"/>
              <w:rPr>
                <w:rFonts w:ascii="Arial" w:hAnsi="Arial"/>
                <w:bCs/>
                <w:color w:val="auto"/>
                <w:szCs w:val="28"/>
                <w:highlight w:val="none"/>
              </w:rPr>
            </w:pPr>
            <w:bookmarkStart w:id="61" w:name="_Toc25547"/>
            <w:r>
              <w:rPr>
                <w:rFonts w:hint="eastAsia" w:ascii="Arial" w:hAnsi="Arial"/>
                <w:bCs/>
                <w:color w:val="auto"/>
                <w:szCs w:val="28"/>
                <w:highlight w:val="none"/>
              </w:rPr>
              <w:t>供应商应使用本次招标的项目所需的标准和规范的最新版本。</w:t>
            </w:r>
            <w:bookmarkEnd w:id="61"/>
          </w:p>
        </w:tc>
      </w:tr>
      <w:tr w14:paraId="1AE2FB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65" w:type="dxa"/>
            <w:vAlign w:val="center"/>
          </w:tcPr>
          <w:p w14:paraId="640F67FB">
            <w:pPr>
              <w:snapToGrid w:val="0"/>
              <w:spacing w:line="400" w:lineRule="exact"/>
              <w:jc w:val="center"/>
              <w:outlineLvl w:val="1"/>
              <w:rPr>
                <w:rFonts w:ascii="Arial" w:hAnsi="Arial"/>
                <w:b/>
                <w:color w:val="auto"/>
                <w:szCs w:val="28"/>
                <w:highlight w:val="none"/>
              </w:rPr>
            </w:pPr>
            <w:bookmarkStart w:id="62" w:name="_Toc1218"/>
            <w:r>
              <w:rPr>
                <w:rFonts w:hint="eastAsia" w:ascii="Arial" w:hAnsi="Arial"/>
                <w:b/>
                <w:color w:val="auto"/>
                <w:szCs w:val="28"/>
                <w:highlight w:val="none"/>
              </w:rPr>
              <w:t>三</w:t>
            </w:r>
            <w:bookmarkEnd w:id="62"/>
          </w:p>
        </w:tc>
        <w:tc>
          <w:tcPr>
            <w:tcW w:w="3705" w:type="dxa"/>
            <w:vAlign w:val="center"/>
          </w:tcPr>
          <w:p w14:paraId="71817D8E">
            <w:pPr>
              <w:snapToGrid w:val="0"/>
              <w:spacing w:line="400" w:lineRule="exact"/>
              <w:outlineLvl w:val="1"/>
              <w:rPr>
                <w:rFonts w:ascii="Arial" w:hAnsi="Arial"/>
                <w:bCs/>
                <w:color w:val="auto"/>
                <w:szCs w:val="28"/>
                <w:highlight w:val="none"/>
              </w:rPr>
            </w:pPr>
            <w:bookmarkStart w:id="63" w:name="_Toc24806"/>
            <w:r>
              <w:rPr>
                <w:rFonts w:hint="eastAsia" w:ascii="Arial" w:hAnsi="Arial"/>
                <w:bCs/>
                <w:color w:val="auto"/>
                <w:szCs w:val="28"/>
                <w:highlight w:val="none"/>
              </w:rPr>
              <w:t>采购标的需满足的质量、安全、技术规格、物理特性等要求</w:t>
            </w:r>
            <w:bookmarkEnd w:id="63"/>
          </w:p>
        </w:tc>
        <w:tc>
          <w:tcPr>
            <w:tcW w:w="4545" w:type="dxa"/>
            <w:vAlign w:val="center"/>
          </w:tcPr>
          <w:p w14:paraId="3ED8100D">
            <w:pPr>
              <w:snapToGrid w:val="0"/>
              <w:spacing w:line="400" w:lineRule="exact"/>
              <w:outlineLvl w:val="1"/>
              <w:rPr>
                <w:rFonts w:ascii="Arial" w:hAnsi="Arial"/>
                <w:bCs/>
                <w:color w:val="auto"/>
                <w:szCs w:val="28"/>
                <w:highlight w:val="none"/>
              </w:rPr>
            </w:pPr>
            <w:bookmarkStart w:id="64" w:name="_Toc14160"/>
            <w:r>
              <w:rPr>
                <w:rFonts w:hint="eastAsia" w:ascii="Arial" w:hAnsi="Arial"/>
                <w:bCs/>
                <w:color w:val="auto"/>
                <w:szCs w:val="28"/>
                <w:highlight w:val="none"/>
              </w:rPr>
              <w:t>详见第三</w:t>
            </w:r>
            <w:r>
              <w:rPr>
                <w:rFonts w:hint="eastAsia" w:ascii="Arial" w:hAnsi="Arial"/>
                <w:bCs/>
                <w:color w:val="auto"/>
                <w:szCs w:val="28"/>
                <w:highlight w:val="none"/>
                <w:lang w:val="en-US" w:eastAsia="zh-CN"/>
              </w:rPr>
              <w:t>章</w:t>
            </w:r>
            <w:r>
              <w:rPr>
                <w:rFonts w:hint="eastAsia" w:ascii="Arial" w:hAnsi="Arial"/>
                <w:bCs/>
                <w:color w:val="auto"/>
                <w:szCs w:val="28"/>
                <w:highlight w:val="none"/>
              </w:rPr>
              <w:t xml:space="preserve"> 采购需求 第一条。</w:t>
            </w:r>
            <w:bookmarkEnd w:id="64"/>
          </w:p>
        </w:tc>
      </w:tr>
      <w:tr w14:paraId="30BAF6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65" w:type="dxa"/>
            <w:vAlign w:val="center"/>
          </w:tcPr>
          <w:p w14:paraId="3558CFCF">
            <w:pPr>
              <w:snapToGrid w:val="0"/>
              <w:spacing w:line="400" w:lineRule="exact"/>
              <w:jc w:val="center"/>
              <w:outlineLvl w:val="1"/>
              <w:rPr>
                <w:rFonts w:ascii="Arial" w:hAnsi="Arial"/>
                <w:b/>
                <w:color w:val="auto"/>
                <w:szCs w:val="28"/>
                <w:highlight w:val="none"/>
              </w:rPr>
            </w:pPr>
            <w:bookmarkStart w:id="65" w:name="_Toc15299"/>
            <w:r>
              <w:rPr>
                <w:rFonts w:hint="eastAsia" w:ascii="Arial" w:hAnsi="Arial"/>
                <w:bCs/>
                <w:color w:val="auto"/>
                <w:szCs w:val="28"/>
                <w:highlight w:val="none"/>
              </w:rPr>
              <w:t>四</w:t>
            </w:r>
            <w:bookmarkEnd w:id="65"/>
          </w:p>
        </w:tc>
        <w:tc>
          <w:tcPr>
            <w:tcW w:w="3705" w:type="dxa"/>
            <w:vAlign w:val="center"/>
          </w:tcPr>
          <w:p w14:paraId="7C0F45E3">
            <w:pPr>
              <w:snapToGrid w:val="0"/>
              <w:spacing w:line="400" w:lineRule="exact"/>
              <w:outlineLvl w:val="1"/>
              <w:rPr>
                <w:rFonts w:ascii="Arial" w:hAnsi="Arial"/>
                <w:bCs/>
                <w:color w:val="auto"/>
                <w:szCs w:val="28"/>
                <w:highlight w:val="none"/>
              </w:rPr>
            </w:pPr>
            <w:bookmarkStart w:id="66" w:name="_Toc32449"/>
            <w:r>
              <w:rPr>
                <w:rFonts w:hint="eastAsia" w:ascii="Arial" w:hAnsi="Arial"/>
                <w:bCs/>
                <w:color w:val="auto"/>
                <w:szCs w:val="28"/>
                <w:highlight w:val="none"/>
              </w:rPr>
              <w:t>采购标的数量、采购项目交付或者实施的时间和地点</w:t>
            </w:r>
            <w:bookmarkEnd w:id="66"/>
          </w:p>
        </w:tc>
        <w:tc>
          <w:tcPr>
            <w:tcW w:w="4545" w:type="dxa"/>
            <w:vAlign w:val="center"/>
          </w:tcPr>
          <w:p w14:paraId="594D4C30">
            <w:pPr>
              <w:snapToGrid w:val="0"/>
              <w:spacing w:line="400" w:lineRule="exact"/>
              <w:outlineLvl w:val="1"/>
              <w:rPr>
                <w:rFonts w:ascii="Arial" w:hAnsi="Arial"/>
                <w:bCs/>
                <w:color w:val="auto"/>
                <w:szCs w:val="28"/>
                <w:highlight w:val="none"/>
              </w:rPr>
            </w:pPr>
            <w:bookmarkStart w:id="67" w:name="_Toc20083"/>
            <w:r>
              <w:rPr>
                <w:rFonts w:hint="eastAsia" w:ascii="Arial" w:hAnsi="Arial"/>
                <w:bCs/>
                <w:color w:val="auto"/>
                <w:szCs w:val="28"/>
                <w:highlight w:val="none"/>
              </w:rPr>
              <w:t>采购标的数量、实施的时间（即合同履约期限）：详见第一</w:t>
            </w:r>
            <w:r>
              <w:rPr>
                <w:rFonts w:hint="eastAsia" w:ascii="Arial" w:hAnsi="Arial"/>
                <w:bCs/>
                <w:color w:val="auto"/>
                <w:szCs w:val="28"/>
                <w:highlight w:val="none"/>
                <w:lang w:val="en-US" w:eastAsia="zh-CN"/>
              </w:rPr>
              <w:t>章</w:t>
            </w:r>
            <w:r>
              <w:rPr>
                <w:rFonts w:hint="eastAsia" w:ascii="Arial" w:hAnsi="Arial"/>
                <w:bCs/>
                <w:color w:val="auto"/>
                <w:szCs w:val="28"/>
                <w:highlight w:val="none"/>
              </w:rPr>
              <w:t xml:space="preserve"> 招标公告。</w:t>
            </w:r>
            <w:bookmarkEnd w:id="67"/>
          </w:p>
          <w:p w14:paraId="4BB7A204">
            <w:pPr>
              <w:snapToGrid w:val="0"/>
              <w:spacing w:line="400" w:lineRule="exact"/>
              <w:outlineLvl w:val="1"/>
              <w:rPr>
                <w:rFonts w:ascii="Arial" w:hAnsi="Arial" w:cs="Arial"/>
                <w:color w:val="auto"/>
                <w:szCs w:val="21"/>
                <w:highlight w:val="none"/>
              </w:rPr>
            </w:pPr>
            <w:bookmarkStart w:id="68" w:name="_Toc14409"/>
            <w:r>
              <w:rPr>
                <w:rFonts w:hint="eastAsia" w:ascii="Arial" w:hAnsi="Arial" w:cs="Arial"/>
                <w:color w:val="auto"/>
                <w:szCs w:val="21"/>
                <w:highlight w:val="none"/>
              </w:rPr>
              <w:t>实施的地点：</w:t>
            </w:r>
            <w:r>
              <w:rPr>
                <w:rFonts w:hint="eastAsia" w:ascii="Arial" w:hAnsi="Arial" w:cs="Arial"/>
                <w:color w:val="auto"/>
                <w:szCs w:val="21"/>
                <w:highlight w:val="none"/>
                <w:lang w:val="en-US" w:eastAsia="zh-CN"/>
              </w:rPr>
              <w:t>业主指定</w:t>
            </w:r>
            <w:r>
              <w:rPr>
                <w:rFonts w:hint="eastAsia" w:ascii="Arial" w:hAnsi="Arial" w:cs="Arial"/>
                <w:color w:val="auto"/>
                <w:szCs w:val="21"/>
                <w:highlight w:val="none"/>
              </w:rPr>
              <w:t>。</w:t>
            </w:r>
            <w:bookmarkEnd w:id="68"/>
          </w:p>
        </w:tc>
      </w:tr>
      <w:tr w14:paraId="618FF7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65" w:type="dxa"/>
            <w:vAlign w:val="center"/>
          </w:tcPr>
          <w:p w14:paraId="4AF576A3">
            <w:pPr>
              <w:snapToGrid w:val="0"/>
              <w:spacing w:line="400" w:lineRule="exact"/>
              <w:jc w:val="center"/>
              <w:outlineLvl w:val="1"/>
              <w:rPr>
                <w:rFonts w:ascii="Arial" w:hAnsi="Arial"/>
                <w:b/>
                <w:color w:val="auto"/>
                <w:szCs w:val="28"/>
                <w:highlight w:val="none"/>
              </w:rPr>
            </w:pPr>
            <w:bookmarkStart w:id="69" w:name="_Toc18229"/>
            <w:r>
              <w:rPr>
                <w:rFonts w:hint="eastAsia" w:ascii="Arial" w:hAnsi="Arial"/>
                <w:bCs/>
                <w:color w:val="auto"/>
                <w:szCs w:val="28"/>
                <w:highlight w:val="none"/>
              </w:rPr>
              <w:t>五</w:t>
            </w:r>
            <w:bookmarkEnd w:id="69"/>
          </w:p>
        </w:tc>
        <w:tc>
          <w:tcPr>
            <w:tcW w:w="3705" w:type="dxa"/>
            <w:vAlign w:val="center"/>
          </w:tcPr>
          <w:p w14:paraId="7F494638">
            <w:pPr>
              <w:snapToGrid w:val="0"/>
              <w:spacing w:line="400" w:lineRule="exact"/>
              <w:outlineLvl w:val="1"/>
              <w:rPr>
                <w:rFonts w:ascii="Arial" w:hAnsi="Arial"/>
                <w:bCs/>
                <w:color w:val="auto"/>
                <w:szCs w:val="28"/>
                <w:highlight w:val="none"/>
              </w:rPr>
            </w:pPr>
            <w:bookmarkStart w:id="70" w:name="_Toc28572"/>
            <w:r>
              <w:rPr>
                <w:rFonts w:hint="eastAsia" w:ascii="Arial" w:hAnsi="Arial"/>
                <w:bCs/>
                <w:color w:val="auto"/>
                <w:szCs w:val="28"/>
                <w:highlight w:val="none"/>
              </w:rPr>
              <w:t>采购标的需满足的服务标准、期限、效率等要求</w:t>
            </w:r>
            <w:bookmarkEnd w:id="70"/>
          </w:p>
        </w:tc>
        <w:tc>
          <w:tcPr>
            <w:tcW w:w="4545" w:type="dxa"/>
            <w:vAlign w:val="center"/>
          </w:tcPr>
          <w:p w14:paraId="2A7E08F6">
            <w:pPr>
              <w:snapToGrid w:val="0"/>
              <w:spacing w:line="400" w:lineRule="exact"/>
              <w:outlineLvl w:val="1"/>
              <w:rPr>
                <w:rFonts w:ascii="Arial" w:hAnsi="Arial"/>
                <w:bCs/>
                <w:color w:val="auto"/>
                <w:szCs w:val="28"/>
                <w:highlight w:val="none"/>
              </w:rPr>
            </w:pPr>
            <w:bookmarkStart w:id="71" w:name="_Toc1939"/>
            <w:r>
              <w:rPr>
                <w:rFonts w:hint="eastAsia" w:ascii="Arial" w:hAnsi="Arial"/>
                <w:bCs/>
                <w:color w:val="auto"/>
                <w:szCs w:val="28"/>
                <w:highlight w:val="none"/>
              </w:rPr>
              <w:t>详见第三</w:t>
            </w:r>
            <w:r>
              <w:rPr>
                <w:rFonts w:hint="eastAsia" w:ascii="Arial" w:hAnsi="Arial"/>
                <w:bCs/>
                <w:color w:val="auto"/>
                <w:szCs w:val="28"/>
                <w:highlight w:val="none"/>
                <w:lang w:val="en-US" w:eastAsia="zh-CN"/>
              </w:rPr>
              <w:t>章</w:t>
            </w:r>
            <w:r>
              <w:rPr>
                <w:rFonts w:hint="eastAsia" w:ascii="Arial" w:hAnsi="Arial"/>
                <w:bCs/>
                <w:color w:val="auto"/>
                <w:szCs w:val="28"/>
                <w:highlight w:val="none"/>
              </w:rPr>
              <w:t xml:space="preserve"> 采购需求 第一条。</w:t>
            </w:r>
            <w:bookmarkEnd w:id="71"/>
          </w:p>
        </w:tc>
      </w:tr>
      <w:tr w14:paraId="2F031A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65" w:type="dxa"/>
            <w:vAlign w:val="center"/>
          </w:tcPr>
          <w:p w14:paraId="1B85286D">
            <w:pPr>
              <w:snapToGrid w:val="0"/>
              <w:spacing w:line="400" w:lineRule="exact"/>
              <w:jc w:val="center"/>
              <w:outlineLvl w:val="1"/>
              <w:rPr>
                <w:rFonts w:ascii="Arial" w:hAnsi="Arial"/>
                <w:b/>
                <w:color w:val="auto"/>
                <w:szCs w:val="28"/>
                <w:highlight w:val="none"/>
              </w:rPr>
            </w:pPr>
            <w:bookmarkStart w:id="72" w:name="_Toc6685"/>
            <w:r>
              <w:rPr>
                <w:rFonts w:hint="eastAsia" w:ascii="Arial" w:hAnsi="Arial"/>
                <w:bCs/>
                <w:color w:val="auto"/>
                <w:szCs w:val="28"/>
                <w:highlight w:val="none"/>
              </w:rPr>
              <w:t>六</w:t>
            </w:r>
            <w:bookmarkEnd w:id="72"/>
          </w:p>
        </w:tc>
        <w:tc>
          <w:tcPr>
            <w:tcW w:w="3705" w:type="dxa"/>
            <w:vAlign w:val="center"/>
          </w:tcPr>
          <w:p w14:paraId="41DA57BC">
            <w:pPr>
              <w:snapToGrid w:val="0"/>
              <w:spacing w:line="400" w:lineRule="exact"/>
              <w:outlineLvl w:val="1"/>
              <w:rPr>
                <w:rFonts w:ascii="Arial" w:hAnsi="Arial"/>
                <w:bCs/>
                <w:color w:val="auto"/>
                <w:szCs w:val="28"/>
                <w:highlight w:val="none"/>
              </w:rPr>
            </w:pPr>
            <w:bookmarkStart w:id="73" w:name="_Toc26976"/>
            <w:r>
              <w:rPr>
                <w:rFonts w:hint="eastAsia" w:ascii="Arial" w:hAnsi="Arial"/>
                <w:bCs/>
                <w:color w:val="auto"/>
                <w:szCs w:val="28"/>
                <w:highlight w:val="none"/>
              </w:rPr>
              <w:t>采购标的验收标准</w:t>
            </w:r>
            <w:bookmarkEnd w:id="73"/>
          </w:p>
        </w:tc>
        <w:tc>
          <w:tcPr>
            <w:tcW w:w="4545" w:type="dxa"/>
            <w:vAlign w:val="center"/>
          </w:tcPr>
          <w:p w14:paraId="7A34F3ED">
            <w:pPr>
              <w:snapToGrid w:val="0"/>
              <w:spacing w:line="400" w:lineRule="exact"/>
              <w:outlineLvl w:val="1"/>
              <w:rPr>
                <w:rFonts w:ascii="Arial" w:hAnsi="Arial"/>
                <w:bCs/>
                <w:color w:val="auto"/>
                <w:szCs w:val="28"/>
                <w:highlight w:val="none"/>
              </w:rPr>
            </w:pPr>
            <w:bookmarkStart w:id="74" w:name="_Toc25700"/>
            <w:r>
              <w:rPr>
                <w:rFonts w:hint="eastAsia" w:ascii="Arial" w:hAnsi="Arial"/>
                <w:bCs/>
                <w:color w:val="auto"/>
                <w:szCs w:val="21"/>
                <w:highlight w:val="none"/>
              </w:rPr>
              <w:t>按照中标人提供的投标文件、中标人和采购人签订的政府采购合同为标准进行验收</w:t>
            </w:r>
            <w:r>
              <w:rPr>
                <w:rFonts w:hint="eastAsia" w:ascii="Arial" w:hAnsi="Arial"/>
                <w:bCs/>
                <w:color w:val="auto"/>
                <w:szCs w:val="28"/>
                <w:highlight w:val="none"/>
              </w:rPr>
              <w:t>。</w:t>
            </w:r>
            <w:bookmarkEnd w:id="74"/>
          </w:p>
        </w:tc>
      </w:tr>
      <w:tr w14:paraId="304F54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65" w:type="dxa"/>
            <w:vAlign w:val="center"/>
          </w:tcPr>
          <w:p w14:paraId="308771BE">
            <w:pPr>
              <w:snapToGrid w:val="0"/>
              <w:spacing w:line="400" w:lineRule="exact"/>
              <w:jc w:val="center"/>
              <w:outlineLvl w:val="1"/>
              <w:rPr>
                <w:rFonts w:ascii="Arial" w:hAnsi="Arial"/>
                <w:b/>
                <w:color w:val="auto"/>
                <w:szCs w:val="28"/>
                <w:highlight w:val="none"/>
              </w:rPr>
            </w:pPr>
            <w:bookmarkStart w:id="75" w:name="_Toc159"/>
            <w:r>
              <w:rPr>
                <w:rFonts w:hint="eastAsia" w:ascii="Arial" w:hAnsi="Arial"/>
                <w:bCs/>
                <w:color w:val="auto"/>
                <w:szCs w:val="28"/>
                <w:highlight w:val="none"/>
              </w:rPr>
              <w:t>七</w:t>
            </w:r>
            <w:bookmarkEnd w:id="75"/>
          </w:p>
        </w:tc>
        <w:tc>
          <w:tcPr>
            <w:tcW w:w="3705" w:type="dxa"/>
            <w:vAlign w:val="center"/>
          </w:tcPr>
          <w:p w14:paraId="1DA17BDE">
            <w:pPr>
              <w:snapToGrid w:val="0"/>
              <w:spacing w:line="400" w:lineRule="exact"/>
              <w:outlineLvl w:val="1"/>
              <w:rPr>
                <w:rFonts w:ascii="Arial" w:hAnsi="Arial"/>
                <w:bCs/>
                <w:color w:val="auto"/>
                <w:szCs w:val="28"/>
                <w:highlight w:val="none"/>
              </w:rPr>
            </w:pPr>
            <w:bookmarkStart w:id="76" w:name="_Toc27916"/>
            <w:r>
              <w:rPr>
                <w:rFonts w:hint="eastAsia" w:ascii="Arial" w:hAnsi="Arial"/>
                <w:bCs/>
                <w:color w:val="auto"/>
                <w:szCs w:val="28"/>
                <w:highlight w:val="none"/>
              </w:rPr>
              <w:t>采购标的其他技术、服务等要求</w:t>
            </w:r>
            <w:bookmarkEnd w:id="76"/>
          </w:p>
        </w:tc>
        <w:tc>
          <w:tcPr>
            <w:tcW w:w="4545" w:type="dxa"/>
            <w:vAlign w:val="center"/>
          </w:tcPr>
          <w:p w14:paraId="423606F5">
            <w:pPr>
              <w:snapToGrid w:val="0"/>
              <w:spacing w:line="400" w:lineRule="exact"/>
              <w:outlineLvl w:val="1"/>
              <w:rPr>
                <w:rFonts w:ascii="Arial" w:hAnsi="Arial"/>
                <w:bCs/>
                <w:color w:val="auto"/>
                <w:szCs w:val="28"/>
                <w:highlight w:val="none"/>
              </w:rPr>
            </w:pPr>
            <w:bookmarkStart w:id="77" w:name="_Toc27032"/>
            <w:r>
              <w:rPr>
                <w:rFonts w:hint="eastAsia" w:ascii="Arial" w:hAnsi="Arial"/>
                <w:bCs/>
                <w:color w:val="auto"/>
                <w:szCs w:val="28"/>
                <w:highlight w:val="none"/>
              </w:rPr>
              <w:t>详见第三</w:t>
            </w:r>
            <w:r>
              <w:rPr>
                <w:rFonts w:hint="eastAsia" w:ascii="Arial" w:hAnsi="Arial"/>
                <w:bCs/>
                <w:color w:val="auto"/>
                <w:szCs w:val="28"/>
                <w:highlight w:val="none"/>
                <w:lang w:val="en-US" w:eastAsia="zh-CN"/>
              </w:rPr>
              <w:t>章</w:t>
            </w:r>
            <w:r>
              <w:rPr>
                <w:rFonts w:hint="eastAsia" w:ascii="Arial" w:hAnsi="Arial"/>
                <w:bCs/>
                <w:color w:val="auto"/>
                <w:szCs w:val="28"/>
                <w:highlight w:val="none"/>
              </w:rPr>
              <w:t xml:space="preserve"> 采购需求 第二条。</w:t>
            </w:r>
            <w:bookmarkEnd w:id="77"/>
          </w:p>
        </w:tc>
      </w:tr>
      <w:tr w14:paraId="0F48E5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65" w:type="dxa"/>
            <w:vAlign w:val="center"/>
          </w:tcPr>
          <w:p w14:paraId="2CDAD7EB">
            <w:pPr>
              <w:snapToGrid w:val="0"/>
              <w:spacing w:line="400" w:lineRule="exact"/>
              <w:jc w:val="center"/>
              <w:outlineLvl w:val="1"/>
              <w:rPr>
                <w:rFonts w:ascii="Arial" w:hAnsi="Arial"/>
                <w:b/>
                <w:color w:val="auto"/>
                <w:szCs w:val="28"/>
                <w:highlight w:val="none"/>
              </w:rPr>
            </w:pPr>
            <w:bookmarkStart w:id="78" w:name="_Toc24302"/>
            <w:r>
              <w:rPr>
                <w:rFonts w:hint="eastAsia" w:ascii="Arial" w:hAnsi="Arial"/>
                <w:bCs/>
                <w:color w:val="auto"/>
                <w:szCs w:val="28"/>
                <w:highlight w:val="none"/>
              </w:rPr>
              <w:t>八</w:t>
            </w:r>
            <w:bookmarkEnd w:id="78"/>
          </w:p>
        </w:tc>
        <w:tc>
          <w:tcPr>
            <w:tcW w:w="3705" w:type="dxa"/>
            <w:vAlign w:val="center"/>
          </w:tcPr>
          <w:p w14:paraId="61DD9D3A">
            <w:pPr>
              <w:snapToGrid w:val="0"/>
              <w:spacing w:line="400" w:lineRule="exact"/>
              <w:outlineLvl w:val="1"/>
              <w:rPr>
                <w:rFonts w:ascii="Arial" w:hAnsi="Arial"/>
                <w:bCs/>
                <w:color w:val="auto"/>
                <w:szCs w:val="28"/>
                <w:highlight w:val="none"/>
              </w:rPr>
            </w:pPr>
            <w:bookmarkStart w:id="79" w:name="_Toc27818"/>
            <w:r>
              <w:rPr>
                <w:rFonts w:hint="eastAsia" w:ascii="Arial" w:hAnsi="Arial"/>
                <w:bCs/>
                <w:color w:val="auto"/>
                <w:szCs w:val="28"/>
                <w:highlight w:val="none"/>
              </w:rPr>
              <w:t>核心产品</w:t>
            </w:r>
            <w:bookmarkEnd w:id="79"/>
          </w:p>
        </w:tc>
        <w:tc>
          <w:tcPr>
            <w:tcW w:w="4545" w:type="dxa"/>
            <w:vAlign w:val="center"/>
          </w:tcPr>
          <w:p w14:paraId="58CE9EB5">
            <w:pPr>
              <w:snapToGrid w:val="0"/>
              <w:spacing w:line="400" w:lineRule="exact"/>
              <w:outlineLvl w:val="1"/>
              <w:rPr>
                <w:rFonts w:ascii="Arial" w:hAnsi="Arial"/>
                <w:bCs/>
                <w:color w:val="auto"/>
                <w:szCs w:val="28"/>
                <w:highlight w:val="none"/>
              </w:rPr>
            </w:pPr>
            <w:bookmarkStart w:id="80" w:name="_Toc11825"/>
            <w:r>
              <w:rPr>
                <w:rFonts w:hint="eastAsia" w:ascii="Arial" w:hAnsi="Arial"/>
                <w:bCs/>
                <w:color w:val="auto"/>
                <w:szCs w:val="28"/>
                <w:highlight w:val="none"/>
              </w:rPr>
              <w:t>详见第二</w:t>
            </w:r>
            <w:r>
              <w:rPr>
                <w:rFonts w:hint="eastAsia" w:ascii="Arial" w:hAnsi="Arial"/>
                <w:bCs/>
                <w:color w:val="auto"/>
                <w:szCs w:val="28"/>
                <w:highlight w:val="none"/>
                <w:lang w:val="en-US" w:eastAsia="zh-CN"/>
              </w:rPr>
              <w:t>章</w:t>
            </w:r>
            <w:r>
              <w:rPr>
                <w:rFonts w:hint="eastAsia" w:ascii="Arial" w:hAnsi="Arial"/>
                <w:bCs/>
                <w:color w:val="auto"/>
                <w:szCs w:val="28"/>
                <w:highlight w:val="none"/>
              </w:rPr>
              <w:t xml:space="preserve"> 供应商须知 前附表。</w:t>
            </w:r>
            <w:bookmarkEnd w:id="80"/>
          </w:p>
        </w:tc>
      </w:tr>
      <w:tr w14:paraId="7AB1DD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65" w:type="dxa"/>
            <w:vAlign w:val="center"/>
          </w:tcPr>
          <w:p w14:paraId="4FA869F3">
            <w:pPr>
              <w:snapToGrid w:val="0"/>
              <w:spacing w:line="400" w:lineRule="exact"/>
              <w:jc w:val="center"/>
              <w:outlineLvl w:val="1"/>
              <w:rPr>
                <w:rFonts w:ascii="Arial" w:hAnsi="Arial"/>
                <w:b/>
                <w:color w:val="auto"/>
                <w:szCs w:val="28"/>
                <w:highlight w:val="none"/>
              </w:rPr>
            </w:pPr>
            <w:bookmarkStart w:id="81" w:name="_Toc19865"/>
            <w:r>
              <w:rPr>
                <w:rFonts w:hint="eastAsia" w:ascii="Arial" w:hAnsi="Arial"/>
                <w:bCs/>
                <w:color w:val="auto"/>
                <w:szCs w:val="28"/>
                <w:highlight w:val="none"/>
              </w:rPr>
              <w:t>九</w:t>
            </w:r>
            <w:bookmarkEnd w:id="81"/>
          </w:p>
        </w:tc>
        <w:tc>
          <w:tcPr>
            <w:tcW w:w="3705" w:type="dxa"/>
            <w:vAlign w:val="center"/>
          </w:tcPr>
          <w:p w14:paraId="6287960B">
            <w:pPr>
              <w:snapToGrid w:val="0"/>
              <w:spacing w:line="400" w:lineRule="exact"/>
              <w:outlineLvl w:val="1"/>
              <w:rPr>
                <w:rFonts w:ascii="Arial" w:hAnsi="Arial"/>
                <w:bCs/>
                <w:color w:val="auto"/>
                <w:szCs w:val="28"/>
                <w:highlight w:val="none"/>
              </w:rPr>
            </w:pPr>
            <w:bookmarkStart w:id="82" w:name="_Toc5846"/>
            <w:r>
              <w:rPr>
                <w:rFonts w:hint="eastAsia" w:ascii="Arial" w:hAnsi="Arial"/>
                <w:color w:val="auto"/>
                <w:highlight w:val="none"/>
              </w:rPr>
              <w:t>现场踏勘</w:t>
            </w:r>
            <w:bookmarkEnd w:id="82"/>
          </w:p>
        </w:tc>
        <w:tc>
          <w:tcPr>
            <w:tcW w:w="4545" w:type="dxa"/>
            <w:vAlign w:val="center"/>
          </w:tcPr>
          <w:p w14:paraId="51E6B48E">
            <w:pPr>
              <w:snapToGrid w:val="0"/>
              <w:spacing w:line="400" w:lineRule="exact"/>
              <w:outlineLvl w:val="1"/>
              <w:rPr>
                <w:rFonts w:ascii="Arial" w:hAnsi="Arial"/>
                <w:color w:val="auto"/>
                <w:szCs w:val="21"/>
                <w:highlight w:val="none"/>
              </w:rPr>
            </w:pPr>
            <w:bookmarkStart w:id="83" w:name="_Toc2670"/>
            <w:r>
              <w:rPr>
                <w:rFonts w:hint="eastAsia" w:ascii="Arial" w:hAnsi="Arial"/>
                <w:color w:val="auto"/>
                <w:highlight w:val="none"/>
              </w:rPr>
              <w:t>1、本项目各潜在供应商宜按采购文件第二章 供应商须知前附表“开标前答疑会或现场考察”要求进行现场踏勘</w:t>
            </w:r>
            <w:r>
              <w:rPr>
                <w:rFonts w:hint="eastAsia" w:ascii="Arial" w:hAnsi="Arial"/>
                <w:color w:val="auto"/>
                <w:szCs w:val="21"/>
                <w:highlight w:val="none"/>
              </w:rPr>
              <w:t>以充分了解项目位置、情况、道路、及任何其他足以影响本次报价的情况。</w:t>
            </w:r>
            <w:bookmarkEnd w:id="83"/>
          </w:p>
          <w:p w14:paraId="277364BF">
            <w:pPr>
              <w:snapToGrid w:val="0"/>
              <w:spacing w:line="400" w:lineRule="exact"/>
              <w:outlineLvl w:val="1"/>
              <w:rPr>
                <w:rFonts w:ascii="Arial" w:hAnsi="Arial"/>
                <w:bCs/>
                <w:color w:val="auto"/>
                <w:szCs w:val="28"/>
                <w:highlight w:val="none"/>
              </w:rPr>
            </w:pPr>
            <w:bookmarkStart w:id="84" w:name="_Toc12459"/>
            <w:r>
              <w:rPr>
                <w:rFonts w:hint="eastAsia" w:ascii="Arial" w:hAnsi="Arial"/>
                <w:color w:val="auto"/>
                <w:szCs w:val="21"/>
                <w:highlight w:val="none"/>
              </w:rPr>
              <w:t>2、任何因忽视或误解项目现场实际情况而导致的增加费用、索赔或期限延长申请将不获批准。</w:t>
            </w:r>
            <w:bookmarkEnd w:id="84"/>
          </w:p>
        </w:tc>
      </w:tr>
      <w:tr w14:paraId="52051E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65" w:type="dxa"/>
            <w:vAlign w:val="center"/>
          </w:tcPr>
          <w:p w14:paraId="23B506F1">
            <w:pPr>
              <w:snapToGrid w:val="0"/>
              <w:spacing w:line="400" w:lineRule="exact"/>
              <w:jc w:val="center"/>
              <w:outlineLvl w:val="1"/>
              <w:rPr>
                <w:rFonts w:ascii="Arial" w:hAnsi="Arial"/>
                <w:bCs/>
                <w:color w:val="auto"/>
                <w:szCs w:val="28"/>
                <w:highlight w:val="none"/>
              </w:rPr>
            </w:pPr>
            <w:bookmarkStart w:id="85" w:name="_Toc11803"/>
            <w:r>
              <w:rPr>
                <w:rFonts w:hint="eastAsia" w:ascii="Arial" w:hAnsi="Arial"/>
                <w:bCs/>
                <w:color w:val="auto"/>
                <w:szCs w:val="28"/>
                <w:highlight w:val="none"/>
              </w:rPr>
              <w:t>十</w:t>
            </w:r>
            <w:bookmarkEnd w:id="85"/>
          </w:p>
        </w:tc>
        <w:tc>
          <w:tcPr>
            <w:tcW w:w="3705" w:type="dxa"/>
            <w:vAlign w:val="center"/>
          </w:tcPr>
          <w:p w14:paraId="1F4A1CDD">
            <w:pPr>
              <w:snapToGrid w:val="0"/>
              <w:spacing w:line="400" w:lineRule="exact"/>
              <w:outlineLvl w:val="1"/>
              <w:rPr>
                <w:rFonts w:ascii="Arial" w:hAnsi="Arial"/>
                <w:color w:val="auto"/>
                <w:highlight w:val="none"/>
              </w:rPr>
            </w:pPr>
            <w:bookmarkStart w:id="86" w:name="_Toc19397"/>
            <w:r>
              <w:rPr>
                <w:rFonts w:hint="eastAsia" w:ascii="Arial" w:hAnsi="Arial"/>
                <w:color w:val="auto"/>
                <w:highlight w:val="none"/>
              </w:rPr>
              <w:t>样品</w:t>
            </w:r>
            <w:bookmarkEnd w:id="86"/>
          </w:p>
        </w:tc>
        <w:tc>
          <w:tcPr>
            <w:tcW w:w="4545" w:type="dxa"/>
            <w:vAlign w:val="center"/>
          </w:tcPr>
          <w:p w14:paraId="04D58159">
            <w:pPr>
              <w:snapToGrid w:val="0"/>
              <w:spacing w:line="400" w:lineRule="exact"/>
              <w:outlineLvl w:val="1"/>
              <w:rPr>
                <w:rFonts w:ascii="Arial" w:hAnsi="Arial"/>
                <w:color w:val="auto"/>
                <w:szCs w:val="22"/>
                <w:highlight w:val="none"/>
              </w:rPr>
            </w:pPr>
            <w:bookmarkStart w:id="87" w:name="_Toc15749"/>
            <w:r>
              <w:rPr>
                <w:rFonts w:hint="eastAsia" w:ascii="Arial" w:hAnsi="Arial"/>
                <w:bCs/>
                <w:color w:val="auto"/>
                <w:szCs w:val="28"/>
                <w:highlight w:val="none"/>
              </w:rPr>
              <w:t>详见第二</w:t>
            </w:r>
            <w:r>
              <w:rPr>
                <w:rFonts w:hint="eastAsia" w:ascii="Arial" w:hAnsi="Arial"/>
                <w:bCs/>
                <w:color w:val="auto"/>
                <w:szCs w:val="28"/>
                <w:highlight w:val="none"/>
                <w:lang w:val="en-US" w:eastAsia="zh-CN"/>
              </w:rPr>
              <w:t>章</w:t>
            </w:r>
            <w:r>
              <w:rPr>
                <w:rFonts w:hint="eastAsia" w:ascii="Arial" w:hAnsi="Arial"/>
                <w:bCs/>
                <w:color w:val="auto"/>
                <w:szCs w:val="28"/>
                <w:highlight w:val="none"/>
              </w:rPr>
              <w:t xml:space="preserve"> 供应商须知 前附表。</w:t>
            </w:r>
            <w:bookmarkEnd w:id="87"/>
          </w:p>
        </w:tc>
      </w:tr>
    </w:tbl>
    <w:p w14:paraId="51C7CA92">
      <w:pPr>
        <w:pStyle w:val="3"/>
        <w:numPr>
          <w:ilvl w:val="1"/>
          <w:numId w:val="0"/>
        </w:numPr>
        <w:spacing w:before="0" w:after="0" w:line="360" w:lineRule="auto"/>
        <w:jc w:val="center"/>
        <w:rPr>
          <w:rFonts w:ascii="Times New Roman" w:hAnsi="Times New Roman" w:eastAsia="宋体"/>
          <w:color w:val="auto"/>
          <w:sz w:val="21"/>
          <w:szCs w:val="21"/>
          <w:highlight w:val="none"/>
        </w:rPr>
      </w:pPr>
      <w:r>
        <w:rPr>
          <w:rFonts w:ascii="Times New Roman" w:hAnsi="Times New Roman" w:eastAsia="宋体"/>
          <w:color w:val="auto"/>
          <w:highlight w:val="none"/>
        </w:rPr>
        <w:br w:type="page"/>
      </w:r>
      <w:bookmarkStart w:id="88" w:name="_Toc460857893"/>
      <w:bookmarkStart w:id="89" w:name="_Toc8699"/>
      <w:r>
        <w:rPr>
          <w:rFonts w:ascii="Times New Roman" w:hAnsi="Times New Roman" w:eastAsia="宋体"/>
          <w:color w:val="auto"/>
          <w:sz w:val="21"/>
          <w:szCs w:val="21"/>
          <w:highlight w:val="none"/>
        </w:rPr>
        <w:t>一、商务需求</w:t>
      </w:r>
      <w:bookmarkEnd w:id="88"/>
      <w:bookmarkEnd w:id="89"/>
    </w:p>
    <w:bookmarkEnd w:id="15"/>
    <w:bookmarkEnd w:id="16"/>
    <w:bookmarkEnd w:id="17"/>
    <w:bookmarkEnd w:id="18"/>
    <w:bookmarkEnd w:id="19"/>
    <w:bookmarkEnd w:id="20"/>
    <w:tbl>
      <w:tblPr>
        <w:tblStyle w:val="44"/>
        <w:tblW w:w="895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59"/>
        <w:gridCol w:w="6894"/>
      </w:tblGrid>
      <w:tr w14:paraId="517942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38" w:hRule="atLeast"/>
        </w:trPr>
        <w:tc>
          <w:tcPr>
            <w:tcW w:w="2059" w:type="dxa"/>
            <w:vAlign w:val="center"/>
          </w:tcPr>
          <w:p w14:paraId="0E013C31">
            <w:pPr>
              <w:spacing w:line="400" w:lineRule="exact"/>
              <w:jc w:val="center"/>
              <w:rPr>
                <w:color w:val="auto"/>
                <w:szCs w:val="21"/>
                <w:highlight w:val="none"/>
              </w:rPr>
            </w:pPr>
            <w:bookmarkStart w:id="90" w:name="_Toc460416593"/>
            <w:bookmarkStart w:id="91" w:name="_Toc460416338"/>
            <w:bookmarkStart w:id="92" w:name="_Toc460416642"/>
            <w:r>
              <w:rPr>
                <w:rFonts w:hint="eastAsia"/>
                <w:color w:val="auto"/>
                <w:szCs w:val="21"/>
                <w:highlight w:val="none"/>
              </w:rPr>
              <w:t>合同履约</w:t>
            </w:r>
            <w:r>
              <w:rPr>
                <w:color w:val="auto"/>
                <w:szCs w:val="21"/>
                <w:highlight w:val="none"/>
              </w:rPr>
              <w:t>期限及地点</w:t>
            </w:r>
          </w:p>
        </w:tc>
        <w:tc>
          <w:tcPr>
            <w:tcW w:w="6894" w:type="dxa"/>
            <w:vAlign w:val="center"/>
          </w:tcPr>
          <w:p w14:paraId="4F353A65">
            <w:pPr>
              <w:spacing w:line="400" w:lineRule="exact"/>
              <w:rPr>
                <w:color w:val="auto"/>
                <w:szCs w:val="21"/>
                <w:highlight w:val="none"/>
              </w:rPr>
            </w:pPr>
            <w:r>
              <w:rPr>
                <w:rFonts w:hint="eastAsia"/>
                <w:color w:val="auto"/>
                <w:szCs w:val="21"/>
                <w:highlight w:val="none"/>
              </w:rPr>
              <w:t>合同履约</w:t>
            </w:r>
            <w:r>
              <w:rPr>
                <w:color w:val="auto"/>
                <w:szCs w:val="21"/>
                <w:highlight w:val="none"/>
              </w:rPr>
              <w:t>期限：</w:t>
            </w:r>
            <w:r>
              <w:rPr>
                <w:rFonts w:hint="eastAsia" w:ascii="Arial" w:hAnsi="Arial"/>
                <w:color w:val="auto"/>
                <w:szCs w:val="22"/>
                <w:highlight w:val="none"/>
              </w:rPr>
              <w:t>签订合同且具备实施条件后</w:t>
            </w:r>
            <w:r>
              <w:rPr>
                <w:rFonts w:hint="eastAsia" w:ascii="Arial" w:hAnsi="Arial"/>
                <w:color w:val="auto"/>
                <w:szCs w:val="22"/>
                <w:highlight w:val="none"/>
                <w:lang w:val="en-US" w:eastAsia="zh-CN"/>
              </w:rPr>
              <w:t>15</w:t>
            </w:r>
            <w:r>
              <w:rPr>
                <w:rFonts w:hint="eastAsia" w:ascii="Arial" w:hAnsi="Arial"/>
                <w:color w:val="auto"/>
                <w:szCs w:val="22"/>
                <w:highlight w:val="none"/>
              </w:rPr>
              <w:t>个工作日</w:t>
            </w:r>
            <w:r>
              <w:rPr>
                <w:rFonts w:hint="eastAsia" w:ascii="Arial" w:hAnsi="Arial" w:cs="宋体"/>
                <w:bCs/>
                <w:color w:val="auto"/>
                <w:szCs w:val="21"/>
                <w:highlight w:val="none"/>
              </w:rPr>
              <w:t>完成</w:t>
            </w:r>
            <w:r>
              <w:rPr>
                <w:rFonts w:hint="eastAsia" w:ascii="Arial" w:hAnsi="Arial" w:cs="宋体"/>
                <w:bCs/>
                <w:color w:val="auto"/>
                <w:szCs w:val="21"/>
                <w:highlight w:val="none"/>
                <w:lang w:val="en-US" w:eastAsia="zh-CN"/>
              </w:rPr>
              <w:t>供货</w:t>
            </w:r>
            <w:r>
              <w:rPr>
                <w:rFonts w:hint="eastAsia" w:ascii="Arial" w:hAnsi="Arial" w:cs="宋体"/>
                <w:bCs/>
                <w:color w:val="auto"/>
                <w:szCs w:val="21"/>
                <w:highlight w:val="none"/>
              </w:rPr>
              <w:t>安装调试</w:t>
            </w:r>
            <w:r>
              <w:rPr>
                <w:rFonts w:hint="eastAsia"/>
                <w:color w:val="auto"/>
                <w:highlight w:val="none"/>
                <w:lang w:eastAsia="zh-CN"/>
              </w:rPr>
              <w:t>且通过验收</w:t>
            </w:r>
            <w:r>
              <w:rPr>
                <w:rFonts w:hint="eastAsia" w:ascii="Arial" w:hAnsi="Arial" w:cs="宋体"/>
                <w:bCs/>
                <w:color w:val="auto"/>
                <w:szCs w:val="21"/>
                <w:highlight w:val="none"/>
              </w:rPr>
              <w:t>。</w:t>
            </w:r>
          </w:p>
          <w:p w14:paraId="73BF4A01">
            <w:pPr>
              <w:spacing w:line="400" w:lineRule="exact"/>
              <w:rPr>
                <w:color w:val="auto"/>
                <w:highlight w:val="none"/>
              </w:rPr>
            </w:pPr>
            <w:r>
              <w:rPr>
                <w:color w:val="auto"/>
                <w:szCs w:val="21"/>
                <w:highlight w:val="none"/>
              </w:rPr>
              <w:t>地点：业主指定地点。</w:t>
            </w:r>
          </w:p>
        </w:tc>
      </w:tr>
      <w:tr w14:paraId="3C71F0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50" w:hRule="atLeast"/>
        </w:trPr>
        <w:tc>
          <w:tcPr>
            <w:tcW w:w="2059" w:type="dxa"/>
            <w:vAlign w:val="center"/>
          </w:tcPr>
          <w:p w14:paraId="6A190EBA">
            <w:pPr>
              <w:spacing w:line="400" w:lineRule="exact"/>
              <w:jc w:val="center"/>
              <w:rPr>
                <w:color w:val="auto"/>
                <w:szCs w:val="21"/>
                <w:highlight w:val="none"/>
              </w:rPr>
            </w:pPr>
            <w:r>
              <w:rPr>
                <w:color w:val="auto"/>
                <w:szCs w:val="21"/>
                <w:highlight w:val="none"/>
              </w:rPr>
              <w:t>付款条件</w:t>
            </w:r>
          </w:p>
        </w:tc>
        <w:tc>
          <w:tcPr>
            <w:tcW w:w="6894" w:type="dxa"/>
            <w:vAlign w:val="center"/>
          </w:tcPr>
          <w:p w14:paraId="565C052B">
            <w:pPr>
              <w:keepLines w:val="0"/>
              <w:pageBreakBefore w:val="0"/>
              <w:kinsoku/>
              <w:wordWrap/>
              <w:overflowPunct/>
              <w:topLinePunct w:val="0"/>
              <w:autoSpaceDE w:val="0"/>
              <w:autoSpaceDN w:val="0"/>
              <w:bidi w:val="0"/>
              <w:adjustRightInd w:val="0"/>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预付款：在合同生效以及具备实施条件后7个工作日内支付，采购人向中标人支付合同总额40％；</w:t>
            </w:r>
            <w:r>
              <w:rPr>
                <w:rFonts w:hint="eastAsia" w:ascii="宋体" w:hAnsi="宋体"/>
                <w:color w:val="auto"/>
                <w:highlight w:val="none"/>
                <w:lang w:val="en-US" w:eastAsia="zh-CN"/>
              </w:rPr>
              <w:t>乙方</w:t>
            </w:r>
            <w:r>
              <w:rPr>
                <w:rFonts w:hint="eastAsia" w:ascii="宋体" w:hAnsi="宋体"/>
                <w:color w:val="auto"/>
                <w:highlight w:val="none"/>
              </w:rPr>
              <w:t>于合同签订前书面承诺放弃预付款或降低预付款支付比例的，可不适用本条款</w:t>
            </w:r>
          </w:p>
          <w:p w14:paraId="644560DC">
            <w:pPr>
              <w:adjustRightInd w:val="0"/>
              <w:snapToGrid w:val="0"/>
              <w:spacing w:line="400" w:lineRule="exact"/>
              <w:rPr>
                <w:color w:val="auto"/>
                <w:highlight w:val="none"/>
              </w:rPr>
            </w:pP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货到安装调试、试运行并通过采购人验收合格后7个工作日内，采购人支付至合同总价的100%（凭货物发票）。</w:t>
            </w:r>
          </w:p>
        </w:tc>
      </w:tr>
      <w:tr w14:paraId="1948F3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3" w:hRule="atLeast"/>
        </w:trPr>
        <w:tc>
          <w:tcPr>
            <w:tcW w:w="2059" w:type="dxa"/>
            <w:vAlign w:val="center"/>
          </w:tcPr>
          <w:p w14:paraId="71B2E46A">
            <w:pPr>
              <w:spacing w:line="400" w:lineRule="exact"/>
              <w:jc w:val="center"/>
              <w:rPr>
                <w:color w:val="auto"/>
                <w:szCs w:val="21"/>
                <w:highlight w:val="none"/>
              </w:rPr>
            </w:pPr>
            <w:r>
              <w:rPr>
                <w:color w:val="auto"/>
                <w:szCs w:val="21"/>
                <w:highlight w:val="none"/>
              </w:rPr>
              <w:t>质保期</w:t>
            </w:r>
          </w:p>
        </w:tc>
        <w:tc>
          <w:tcPr>
            <w:tcW w:w="6894" w:type="dxa"/>
            <w:vAlign w:val="center"/>
          </w:tcPr>
          <w:p w14:paraId="3E208A98">
            <w:pPr>
              <w:numPr>
                <w:ilvl w:val="0"/>
                <w:numId w:val="12"/>
              </w:numPr>
              <w:snapToGrid w:val="0"/>
              <w:spacing w:line="400" w:lineRule="exact"/>
              <w:jc w:val="left"/>
              <w:rPr>
                <w:color w:val="auto"/>
                <w:szCs w:val="21"/>
                <w:highlight w:val="none"/>
              </w:rPr>
            </w:pPr>
            <w:r>
              <w:rPr>
                <w:rFonts w:hint="eastAsia" w:ascii="Arial" w:hAnsi="Arial" w:cs="Arial"/>
                <w:bCs/>
                <w:color w:val="auto"/>
                <w:szCs w:val="21"/>
                <w:highlight w:val="none"/>
              </w:rPr>
              <w:t>产品经采购人验收合格之日起提供</w:t>
            </w:r>
            <w:r>
              <w:rPr>
                <w:rFonts w:hint="eastAsia" w:ascii="Arial" w:hAnsi="Arial" w:cs="Arial"/>
                <w:bCs/>
                <w:color w:val="auto"/>
                <w:szCs w:val="21"/>
                <w:highlight w:val="none"/>
                <w:lang w:val="en-US" w:eastAsia="zh-CN"/>
              </w:rPr>
              <w:t>2</w:t>
            </w:r>
            <w:r>
              <w:rPr>
                <w:rFonts w:hint="eastAsia" w:ascii="Arial" w:hAnsi="Arial" w:cs="Arial"/>
                <w:bCs/>
                <w:color w:val="auto"/>
                <w:szCs w:val="21"/>
                <w:highlight w:val="none"/>
              </w:rPr>
              <w:t>年的质保。质保期内产生的维修费及维修替换损坏的部件费均无偿免费（人为损坏除外）提供。质保期外，供应商只承担免费维修费，维修需替换的部件费，另按实结算</w:t>
            </w:r>
            <w:r>
              <w:rPr>
                <w:rFonts w:hint="eastAsia" w:ascii="Arial" w:hAnsi="Arial" w:cs="Arial"/>
                <w:bCs/>
                <w:color w:val="auto"/>
                <w:szCs w:val="21"/>
                <w:highlight w:val="none"/>
                <w:lang w:val="en-US" w:eastAsia="zh-CN"/>
              </w:rPr>
              <w:t>,</w:t>
            </w:r>
            <w:r>
              <w:rPr>
                <w:rFonts w:hint="eastAsia" w:ascii="宋体" w:hAnsi="宋体" w:eastAsia="宋体" w:cs="宋体"/>
                <w:color w:val="auto"/>
                <w:sz w:val="21"/>
                <w:szCs w:val="21"/>
                <w:highlight w:val="none"/>
                <w:lang w:val="en-US" w:eastAsia="zh-CN"/>
              </w:rPr>
              <w:t>设备故障需要更换或新增个别监控设备，由双方根据后续合同约定确定费用。</w:t>
            </w:r>
          </w:p>
          <w:p w14:paraId="2A98B76D">
            <w:pPr>
              <w:numPr>
                <w:ilvl w:val="0"/>
                <w:numId w:val="12"/>
              </w:numPr>
              <w:snapToGrid w:val="0"/>
              <w:spacing w:line="400" w:lineRule="exact"/>
              <w:jc w:val="left"/>
              <w:rPr>
                <w:color w:val="auto"/>
                <w:szCs w:val="21"/>
                <w:highlight w:val="none"/>
              </w:rPr>
            </w:pPr>
            <w:r>
              <w:rPr>
                <w:color w:val="auto"/>
                <w:szCs w:val="21"/>
                <w:highlight w:val="none"/>
              </w:rPr>
              <w:t>在质保期内，投标人须免费负责修理和替换任何由于质量问题造成的损坏及故障。保修期间维修、零件更换、校准、人工、差旅等一切费用由供应商负担。</w:t>
            </w:r>
          </w:p>
          <w:p w14:paraId="5A3E2B81">
            <w:pPr>
              <w:spacing w:line="400" w:lineRule="exact"/>
              <w:rPr>
                <w:color w:val="auto"/>
                <w:highlight w:val="none"/>
              </w:rPr>
            </w:pPr>
            <w:r>
              <w:rPr>
                <w:rFonts w:hint="eastAsia"/>
                <w:color w:val="auto"/>
                <w:highlight w:val="none"/>
              </w:rPr>
              <w:t>3</w:t>
            </w:r>
            <w:r>
              <w:rPr>
                <w:color w:val="auto"/>
                <w:highlight w:val="none"/>
              </w:rPr>
              <w:t>、</w:t>
            </w:r>
            <w:r>
              <w:rPr>
                <w:bCs/>
                <w:color w:val="auto"/>
                <w:szCs w:val="21"/>
                <w:highlight w:val="none"/>
              </w:rPr>
              <w:t>质保期内被免费更换的</w:t>
            </w:r>
            <w:r>
              <w:rPr>
                <w:rFonts w:hint="eastAsia"/>
                <w:bCs/>
                <w:color w:val="auto"/>
                <w:szCs w:val="21"/>
                <w:highlight w:val="none"/>
              </w:rPr>
              <w:t>设备</w:t>
            </w:r>
            <w:r>
              <w:rPr>
                <w:bCs/>
                <w:color w:val="auto"/>
                <w:szCs w:val="21"/>
                <w:highlight w:val="none"/>
              </w:rPr>
              <w:t>质量保证：自更换之日起计</w:t>
            </w:r>
            <w:r>
              <w:rPr>
                <w:rFonts w:hint="eastAsia"/>
                <w:bCs/>
                <w:color w:val="auto"/>
                <w:szCs w:val="21"/>
                <w:highlight w:val="none"/>
                <w:lang w:val="en-US" w:eastAsia="zh-CN"/>
              </w:rPr>
              <w:t>2</w:t>
            </w:r>
            <w:r>
              <w:rPr>
                <w:bCs/>
                <w:color w:val="auto"/>
                <w:szCs w:val="21"/>
                <w:highlight w:val="none"/>
              </w:rPr>
              <w:t>年</w:t>
            </w:r>
            <w:r>
              <w:rPr>
                <w:rFonts w:hint="eastAsia"/>
                <w:bCs/>
                <w:color w:val="auto"/>
                <w:szCs w:val="21"/>
                <w:highlight w:val="none"/>
              </w:rPr>
              <w:t>。</w:t>
            </w:r>
          </w:p>
        </w:tc>
      </w:tr>
      <w:tr w14:paraId="36F94C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3" w:hRule="atLeast"/>
        </w:trPr>
        <w:tc>
          <w:tcPr>
            <w:tcW w:w="2059" w:type="dxa"/>
            <w:vAlign w:val="center"/>
          </w:tcPr>
          <w:p w14:paraId="3C1513C8">
            <w:pPr>
              <w:snapToGrid w:val="0"/>
              <w:spacing w:line="400" w:lineRule="exact"/>
              <w:jc w:val="center"/>
              <w:rPr>
                <w:color w:val="auto"/>
                <w:szCs w:val="21"/>
                <w:highlight w:val="none"/>
              </w:rPr>
            </w:pPr>
            <w:r>
              <w:rPr>
                <w:color w:val="auto"/>
                <w:szCs w:val="21"/>
                <w:highlight w:val="none"/>
              </w:rPr>
              <w:t>伴随服务</w:t>
            </w:r>
          </w:p>
        </w:tc>
        <w:tc>
          <w:tcPr>
            <w:tcW w:w="6894" w:type="dxa"/>
            <w:vAlign w:val="center"/>
          </w:tcPr>
          <w:p w14:paraId="09771909">
            <w:pPr>
              <w:snapToGrid w:val="0"/>
              <w:spacing w:line="400" w:lineRule="exact"/>
              <w:rPr>
                <w:color w:val="auto"/>
                <w:szCs w:val="21"/>
                <w:highlight w:val="none"/>
              </w:rPr>
            </w:pPr>
            <w:r>
              <w:rPr>
                <w:color w:val="auto"/>
                <w:szCs w:val="21"/>
                <w:highlight w:val="none"/>
              </w:rPr>
              <w:t>货物的设计、制造、出厂检测、运输、保险、装卸，货物现场保管、安装、调试、培训等实施本项目至验收合格所包含的一切服务，费用包含在投标报价中。</w:t>
            </w:r>
          </w:p>
        </w:tc>
      </w:tr>
      <w:tr w14:paraId="3BC1BE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4" w:hRule="atLeast"/>
        </w:trPr>
        <w:tc>
          <w:tcPr>
            <w:tcW w:w="2059" w:type="dxa"/>
            <w:vMerge w:val="restart"/>
            <w:vAlign w:val="center"/>
          </w:tcPr>
          <w:p w14:paraId="31E66F14">
            <w:pPr>
              <w:spacing w:line="400" w:lineRule="exact"/>
              <w:jc w:val="center"/>
              <w:rPr>
                <w:color w:val="auto"/>
                <w:szCs w:val="21"/>
                <w:highlight w:val="none"/>
              </w:rPr>
            </w:pPr>
            <w:r>
              <w:rPr>
                <w:color w:val="auto"/>
                <w:szCs w:val="21"/>
                <w:highlight w:val="none"/>
              </w:rPr>
              <w:t>售后服务要求</w:t>
            </w:r>
          </w:p>
        </w:tc>
        <w:tc>
          <w:tcPr>
            <w:tcW w:w="6894" w:type="dxa"/>
            <w:vAlign w:val="center"/>
          </w:tcPr>
          <w:p w14:paraId="3DA76512">
            <w:pPr>
              <w:spacing w:line="400" w:lineRule="exact"/>
              <w:rPr>
                <w:color w:val="auto"/>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）对于各类故障必须提供7*24立即响应服务，在1小时内（特殊情况除外）到达现场响应。</w:t>
            </w:r>
          </w:p>
        </w:tc>
      </w:tr>
      <w:tr w14:paraId="7657D4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3" w:hRule="atLeast"/>
        </w:trPr>
        <w:tc>
          <w:tcPr>
            <w:tcW w:w="2059" w:type="dxa"/>
            <w:vMerge w:val="continue"/>
            <w:vAlign w:val="center"/>
          </w:tcPr>
          <w:p w14:paraId="5F11262F">
            <w:pPr>
              <w:spacing w:line="400" w:lineRule="exact"/>
              <w:jc w:val="center"/>
              <w:rPr>
                <w:color w:val="auto"/>
                <w:szCs w:val="21"/>
                <w:highlight w:val="none"/>
              </w:rPr>
            </w:pPr>
          </w:p>
        </w:tc>
        <w:tc>
          <w:tcPr>
            <w:tcW w:w="6894" w:type="dxa"/>
            <w:vAlign w:val="center"/>
          </w:tcPr>
          <w:p w14:paraId="74EDC54E">
            <w:pPr>
              <w:spacing w:line="400" w:lineRule="exact"/>
              <w:rPr>
                <w:color w:val="auto"/>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）供应商应提供电话免费咨询服务。</w:t>
            </w:r>
          </w:p>
        </w:tc>
      </w:tr>
      <w:tr w14:paraId="6E5C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4" w:hRule="atLeast"/>
        </w:trPr>
        <w:tc>
          <w:tcPr>
            <w:tcW w:w="2059" w:type="dxa"/>
            <w:vMerge w:val="continue"/>
            <w:vAlign w:val="center"/>
          </w:tcPr>
          <w:p w14:paraId="53F02F8D">
            <w:pPr>
              <w:spacing w:line="400" w:lineRule="exact"/>
              <w:jc w:val="center"/>
              <w:rPr>
                <w:rFonts w:hint="eastAsia" w:eastAsia="宋体"/>
                <w:color w:val="auto"/>
                <w:szCs w:val="21"/>
                <w:highlight w:val="none"/>
                <w:lang w:val="en-US" w:eastAsia="zh-CN"/>
              </w:rPr>
            </w:pPr>
          </w:p>
        </w:tc>
        <w:tc>
          <w:tcPr>
            <w:tcW w:w="6894" w:type="dxa"/>
            <w:vAlign w:val="center"/>
          </w:tcPr>
          <w:p w14:paraId="614B425E">
            <w:pPr>
              <w:spacing w:line="40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）供应商必须为采购人提供系统使用、系统操作和管理维护培训，培训形式包括客户现场培训、课堂培训；供应商必须列明相应的培训课程。</w:t>
            </w:r>
          </w:p>
        </w:tc>
      </w:tr>
      <w:tr w14:paraId="2F7133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4" w:hRule="atLeast"/>
        </w:trPr>
        <w:tc>
          <w:tcPr>
            <w:tcW w:w="2059" w:type="dxa"/>
            <w:vMerge w:val="continue"/>
            <w:vAlign w:val="center"/>
          </w:tcPr>
          <w:p w14:paraId="319E8F5F">
            <w:pPr>
              <w:spacing w:line="400" w:lineRule="exact"/>
              <w:jc w:val="center"/>
              <w:rPr>
                <w:rFonts w:hint="eastAsia" w:eastAsia="宋体"/>
                <w:color w:val="auto"/>
                <w:szCs w:val="21"/>
                <w:highlight w:val="none"/>
                <w:lang w:val="en-US" w:eastAsia="zh-CN"/>
              </w:rPr>
            </w:pPr>
          </w:p>
        </w:tc>
        <w:tc>
          <w:tcPr>
            <w:tcW w:w="6894" w:type="dxa"/>
            <w:vAlign w:val="center"/>
          </w:tcPr>
          <w:p w14:paraId="1D925C3F">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）提供完整详尽的售后服务方案，服务内容包括本项目涉及所有软、硬件。</w:t>
            </w:r>
          </w:p>
        </w:tc>
      </w:tr>
      <w:tr w14:paraId="2ED9F9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4" w:hRule="atLeast"/>
        </w:trPr>
        <w:tc>
          <w:tcPr>
            <w:tcW w:w="2059" w:type="dxa"/>
            <w:vMerge w:val="continue"/>
            <w:vAlign w:val="center"/>
          </w:tcPr>
          <w:p w14:paraId="47A37173">
            <w:pPr>
              <w:spacing w:line="400" w:lineRule="exact"/>
              <w:jc w:val="center"/>
              <w:rPr>
                <w:rFonts w:hint="eastAsia" w:eastAsia="宋体"/>
                <w:color w:val="auto"/>
                <w:szCs w:val="21"/>
                <w:highlight w:val="none"/>
                <w:lang w:val="en-US" w:eastAsia="zh-CN"/>
              </w:rPr>
            </w:pPr>
          </w:p>
        </w:tc>
        <w:tc>
          <w:tcPr>
            <w:tcW w:w="6894" w:type="dxa"/>
            <w:vAlign w:val="center"/>
          </w:tcPr>
          <w:p w14:paraId="6D044B85">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）中标供应商实施项目前需进行实地勘测，采购人以项目完成为验收标准，具体施工超出部分由中标供应商承担。</w:t>
            </w:r>
          </w:p>
        </w:tc>
      </w:tr>
      <w:tr w14:paraId="5FF805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4" w:hRule="atLeast"/>
        </w:trPr>
        <w:tc>
          <w:tcPr>
            <w:tcW w:w="2059" w:type="dxa"/>
            <w:vMerge w:val="restart"/>
            <w:vAlign w:val="center"/>
          </w:tcPr>
          <w:p w14:paraId="72F771F6">
            <w:pPr>
              <w:spacing w:line="400" w:lineRule="exact"/>
              <w:jc w:val="center"/>
              <w:rPr>
                <w:color w:val="auto"/>
                <w:szCs w:val="21"/>
                <w:highlight w:val="none"/>
              </w:rPr>
            </w:pPr>
            <w:r>
              <w:rPr>
                <w:color w:val="auto"/>
                <w:szCs w:val="21"/>
                <w:highlight w:val="none"/>
              </w:rPr>
              <w:t>验收标准</w:t>
            </w:r>
          </w:p>
        </w:tc>
        <w:tc>
          <w:tcPr>
            <w:tcW w:w="6894" w:type="dxa"/>
            <w:vAlign w:val="center"/>
          </w:tcPr>
          <w:p w14:paraId="49D5F8F8">
            <w:pPr>
              <w:spacing w:line="400" w:lineRule="exact"/>
              <w:rPr>
                <w:bCs/>
                <w:color w:val="auto"/>
                <w:szCs w:val="21"/>
                <w:highlight w:val="none"/>
              </w:rPr>
            </w:pPr>
            <w:r>
              <w:rPr>
                <w:color w:val="auto"/>
                <w:szCs w:val="21"/>
                <w:highlight w:val="none"/>
              </w:rPr>
              <w:t>应符合国家或行业有关的质量标准或验收规范并</w:t>
            </w:r>
            <w:r>
              <w:rPr>
                <w:bCs/>
                <w:color w:val="auto"/>
                <w:szCs w:val="21"/>
                <w:highlight w:val="none"/>
              </w:rPr>
              <w:t>按照中标人提供的投标文件及中标人和采购人签订的政府采购合同为标准进行验收。</w:t>
            </w:r>
          </w:p>
          <w:p w14:paraId="5F551C7C">
            <w:pPr>
              <w:spacing w:line="400" w:lineRule="exact"/>
              <w:rPr>
                <w:color w:val="auto"/>
                <w:szCs w:val="21"/>
                <w:highlight w:val="none"/>
              </w:rPr>
            </w:pPr>
            <w:r>
              <w:rPr>
                <w:bCs/>
                <w:color w:val="auto"/>
                <w:szCs w:val="21"/>
                <w:highlight w:val="none"/>
              </w:rPr>
              <w:t>具体要求</w:t>
            </w:r>
            <w:r>
              <w:rPr>
                <w:color w:val="auto"/>
                <w:szCs w:val="21"/>
                <w:highlight w:val="none"/>
              </w:rPr>
              <w:t>详见采购文件技术需求。</w:t>
            </w:r>
          </w:p>
        </w:tc>
      </w:tr>
      <w:tr w14:paraId="247EB0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4" w:hRule="atLeast"/>
        </w:trPr>
        <w:tc>
          <w:tcPr>
            <w:tcW w:w="2059" w:type="dxa"/>
            <w:vMerge w:val="continue"/>
            <w:vAlign w:val="center"/>
          </w:tcPr>
          <w:p w14:paraId="671FFBD9">
            <w:pPr>
              <w:spacing w:line="400" w:lineRule="exact"/>
              <w:jc w:val="center"/>
              <w:rPr>
                <w:color w:val="auto"/>
                <w:szCs w:val="21"/>
                <w:highlight w:val="none"/>
              </w:rPr>
            </w:pPr>
            <w:bookmarkStart w:id="93" w:name="_Toc460857894"/>
          </w:p>
        </w:tc>
        <w:tc>
          <w:tcPr>
            <w:tcW w:w="6894" w:type="dxa"/>
            <w:vAlign w:val="center"/>
          </w:tcPr>
          <w:p w14:paraId="472C5DAB">
            <w:pPr>
              <w:keepLines w:val="0"/>
              <w:pageBreakBefore w:val="0"/>
              <w:widowControl/>
              <w:kinsoku/>
              <w:wordWrap/>
              <w:overflowPunct/>
              <w:topLinePunct w:val="0"/>
              <w:bidi w:val="0"/>
              <w:snapToGrid/>
              <w:spacing w:line="360" w:lineRule="exact"/>
              <w:ind w:hanging="5" w:firstLineChars="0"/>
              <w:jc w:val="both"/>
              <w:textAlignment w:val="auto"/>
              <w:rPr>
                <w:rFonts w:hint="eastAsia" w:ascii="宋体" w:hAnsi="宋体" w:eastAsia="宋体" w:cs="宋体"/>
                <w:color w:val="auto"/>
                <w:sz w:val="21"/>
                <w:szCs w:val="21"/>
                <w:highlight w:val="none"/>
                <w:lang w:val="en-US" w:eastAsia="zh-CN"/>
              </w:rPr>
            </w:pPr>
            <w:bookmarkStart w:id="94" w:name="_Toc18840"/>
            <w:r>
              <w:rPr>
                <w:rFonts w:hint="eastAsia" w:ascii="宋体" w:hAnsi="宋体" w:eastAsia="宋体" w:cs="宋体"/>
                <w:color w:val="auto"/>
                <w:sz w:val="21"/>
                <w:szCs w:val="21"/>
                <w:highlight w:val="none"/>
                <w:lang w:val="en-US" w:eastAsia="zh-CN"/>
              </w:rPr>
              <w:t>验收要求：</w:t>
            </w:r>
            <w:bookmarkEnd w:id="94"/>
          </w:p>
          <w:p w14:paraId="68A0C05C">
            <w:pPr>
              <w:keepLines w:val="0"/>
              <w:pageBreakBefore w:val="0"/>
              <w:widowControl/>
              <w:kinsoku/>
              <w:wordWrap/>
              <w:overflowPunct/>
              <w:topLinePunct w:val="0"/>
              <w:bidi w:val="0"/>
              <w:snapToGrid/>
              <w:spacing w:line="360" w:lineRule="exact"/>
              <w:ind w:hanging="5" w:firstLineChars="0"/>
              <w:jc w:val="both"/>
              <w:textAlignment w:val="auto"/>
              <w:rPr>
                <w:rFonts w:hint="eastAsia" w:ascii="宋体" w:hAnsi="宋体" w:eastAsia="宋体" w:cs="宋体"/>
                <w:color w:val="auto"/>
                <w:sz w:val="21"/>
                <w:szCs w:val="21"/>
                <w:highlight w:val="none"/>
                <w:lang w:val="en-US" w:eastAsia="zh-CN"/>
              </w:rPr>
            </w:pPr>
            <w:bookmarkStart w:id="95" w:name="_Toc1552"/>
            <w:r>
              <w:rPr>
                <w:rFonts w:hint="eastAsia" w:ascii="宋体" w:hAnsi="宋体" w:eastAsia="宋体" w:cs="宋体"/>
                <w:color w:val="auto"/>
                <w:sz w:val="21"/>
                <w:szCs w:val="21"/>
                <w:highlight w:val="none"/>
                <w:lang w:val="en-US" w:eastAsia="zh-CN"/>
              </w:rPr>
              <w:t>（1）中标供应商项目实施过程中由</w:t>
            </w:r>
            <w:r>
              <w:rPr>
                <w:rFonts w:hint="eastAsia" w:ascii="宋体" w:hAnsi="宋体" w:cs="宋体"/>
                <w:color w:val="auto"/>
                <w:sz w:val="21"/>
                <w:szCs w:val="21"/>
                <w:highlight w:val="none"/>
                <w:lang w:val="en-US" w:eastAsia="zh-CN"/>
              </w:rPr>
              <w:t>采购人组织</w:t>
            </w:r>
            <w:r>
              <w:rPr>
                <w:rFonts w:hint="eastAsia" w:ascii="宋体" w:hAnsi="宋体" w:eastAsia="宋体" w:cs="宋体"/>
                <w:color w:val="auto"/>
                <w:sz w:val="21"/>
                <w:szCs w:val="21"/>
                <w:highlight w:val="none"/>
                <w:lang w:val="en-US" w:eastAsia="zh-CN"/>
              </w:rPr>
              <w:t>验收，</w:t>
            </w:r>
            <w:r>
              <w:rPr>
                <w:rFonts w:hint="eastAsia" w:ascii="宋体" w:hAnsi="宋体" w:cs="宋体"/>
                <w:color w:val="auto"/>
                <w:sz w:val="21"/>
                <w:szCs w:val="21"/>
                <w:highlight w:val="none"/>
                <w:lang w:val="en-US" w:eastAsia="zh-CN"/>
              </w:rPr>
              <w:t>验收过程中产生的费用</w:t>
            </w:r>
            <w:r>
              <w:rPr>
                <w:rFonts w:hint="eastAsia" w:ascii="宋体" w:hAnsi="宋体" w:eastAsia="宋体" w:cs="宋体"/>
                <w:color w:val="auto"/>
                <w:sz w:val="21"/>
                <w:szCs w:val="21"/>
                <w:highlight w:val="none"/>
                <w:lang w:val="en-US" w:eastAsia="zh-CN"/>
              </w:rPr>
              <w:t>由中标人支付，组织评审通过后视为验收合格。</w:t>
            </w:r>
            <w:bookmarkEnd w:id="95"/>
          </w:p>
          <w:p w14:paraId="1F72D1A8">
            <w:pPr>
              <w:keepLines w:val="0"/>
              <w:pageBreakBefore w:val="0"/>
              <w:widowControl/>
              <w:kinsoku/>
              <w:wordWrap/>
              <w:overflowPunct/>
              <w:topLinePunct w:val="0"/>
              <w:bidi w:val="0"/>
              <w:snapToGrid/>
              <w:spacing w:line="360" w:lineRule="exact"/>
              <w:ind w:hanging="5" w:firstLineChars="0"/>
              <w:jc w:val="both"/>
              <w:textAlignment w:val="auto"/>
              <w:rPr>
                <w:rFonts w:hint="eastAsia" w:ascii="宋体" w:hAnsi="宋体" w:eastAsia="宋体" w:cs="宋体"/>
                <w:color w:val="auto"/>
                <w:sz w:val="21"/>
                <w:szCs w:val="21"/>
                <w:highlight w:val="none"/>
                <w:lang w:val="en-US" w:eastAsia="zh-CN"/>
              </w:rPr>
            </w:pPr>
            <w:bookmarkStart w:id="96" w:name="_Toc10046"/>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负责组织实施验收工作，中标供应商完成验收工作的准备，将系统相关的所有开发文档、产品维护手册、技术文件、资料文档汇集成册交付采购单位。</w:t>
            </w:r>
            <w:bookmarkEnd w:id="96"/>
          </w:p>
          <w:p w14:paraId="340320C9">
            <w:pPr>
              <w:keepLines w:val="0"/>
              <w:pageBreakBefore w:val="0"/>
              <w:widowControl/>
              <w:kinsoku/>
              <w:wordWrap/>
              <w:overflowPunct/>
              <w:topLinePunct w:val="0"/>
              <w:bidi w:val="0"/>
              <w:snapToGrid/>
              <w:spacing w:line="360" w:lineRule="exact"/>
              <w:ind w:hanging="5"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（3）中标供应商对于验收中发现的问题，提出有效解决办法、措施并解决。</w:t>
            </w:r>
          </w:p>
          <w:p w14:paraId="2D1AC232">
            <w:pPr>
              <w:keepLines w:val="0"/>
              <w:pageBreakBefore w:val="0"/>
              <w:widowControl/>
              <w:kinsoku/>
              <w:wordWrap/>
              <w:overflowPunct/>
              <w:topLinePunct w:val="0"/>
              <w:bidi w:val="0"/>
              <w:snapToGrid/>
              <w:spacing w:line="360" w:lineRule="exact"/>
              <w:ind w:hanging="5" w:firstLineChars="0"/>
              <w:jc w:val="both"/>
              <w:textAlignment w:val="auto"/>
              <w:rPr>
                <w:rFonts w:hint="eastAsia" w:ascii="宋体" w:hAnsi="宋体" w:eastAsia="宋体" w:cs="宋体"/>
                <w:color w:val="auto"/>
                <w:sz w:val="21"/>
                <w:szCs w:val="21"/>
                <w:highlight w:val="none"/>
                <w:lang w:val="en-US" w:eastAsia="zh-CN"/>
              </w:rPr>
            </w:pPr>
            <w:bookmarkStart w:id="97" w:name="_Toc19853"/>
            <w:r>
              <w:rPr>
                <w:rFonts w:hint="eastAsia" w:ascii="宋体" w:hAnsi="宋体" w:eastAsia="宋体" w:cs="宋体"/>
                <w:color w:val="auto"/>
                <w:sz w:val="21"/>
                <w:szCs w:val="21"/>
                <w:highlight w:val="none"/>
                <w:lang w:val="en-US" w:eastAsia="zh-CN"/>
              </w:rPr>
              <w:t>（4）中标供应商提供的各类文档应内容完整、描述清晰、版本最新，各类方案要求实现目标明确、工作措施得力、可操作性强、具有前瞻性。</w:t>
            </w:r>
            <w:bookmarkEnd w:id="97"/>
          </w:p>
          <w:p w14:paraId="4255A99C">
            <w:pPr>
              <w:spacing w:line="400" w:lineRule="exact"/>
              <w:rPr>
                <w:bCs/>
                <w:color w:val="auto"/>
                <w:szCs w:val="21"/>
                <w:highlight w:val="none"/>
              </w:rPr>
            </w:pPr>
            <w:r>
              <w:rPr>
                <w:rFonts w:hint="eastAsia" w:ascii="宋体" w:hAnsi="宋体" w:eastAsia="宋体" w:cs="宋体"/>
                <w:color w:val="auto"/>
                <w:sz w:val="21"/>
                <w:szCs w:val="21"/>
                <w:highlight w:val="none"/>
                <w:lang w:val="en-US" w:eastAsia="zh-CN"/>
              </w:rPr>
              <w:t>（5）项目提交的文档成果包括但不限于：系统实施方案、安装调试报告、培训资料、软件使用操作手册、项目验收报告等。</w:t>
            </w:r>
          </w:p>
        </w:tc>
      </w:tr>
      <w:bookmarkEnd w:id="90"/>
      <w:bookmarkEnd w:id="91"/>
      <w:bookmarkEnd w:id="92"/>
      <w:tr w14:paraId="2022E3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57" w:hRule="atLeast"/>
        </w:trPr>
        <w:tc>
          <w:tcPr>
            <w:tcW w:w="2059" w:type="dxa"/>
            <w:vAlign w:val="center"/>
          </w:tcPr>
          <w:p w14:paraId="123A226C">
            <w:pPr>
              <w:jc w:val="center"/>
              <w:rPr>
                <w:color w:val="auto"/>
                <w:highlight w:val="none"/>
              </w:rPr>
            </w:pPr>
            <w:r>
              <w:rPr>
                <w:color w:val="auto"/>
                <w:highlight w:val="none"/>
              </w:rPr>
              <w:t>合同终止</w:t>
            </w:r>
          </w:p>
        </w:tc>
        <w:tc>
          <w:tcPr>
            <w:tcW w:w="6894" w:type="dxa"/>
            <w:vAlign w:val="center"/>
          </w:tcPr>
          <w:p w14:paraId="46C91FD3">
            <w:pPr>
              <w:spacing w:line="400" w:lineRule="exact"/>
              <w:rPr>
                <w:color w:val="auto"/>
                <w:szCs w:val="21"/>
                <w:highlight w:val="none"/>
              </w:rPr>
            </w:pPr>
            <w:r>
              <w:rPr>
                <w:color w:val="auto"/>
                <w:szCs w:val="21"/>
                <w:highlight w:val="none"/>
              </w:rPr>
              <w:t>1、未能使合同货物达到合同附件规定的技术性能和指标的；</w:t>
            </w:r>
          </w:p>
          <w:p w14:paraId="13042F7B">
            <w:pPr>
              <w:spacing w:line="400" w:lineRule="exact"/>
              <w:rPr>
                <w:color w:val="auto"/>
                <w:szCs w:val="21"/>
                <w:highlight w:val="none"/>
              </w:rPr>
            </w:pPr>
            <w:r>
              <w:rPr>
                <w:color w:val="auto"/>
                <w:szCs w:val="21"/>
                <w:highlight w:val="none"/>
              </w:rPr>
              <w:t>2、未能在合同规定的期限（或采购人同意延长的最终期限）内提供全部或部分货物的；</w:t>
            </w:r>
          </w:p>
          <w:p w14:paraId="5662758C">
            <w:pPr>
              <w:spacing w:line="400" w:lineRule="exact"/>
              <w:rPr>
                <w:color w:val="auto"/>
                <w:szCs w:val="21"/>
                <w:highlight w:val="none"/>
              </w:rPr>
            </w:pPr>
            <w:r>
              <w:rPr>
                <w:color w:val="auto"/>
                <w:szCs w:val="21"/>
                <w:highlight w:val="none"/>
              </w:rPr>
              <w:t>3、未能履行合同规定的其它义务。</w:t>
            </w:r>
          </w:p>
        </w:tc>
      </w:tr>
    </w:tbl>
    <w:p w14:paraId="7ADAF60C">
      <w:pP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br w:type="page"/>
      </w:r>
    </w:p>
    <w:p w14:paraId="1C3167F0">
      <w:pPr>
        <w:pStyle w:val="3"/>
        <w:numPr>
          <w:ilvl w:val="1"/>
          <w:numId w:val="0"/>
        </w:numPr>
        <w:spacing w:before="0" w:after="0" w:line="360" w:lineRule="auto"/>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二、</w:t>
      </w:r>
      <w:r>
        <w:rPr>
          <w:rFonts w:hint="eastAsia" w:ascii="Times New Roman" w:hAnsi="Times New Roman" w:eastAsia="宋体" w:cs="Times New Roman"/>
          <w:color w:val="auto"/>
          <w:sz w:val="21"/>
          <w:szCs w:val="21"/>
          <w:highlight w:val="none"/>
        </w:rPr>
        <w:t>采购清单与技术要求</w:t>
      </w:r>
    </w:p>
    <w:p w14:paraId="6CA6C0C2">
      <w:pPr>
        <w:rPr>
          <w:b/>
          <w:bCs/>
          <w:color w:val="auto"/>
          <w:sz w:val="20"/>
          <w:szCs w:val="22"/>
          <w:highlight w:val="none"/>
        </w:rPr>
      </w:pPr>
    </w:p>
    <w:p w14:paraId="2D3DDAEC">
      <w:pPr>
        <w:pStyle w:val="69"/>
        <w:numPr>
          <w:ilvl w:val="0"/>
          <w:numId w:val="0"/>
        </w:numPr>
        <w:ind w:left="360" w:leftChars="0"/>
        <w:jc w:val="left"/>
        <w:rPr>
          <w:rFonts w:ascii="宋体" w:hAnsi="宋体" w:cs="宋体"/>
          <w:b/>
          <w:bCs/>
          <w:color w:val="auto"/>
          <w:szCs w:val="21"/>
          <w:highlight w:val="none"/>
        </w:rPr>
      </w:pPr>
      <w:r>
        <w:rPr>
          <w:rFonts w:hint="eastAsia" w:ascii="宋体" w:hAnsi="宋体" w:cs="宋体"/>
          <w:b/>
          <w:bCs/>
          <w:color w:val="auto"/>
          <w:szCs w:val="21"/>
          <w:highlight w:val="none"/>
        </w:rPr>
        <w:t>一、采购清单</w:t>
      </w:r>
    </w:p>
    <w:tbl>
      <w:tblPr>
        <w:tblStyle w:val="45"/>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2909"/>
        <w:gridCol w:w="969"/>
        <w:gridCol w:w="981"/>
        <w:gridCol w:w="2865"/>
      </w:tblGrid>
      <w:tr w14:paraId="0839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8" w:type="dxa"/>
            <w:vAlign w:val="center"/>
          </w:tcPr>
          <w:p w14:paraId="24EC2B35">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909" w:type="dxa"/>
            <w:vAlign w:val="center"/>
          </w:tcPr>
          <w:p w14:paraId="4AA916E3">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名称</w:t>
            </w:r>
          </w:p>
        </w:tc>
        <w:tc>
          <w:tcPr>
            <w:tcW w:w="969" w:type="dxa"/>
            <w:vAlign w:val="center"/>
          </w:tcPr>
          <w:p w14:paraId="0B3F0AC7">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数量</w:t>
            </w:r>
          </w:p>
        </w:tc>
        <w:tc>
          <w:tcPr>
            <w:tcW w:w="981" w:type="dxa"/>
            <w:vAlign w:val="center"/>
          </w:tcPr>
          <w:p w14:paraId="018CE7B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单位</w:t>
            </w:r>
          </w:p>
        </w:tc>
        <w:tc>
          <w:tcPr>
            <w:tcW w:w="2865" w:type="dxa"/>
            <w:vAlign w:val="center"/>
          </w:tcPr>
          <w:p w14:paraId="2E830A55">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参考品牌</w:t>
            </w:r>
          </w:p>
        </w:tc>
      </w:tr>
      <w:tr w14:paraId="4E529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42" w:type="dxa"/>
            <w:gridSpan w:val="5"/>
            <w:shd w:val="clear" w:color="auto" w:fill="BEBEBE" w:themeFill="background1" w:themeFillShade="BF"/>
            <w:vAlign w:val="center"/>
          </w:tcPr>
          <w:p w14:paraId="6BBFEC4F">
            <w:pPr>
              <w:widowControl/>
              <w:jc w:val="left"/>
              <w:rPr>
                <w:rFonts w:ascii="宋体" w:hAnsi="宋体" w:cs="宋体"/>
                <w:b/>
                <w:bCs/>
                <w:color w:val="auto"/>
                <w:sz w:val="21"/>
                <w:szCs w:val="21"/>
                <w:highlight w:val="none"/>
              </w:rPr>
            </w:pPr>
            <w:r>
              <w:rPr>
                <w:rFonts w:hint="eastAsia" w:ascii="宋体" w:hAnsi="宋体" w:cs="宋体"/>
                <w:b/>
                <w:bCs/>
                <w:color w:val="auto"/>
                <w:sz w:val="21"/>
                <w:szCs w:val="21"/>
                <w:highlight w:val="none"/>
              </w:rPr>
              <w:t>（1F）、视频监控系统</w:t>
            </w:r>
          </w:p>
        </w:tc>
      </w:tr>
      <w:tr w14:paraId="268A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05A6C59D">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2909" w:type="dxa"/>
            <w:vAlign w:val="center"/>
          </w:tcPr>
          <w:p w14:paraId="1B598A0E">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监控摄像设备1</w:t>
            </w:r>
          </w:p>
        </w:tc>
        <w:tc>
          <w:tcPr>
            <w:tcW w:w="969" w:type="dxa"/>
            <w:shd w:val="clear" w:color="FFFFFF" w:fill="FFFFFF"/>
            <w:vAlign w:val="center"/>
          </w:tcPr>
          <w:p w14:paraId="3C1999B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40</w:t>
            </w:r>
          </w:p>
        </w:tc>
        <w:tc>
          <w:tcPr>
            <w:tcW w:w="981" w:type="dxa"/>
            <w:vAlign w:val="center"/>
          </w:tcPr>
          <w:p w14:paraId="39D543D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2865" w:type="dxa"/>
            <w:vAlign w:val="center"/>
          </w:tcPr>
          <w:p w14:paraId="373AA017">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海康威视、英飞拓、天地伟业</w:t>
            </w:r>
          </w:p>
        </w:tc>
      </w:tr>
      <w:tr w14:paraId="3380A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7E3D6E60">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2909" w:type="dxa"/>
            <w:vAlign w:val="center"/>
          </w:tcPr>
          <w:p w14:paraId="776F0154">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监控摄像设备2</w:t>
            </w:r>
          </w:p>
        </w:tc>
        <w:tc>
          <w:tcPr>
            <w:tcW w:w="969" w:type="dxa"/>
            <w:vAlign w:val="center"/>
          </w:tcPr>
          <w:p w14:paraId="567FBF8F">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981" w:type="dxa"/>
            <w:vAlign w:val="center"/>
          </w:tcPr>
          <w:p w14:paraId="20FAE97F">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2865" w:type="dxa"/>
            <w:vAlign w:val="center"/>
          </w:tcPr>
          <w:p w14:paraId="6ADFA65D">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海康威视、英飞拓、天地伟业</w:t>
            </w:r>
          </w:p>
        </w:tc>
      </w:tr>
      <w:tr w14:paraId="54E2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552A27E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2909" w:type="dxa"/>
            <w:vAlign w:val="center"/>
          </w:tcPr>
          <w:p w14:paraId="4E7B287B">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监控摄像设备3</w:t>
            </w:r>
          </w:p>
        </w:tc>
        <w:tc>
          <w:tcPr>
            <w:tcW w:w="969" w:type="dxa"/>
            <w:vAlign w:val="center"/>
          </w:tcPr>
          <w:p w14:paraId="6652DDA6">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981" w:type="dxa"/>
            <w:vAlign w:val="center"/>
          </w:tcPr>
          <w:p w14:paraId="28BB195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2865" w:type="dxa"/>
            <w:vAlign w:val="center"/>
          </w:tcPr>
          <w:p w14:paraId="52C042F3">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海康威视、英飞拓、天地伟业</w:t>
            </w:r>
          </w:p>
        </w:tc>
      </w:tr>
      <w:tr w14:paraId="7DF5C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 w:type="dxa"/>
            <w:vAlign w:val="center"/>
          </w:tcPr>
          <w:p w14:paraId="317C9279">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2909" w:type="dxa"/>
            <w:vAlign w:val="center"/>
          </w:tcPr>
          <w:p w14:paraId="5D4EB9C6">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监控摄像设备4</w:t>
            </w:r>
          </w:p>
        </w:tc>
        <w:tc>
          <w:tcPr>
            <w:tcW w:w="969" w:type="dxa"/>
            <w:vAlign w:val="center"/>
          </w:tcPr>
          <w:p w14:paraId="1CF65C91">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981" w:type="dxa"/>
            <w:vAlign w:val="center"/>
          </w:tcPr>
          <w:p w14:paraId="65A8DB6C">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2865" w:type="dxa"/>
            <w:vAlign w:val="center"/>
          </w:tcPr>
          <w:p w14:paraId="1D12ACE7">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海康威视、英飞拓、天地伟业</w:t>
            </w:r>
          </w:p>
        </w:tc>
      </w:tr>
      <w:tr w14:paraId="236C5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4E68869C">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2909" w:type="dxa"/>
            <w:vAlign w:val="center"/>
          </w:tcPr>
          <w:p w14:paraId="2EE36FC6">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录像设备</w:t>
            </w:r>
          </w:p>
        </w:tc>
        <w:tc>
          <w:tcPr>
            <w:tcW w:w="969" w:type="dxa"/>
            <w:vAlign w:val="center"/>
          </w:tcPr>
          <w:p w14:paraId="5E4DB472">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981" w:type="dxa"/>
            <w:vAlign w:val="center"/>
          </w:tcPr>
          <w:p w14:paraId="09C6414C">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2865" w:type="dxa"/>
            <w:vAlign w:val="center"/>
          </w:tcPr>
          <w:p w14:paraId="39572AFE">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海康威视、英飞拓、天地伟业</w:t>
            </w:r>
          </w:p>
        </w:tc>
      </w:tr>
      <w:tr w14:paraId="0A279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11A16CB1">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2909" w:type="dxa"/>
            <w:vAlign w:val="center"/>
          </w:tcPr>
          <w:p w14:paraId="6176F6D8">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其他电源设备安装</w:t>
            </w:r>
          </w:p>
        </w:tc>
        <w:tc>
          <w:tcPr>
            <w:tcW w:w="969" w:type="dxa"/>
            <w:vAlign w:val="center"/>
          </w:tcPr>
          <w:p w14:paraId="557E19F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981" w:type="dxa"/>
            <w:vAlign w:val="center"/>
          </w:tcPr>
          <w:p w14:paraId="77063861">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2865" w:type="dxa"/>
            <w:vAlign w:val="center"/>
          </w:tcPr>
          <w:p w14:paraId="113BF8C7">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国产</w:t>
            </w:r>
          </w:p>
        </w:tc>
      </w:tr>
      <w:tr w14:paraId="5DF01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473D83E0">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2909" w:type="dxa"/>
            <w:vAlign w:val="center"/>
          </w:tcPr>
          <w:p w14:paraId="58C68FCF">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存储设备</w:t>
            </w:r>
          </w:p>
        </w:tc>
        <w:tc>
          <w:tcPr>
            <w:tcW w:w="969" w:type="dxa"/>
            <w:vAlign w:val="center"/>
          </w:tcPr>
          <w:p w14:paraId="2E12693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64</w:t>
            </w:r>
          </w:p>
        </w:tc>
        <w:tc>
          <w:tcPr>
            <w:tcW w:w="981" w:type="dxa"/>
            <w:vAlign w:val="center"/>
          </w:tcPr>
          <w:p w14:paraId="48C4FCD8">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2865" w:type="dxa"/>
            <w:vAlign w:val="center"/>
          </w:tcPr>
          <w:p w14:paraId="5E12534F">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希捷、西数、华为</w:t>
            </w:r>
          </w:p>
        </w:tc>
      </w:tr>
      <w:tr w14:paraId="7454D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4C6573D1">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2909" w:type="dxa"/>
            <w:vAlign w:val="center"/>
          </w:tcPr>
          <w:p w14:paraId="749B7F0A">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机柜、机架</w:t>
            </w:r>
          </w:p>
        </w:tc>
        <w:tc>
          <w:tcPr>
            <w:tcW w:w="969" w:type="dxa"/>
            <w:vAlign w:val="center"/>
          </w:tcPr>
          <w:p w14:paraId="61D12B33">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981" w:type="dxa"/>
            <w:vAlign w:val="center"/>
          </w:tcPr>
          <w:p w14:paraId="2D99F4B0">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2865" w:type="dxa"/>
            <w:vAlign w:val="center"/>
          </w:tcPr>
          <w:p w14:paraId="74A7C000">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康普，一舟，罗格朗</w:t>
            </w:r>
          </w:p>
        </w:tc>
      </w:tr>
      <w:tr w14:paraId="0656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2BC34F18">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w:t>
            </w:r>
          </w:p>
        </w:tc>
        <w:tc>
          <w:tcPr>
            <w:tcW w:w="2909" w:type="dxa"/>
            <w:vAlign w:val="center"/>
          </w:tcPr>
          <w:p w14:paraId="7D98B582">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交换机</w:t>
            </w:r>
          </w:p>
        </w:tc>
        <w:tc>
          <w:tcPr>
            <w:tcW w:w="969" w:type="dxa"/>
            <w:vAlign w:val="center"/>
          </w:tcPr>
          <w:p w14:paraId="472D3B52">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981" w:type="dxa"/>
            <w:vAlign w:val="center"/>
          </w:tcPr>
          <w:p w14:paraId="5472AB23">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2865" w:type="dxa"/>
            <w:vAlign w:val="center"/>
          </w:tcPr>
          <w:p w14:paraId="62A76063">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华三、华为、锐捷</w:t>
            </w:r>
          </w:p>
        </w:tc>
      </w:tr>
      <w:tr w14:paraId="3AD1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04DBFD6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2909" w:type="dxa"/>
            <w:vAlign w:val="center"/>
          </w:tcPr>
          <w:p w14:paraId="34DF016D">
            <w:pPr>
              <w:widowControl/>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交换机</w:t>
            </w:r>
          </w:p>
        </w:tc>
        <w:tc>
          <w:tcPr>
            <w:tcW w:w="969" w:type="dxa"/>
            <w:vAlign w:val="center"/>
          </w:tcPr>
          <w:p w14:paraId="09ABDE8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981" w:type="dxa"/>
            <w:vAlign w:val="center"/>
          </w:tcPr>
          <w:p w14:paraId="399E7EF8">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2865" w:type="dxa"/>
            <w:vAlign w:val="center"/>
          </w:tcPr>
          <w:p w14:paraId="7CD39B19">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华三、华为、锐捷</w:t>
            </w:r>
          </w:p>
        </w:tc>
      </w:tr>
      <w:tr w14:paraId="6DED5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36A051C5">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w:t>
            </w:r>
          </w:p>
        </w:tc>
        <w:tc>
          <w:tcPr>
            <w:tcW w:w="2909" w:type="dxa"/>
            <w:vAlign w:val="center"/>
          </w:tcPr>
          <w:p w14:paraId="575B8463">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交换机</w:t>
            </w:r>
          </w:p>
        </w:tc>
        <w:tc>
          <w:tcPr>
            <w:tcW w:w="969" w:type="dxa"/>
            <w:vAlign w:val="center"/>
          </w:tcPr>
          <w:p w14:paraId="787ACBF3">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981" w:type="dxa"/>
            <w:vAlign w:val="center"/>
          </w:tcPr>
          <w:p w14:paraId="6FA7C4CD">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2865" w:type="dxa"/>
            <w:vAlign w:val="center"/>
          </w:tcPr>
          <w:p w14:paraId="4169C747">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华三、华为、锐捷</w:t>
            </w:r>
          </w:p>
        </w:tc>
      </w:tr>
      <w:tr w14:paraId="4633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918" w:type="dxa"/>
            <w:vAlign w:val="center"/>
          </w:tcPr>
          <w:p w14:paraId="2F3F5067">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12</w:t>
            </w:r>
          </w:p>
        </w:tc>
        <w:tc>
          <w:tcPr>
            <w:tcW w:w="2909" w:type="dxa"/>
            <w:vAlign w:val="center"/>
          </w:tcPr>
          <w:p w14:paraId="16853F6E">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配线架</w:t>
            </w:r>
          </w:p>
        </w:tc>
        <w:tc>
          <w:tcPr>
            <w:tcW w:w="969" w:type="dxa"/>
            <w:vAlign w:val="center"/>
          </w:tcPr>
          <w:p w14:paraId="610405E6">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981" w:type="dxa"/>
            <w:vAlign w:val="center"/>
          </w:tcPr>
          <w:p w14:paraId="39CB902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2865" w:type="dxa"/>
            <w:vAlign w:val="center"/>
          </w:tcPr>
          <w:p w14:paraId="094ECA74">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康普，一舟，罗格朗</w:t>
            </w:r>
          </w:p>
        </w:tc>
      </w:tr>
      <w:tr w14:paraId="5E4D2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 w:type="dxa"/>
            <w:vAlign w:val="center"/>
          </w:tcPr>
          <w:p w14:paraId="7B81A45D">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13</w:t>
            </w:r>
          </w:p>
        </w:tc>
        <w:tc>
          <w:tcPr>
            <w:tcW w:w="2909" w:type="dxa"/>
            <w:vAlign w:val="center"/>
          </w:tcPr>
          <w:p w14:paraId="78B8403B">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配线架</w:t>
            </w:r>
          </w:p>
        </w:tc>
        <w:tc>
          <w:tcPr>
            <w:tcW w:w="969" w:type="dxa"/>
            <w:vAlign w:val="center"/>
          </w:tcPr>
          <w:p w14:paraId="4863D30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24</w:t>
            </w:r>
          </w:p>
        </w:tc>
        <w:tc>
          <w:tcPr>
            <w:tcW w:w="981" w:type="dxa"/>
            <w:shd w:val="clear" w:color="FFFFFF" w:fill="FFFFFF"/>
            <w:vAlign w:val="center"/>
          </w:tcPr>
          <w:p w14:paraId="252A7A9B">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2865" w:type="dxa"/>
            <w:vAlign w:val="center"/>
          </w:tcPr>
          <w:p w14:paraId="32185D97">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康普，一舟，罗格朗</w:t>
            </w:r>
          </w:p>
        </w:tc>
      </w:tr>
      <w:tr w14:paraId="634E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322118B7">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14</w:t>
            </w:r>
          </w:p>
        </w:tc>
        <w:tc>
          <w:tcPr>
            <w:tcW w:w="2909" w:type="dxa"/>
            <w:vAlign w:val="center"/>
          </w:tcPr>
          <w:p w14:paraId="0AE7D5B8">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显示设备</w:t>
            </w:r>
          </w:p>
        </w:tc>
        <w:tc>
          <w:tcPr>
            <w:tcW w:w="969" w:type="dxa"/>
            <w:vAlign w:val="center"/>
          </w:tcPr>
          <w:p w14:paraId="24C490D2">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981" w:type="dxa"/>
            <w:vAlign w:val="center"/>
          </w:tcPr>
          <w:p w14:paraId="1EEBBDC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2865" w:type="dxa"/>
            <w:vAlign w:val="center"/>
          </w:tcPr>
          <w:p w14:paraId="7E34F1BD">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海康威视</w:t>
            </w:r>
            <w:r>
              <w:rPr>
                <w:rFonts w:hint="eastAsia" w:ascii="宋体" w:hAnsi="宋体" w:cs="宋体"/>
                <w:color w:val="auto"/>
                <w:kern w:val="0"/>
                <w:sz w:val="21"/>
                <w:szCs w:val="21"/>
                <w:highlight w:val="none"/>
              </w:rPr>
              <w:t>、英飞拓、天地伟业</w:t>
            </w:r>
          </w:p>
        </w:tc>
      </w:tr>
      <w:tr w14:paraId="3D25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745B93B8">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15</w:t>
            </w:r>
          </w:p>
        </w:tc>
        <w:tc>
          <w:tcPr>
            <w:tcW w:w="2909" w:type="dxa"/>
            <w:vAlign w:val="center"/>
          </w:tcPr>
          <w:p w14:paraId="636E323F">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扩声系统设备</w:t>
            </w:r>
          </w:p>
        </w:tc>
        <w:tc>
          <w:tcPr>
            <w:tcW w:w="969" w:type="dxa"/>
            <w:vAlign w:val="center"/>
          </w:tcPr>
          <w:p w14:paraId="71DC227C">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34</w:t>
            </w:r>
          </w:p>
        </w:tc>
        <w:tc>
          <w:tcPr>
            <w:tcW w:w="981" w:type="dxa"/>
            <w:vAlign w:val="center"/>
          </w:tcPr>
          <w:p w14:paraId="7DCB80BD">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2865" w:type="dxa"/>
            <w:vAlign w:val="center"/>
          </w:tcPr>
          <w:p w14:paraId="0946E4F5">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海康威视</w:t>
            </w:r>
            <w:r>
              <w:rPr>
                <w:rFonts w:hint="eastAsia" w:ascii="宋体" w:hAnsi="宋体" w:cs="宋体"/>
                <w:color w:val="auto"/>
                <w:kern w:val="0"/>
                <w:sz w:val="21"/>
                <w:szCs w:val="21"/>
                <w:highlight w:val="none"/>
              </w:rPr>
              <w:t>、英飞拓、天地伟业</w:t>
            </w:r>
          </w:p>
        </w:tc>
      </w:tr>
      <w:tr w14:paraId="024B4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 w:type="dxa"/>
            <w:vAlign w:val="center"/>
          </w:tcPr>
          <w:p w14:paraId="409BF406">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16</w:t>
            </w:r>
          </w:p>
        </w:tc>
        <w:tc>
          <w:tcPr>
            <w:tcW w:w="2909" w:type="dxa"/>
            <w:vAlign w:val="center"/>
          </w:tcPr>
          <w:p w14:paraId="78B3147D">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光纤盒</w:t>
            </w:r>
          </w:p>
        </w:tc>
        <w:tc>
          <w:tcPr>
            <w:tcW w:w="969" w:type="dxa"/>
            <w:vAlign w:val="center"/>
          </w:tcPr>
          <w:p w14:paraId="70C37EC0">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236</w:t>
            </w:r>
          </w:p>
        </w:tc>
        <w:tc>
          <w:tcPr>
            <w:tcW w:w="981" w:type="dxa"/>
            <w:vAlign w:val="center"/>
          </w:tcPr>
          <w:p w14:paraId="6C8F4D7D">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2865" w:type="dxa"/>
            <w:vAlign w:val="center"/>
          </w:tcPr>
          <w:p w14:paraId="11EE63DD">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康普，一舟，罗格朗</w:t>
            </w:r>
          </w:p>
        </w:tc>
      </w:tr>
      <w:tr w14:paraId="017C2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64A3E23B">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17</w:t>
            </w:r>
          </w:p>
        </w:tc>
        <w:tc>
          <w:tcPr>
            <w:tcW w:w="2909" w:type="dxa"/>
            <w:vAlign w:val="center"/>
          </w:tcPr>
          <w:p w14:paraId="0205DC7C">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布放</w:t>
            </w:r>
            <w:r>
              <w:rPr>
                <w:rFonts w:hint="eastAsia" w:ascii="宋体" w:hAnsi="宋体" w:cs="宋体"/>
                <w:color w:val="auto"/>
                <w:kern w:val="0"/>
                <w:sz w:val="21"/>
                <w:szCs w:val="21"/>
                <w:highlight w:val="none"/>
              </w:rPr>
              <w:t>尾纤</w:t>
            </w:r>
          </w:p>
        </w:tc>
        <w:tc>
          <w:tcPr>
            <w:tcW w:w="969" w:type="dxa"/>
            <w:vAlign w:val="center"/>
          </w:tcPr>
          <w:p w14:paraId="19338B90">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236</w:t>
            </w:r>
          </w:p>
        </w:tc>
        <w:tc>
          <w:tcPr>
            <w:tcW w:w="981" w:type="dxa"/>
            <w:vAlign w:val="center"/>
          </w:tcPr>
          <w:p w14:paraId="2D619DB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条</w:t>
            </w:r>
          </w:p>
        </w:tc>
        <w:tc>
          <w:tcPr>
            <w:tcW w:w="2865" w:type="dxa"/>
            <w:vAlign w:val="center"/>
          </w:tcPr>
          <w:p w14:paraId="41B7E6BD">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康普，一舟，罗格朗</w:t>
            </w:r>
          </w:p>
        </w:tc>
      </w:tr>
      <w:tr w14:paraId="19E4C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5D6E1528">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18</w:t>
            </w:r>
          </w:p>
        </w:tc>
        <w:tc>
          <w:tcPr>
            <w:tcW w:w="2909" w:type="dxa"/>
            <w:vAlign w:val="center"/>
          </w:tcPr>
          <w:p w14:paraId="35797BB3">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跳线</w:t>
            </w:r>
          </w:p>
        </w:tc>
        <w:tc>
          <w:tcPr>
            <w:tcW w:w="969" w:type="dxa"/>
            <w:vAlign w:val="center"/>
          </w:tcPr>
          <w:p w14:paraId="0D8D380F">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17</w:t>
            </w:r>
          </w:p>
        </w:tc>
        <w:tc>
          <w:tcPr>
            <w:tcW w:w="981" w:type="dxa"/>
            <w:vAlign w:val="center"/>
          </w:tcPr>
          <w:p w14:paraId="77DD6DC3">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条</w:t>
            </w:r>
          </w:p>
        </w:tc>
        <w:tc>
          <w:tcPr>
            <w:tcW w:w="2865" w:type="dxa"/>
            <w:vAlign w:val="center"/>
          </w:tcPr>
          <w:p w14:paraId="02D24C8E">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康普，一舟，罗格朗</w:t>
            </w:r>
          </w:p>
        </w:tc>
      </w:tr>
      <w:tr w14:paraId="2131B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42" w:type="dxa"/>
            <w:gridSpan w:val="5"/>
            <w:shd w:val="clear" w:color="auto" w:fill="BEBEBE" w:themeFill="background1" w:themeFillShade="BF"/>
            <w:vAlign w:val="center"/>
          </w:tcPr>
          <w:p w14:paraId="477BDB90">
            <w:pPr>
              <w:jc w:val="left"/>
              <w:rPr>
                <w:rFonts w:ascii="宋体" w:hAnsi="宋体" w:cs="宋体"/>
                <w:b/>
                <w:bCs/>
                <w:color w:val="auto"/>
                <w:sz w:val="21"/>
                <w:szCs w:val="21"/>
                <w:highlight w:val="none"/>
              </w:rPr>
            </w:pPr>
            <w:r>
              <w:rPr>
                <w:rFonts w:hint="eastAsia" w:ascii="宋体" w:hAnsi="宋体" w:cs="宋体"/>
                <w:b/>
                <w:bCs/>
                <w:color w:val="auto"/>
                <w:sz w:val="21"/>
                <w:szCs w:val="21"/>
                <w:highlight w:val="none"/>
              </w:rPr>
              <w:t>（1F）、办案区出入口控制系统</w:t>
            </w:r>
          </w:p>
        </w:tc>
      </w:tr>
      <w:tr w14:paraId="277A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 w:type="dxa"/>
            <w:vAlign w:val="center"/>
          </w:tcPr>
          <w:p w14:paraId="32A332DB">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19</w:t>
            </w:r>
          </w:p>
        </w:tc>
        <w:tc>
          <w:tcPr>
            <w:tcW w:w="2909" w:type="dxa"/>
            <w:vAlign w:val="center"/>
          </w:tcPr>
          <w:p w14:paraId="6CD1D57F">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出入口目标识别设备</w:t>
            </w:r>
          </w:p>
        </w:tc>
        <w:tc>
          <w:tcPr>
            <w:tcW w:w="969" w:type="dxa"/>
            <w:vAlign w:val="center"/>
          </w:tcPr>
          <w:p w14:paraId="46CC59A7">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18</w:t>
            </w:r>
          </w:p>
        </w:tc>
        <w:tc>
          <w:tcPr>
            <w:tcW w:w="981" w:type="dxa"/>
            <w:vAlign w:val="center"/>
          </w:tcPr>
          <w:p w14:paraId="7B073686">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2865" w:type="dxa"/>
            <w:vAlign w:val="center"/>
          </w:tcPr>
          <w:p w14:paraId="6D5207F5">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海康威视、英飞拓、天地伟业</w:t>
            </w:r>
          </w:p>
        </w:tc>
      </w:tr>
      <w:tr w14:paraId="4572F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47AB89ED">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w:t>
            </w:r>
          </w:p>
        </w:tc>
        <w:tc>
          <w:tcPr>
            <w:tcW w:w="2909" w:type="dxa"/>
            <w:vAlign w:val="center"/>
          </w:tcPr>
          <w:p w14:paraId="51274879">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出入口目标识别设备</w:t>
            </w:r>
          </w:p>
        </w:tc>
        <w:tc>
          <w:tcPr>
            <w:tcW w:w="969" w:type="dxa"/>
            <w:vAlign w:val="center"/>
          </w:tcPr>
          <w:p w14:paraId="24EB723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981" w:type="dxa"/>
            <w:vAlign w:val="center"/>
          </w:tcPr>
          <w:p w14:paraId="47ED4D67">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2865" w:type="dxa"/>
            <w:vAlign w:val="center"/>
          </w:tcPr>
          <w:p w14:paraId="05966B0C">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海康威视、英飞拓、天地伟业</w:t>
            </w:r>
          </w:p>
        </w:tc>
      </w:tr>
      <w:tr w14:paraId="11926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37A545BC">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21</w:t>
            </w:r>
          </w:p>
        </w:tc>
        <w:tc>
          <w:tcPr>
            <w:tcW w:w="2909" w:type="dxa"/>
            <w:vAlign w:val="center"/>
          </w:tcPr>
          <w:p w14:paraId="7DF73B43">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出入口目标识别设备</w:t>
            </w:r>
          </w:p>
        </w:tc>
        <w:tc>
          <w:tcPr>
            <w:tcW w:w="969" w:type="dxa"/>
            <w:vAlign w:val="center"/>
          </w:tcPr>
          <w:p w14:paraId="1FD0B4E9">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981" w:type="dxa"/>
            <w:vAlign w:val="center"/>
          </w:tcPr>
          <w:p w14:paraId="244C9B6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2865" w:type="dxa"/>
            <w:vAlign w:val="center"/>
          </w:tcPr>
          <w:p w14:paraId="69DDF635">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海康威视、英飞拓、天地伟业</w:t>
            </w:r>
          </w:p>
        </w:tc>
      </w:tr>
      <w:tr w14:paraId="6D9B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07F748B1">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22</w:t>
            </w:r>
          </w:p>
        </w:tc>
        <w:tc>
          <w:tcPr>
            <w:tcW w:w="2909" w:type="dxa"/>
            <w:vAlign w:val="center"/>
          </w:tcPr>
          <w:p w14:paraId="2741D662">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出入口目标识别设备</w:t>
            </w:r>
          </w:p>
        </w:tc>
        <w:tc>
          <w:tcPr>
            <w:tcW w:w="969" w:type="dxa"/>
            <w:vAlign w:val="center"/>
          </w:tcPr>
          <w:p w14:paraId="14F8CA37">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981" w:type="dxa"/>
            <w:vAlign w:val="center"/>
          </w:tcPr>
          <w:p w14:paraId="176AC2F1">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2865" w:type="dxa"/>
            <w:vAlign w:val="center"/>
          </w:tcPr>
          <w:p w14:paraId="1192AD98">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海康威视、英飞拓、天地伟业</w:t>
            </w:r>
          </w:p>
        </w:tc>
      </w:tr>
      <w:tr w14:paraId="353C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23A87508">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23</w:t>
            </w:r>
          </w:p>
        </w:tc>
        <w:tc>
          <w:tcPr>
            <w:tcW w:w="2909" w:type="dxa"/>
            <w:vAlign w:val="center"/>
          </w:tcPr>
          <w:p w14:paraId="43F6DA25">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其他电源设备安装</w:t>
            </w:r>
          </w:p>
        </w:tc>
        <w:tc>
          <w:tcPr>
            <w:tcW w:w="969" w:type="dxa"/>
            <w:vAlign w:val="center"/>
          </w:tcPr>
          <w:p w14:paraId="68C0F38D">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981" w:type="dxa"/>
            <w:vAlign w:val="center"/>
          </w:tcPr>
          <w:p w14:paraId="3D8CDE5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2865" w:type="dxa"/>
            <w:vAlign w:val="center"/>
          </w:tcPr>
          <w:p w14:paraId="3DAB0E48">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国产</w:t>
            </w:r>
          </w:p>
        </w:tc>
      </w:tr>
      <w:tr w14:paraId="103E4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0D56AAF8">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24</w:t>
            </w:r>
          </w:p>
        </w:tc>
        <w:tc>
          <w:tcPr>
            <w:tcW w:w="2909" w:type="dxa"/>
            <w:vAlign w:val="center"/>
          </w:tcPr>
          <w:p w14:paraId="0C46B7A3">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机柜</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机架</w:t>
            </w:r>
          </w:p>
        </w:tc>
        <w:tc>
          <w:tcPr>
            <w:tcW w:w="969" w:type="dxa"/>
            <w:vAlign w:val="center"/>
          </w:tcPr>
          <w:p w14:paraId="4A35D68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981" w:type="dxa"/>
            <w:vAlign w:val="center"/>
          </w:tcPr>
          <w:p w14:paraId="424F35E6">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2865" w:type="dxa"/>
            <w:vAlign w:val="center"/>
          </w:tcPr>
          <w:p w14:paraId="4790BB2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康普，一舟，罗格朗</w:t>
            </w:r>
          </w:p>
        </w:tc>
      </w:tr>
      <w:tr w14:paraId="1E2E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0A256F10">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25</w:t>
            </w:r>
          </w:p>
        </w:tc>
        <w:tc>
          <w:tcPr>
            <w:tcW w:w="2909" w:type="dxa"/>
            <w:vAlign w:val="center"/>
          </w:tcPr>
          <w:p w14:paraId="4B2A4D7E">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交换机</w:t>
            </w:r>
          </w:p>
        </w:tc>
        <w:tc>
          <w:tcPr>
            <w:tcW w:w="969" w:type="dxa"/>
            <w:vAlign w:val="center"/>
          </w:tcPr>
          <w:p w14:paraId="1D9C05C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981" w:type="dxa"/>
            <w:vAlign w:val="center"/>
          </w:tcPr>
          <w:p w14:paraId="39E18306">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2865" w:type="dxa"/>
            <w:vAlign w:val="center"/>
          </w:tcPr>
          <w:p w14:paraId="1F0012A3">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华三、华为、锐捷</w:t>
            </w:r>
          </w:p>
        </w:tc>
      </w:tr>
      <w:tr w14:paraId="0689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642" w:type="dxa"/>
            <w:gridSpan w:val="5"/>
            <w:shd w:val="clear" w:color="auto" w:fill="BEBEBE" w:themeFill="background1" w:themeFillShade="BF"/>
            <w:vAlign w:val="center"/>
          </w:tcPr>
          <w:p w14:paraId="5D9418DC">
            <w:pPr>
              <w:jc w:val="left"/>
              <w:rPr>
                <w:rFonts w:ascii="宋体" w:hAnsi="宋体" w:cs="宋体"/>
                <w:b/>
                <w:bCs/>
                <w:color w:val="auto"/>
                <w:sz w:val="21"/>
                <w:szCs w:val="21"/>
                <w:highlight w:val="none"/>
              </w:rPr>
            </w:pPr>
            <w:r>
              <w:rPr>
                <w:rFonts w:hint="eastAsia" w:ascii="宋体" w:hAnsi="宋体" w:cs="宋体"/>
                <w:b/>
                <w:bCs/>
                <w:color w:val="auto"/>
                <w:sz w:val="21"/>
                <w:szCs w:val="21"/>
                <w:highlight w:val="none"/>
              </w:rPr>
              <w:t>（1F）、办案区综合布线系统</w:t>
            </w:r>
          </w:p>
        </w:tc>
      </w:tr>
      <w:tr w14:paraId="6F16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6162FE12">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26</w:t>
            </w:r>
          </w:p>
        </w:tc>
        <w:tc>
          <w:tcPr>
            <w:tcW w:w="2909" w:type="dxa"/>
            <w:vAlign w:val="center"/>
          </w:tcPr>
          <w:p w14:paraId="29D6FA95">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配电箱</w:t>
            </w:r>
          </w:p>
        </w:tc>
        <w:tc>
          <w:tcPr>
            <w:tcW w:w="969" w:type="dxa"/>
            <w:vAlign w:val="center"/>
          </w:tcPr>
          <w:p w14:paraId="5105061B">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981" w:type="dxa"/>
            <w:vAlign w:val="center"/>
          </w:tcPr>
          <w:p w14:paraId="7F0A4B47">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2865" w:type="dxa"/>
            <w:vAlign w:val="center"/>
          </w:tcPr>
          <w:p w14:paraId="7322F87F">
            <w:pPr>
              <w:widowControl/>
              <w:jc w:val="center"/>
              <w:rPr>
                <w:rFonts w:hint="default" w:ascii="宋体" w:hAnsi="宋体" w:eastAsia="宋体" w:cs="宋体"/>
                <w:color w:val="auto"/>
                <w:kern w:val="0"/>
                <w:sz w:val="21"/>
                <w:szCs w:val="21"/>
                <w:highlight w:val="none"/>
                <w:lang w:val="en-US" w:eastAsia="zh-CN"/>
              </w:rPr>
            </w:pPr>
            <w:r>
              <w:rPr>
                <w:rFonts w:hint="eastAsia"/>
                <w:color w:val="auto"/>
                <w:sz w:val="21"/>
                <w:szCs w:val="21"/>
                <w:highlight w:val="none"/>
                <w:lang w:val="en-US" w:eastAsia="zh-CN"/>
              </w:rPr>
              <w:t>定制</w:t>
            </w:r>
          </w:p>
        </w:tc>
      </w:tr>
      <w:tr w14:paraId="005FA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25BA68F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27</w:t>
            </w:r>
          </w:p>
        </w:tc>
        <w:tc>
          <w:tcPr>
            <w:tcW w:w="2909" w:type="dxa"/>
            <w:vAlign w:val="center"/>
          </w:tcPr>
          <w:p w14:paraId="4469DC2F">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配线架</w:t>
            </w:r>
          </w:p>
        </w:tc>
        <w:tc>
          <w:tcPr>
            <w:tcW w:w="969" w:type="dxa"/>
            <w:vAlign w:val="center"/>
          </w:tcPr>
          <w:p w14:paraId="5E2AC75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981" w:type="dxa"/>
            <w:vAlign w:val="center"/>
          </w:tcPr>
          <w:p w14:paraId="39F969F2">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2865" w:type="dxa"/>
            <w:vAlign w:val="center"/>
          </w:tcPr>
          <w:p w14:paraId="52EDB6F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康普，一舟，罗格朗</w:t>
            </w:r>
          </w:p>
        </w:tc>
      </w:tr>
      <w:tr w14:paraId="0F99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56278AA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28</w:t>
            </w:r>
          </w:p>
        </w:tc>
        <w:tc>
          <w:tcPr>
            <w:tcW w:w="2909" w:type="dxa"/>
            <w:vAlign w:val="center"/>
          </w:tcPr>
          <w:p w14:paraId="18F7F8A2">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交换机</w:t>
            </w:r>
          </w:p>
        </w:tc>
        <w:tc>
          <w:tcPr>
            <w:tcW w:w="969" w:type="dxa"/>
            <w:vAlign w:val="center"/>
          </w:tcPr>
          <w:p w14:paraId="03227EF0">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981" w:type="dxa"/>
            <w:vAlign w:val="center"/>
          </w:tcPr>
          <w:p w14:paraId="6492847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2865" w:type="dxa"/>
            <w:vAlign w:val="center"/>
          </w:tcPr>
          <w:p w14:paraId="2AAE0FF9">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华三、华为、锐捷</w:t>
            </w:r>
          </w:p>
        </w:tc>
      </w:tr>
      <w:tr w14:paraId="7BF5F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229ABEE5">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29</w:t>
            </w:r>
          </w:p>
        </w:tc>
        <w:tc>
          <w:tcPr>
            <w:tcW w:w="2909" w:type="dxa"/>
            <w:vAlign w:val="center"/>
          </w:tcPr>
          <w:p w14:paraId="03D5B191">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配线架</w:t>
            </w:r>
          </w:p>
        </w:tc>
        <w:tc>
          <w:tcPr>
            <w:tcW w:w="969" w:type="dxa"/>
            <w:vAlign w:val="center"/>
          </w:tcPr>
          <w:p w14:paraId="33E0B765">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981" w:type="dxa"/>
            <w:vAlign w:val="center"/>
          </w:tcPr>
          <w:p w14:paraId="46D9E638">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2865" w:type="dxa"/>
            <w:vAlign w:val="center"/>
          </w:tcPr>
          <w:p w14:paraId="72BA390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康普，一舟，罗格朗</w:t>
            </w:r>
          </w:p>
        </w:tc>
      </w:tr>
      <w:tr w14:paraId="5EDEF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7E999607">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w:t>
            </w:r>
          </w:p>
        </w:tc>
        <w:tc>
          <w:tcPr>
            <w:tcW w:w="2909" w:type="dxa"/>
            <w:vAlign w:val="center"/>
          </w:tcPr>
          <w:p w14:paraId="5EF2D908">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配线架</w:t>
            </w:r>
          </w:p>
        </w:tc>
        <w:tc>
          <w:tcPr>
            <w:tcW w:w="969" w:type="dxa"/>
            <w:vAlign w:val="center"/>
          </w:tcPr>
          <w:p w14:paraId="43150EC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24</w:t>
            </w:r>
          </w:p>
        </w:tc>
        <w:tc>
          <w:tcPr>
            <w:tcW w:w="981" w:type="dxa"/>
            <w:vAlign w:val="center"/>
          </w:tcPr>
          <w:p w14:paraId="1F7A4022">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2865" w:type="dxa"/>
            <w:vAlign w:val="center"/>
          </w:tcPr>
          <w:p w14:paraId="1B7E97D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康普，一舟，罗格朗</w:t>
            </w:r>
          </w:p>
        </w:tc>
      </w:tr>
      <w:tr w14:paraId="3F88C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604025B2">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31</w:t>
            </w:r>
          </w:p>
        </w:tc>
        <w:tc>
          <w:tcPr>
            <w:tcW w:w="2909" w:type="dxa"/>
            <w:vAlign w:val="center"/>
          </w:tcPr>
          <w:p w14:paraId="6241000F">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信息插座</w:t>
            </w:r>
          </w:p>
        </w:tc>
        <w:tc>
          <w:tcPr>
            <w:tcW w:w="969" w:type="dxa"/>
            <w:vAlign w:val="center"/>
          </w:tcPr>
          <w:p w14:paraId="4A4EF3AB">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981" w:type="dxa"/>
            <w:vAlign w:val="center"/>
          </w:tcPr>
          <w:p w14:paraId="48B79BDD">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2865" w:type="dxa"/>
            <w:vAlign w:val="center"/>
          </w:tcPr>
          <w:p w14:paraId="527992C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康普，一舟，罗格朗</w:t>
            </w:r>
          </w:p>
        </w:tc>
      </w:tr>
      <w:tr w14:paraId="5AFC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4FD8E50E">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32</w:t>
            </w:r>
          </w:p>
        </w:tc>
        <w:tc>
          <w:tcPr>
            <w:tcW w:w="2909" w:type="dxa"/>
            <w:vAlign w:val="center"/>
          </w:tcPr>
          <w:p w14:paraId="093A6C15">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信息插座</w:t>
            </w:r>
          </w:p>
        </w:tc>
        <w:tc>
          <w:tcPr>
            <w:tcW w:w="969" w:type="dxa"/>
            <w:vAlign w:val="center"/>
          </w:tcPr>
          <w:p w14:paraId="02F60BC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981" w:type="dxa"/>
            <w:vAlign w:val="center"/>
          </w:tcPr>
          <w:p w14:paraId="3B14811B">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2865" w:type="dxa"/>
            <w:vAlign w:val="center"/>
          </w:tcPr>
          <w:p w14:paraId="6ED0931F">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康普，一舟，罗格朗</w:t>
            </w:r>
          </w:p>
        </w:tc>
      </w:tr>
      <w:tr w14:paraId="765D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355BD82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33</w:t>
            </w:r>
          </w:p>
        </w:tc>
        <w:tc>
          <w:tcPr>
            <w:tcW w:w="2909" w:type="dxa"/>
            <w:vAlign w:val="center"/>
          </w:tcPr>
          <w:p w14:paraId="7A35854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信息插座</w:t>
            </w:r>
          </w:p>
        </w:tc>
        <w:tc>
          <w:tcPr>
            <w:tcW w:w="969" w:type="dxa"/>
            <w:vAlign w:val="center"/>
          </w:tcPr>
          <w:p w14:paraId="2916EC7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w:t>
            </w:r>
          </w:p>
        </w:tc>
        <w:tc>
          <w:tcPr>
            <w:tcW w:w="981" w:type="dxa"/>
            <w:vAlign w:val="center"/>
          </w:tcPr>
          <w:p w14:paraId="664493DB">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2865" w:type="dxa"/>
            <w:vAlign w:val="center"/>
          </w:tcPr>
          <w:p w14:paraId="5AD7076B">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康普，一舟，罗格朗</w:t>
            </w:r>
          </w:p>
        </w:tc>
      </w:tr>
      <w:tr w14:paraId="5E25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4FE42E1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34</w:t>
            </w:r>
          </w:p>
        </w:tc>
        <w:tc>
          <w:tcPr>
            <w:tcW w:w="2909" w:type="dxa"/>
            <w:vAlign w:val="center"/>
          </w:tcPr>
          <w:p w14:paraId="3E2153E8">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信息插座</w:t>
            </w:r>
          </w:p>
        </w:tc>
        <w:tc>
          <w:tcPr>
            <w:tcW w:w="969" w:type="dxa"/>
            <w:vAlign w:val="center"/>
          </w:tcPr>
          <w:p w14:paraId="4B702F80">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13</w:t>
            </w:r>
          </w:p>
        </w:tc>
        <w:tc>
          <w:tcPr>
            <w:tcW w:w="981" w:type="dxa"/>
            <w:vAlign w:val="center"/>
          </w:tcPr>
          <w:p w14:paraId="7A89AFC2">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2865" w:type="dxa"/>
            <w:vAlign w:val="center"/>
          </w:tcPr>
          <w:p w14:paraId="6FF52A0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康普，一舟，罗格朗</w:t>
            </w:r>
          </w:p>
        </w:tc>
      </w:tr>
      <w:tr w14:paraId="29A26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2FB99DC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35</w:t>
            </w:r>
          </w:p>
        </w:tc>
        <w:tc>
          <w:tcPr>
            <w:tcW w:w="2909" w:type="dxa"/>
            <w:vAlign w:val="center"/>
          </w:tcPr>
          <w:p w14:paraId="539777D8">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信息插座</w:t>
            </w:r>
          </w:p>
        </w:tc>
        <w:tc>
          <w:tcPr>
            <w:tcW w:w="969" w:type="dxa"/>
            <w:vAlign w:val="center"/>
          </w:tcPr>
          <w:p w14:paraId="628BB9BB">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981" w:type="dxa"/>
            <w:vAlign w:val="center"/>
          </w:tcPr>
          <w:p w14:paraId="09432EE2">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2865" w:type="dxa"/>
            <w:vAlign w:val="center"/>
          </w:tcPr>
          <w:p w14:paraId="6E96D730">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康普，一舟，罗格朗</w:t>
            </w:r>
          </w:p>
        </w:tc>
      </w:tr>
      <w:tr w14:paraId="522C0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73077BF9">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36</w:t>
            </w:r>
          </w:p>
        </w:tc>
        <w:tc>
          <w:tcPr>
            <w:tcW w:w="2909" w:type="dxa"/>
            <w:vAlign w:val="center"/>
          </w:tcPr>
          <w:p w14:paraId="2D8BE9E8">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信息插座</w:t>
            </w:r>
          </w:p>
        </w:tc>
        <w:tc>
          <w:tcPr>
            <w:tcW w:w="969" w:type="dxa"/>
            <w:vAlign w:val="center"/>
          </w:tcPr>
          <w:p w14:paraId="6BECFA18">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35</w:t>
            </w:r>
          </w:p>
        </w:tc>
        <w:tc>
          <w:tcPr>
            <w:tcW w:w="981" w:type="dxa"/>
            <w:vAlign w:val="center"/>
          </w:tcPr>
          <w:p w14:paraId="4801DBAC">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2865" w:type="dxa"/>
            <w:vAlign w:val="center"/>
          </w:tcPr>
          <w:p w14:paraId="3BC08AC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康普，一舟，罗格朗</w:t>
            </w:r>
          </w:p>
        </w:tc>
      </w:tr>
      <w:tr w14:paraId="2D7D2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2CDA9603">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37</w:t>
            </w:r>
          </w:p>
        </w:tc>
        <w:tc>
          <w:tcPr>
            <w:tcW w:w="2909" w:type="dxa"/>
            <w:vAlign w:val="center"/>
          </w:tcPr>
          <w:p w14:paraId="2B67A6D8">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跳线</w:t>
            </w:r>
          </w:p>
        </w:tc>
        <w:tc>
          <w:tcPr>
            <w:tcW w:w="969" w:type="dxa"/>
            <w:vAlign w:val="center"/>
          </w:tcPr>
          <w:p w14:paraId="49D0AAA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48</w:t>
            </w:r>
          </w:p>
        </w:tc>
        <w:tc>
          <w:tcPr>
            <w:tcW w:w="981" w:type="dxa"/>
            <w:vAlign w:val="center"/>
          </w:tcPr>
          <w:p w14:paraId="54197831">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条</w:t>
            </w:r>
          </w:p>
        </w:tc>
        <w:tc>
          <w:tcPr>
            <w:tcW w:w="2865" w:type="dxa"/>
            <w:vAlign w:val="center"/>
          </w:tcPr>
          <w:p w14:paraId="2EFFA4F3">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康普，一舟，罗格朗</w:t>
            </w:r>
          </w:p>
        </w:tc>
      </w:tr>
      <w:tr w14:paraId="7FAB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052937AC">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38</w:t>
            </w:r>
          </w:p>
        </w:tc>
        <w:tc>
          <w:tcPr>
            <w:tcW w:w="2909" w:type="dxa"/>
            <w:vAlign w:val="center"/>
          </w:tcPr>
          <w:p w14:paraId="1CA95B45">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光纤盒</w:t>
            </w:r>
          </w:p>
        </w:tc>
        <w:tc>
          <w:tcPr>
            <w:tcW w:w="969" w:type="dxa"/>
            <w:vAlign w:val="center"/>
          </w:tcPr>
          <w:p w14:paraId="2DCEBF53">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48</w:t>
            </w:r>
          </w:p>
        </w:tc>
        <w:tc>
          <w:tcPr>
            <w:tcW w:w="981" w:type="dxa"/>
            <w:vAlign w:val="center"/>
          </w:tcPr>
          <w:p w14:paraId="10BBFCF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2865" w:type="dxa"/>
            <w:vAlign w:val="center"/>
          </w:tcPr>
          <w:p w14:paraId="5545CC5C">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康普，一舟，罗格朗</w:t>
            </w:r>
          </w:p>
        </w:tc>
      </w:tr>
      <w:tr w14:paraId="5809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43DBF82B">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39</w:t>
            </w:r>
          </w:p>
        </w:tc>
        <w:tc>
          <w:tcPr>
            <w:tcW w:w="2909" w:type="dxa"/>
            <w:vAlign w:val="center"/>
          </w:tcPr>
          <w:p w14:paraId="1825CF4D">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布放</w:t>
            </w:r>
            <w:r>
              <w:rPr>
                <w:rFonts w:hint="eastAsia" w:ascii="宋体" w:hAnsi="宋体" w:cs="宋体"/>
                <w:color w:val="auto"/>
                <w:kern w:val="0"/>
                <w:sz w:val="21"/>
                <w:szCs w:val="21"/>
                <w:highlight w:val="none"/>
              </w:rPr>
              <w:t>尾纤</w:t>
            </w:r>
          </w:p>
        </w:tc>
        <w:tc>
          <w:tcPr>
            <w:tcW w:w="969" w:type="dxa"/>
            <w:vAlign w:val="center"/>
          </w:tcPr>
          <w:p w14:paraId="0F7B1F47">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48</w:t>
            </w:r>
          </w:p>
        </w:tc>
        <w:tc>
          <w:tcPr>
            <w:tcW w:w="981" w:type="dxa"/>
            <w:vAlign w:val="center"/>
          </w:tcPr>
          <w:p w14:paraId="008D64F7">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条</w:t>
            </w:r>
          </w:p>
        </w:tc>
        <w:tc>
          <w:tcPr>
            <w:tcW w:w="2865" w:type="dxa"/>
            <w:vAlign w:val="center"/>
          </w:tcPr>
          <w:p w14:paraId="0F735083">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康普，一舟，罗格朗</w:t>
            </w:r>
          </w:p>
        </w:tc>
      </w:tr>
      <w:tr w14:paraId="0C080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2B88DFD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40</w:t>
            </w:r>
          </w:p>
        </w:tc>
        <w:tc>
          <w:tcPr>
            <w:tcW w:w="2909" w:type="dxa"/>
            <w:vAlign w:val="center"/>
          </w:tcPr>
          <w:p w14:paraId="32320663">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机柜</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机架</w:t>
            </w:r>
          </w:p>
        </w:tc>
        <w:tc>
          <w:tcPr>
            <w:tcW w:w="969" w:type="dxa"/>
            <w:vAlign w:val="center"/>
          </w:tcPr>
          <w:p w14:paraId="4648EF37">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981" w:type="dxa"/>
            <w:vAlign w:val="center"/>
          </w:tcPr>
          <w:p w14:paraId="45C8E269">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2865" w:type="dxa"/>
            <w:vAlign w:val="center"/>
          </w:tcPr>
          <w:p w14:paraId="167B257D">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康普，一舟，罗格朗</w:t>
            </w:r>
          </w:p>
        </w:tc>
      </w:tr>
      <w:tr w14:paraId="06E1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0CE2507C">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w:t>
            </w:r>
            <w:r>
              <w:rPr>
                <w:rFonts w:hint="eastAsia" w:ascii="宋体" w:hAnsi="宋体" w:cs="宋体"/>
                <w:color w:val="auto"/>
                <w:kern w:val="0"/>
                <w:sz w:val="21"/>
                <w:szCs w:val="21"/>
                <w:highlight w:val="none"/>
                <w:lang w:val="en-US" w:eastAsia="zh-CN"/>
              </w:rPr>
              <w:t>1</w:t>
            </w:r>
          </w:p>
        </w:tc>
        <w:tc>
          <w:tcPr>
            <w:tcW w:w="2909" w:type="dxa"/>
            <w:vAlign w:val="center"/>
          </w:tcPr>
          <w:p w14:paraId="37FF5B21">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光纤测试</w:t>
            </w:r>
          </w:p>
        </w:tc>
        <w:tc>
          <w:tcPr>
            <w:tcW w:w="969" w:type="dxa"/>
            <w:vAlign w:val="center"/>
          </w:tcPr>
          <w:p w14:paraId="2F903601">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24</w:t>
            </w:r>
          </w:p>
        </w:tc>
        <w:tc>
          <w:tcPr>
            <w:tcW w:w="981" w:type="dxa"/>
            <w:vAlign w:val="center"/>
          </w:tcPr>
          <w:p w14:paraId="5DF13E34">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链路</w:t>
            </w:r>
          </w:p>
        </w:tc>
        <w:tc>
          <w:tcPr>
            <w:tcW w:w="2865" w:type="dxa"/>
            <w:vAlign w:val="center"/>
          </w:tcPr>
          <w:p w14:paraId="05B2F8A1">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电信级</w:t>
            </w:r>
          </w:p>
        </w:tc>
      </w:tr>
      <w:tr w14:paraId="1950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2FE40A2C">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w:t>
            </w:r>
            <w:r>
              <w:rPr>
                <w:rFonts w:hint="eastAsia" w:ascii="宋体" w:hAnsi="宋体" w:cs="宋体"/>
                <w:color w:val="auto"/>
                <w:kern w:val="0"/>
                <w:sz w:val="21"/>
                <w:szCs w:val="21"/>
                <w:highlight w:val="none"/>
                <w:lang w:val="en-US" w:eastAsia="zh-CN"/>
              </w:rPr>
              <w:t>2</w:t>
            </w:r>
          </w:p>
        </w:tc>
        <w:tc>
          <w:tcPr>
            <w:tcW w:w="2909" w:type="dxa"/>
            <w:vAlign w:val="center"/>
          </w:tcPr>
          <w:p w14:paraId="30582ED6">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光纤熔接</w:t>
            </w:r>
          </w:p>
        </w:tc>
        <w:tc>
          <w:tcPr>
            <w:tcW w:w="969" w:type="dxa"/>
            <w:vAlign w:val="center"/>
          </w:tcPr>
          <w:p w14:paraId="3F17635C">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48</w:t>
            </w:r>
          </w:p>
        </w:tc>
        <w:tc>
          <w:tcPr>
            <w:tcW w:w="981" w:type="dxa"/>
            <w:vAlign w:val="center"/>
          </w:tcPr>
          <w:p w14:paraId="1BAEAEB0">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芯</w:t>
            </w:r>
          </w:p>
        </w:tc>
        <w:tc>
          <w:tcPr>
            <w:tcW w:w="2865" w:type="dxa"/>
            <w:vAlign w:val="center"/>
          </w:tcPr>
          <w:p w14:paraId="58529E09">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电信级</w:t>
            </w:r>
          </w:p>
        </w:tc>
      </w:tr>
      <w:tr w14:paraId="7634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8642" w:type="dxa"/>
            <w:gridSpan w:val="5"/>
            <w:shd w:val="clear" w:color="auto" w:fill="BEBEBE" w:themeFill="background1" w:themeFillShade="BF"/>
            <w:vAlign w:val="center"/>
          </w:tcPr>
          <w:p w14:paraId="23676408">
            <w:pPr>
              <w:jc w:val="left"/>
              <w:rPr>
                <w:rFonts w:ascii="宋体" w:hAnsi="宋体" w:cs="宋体"/>
                <w:b/>
                <w:bCs/>
                <w:color w:val="auto"/>
                <w:sz w:val="21"/>
                <w:szCs w:val="21"/>
                <w:highlight w:val="none"/>
              </w:rPr>
            </w:pPr>
            <w:r>
              <w:rPr>
                <w:rFonts w:hint="eastAsia" w:ascii="宋体" w:hAnsi="宋体" w:cs="宋体"/>
                <w:b/>
                <w:bCs/>
                <w:color w:val="auto"/>
                <w:sz w:val="21"/>
                <w:szCs w:val="21"/>
                <w:highlight w:val="none"/>
              </w:rPr>
              <w:t>（1F）、办案区人员定位系统</w:t>
            </w:r>
          </w:p>
        </w:tc>
      </w:tr>
      <w:tr w14:paraId="06C1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23EF3E5C">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43</w:t>
            </w:r>
          </w:p>
        </w:tc>
        <w:tc>
          <w:tcPr>
            <w:tcW w:w="2909" w:type="dxa"/>
            <w:vAlign w:val="center"/>
          </w:tcPr>
          <w:p w14:paraId="3A0DE332">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交换机</w:t>
            </w:r>
          </w:p>
        </w:tc>
        <w:tc>
          <w:tcPr>
            <w:tcW w:w="969" w:type="dxa"/>
            <w:vAlign w:val="center"/>
          </w:tcPr>
          <w:p w14:paraId="1BADC831">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981" w:type="dxa"/>
            <w:vAlign w:val="center"/>
          </w:tcPr>
          <w:p w14:paraId="017AF326">
            <w:pPr>
              <w:widowControl/>
              <w:jc w:val="center"/>
              <w:textAlignment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bidi="ar"/>
              </w:rPr>
              <w:t>台</w:t>
            </w:r>
          </w:p>
        </w:tc>
        <w:tc>
          <w:tcPr>
            <w:tcW w:w="2865" w:type="dxa"/>
            <w:vAlign w:val="center"/>
          </w:tcPr>
          <w:p w14:paraId="740FB16C">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华三、华为、锐捷</w:t>
            </w:r>
          </w:p>
        </w:tc>
      </w:tr>
      <w:tr w14:paraId="3CDA1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4982C9CF">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44</w:t>
            </w:r>
          </w:p>
        </w:tc>
        <w:tc>
          <w:tcPr>
            <w:tcW w:w="2909" w:type="dxa"/>
            <w:vAlign w:val="center"/>
          </w:tcPr>
          <w:p w14:paraId="70F5BFE6">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声光报警器</w:t>
            </w:r>
          </w:p>
        </w:tc>
        <w:tc>
          <w:tcPr>
            <w:tcW w:w="969" w:type="dxa"/>
            <w:vAlign w:val="center"/>
          </w:tcPr>
          <w:p w14:paraId="436294CF">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981" w:type="dxa"/>
            <w:vAlign w:val="center"/>
          </w:tcPr>
          <w:p w14:paraId="1910C60C">
            <w:pPr>
              <w:widowControl/>
              <w:jc w:val="center"/>
              <w:textAlignment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bidi="ar"/>
              </w:rPr>
              <w:t>个</w:t>
            </w:r>
          </w:p>
        </w:tc>
        <w:tc>
          <w:tcPr>
            <w:tcW w:w="2865" w:type="dxa"/>
            <w:vAlign w:val="center"/>
          </w:tcPr>
          <w:p w14:paraId="27F9D4C5">
            <w:pPr>
              <w:widowControl/>
              <w:jc w:val="center"/>
              <w:rPr>
                <w:rFonts w:ascii="宋体" w:hAnsi="宋体" w:cs="宋体"/>
                <w:color w:val="auto"/>
                <w:kern w:val="0"/>
                <w:sz w:val="21"/>
                <w:szCs w:val="21"/>
                <w:highlight w:val="none"/>
              </w:rPr>
            </w:pPr>
            <w:r>
              <w:rPr>
                <w:rFonts w:hint="eastAsia"/>
                <w:color w:val="auto"/>
                <w:sz w:val="21"/>
                <w:szCs w:val="21"/>
                <w:highlight w:val="none"/>
                <w:lang w:val="en-US" w:eastAsia="zh-CN"/>
              </w:rPr>
              <w:t>国产</w:t>
            </w:r>
          </w:p>
        </w:tc>
      </w:tr>
      <w:tr w14:paraId="0B1F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25C184DC">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45</w:t>
            </w:r>
          </w:p>
        </w:tc>
        <w:tc>
          <w:tcPr>
            <w:tcW w:w="2909" w:type="dxa"/>
            <w:vAlign w:val="center"/>
          </w:tcPr>
          <w:p w14:paraId="2B61A97F">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小电器</w:t>
            </w:r>
          </w:p>
        </w:tc>
        <w:tc>
          <w:tcPr>
            <w:tcW w:w="969" w:type="dxa"/>
            <w:vAlign w:val="center"/>
          </w:tcPr>
          <w:p w14:paraId="308F52A0">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981" w:type="dxa"/>
            <w:shd w:val="clear" w:color="FFFFFF" w:fill="FFFFFF"/>
            <w:vAlign w:val="center"/>
          </w:tcPr>
          <w:p w14:paraId="684B8E96">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个</w:t>
            </w:r>
          </w:p>
        </w:tc>
        <w:tc>
          <w:tcPr>
            <w:tcW w:w="2865" w:type="dxa"/>
            <w:vAlign w:val="center"/>
          </w:tcPr>
          <w:p w14:paraId="22822CA7">
            <w:pPr>
              <w:widowControl/>
              <w:jc w:val="center"/>
              <w:rPr>
                <w:rFonts w:hint="default" w:ascii="宋体" w:hAnsi="宋体" w:eastAsia="宋体" w:cs="宋体"/>
                <w:color w:val="auto"/>
                <w:kern w:val="0"/>
                <w:sz w:val="21"/>
                <w:szCs w:val="21"/>
                <w:highlight w:val="none"/>
                <w:lang w:val="en-US" w:eastAsia="zh-CN"/>
              </w:rPr>
            </w:pPr>
            <w:r>
              <w:rPr>
                <w:rFonts w:hint="eastAsia"/>
                <w:color w:val="auto"/>
                <w:sz w:val="21"/>
                <w:szCs w:val="21"/>
                <w:highlight w:val="none"/>
                <w:lang w:val="en-US" w:eastAsia="zh-CN"/>
              </w:rPr>
              <w:t>国产</w:t>
            </w:r>
          </w:p>
        </w:tc>
      </w:tr>
      <w:tr w14:paraId="2439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42" w:type="dxa"/>
            <w:gridSpan w:val="5"/>
            <w:shd w:val="clear" w:color="auto" w:fill="BEBEBE" w:themeFill="background1" w:themeFillShade="BF"/>
            <w:vAlign w:val="center"/>
          </w:tcPr>
          <w:p w14:paraId="124257A9">
            <w:pPr>
              <w:jc w:val="left"/>
              <w:rPr>
                <w:rFonts w:ascii="宋体" w:hAnsi="宋体" w:eastAsia="宋体" w:cs="宋体"/>
                <w:b/>
                <w:bCs/>
                <w:color w:val="auto"/>
                <w:kern w:val="2"/>
                <w:sz w:val="21"/>
                <w:szCs w:val="21"/>
                <w:highlight w:val="none"/>
                <w:lang w:val="en-US" w:eastAsia="zh-CN" w:bidi="ar-SA"/>
              </w:rPr>
            </w:pPr>
            <w:r>
              <w:rPr>
                <w:rFonts w:hint="eastAsia" w:ascii="宋体" w:hAnsi="宋体" w:cs="宋体"/>
                <w:b/>
                <w:bCs/>
                <w:color w:val="auto"/>
                <w:sz w:val="21"/>
                <w:szCs w:val="21"/>
                <w:highlight w:val="none"/>
              </w:rPr>
              <w:t>（1F）、办案区</w:t>
            </w:r>
            <w:r>
              <w:rPr>
                <w:rFonts w:hint="eastAsia" w:ascii="宋体" w:hAnsi="宋体" w:cs="宋体"/>
                <w:b/>
                <w:bCs/>
                <w:color w:val="auto"/>
                <w:sz w:val="21"/>
                <w:szCs w:val="21"/>
                <w:highlight w:val="none"/>
                <w:lang w:val="en-US" w:eastAsia="zh-CN"/>
              </w:rPr>
              <w:t>对讲</w:t>
            </w:r>
            <w:r>
              <w:rPr>
                <w:rFonts w:hint="eastAsia" w:ascii="宋体" w:hAnsi="宋体" w:cs="宋体"/>
                <w:b/>
                <w:bCs/>
                <w:color w:val="auto"/>
                <w:sz w:val="21"/>
                <w:szCs w:val="21"/>
                <w:highlight w:val="none"/>
              </w:rPr>
              <w:t>系统</w:t>
            </w:r>
          </w:p>
        </w:tc>
      </w:tr>
      <w:tr w14:paraId="7F9B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2D5CD792">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46</w:t>
            </w:r>
          </w:p>
        </w:tc>
        <w:tc>
          <w:tcPr>
            <w:tcW w:w="2909" w:type="dxa"/>
            <w:vAlign w:val="center"/>
          </w:tcPr>
          <w:p w14:paraId="344F615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交换机</w:t>
            </w:r>
          </w:p>
        </w:tc>
        <w:tc>
          <w:tcPr>
            <w:tcW w:w="969" w:type="dxa"/>
            <w:vAlign w:val="center"/>
          </w:tcPr>
          <w:p w14:paraId="5E834E99">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981" w:type="dxa"/>
            <w:vAlign w:val="center"/>
          </w:tcPr>
          <w:p w14:paraId="531225BC">
            <w:pPr>
              <w:widowControl/>
              <w:jc w:val="center"/>
              <w:textAlignment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bidi="ar"/>
              </w:rPr>
              <w:t>台</w:t>
            </w:r>
          </w:p>
        </w:tc>
        <w:tc>
          <w:tcPr>
            <w:tcW w:w="2865" w:type="dxa"/>
            <w:vAlign w:val="center"/>
          </w:tcPr>
          <w:p w14:paraId="31F0AA25">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华三、华为、锐捷</w:t>
            </w:r>
          </w:p>
        </w:tc>
      </w:tr>
      <w:tr w14:paraId="2C62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 w:type="dxa"/>
            <w:vAlign w:val="center"/>
          </w:tcPr>
          <w:p w14:paraId="39CC5842">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47</w:t>
            </w:r>
          </w:p>
        </w:tc>
        <w:tc>
          <w:tcPr>
            <w:tcW w:w="2909" w:type="dxa"/>
            <w:vAlign w:val="center"/>
          </w:tcPr>
          <w:p w14:paraId="08F9B058">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入侵报警控制器</w:t>
            </w:r>
          </w:p>
        </w:tc>
        <w:tc>
          <w:tcPr>
            <w:tcW w:w="969" w:type="dxa"/>
            <w:vAlign w:val="center"/>
          </w:tcPr>
          <w:p w14:paraId="4B165830">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981" w:type="dxa"/>
            <w:vAlign w:val="center"/>
          </w:tcPr>
          <w:p w14:paraId="4FBA74F6">
            <w:pPr>
              <w:widowControl/>
              <w:jc w:val="center"/>
              <w:textAlignment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bidi="ar"/>
              </w:rPr>
              <w:t>套</w:t>
            </w:r>
          </w:p>
        </w:tc>
        <w:tc>
          <w:tcPr>
            <w:tcW w:w="2865" w:type="dxa"/>
            <w:vAlign w:val="center"/>
          </w:tcPr>
          <w:p w14:paraId="18048AAC">
            <w:pPr>
              <w:widowControl/>
              <w:jc w:val="center"/>
              <w:rPr>
                <w:rFonts w:ascii="宋体" w:hAnsi="宋体" w:cs="宋体"/>
                <w:color w:val="auto"/>
                <w:kern w:val="0"/>
                <w:sz w:val="21"/>
                <w:szCs w:val="21"/>
                <w:highlight w:val="none"/>
              </w:rPr>
            </w:pPr>
            <w:r>
              <w:rPr>
                <w:rFonts w:hint="eastAsia"/>
                <w:color w:val="auto"/>
                <w:sz w:val="21"/>
                <w:szCs w:val="21"/>
                <w:highlight w:val="none"/>
                <w:lang w:val="en-US" w:eastAsia="zh-CN"/>
              </w:rPr>
              <w:t>国产</w:t>
            </w:r>
          </w:p>
        </w:tc>
      </w:tr>
      <w:tr w14:paraId="2A05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 w:type="dxa"/>
            <w:vAlign w:val="center"/>
          </w:tcPr>
          <w:p w14:paraId="1056A150">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48</w:t>
            </w:r>
          </w:p>
        </w:tc>
        <w:tc>
          <w:tcPr>
            <w:tcW w:w="2909" w:type="dxa"/>
            <w:vAlign w:val="center"/>
          </w:tcPr>
          <w:p w14:paraId="663C6411">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入侵报警控制器</w:t>
            </w:r>
          </w:p>
        </w:tc>
        <w:tc>
          <w:tcPr>
            <w:tcW w:w="969" w:type="dxa"/>
            <w:vAlign w:val="center"/>
          </w:tcPr>
          <w:p w14:paraId="542011F0">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981" w:type="dxa"/>
            <w:vAlign w:val="center"/>
          </w:tcPr>
          <w:p w14:paraId="052C66AE">
            <w:pPr>
              <w:widowControl/>
              <w:jc w:val="center"/>
              <w:textAlignment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bidi="ar"/>
              </w:rPr>
              <w:t>套</w:t>
            </w:r>
          </w:p>
        </w:tc>
        <w:tc>
          <w:tcPr>
            <w:tcW w:w="2865" w:type="dxa"/>
            <w:vAlign w:val="center"/>
          </w:tcPr>
          <w:p w14:paraId="59698DCB">
            <w:pPr>
              <w:widowControl/>
              <w:jc w:val="center"/>
              <w:rPr>
                <w:rFonts w:ascii="宋体" w:hAnsi="宋体" w:cs="宋体"/>
                <w:color w:val="auto"/>
                <w:kern w:val="0"/>
                <w:sz w:val="21"/>
                <w:szCs w:val="21"/>
                <w:highlight w:val="none"/>
              </w:rPr>
            </w:pPr>
            <w:r>
              <w:rPr>
                <w:rFonts w:hint="eastAsia"/>
                <w:color w:val="auto"/>
                <w:sz w:val="21"/>
                <w:szCs w:val="21"/>
                <w:highlight w:val="none"/>
                <w:lang w:val="en-US" w:eastAsia="zh-CN"/>
              </w:rPr>
              <w:t>国产</w:t>
            </w:r>
          </w:p>
        </w:tc>
      </w:tr>
      <w:tr w14:paraId="4739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8642" w:type="dxa"/>
            <w:gridSpan w:val="5"/>
            <w:shd w:val="clear" w:color="auto" w:fill="BEBEBE" w:themeFill="background1" w:themeFillShade="BF"/>
            <w:vAlign w:val="center"/>
          </w:tcPr>
          <w:p w14:paraId="7F45C8CC">
            <w:pPr>
              <w:jc w:val="left"/>
              <w:rPr>
                <w:rFonts w:ascii="宋体" w:hAnsi="宋体" w:cs="宋体"/>
                <w:b/>
                <w:bCs/>
                <w:color w:val="auto"/>
                <w:sz w:val="21"/>
                <w:szCs w:val="21"/>
                <w:highlight w:val="none"/>
              </w:rPr>
            </w:pPr>
            <w:r>
              <w:rPr>
                <w:rFonts w:hint="eastAsia" w:ascii="宋体" w:hAnsi="宋体" w:cs="宋体"/>
                <w:b/>
                <w:bCs/>
                <w:color w:val="auto"/>
                <w:sz w:val="21"/>
                <w:szCs w:val="21"/>
                <w:highlight w:val="none"/>
              </w:rPr>
              <w:t>（1F）、办案区区域状态显示系统</w:t>
            </w:r>
          </w:p>
        </w:tc>
      </w:tr>
      <w:tr w14:paraId="45748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135FBDDD">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49</w:t>
            </w:r>
          </w:p>
        </w:tc>
        <w:tc>
          <w:tcPr>
            <w:tcW w:w="2909" w:type="dxa"/>
            <w:vAlign w:val="center"/>
          </w:tcPr>
          <w:p w14:paraId="1FEAA10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交换机</w:t>
            </w:r>
          </w:p>
        </w:tc>
        <w:tc>
          <w:tcPr>
            <w:tcW w:w="969" w:type="dxa"/>
            <w:vAlign w:val="center"/>
          </w:tcPr>
          <w:p w14:paraId="5B787FD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981" w:type="dxa"/>
            <w:vAlign w:val="center"/>
          </w:tcPr>
          <w:p w14:paraId="18BFA23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2865" w:type="dxa"/>
            <w:vAlign w:val="center"/>
          </w:tcPr>
          <w:p w14:paraId="171FF966">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华三、华为、锐捷</w:t>
            </w:r>
          </w:p>
        </w:tc>
      </w:tr>
      <w:tr w14:paraId="125B7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42" w:type="dxa"/>
            <w:gridSpan w:val="5"/>
            <w:shd w:val="clear" w:color="auto" w:fill="BEBEBE" w:themeFill="background1" w:themeFillShade="BF"/>
            <w:vAlign w:val="center"/>
          </w:tcPr>
          <w:p w14:paraId="429269E3">
            <w:pPr>
              <w:widowControl/>
              <w:jc w:val="left"/>
              <w:rPr>
                <w:rFonts w:ascii="宋体" w:hAnsi="宋体" w:cs="宋体"/>
                <w:color w:val="auto"/>
                <w:kern w:val="0"/>
                <w:sz w:val="21"/>
                <w:szCs w:val="21"/>
                <w:highlight w:val="none"/>
              </w:rPr>
            </w:pPr>
            <w:r>
              <w:rPr>
                <w:rFonts w:hint="eastAsia" w:ascii="宋体" w:hAnsi="宋体" w:cs="宋体"/>
                <w:b/>
                <w:bCs/>
                <w:color w:val="auto"/>
                <w:sz w:val="21"/>
                <w:szCs w:val="21"/>
                <w:highlight w:val="none"/>
              </w:rPr>
              <w:t>（1F）、办案区应急报警系统</w:t>
            </w:r>
          </w:p>
        </w:tc>
      </w:tr>
      <w:tr w14:paraId="6289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5FF2E5B5">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50</w:t>
            </w:r>
          </w:p>
        </w:tc>
        <w:tc>
          <w:tcPr>
            <w:tcW w:w="2909" w:type="dxa"/>
            <w:vAlign w:val="center"/>
          </w:tcPr>
          <w:p w14:paraId="585D8F9F">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视频控制设备</w:t>
            </w:r>
          </w:p>
        </w:tc>
        <w:tc>
          <w:tcPr>
            <w:tcW w:w="969" w:type="dxa"/>
            <w:vAlign w:val="center"/>
          </w:tcPr>
          <w:p w14:paraId="20EB6E6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981" w:type="dxa"/>
            <w:vAlign w:val="center"/>
          </w:tcPr>
          <w:p w14:paraId="0DCBD736">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2865" w:type="dxa"/>
            <w:vAlign w:val="center"/>
          </w:tcPr>
          <w:p w14:paraId="2A6869C9">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海康威视</w:t>
            </w:r>
            <w:r>
              <w:rPr>
                <w:rFonts w:hint="eastAsia" w:ascii="宋体" w:hAnsi="宋体" w:cs="宋体"/>
                <w:color w:val="auto"/>
                <w:kern w:val="0"/>
                <w:sz w:val="21"/>
                <w:szCs w:val="21"/>
                <w:highlight w:val="none"/>
              </w:rPr>
              <w:t>、英飞拓、天地伟业</w:t>
            </w:r>
          </w:p>
        </w:tc>
      </w:tr>
      <w:tr w14:paraId="5AE1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5F53DA9A">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51</w:t>
            </w:r>
          </w:p>
        </w:tc>
        <w:tc>
          <w:tcPr>
            <w:tcW w:w="2909" w:type="dxa"/>
            <w:vAlign w:val="center"/>
          </w:tcPr>
          <w:p w14:paraId="7997674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按钮</w:t>
            </w:r>
          </w:p>
        </w:tc>
        <w:tc>
          <w:tcPr>
            <w:tcW w:w="969" w:type="dxa"/>
            <w:vAlign w:val="center"/>
          </w:tcPr>
          <w:p w14:paraId="4B1C57E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19</w:t>
            </w:r>
          </w:p>
        </w:tc>
        <w:tc>
          <w:tcPr>
            <w:tcW w:w="981" w:type="dxa"/>
            <w:vAlign w:val="center"/>
          </w:tcPr>
          <w:p w14:paraId="36C3C452">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2865" w:type="dxa"/>
            <w:vAlign w:val="center"/>
          </w:tcPr>
          <w:p w14:paraId="35F0F02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海康威视</w:t>
            </w:r>
            <w:r>
              <w:rPr>
                <w:rFonts w:hint="eastAsia" w:ascii="宋体" w:hAnsi="宋体" w:cs="宋体"/>
                <w:color w:val="auto"/>
                <w:kern w:val="0"/>
                <w:sz w:val="21"/>
                <w:szCs w:val="21"/>
                <w:highlight w:val="none"/>
              </w:rPr>
              <w:t>、英飞拓、天地伟业</w:t>
            </w:r>
          </w:p>
        </w:tc>
      </w:tr>
      <w:tr w14:paraId="5F00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384E6821">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52</w:t>
            </w:r>
          </w:p>
        </w:tc>
        <w:tc>
          <w:tcPr>
            <w:tcW w:w="2909" w:type="dxa"/>
            <w:vAlign w:val="center"/>
          </w:tcPr>
          <w:p w14:paraId="3AC6A05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火灾报警系统控制主机</w:t>
            </w:r>
          </w:p>
        </w:tc>
        <w:tc>
          <w:tcPr>
            <w:tcW w:w="969" w:type="dxa"/>
            <w:vAlign w:val="center"/>
          </w:tcPr>
          <w:p w14:paraId="23E03618">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981" w:type="dxa"/>
            <w:vAlign w:val="center"/>
          </w:tcPr>
          <w:p w14:paraId="48AC157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2865" w:type="dxa"/>
            <w:vAlign w:val="center"/>
          </w:tcPr>
          <w:p w14:paraId="37EE9868">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海康威视</w:t>
            </w:r>
            <w:r>
              <w:rPr>
                <w:rFonts w:hint="eastAsia" w:ascii="宋体" w:hAnsi="宋体" w:cs="宋体"/>
                <w:color w:val="auto"/>
                <w:kern w:val="0"/>
                <w:sz w:val="21"/>
                <w:szCs w:val="21"/>
                <w:highlight w:val="none"/>
              </w:rPr>
              <w:t>、英飞拓、天地伟业</w:t>
            </w:r>
          </w:p>
        </w:tc>
      </w:tr>
      <w:tr w14:paraId="354AB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42" w:type="dxa"/>
            <w:gridSpan w:val="5"/>
            <w:shd w:val="clear" w:color="auto" w:fill="BEBEBE" w:themeFill="background1" w:themeFillShade="BF"/>
            <w:vAlign w:val="center"/>
          </w:tcPr>
          <w:p w14:paraId="34971AC0">
            <w:pPr>
              <w:widowControl/>
              <w:jc w:val="left"/>
              <w:rPr>
                <w:rFonts w:ascii="宋体" w:hAnsi="宋体" w:cs="宋体"/>
                <w:color w:val="auto"/>
                <w:kern w:val="0"/>
                <w:sz w:val="21"/>
                <w:szCs w:val="21"/>
                <w:highlight w:val="none"/>
              </w:rPr>
            </w:pPr>
            <w:r>
              <w:rPr>
                <w:rFonts w:hint="eastAsia" w:ascii="宋体" w:hAnsi="宋体" w:cs="宋体"/>
                <w:b/>
                <w:bCs/>
                <w:color w:val="auto"/>
                <w:sz w:val="21"/>
                <w:szCs w:val="21"/>
                <w:highlight w:val="none"/>
              </w:rPr>
              <w:t>（1F）、UPS3配电箱</w:t>
            </w:r>
          </w:p>
        </w:tc>
      </w:tr>
      <w:tr w14:paraId="169BA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18" w:type="dxa"/>
            <w:vAlign w:val="center"/>
          </w:tcPr>
          <w:p w14:paraId="67C9138B">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53</w:t>
            </w:r>
          </w:p>
        </w:tc>
        <w:tc>
          <w:tcPr>
            <w:tcW w:w="2909" w:type="dxa"/>
            <w:vAlign w:val="center"/>
          </w:tcPr>
          <w:p w14:paraId="6A13C1C1">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机柜</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机架</w:t>
            </w:r>
          </w:p>
        </w:tc>
        <w:tc>
          <w:tcPr>
            <w:tcW w:w="969" w:type="dxa"/>
            <w:vAlign w:val="center"/>
          </w:tcPr>
          <w:p w14:paraId="1D019BA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981" w:type="dxa"/>
            <w:vAlign w:val="center"/>
          </w:tcPr>
          <w:p w14:paraId="245B268C">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2865" w:type="dxa"/>
            <w:vAlign w:val="center"/>
          </w:tcPr>
          <w:p w14:paraId="483F49C9">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商宇，伊顿，易力高科</w:t>
            </w:r>
          </w:p>
        </w:tc>
      </w:tr>
      <w:tr w14:paraId="6FBA8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18" w:type="dxa"/>
            <w:vAlign w:val="center"/>
          </w:tcPr>
          <w:p w14:paraId="5519BE4E">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54</w:t>
            </w:r>
          </w:p>
        </w:tc>
        <w:tc>
          <w:tcPr>
            <w:tcW w:w="2909" w:type="dxa"/>
            <w:vAlign w:val="center"/>
          </w:tcPr>
          <w:p w14:paraId="313E4933">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机柜</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机架</w:t>
            </w:r>
          </w:p>
        </w:tc>
        <w:tc>
          <w:tcPr>
            <w:tcW w:w="969" w:type="dxa"/>
            <w:vAlign w:val="center"/>
          </w:tcPr>
          <w:p w14:paraId="76E7FC6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981" w:type="dxa"/>
            <w:vAlign w:val="center"/>
          </w:tcPr>
          <w:p w14:paraId="19497683">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2865" w:type="dxa"/>
            <w:vAlign w:val="center"/>
          </w:tcPr>
          <w:p w14:paraId="2816914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商宇，伊顿，易力高科</w:t>
            </w:r>
          </w:p>
        </w:tc>
      </w:tr>
      <w:tr w14:paraId="216F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4061F275">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55</w:t>
            </w:r>
          </w:p>
        </w:tc>
        <w:tc>
          <w:tcPr>
            <w:tcW w:w="2909" w:type="dxa"/>
            <w:vAlign w:val="center"/>
          </w:tcPr>
          <w:p w14:paraId="1681BCCC">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机柜</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机架</w:t>
            </w:r>
          </w:p>
        </w:tc>
        <w:tc>
          <w:tcPr>
            <w:tcW w:w="969" w:type="dxa"/>
            <w:vAlign w:val="center"/>
          </w:tcPr>
          <w:p w14:paraId="111B1B3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981" w:type="dxa"/>
            <w:vAlign w:val="center"/>
          </w:tcPr>
          <w:p w14:paraId="75AE85B8">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2865" w:type="dxa"/>
            <w:vAlign w:val="center"/>
          </w:tcPr>
          <w:p w14:paraId="488B9996">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商宇，伊顿，易力高科</w:t>
            </w:r>
          </w:p>
        </w:tc>
      </w:tr>
      <w:tr w14:paraId="23293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5A56139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56</w:t>
            </w:r>
          </w:p>
        </w:tc>
        <w:tc>
          <w:tcPr>
            <w:tcW w:w="2909" w:type="dxa"/>
            <w:vAlign w:val="center"/>
          </w:tcPr>
          <w:p w14:paraId="6701BCF6">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机柜</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机架</w:t>
            </w:r>
          </w:p>
        </w:tc>
        <w:tc>
          <w:tcPr>
            <w:tcW w:w="969" w:type="dxa"/>
            <w:vAlign w:val="center"/>
          </w:tcPr>
          <w:p w14:paraId="51572F49">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981" w:type="dxa"/>
            <w:vAlign w:val="center"/>
          </w:tcPr>
          <w:p w14:paraId="481E3699">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2865" w:type="dxa"/>
            <w:vAlign w:val="center"/>
          </w:tcPr>
          <w:p w14:paraId="5043B591">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商宇，伊顿，易力高科</w:t>
            </w:r>
          </w:p>
        </w:tc>
      </w:tr>
      <w:tr w14:paraId="280A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688BF927">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57</w:t>
            </w:r>
          </w:p>
        </w:tc>
        <w:tc>
          <w:tcPr>
            <w:tcW w:w="2909" w:type="dxa"/>
            <w:vAlign w:val="center"/>
          </w:tcPr>
          <w:p w14:paraId="6421F987">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机柜</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机架</w:t>
            </w:r>
          </w:p>
        </w:tc>
        <w:tc>
          <w:tcPr>
            <w:tcW w:w="969" w:type="dxa"/>
            <w:vAlign w:val="center"/>
          </w:tcPr>
          <w:p w14:paraId="0B44F0E0">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981" w:type="dxa"/>
            <w:vAlign w:val="center"/>
          </w:tcPr>
          <w:p w14:paraId="025E09DD">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2865" w:type="dxa"/>
            <w:vAlign w:val="center"/>
          </w:tcPr>
          <w:p w14:paraId="7525C94C">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商宇，伊顿，易力高科</w:t>
            </w:r>
          </w:p>
        </w:tc>
      </w:tr>
      <w:tr w14:paraId="0802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4040D1C3">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r>
              <w:rPr>
                <w:rFonts w:hint="eastAsia" w:ascii="宋体" w:hAnsi="宋体" w:cs="宋体"/>
                <w:color w:val="auto"/>
                <w:kern w:val="0"/>
                <w:sz w:val="21"/>
                <w:szCs w:val="21"/>
                <w:highlight w:val="none"/>
                <w:lang w:val="en-US" w:eastAsia="zh-CN"/>
              </w:rPr>
              <w:t>8</w:t>
            </w:r>
          </w:p>
        </w:tc>
        <w:tc>
          <w:tcPr>
            <w:tcW w:w="2909" w:type="dxa"/>
            <w:vAlign w:val="center"/>
          </w:tcPr>
          <w:p w14:paraId="56FB8A23">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机柜</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机架</w:t>
            </w:r>
          </w:p>
        </w:tc>
        <w:tc>
          <w:tcPr>
            <w:tcW w:w="969" w:type="dxa"/>
            <w:vAlign w:val="center"/>
          </w:tcPr>
          <w:p w14:paraId="3E655AA3">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981" w:type="dxa"/>
            <w:vAlign w:val="center"/>
          </w:tcPr>
          <w:p w14:paraId="58CA57AD">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2865" w:type="dxa"/>
            <w:vAlign w:val="center"/>
          </w:tcPr>
          <w:p w14:paraId="35014C00">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商宇，伊顿，易力高科</w:t>
            </w:r>
          </w:p>
        </w:tc>
      </w:tr>
      <w:tr w14:paraId="5B2B6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2A33B5E8">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r>
              <w:rPr>
                <w:rFonts w:hint="eastAsia" w:ascii="宋体" w:hAnsi="宋体" w:cs="宋体"/>
                <w:color w:val="auto"/>
                <w:kern w:val="0"/>
                <w:sz w:val="21"/>
                <w:szCs w:val="21"/>
                <w:highlight w:val="none"/>
                <w:lang w:val="en-US" w:eastAsia="zh-CN"/>
              </w:rPr>
              <w:t>9</w:t>
            </w:r>
          </w:p>
        </w:tc>
        <w:tc>
          <w:tcPr>
            <w:tcW w:w="2909" w:type="dxa"/>
            <w:vAlign w:val="center"/>
          </w:tcPr>
          <w:p w14:paraId="6C4882CC">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电池柜</w:t>
            </w:r>
          </w:p>
        </w:tc>
        <w:tc>
          <w:tcPr>
            <w:tcW w:w="969" w:type="dxa"/>
            <w:vAlign w:val="center"/>
          </w:tcPr>
          <w:p w14:paraId="633FA1FD">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981" w:type="dxa"/>
            <w:vAlign w:val="center"/>
          </w:tcPr>
          <w:p w14:paraId="12F12156">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2865" w:type="dxa"/>
            <w:vAlign w:val="center"/>
          </w:tcPr>
          <w:p w14:paraId="338B3958">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商宇，伊顿，易力高科</w:t>
            </w:r>
          </w:p>
        </w:tc>
      </w:tr>
      <w:tr w14:paraId="7D3EC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6FDC296D">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60</w:t>
            </w:r>
          </w:p>
        </w:tc>
        <w:tc>
          <w:tcPr>
            <w:tcW w:w="2909" w:type="dxa"/>
            <w:vAlign w:val="center"/>
          </w:tcPr>
          <w:p w14:paraId="46EA3237">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蓄电池</w:t>
            </w:r>
          </w:p>
        </w:tc>
        <w:tc>
          <w:tcPr>
            <w:tcW w:w="969" w:type="dxa"/>
            <w:vAlign w:val="center"/>
          </w:tcPr>
          <w:p w14:paraId="08BA9461">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16</w:t>
            </w:r>
          </w:p>
        </w:tc>
        <w:tc>
          <w:tcPr>
            <w:tcW w:w="981" w:type="dxa"/>
            <w:vAlign w:val="center"/>
          </w:tcPr>
          <w:p w14:paraId="4E262602">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2865" w:type="dxa"/>
            <w:vAlign w:val="center"/>
          </w:tcPr>
          <w:p w14:paraId="2D76CB97">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商宇，伊顿，易力高科</w:t>
            </w:r>
          </w:p>
        </w:tc>
      </w:tr>
      <w:tr w14:paraId="09D2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3FB02DEB">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61</w:t>
            </w:r>
          </w:p>
        </w:tc>
        <w:tc>
          <w:tcPr>
            <w:tcW w:w="2909" w:type="dxa"/>
            <w:vAlign w:val="center"/>
          </w:tcPr>
          <w:p w14:paraId="6ACACD2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配线架</w:t>
            </w:r>
          </w:p>
        </w:tc>
        <w:tc>
          <w:tcPr>
            <w:tcW w:w="969" w:type="dxa"/>
            <w:vAlign w:val="center"/>
          </w:tcPr>
          <w:p w14:paraId="1344BC4C">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981" w:type="dxa"/>
            <w:vAlign w:val="center"/>
          </w:tcPr>
          <w:p w14:paraId="15E6EA51">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2865" w:type="dxa"/>
            <w:vAlign w:val="center"/>
          </w:tcPr>
          <w:p w14:paraId="3CB5B052">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康普，一舟，罗格朗</w:t>
            </w:r>
          </w:p>
        </w:tc>
      </w:tr>
      <w:tr w14:paraId="72866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24B22319">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r>
              <w:rPr>
                <w:rFonts w:hint="eastAsia" w:ascii="宋体" w:hAnsi="宋体" w:cs="宋体"/>
                <w:color w:val="auto"/>
                <w:kern w:val="0"/>
                <w:sz w:val="21"/>
                <w:szCs w:val="21"/>
                <w:highlight w:val="none"/>
                <w:lang w:val="en-US" w:eastAsia="zh-CN"/>
              </w:rPr>
              <w:t>2</w:t>
            </w:r>
          </w:p>
        </w:tc>
        <w:tc>
          <w:tcPr>
            <w:tcW w:w="2909" w:type="dxa"/>
            <w:vAlign w:val="center"/>
          </w:tcPr>
          <w:p w14:paraId="7E636BD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电力电缆</w:t>
            </w:r>
          </w:p>
        </w:tc>
        <w:tc>
          <w:tcPr>
            <w:tcW w:w="969" w:type="dxa"/>
            <w:vAlign w:val="center"/>
          </w:tcPr>
          <w:p w14:paraId="3BCB5115">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26.3</w:t>
            </w:r>
          </w:p>
        </w:tc>
        <w:tc>
          <w:tcPr>
            <w:tcW w:w="981" w:type="dxa"/>
            <w:vAlign w:val="center"/>
          </w:tcPr>
          <w:p w14:paraId="199D7AB9">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m</w:t>
            </w:r>
          </w:p>
        </w:tc>
        <w:tc>
          <w:tcPr>
            <w:tcW w:w="2865" w:type="dxa"/>
            <w:vAlign w:val="center"/>
          </w:tcPr>
          <w:p w14:paraId="79493008">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中策、东方、东腾</w:t>
            </w:r>
          </w:p>
        </w:tc>
      </w:tr>
      <w:tr w14:paraId="12E48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14:paraId="2DCF66CE">
            <w:pPr>
              <w:widowControl/>
              <w:jc w:val="center"/>
              <w:rPr>
                <w:rFonts w:hint="default" w:ascii="宋体" w:hAnsi="宋体" w:cs="宋体"/>
                <w:color w:val="auto"/>
                <w:kern w:val="0"/>
                <w:sz w:val="21"/>
                <w:szCs w:val="21"/>
                <w:highlight w:val="none"/>
                <w:lang w:val="en-US"/>
              </w:rPr>
            </w:pPr>
            <w:r>
              <w:rPr>
                <w:rFonts w:hint="eastAsia" w:ascii="宋体" w:hAnsi="宋体" w:cs="宋体"/>
                <w:color w:val="auto"/>
                <w:kern w:val="0"/>
                <w:sz w:val="21"/>
                <w:szCs w:val="21"/>
                <w:highlight w:val="none"/>
                <w:lang w:val="en-US" w:eastAsia="zh-CN"/>
              </w:rPr>
              <w:t>63</w:t>
            </w:r>
          </w:p>
        </w:tc>
        <w:tc>
          <w:tcPr>
            <w:tcW w:w="2909" w:type="dxa"/>
            <w:vAlign w:val="center"/>
          </w:tcPr>
          <w:p w14:paraId="4D348739">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电力电缆</w:t>
            </w:r>
          </w:p>
        </w:tc>
        <w:tc>
          <w:tcPr>
            <w:tcW w:w="969" w:type="dxa"/>
            <w:vAlign w:val="center"/>
          </w:tcPr>
          <w:p w14:paraId="74712645">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131.48</w:t>
            </w:r>
          </w:p>
        </w:tc>
        <w:tc>
          <w:tcPr>
            <w:tcW w:w="981" w:type="dxa"/>
            <w:vAlign w:val="center"/>
          </w:tcPr>
          <w:p w14:paraId="5867DD81">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m</w:t>
            </w:r>
          </w:p>
        </w:tc>
        <w:tc>
          <w:tcPr>
            <w:tcW w:w="2865" w:type="dxa"/>
            <w:vAlign w:val="center"/>
          </w:tcPr>
          <w:p w14:paraId="6F0243F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中策、东方、东腾</w:t>
            </w:r>
          </w:p>
        </w:tc>
      </w:tr>
    </w:tbl>
    <w:p w14:paraId="2C4549AE">
      <w:pPr>
        <w:pStyle w:val="14"/>
        <w:numPr>
          <w:ilvl w:val="0"/>
          <w:numId w:val="0"/>
        </w:numPr>
        <w:ind w:leftChars="0"/>
        <w:rPr>
          <w:color w:val="auto"/>
          <w:sz w:val="21"/>
          <w:szCs w:val="21"/>
          <w:highlight w:val="none"/>
        </w:rPr>
      </w:pPr>
    </w:p>
    <w:p w14:paraId="50A48B82">
      <w:pPr>
        <w:rPr>
          <w:color w:val="auto"/>
          <w:sz w:val="21"/>
          <w:szCs w:val="21"/>
          <w:highlight w:val="none"/>
        </w:rPr>
      </w:pPr>
    </w:p>
    <w:tbl>
      <w:tblPr>
        <w:tblStyle w:val="45"/>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2990"/>
        <w:gridCol w:w="978"/>
        <w:gridCol w:w="1005"/>
        <w:gridCol w:w="2604"/>
      </w:tblGrid>
      <w:tr w14:paraId="175E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vAlign w:val="center"/>
          </w:tcPr>
          <w:p w14:paraId="487033A7">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2990" w:type="dxa"/>
            <w:vAlign w:val="center"/>
          </w:tcPr>
          <w:p w14:paraId="61526A0D">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名称</w:t>
            </w:r>
          </w:p>
        </w:tc>
        <w:tc>
          <w:tcPr>
            <w:tcW w:w="978" w:type="dxa"/>
            <w:vAlign w:val="center"/>
          </w:tcPr>
          <w:p w14:paraId="4221B59F">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数量</w:t>
            </w:r>
          </w:p>
        </w:tc>
        <w:tc>
          <w:tcPr>
            <w:tcW w:w="1005" w:type="dxa"/>
            <w:vAlign w:val="center"/>
          </w:tcPr>
          <w:p w14:paraId="690C4347">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单位</w:t>
            </w:r>
          </w:p>
        </w:tc>
        <w:tc>
          <w:tcPr>
            <w:tcW w:w="2604" w:type="dxa"/>
            <w:vAlign w:val="center"/>
          </w:tcPr>
          <w:p w14:paraId="1B9847ED">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参考品牌</w:t>
            </w:r>
          </w:p>
        </w:tc>
      </w:tr>
      <w:tr w14:paraId="1260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6" w:type="dxa"/>
            <w:gridSpan w:val="5"/>
            <w:shd w:val="clear" w:color="auto" w:fill="BEBEBE" w:themeFill="background1" w:themeFillShade="BF"/>
            <w:vAlign w:val="center"/>
          </w:tcPr>
          <w:p w14:paraId="40471362">
            <w:pPr>
              <w:widowControl/>
              <w:jc w:val="left"/>
              <w:rPr>
                <w:rFonts w:ascii="宋体" w:hAnsi="宋体" w:cs="宋体"/>
                <w:b/>
                <w:bCs/>
                <w:color w:val="auto"/>
                <w:sz w:val="21"/>
                <w:szCs w:val="21"/>
                <w:highlight w:val="none"/>
              </w:rPr>
            </w:pPr>
            <w:r>
              <w:rPr>
                <w:rFonts w:hint="eastAsia" w:ascii="宋体" w:hAnsi="宋体" w:cs="宋体"/>
                <w:b/>
                <w:bCs/>
                <w:color w:val="auto"/>
                <w:sz w:val="21"/>
                <w:szCs w:val="21"/>
                <w:highlight w:val="none"/>
              </w:rPr>
              <w:t>（2F）、视频监控系统</w:t>
            </w:r>
          </w:p>
        </w:tc>
      </w:tr>
      <w:tr w14:paraId="00FDA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9" w:type="dxa"/>
            <w:vAlign w:val="center"/>
          </w:tcPr>
          <w:p w14:paraId="54A06A4C">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64</w:t>
            </w:r>
          </w:p>
        </w:tc>
        <w:tc>
          <w:tcPr>
            <w:tcW w:w="2990" w:type="dxa"/>
            <w:vAlign w:val="center"/>
          </w:tcPr>
          <w:p w14:paraId="7F8956F2">
            <w:pPr>
              <w:widowControl/>
              <w:jc w:val="center"/>
              <w:rPr>
                <w:rFonts w:hint="default" w:ascii="宋体" w:hAnsi="宋体" w:cs="宋体"/>
                <w:color w:val="auto"/>
                <w:kern w:val="0"/>
                <w:sz w:val="21"/>
                <w:szCs w:val="21"/>
                <w:highlight w:val="none"/>
                <w:lang w:val="en-US"/>
              </w:rPr>
            </w:pPr>
            <w:r>
              <w:rPr>
                <w:rFonts w:hint="eastAsia" w:ascii="宋体" w:hAnsi="宋体" w:cs="宋体"/>
                <w:color w:val="auto"/>
                <w:kern w:val="0"/>
                <w:sz w:val="21"/>
                <w:szCs w:val="21"/>
                <w:highlight w:val="none"/>
                <w:lang w:val="en-US" w:eastAsia="zh-CN"/>
              </w:rPr>
              <w:t>监控摄像设备5</w:t>
            </w:r>
          </w:p>
        </w:tc>
        <w:tc>
          <w:tcPr>
            <w:tcW w:w="978" w:type="dxa"/>
            <w:shd w:val="clear" w:color="FFFFFF" w:fill="FFFFFF"/>
            <w:vAlign w:val="center"/>
          </w:tcPr>
          <w:p w14:paraId="6FA1CC37">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1005" w:type="dxa"/>
            <w:vAlign w:val="center"/>
          </w:tcPr>
          <w:p w14:paraId="5DB48010">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2604" w:type="dxa"/>
            <w:vAlign w:val="center"/>
          </w:tcPr>
          <w:p w14:paraId="79144750">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海康威视</w:t>
            </w:r>
            <w:r>
              <w:rPr>
                <w:rFonts w:hint="eastAsia" w:ascii="宋体" w:hAnsi="宋体" w:cs="宋体"/>
                <w:color w:val="auto"/>
                <w:kern w:val="0"/>
                <w:sz w:val="21"/>
                <w:szCs w:val="21"/>
                <w:highlight w:val="none"/>
              </w:rPr>
              <w:t>、英飞拓、天地伟业</w:t>
            </w:r>
          </w:p>
        </w:tc>
      </w:tr>
      <w:tr w14:paraId="755B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9" w:type="dxa"/>
            <w:vAlign w:val="center"/>
          </w:tcPr>
          <w:p w14:paraId="7F0C7ECD">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65</w:t>
            </w:r>
          </w:p>
        </w:tc>
        <w:tc>
          <w:tcPr>
            <w:tcW w:w="2990" w:type="dxa"/>
            <w:vAlign w:val="center"/>
          </w:tcPr>
          <w:p w14:paraId="5BEF07E0">
            <w:pPr>
              <w:widowControl/>
              <w:jc w:val="center"/>
              <w:rPr>
                <w:rFonts w:hint="default" w:ascii="宋体" w:hAnsi="宋体" w:cs="宋体"/>
                <w:color w:val="auto"/>
                <w:kern w:val="0"/>
                <w:sz w:val="21"/>
                <w:szCs w:val="21"/>
                <w:highlight w:val="none"/>
                <w:lang w:val="en-US"/>
              </w:rPr>
            </w:pPr>
            <w:r>
              <w:rPr>
                <w:rFonts w:hint="eastAsia" w:ascii="宋体" w:hAnsi="宋体" w:cs="宋体"/>
                <w:color w:val="auto"/>
                <w:kern w:val="0"/>
                <w:sz w:val="21"/>
                <w:szCs w:val="21"/>
                <w:highlight w:val="none"/>
                <w:lang w:val="en-US" w:eastAsia="zh-CN"/>
              </w:rPr>
              <w:t>监控摄像设备6</w:t>
            </w:r>
          </w:p>
        </w:tc>
        <w:tc>
          <w:tcPr>
            <w:tcW w:w="978" w:type="dxa"/>
            <w:vAlign w:val="center"/>
          </w:tcPr>
          <w:p w14:paraId="27FC5771">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005" w:type="dxa"/>
            <w:vAlign w:val="center"/>
          </w:tcPr>
          <w:p w14:paraId="2FEE997F">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2604" w:type="dxa"/>
            <w:vAlign w:val="center"/>
          </w:tcPr>
          <w:p w14:paraId="71CE07E8">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海康威视</w:t>
            </w:r>
            <w:r>
              <w:rPr>
                <w:rFonts w:hint="eastAsia" w:ascii="宋体" w:hAnsi="宋体" w:cs="宋体"/>
                <w:color w:val="auto"/>
                <w:kern w:val="0"/>
                <w:sz w:val="21"/>
                <w:szCs w:val="21"/>
                <w:highlight w:val="none"/>
              </w:rPr>
              <w:t>、英飞拓、天地伟业</w:t>
            </w:r>
          </w:p>
        </w:tc>
      </w:tr>
      <w:tr w14:paraId="315D8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6" w:type="dxa"/>
            <w:gridSpan w:val="5"/>
            <w:shd w:val="clear" w:color="auto" w:fill="BEBEBE" w:themeFill="background1" w:themeFillShade="BF"/>
            <w:vAlign w:val="center"/>
          </w:tcPr>
          <w:p w14:paraId="157BCA9D">
            <w:pPr>
              <w:jc w:val="left"/>
              <w:rPr>
                <w:rFonts w:ascii="宋体" w:hAnsi="宋体" w:cs="宋体"/>
                <w:b/>
                <w:bCs/>
                <w:color w:val="auto"/>
                <w:sz w:val="21"/>
                <w:szCs w:val="21"/>
                <w:highlight w:val="none"/>
              </w:rPr>
            </w:pPr>
            <w:r>
              <w:rPr>
                <w:rFonts w:hint="eastAsia" w:ascii="宋体" w:hAnsi="宋体" w:cs="宋体"/>
                <w:b/>
                <w:bCs/>
                <w:color w:val="auto"/>
                <w:sz w:val="21"/>
                <w:szCs w:val="21"/>
                <w:highlight w:val="none"/>
              </w:rPr>
              <w:t>（2F）、办案区出入口控制系统</w:t>
            </w:r>
          </w:p>
        </w:tc>
      </w:tr>
      <w:tr w14:paraId="0B409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9" w:type="dxa"/>
            <w:vAlign w:val="center"/>
          </w:tcPr>
          <w:p w14:paraId="21275E08">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66</w:t>
            </w:r>
          </w:p>
        </w:tc>
        <w:tc>
          <w:tcPr>
            <w:tcW w:w="2990" w:type="dxa"/>
            <w:vAlign w:val="center"/>
          </w:tcPr>
          <w:p w14:paraId="64295A82">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出入口目标识别设备</w:t>
            </w:r>
          </w:p>
        </w:tc>
        <w:tc>
          <w:tcPr>
            <w:tcW w:w="978" w:type="dxa"/>
            <w:vAlign w:val="center"/>
          </w:tcPr>
          <w:p w14:paraId="69E6D9AB">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1005" w:type="dxa"/>
            <w:vAlign w:val="center"/>
          </w:tcPr>
          <w:p w14:paraId="038755CD">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2604" w:type="dxa"/>
            <w:vAlign w:val="center"/>
          </w:tcPr>
          <w:p w14:paraId="38EF9CDF">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海康威视</w:t>
            </w:r>
            <w:r>
              <w:rPr>
                <w:rFonts w:hint="eastAsia" w:ascii="宋体" w:hAnsi="宋体" w:cs="宋体"/>
                <w:color w:val="auto"/>
                <w:kern w:val="0"/>
                <w:sz w:val="21"/>
                <w:szCs w:val="21"/>
                <w:highlight w:val="none"/>
              </w:rPr>
              <w:t>、英飞拓、天地伟业</w:t>
            </w:r>
          </w:p>
        </w:tc>
      </w:tr>
      <w:tr w14:paraId="010E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9" w:type="dxa"/>
            <w:vAlign w:val="center"/>
          </w:tcPr>
          <w:p w14:paraId="4E8B1C2B">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67</w:t>
            </w:r>
          </w:p>
        </w:tc>
        <w:tc>
          <w:tcPr>
            <w:tcW w:w="2990" w:type="dxa"/>
            <w:vAlign w:val="center"/>
          </w:tcPr>
          <w:p w14:paraId="4BB5F513">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出入口目标识别设备</w:t>
            </w:r>
          </w:p>
        </w:tc>
        <w:tc>
          <w:tcPr>
            <w:tcW w:w="978" w:type="dxa"/>
            <w:vAlign w:val="center"/>
          </w:tcPr>
          <w:p w14:paraId="431D7ED6">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005" w:type="dxa"/>
            <w:vAlign w:val="center"/>
          </w:tcPr>
          <w:p w14:paraId="7DEB30F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2604" w:type="dxa"/>
            <w:vAlign w:val="center"/>
          </w:tcPr>
          <w:p w14:paraId="1A36F37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海康威视</w:t>
            </w:r>
            <w:r>
              <w:rPr>
                <w:rFonts w:hint="eastAsia" w:ascii="宋体" w:hAnsi="宋体" w:cs="宋体"/>
                <w:color w:val="auto"/>
                <w:kern w:val="0"/>
                <w:sz w:val="21"/>
                <w:szCs w:val="21"/>
                <w:highlight w:val="none"/>
              </w:rPr>
              <w:t>、英飞拓、天地伟业</w:t>
            </w:r>
          </w:p>
        </w:tc>
      </w:tr>
      <w:tr w14:paraId="46F3E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9" w:type="dxa"/>
            <w:vAlign w:val="center"/>
          </w:tcPr>
          <w:p w14:paraId="174C1E12">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68</w:t>
            </w:r>
          </w:p>
        </w:tc>
        <w:tc>
          <w:tcPr>
            <w:tcW w:w="2990" w:type="dxa"/>
            <w:vAlign w:val="center"/>
          </w:tcPr>
          <w:p w14:paraId="1207388B">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出入口目标识别设备</w:t>
            </w:r>
          </w:p>
        </w:tc>
        <w:tc>
          <w:tcPr>
            <w:tcW w:w="978" w:type="dxa"/>
            <w:vAlign w:val="center"/>
          </w:tcPr>
          <w:p w14:paraId="2295FBD1">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005" w:type="dxa"/>
            <w:vAlign w:val="center"/>
          </w:tcPr>
          <w:p w14:paraId="45F4CE1B">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2604" w:type="dxa"/>
            <w:vAlign w:val="center"/>
          </w:tcPr>
          <w:p w14:paraId="302CE9A7">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海康威视</w:t>
            </w:r>
            <w:r>
              <w:rPr>
                <w:rFonts w:hint="eastAsia" w:ascii="宋体" w:hAnsi="宋体" w:cs="宋体"/>
                <w:color w:val="auto"/>
                <w:kern w:val="0"/>
                <w:sz w:val="21"/>
                <w:szCs w:val="21"/>
                <w:highlight w:val="none"/>
              </w:rPr>
              <w:t>、英飞拓、天地伟业</w:t>
            </w:r>
          </w:p>
        </w:tc>
      </w:tr>
      <w:tr w14:paraId="05B06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39" w:type="dxa"/>
            <w:vAlign w:val="center"/>
          </w:tcPr>
          <w:p w14:paraId="79EE47CB">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69</w:t>
            </w:r>
          </w:p>
        </w:tc>
        <w:tc>
          <w:tcPr>
            <w:tcW w:w="2990" w:type="dxa"/>
            <w:vAlign w:val="center"/>
          </w:tcPr>
          <w:p w14:paraId="7A0C15C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出入口目标识别设备</w:t>
            </w:r>
          </w:p>
        </w:tc>
        <w:tc>
          <w:tcPr>
            <w:tcW w:w="978" w:type="dxa"/>
            <w:vAlign w:val="center"/>
          </w:tcPr>
          <w:p w14:paraId="37EFB13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1005" w:type="dxa"/>
            <w:vAlign w:val="center"/>
          </w:tcPr>
          <w:p w14:paraId="2D7605B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2604" w:type="dxa"/>
            <w:vAlign w:val="center"/>
          </w:tcPr>
          <w:p w14:paraId="3E393D5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海康威视</w:t>
            </w:r>
            <w:r>
              <w:rPr>
                <w:rFonts w:hint="eastAsia" w:ascii="宋体" w:hAnsi="宋体" w:cs="宋体"/>
                <w:color w:val="auto"/>
                <w:kern w:val="0"/>
                <w:sz w:val="21"/>
                <w:szCs w:val="21"/>
                <w:highlight w:val="none"/>
              </w:rPr>
              <w:t>、英飞拓、天地伟业</w:t>
            </w:r>
          </w:p>
        </w:tc>
      </w:tr>
      <w:tr w14:paraId="4F74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9" w:type="dxa"/>
            <w:vAlign w:val="center"/>
          </w:tcPr>
          <w:p w14:paraId="1E5977BD">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70</w:t>
            </w:r>
          </w:p>
        </w:tc>
        <w:tc>
          <w:tcPr>
            <w:tcW w:w="2990" w:type="dxa"/>
            <w:vAlign w:val="center"/>
          </w:tcPr>
          <w:p w14:paraId="1C5D20EC">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交换机</w:t>
            </w:r>
          </w:p>
        </w:tc>
        <w:tc>
          <w:tcPr>
            <w:tcW w:w="978" w:type="dxa"/>
            <w:vAlign w:val="center"/>
          </w:tcPr>
          <w:p w14:paraId="2B9C09D8">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005" w:type="dxa"/>
            <w:vAlign w:val="center"/>
          </w:tcPr>
          <w:p w14:paraId="5CEEE4BB">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2604" w:type="dxa"/>
            <w:vAlign w:val="center"/>
          </w:tcPr>
          <w:p w14:paraId="0C74439F">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华三、华为、锐捷</w:t>
            </w:r>
          </w:p>
        </w:tc>
      </w:tr>
      <w:tr w14:paraId="1B06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516" w:type="dxa"/>
            <w:gridSpan w:val="5"/>
            <w:shd w:val="clear" w:color="auto" w:fill="BEBEBE" w:themeFill="background1" w:themeFillShade="BF"/>
            <w:vAlign w:val="center"/>
          </w:tcPr>
          <w:p w14:paraId="5DC302C0">
            <w:pPr>
              <w:jc w:val="left"/>
              <w:rPr>
                <w:rFonts w:ascii="宋体" w:hAnsi="宋体" w:cs="宋体"/>
                <w:b/>
                <w:bCs/>
                <w:color w:val="auto"/>
                <w:sz w:val="21"/>
                <w:szCs w:val="21"/>
                <w:highlight w:val="none"/>
              </w:rPr>
            </w:pPr>
            <w:r>
              <w:rPr>
                <w:rFonts w:hint="eastAsia" w:ascii="宋体" w:hAnsi="宋体" w:cs="宋体"/>
                <w:b/>
                <w:bCs/>
                <w:color w:val="auto"/>
                <w:sz w:val="21"/>
                <w:szCs w:val="21"/>
                <w:highlight w:val="none"/>
              </w:rPr>
              <w:t>（2F）、办案区综合布线系统</w:t>
            </w:r>
          </w:p>
        </w:tc>
      </w:tr>
      <w:tr w14:paraId="61536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39" w:type="dxa"/>
            <w:vAlign w:val="center"/>
          </w:tcPr>
          <w:p w14:paraId="5F587BDD">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71</w:t>
            </w:r>
          </w:p>
        </w:tc>
        <w:tc>
          <w:tcPr>
            <w:tcW w:w="2990" w:type="dxa"/>
            <w:vAlign w:val="center"/>
          </w:tcPr>
          <w:p w14:paraId="6B690FAC">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信息插座</w:t>
            </w:r>
          </w:p>
        </w:tc>
        <w:tc>
          <w:tcPr>
            <w:tcW w:w="978" w:type="dxa"/>
            <w:vAlign w:val="center"/>
          </w:tcPr>
          <w:p w14:paraId="651DD93C">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005" w:type="dxa"/>
            <w:vAlign w:val="center"/>
          </w:tcPr>
          <w:p w14:paraId="1FC6B160">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2604" w:type="dxa"/>
            <w:vAlign w:val="center"/>
          </w:tcPr>
          <w:p w14:paraId="500BDC8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康普，一舟，罗格朗</w:t>
            </w:r>
          </w:p>
        </w:tc>
      </w:tr>
      <w:tr w14:paraId="15B6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9" w:type="dxa"/>
            <w:vAlign w:val="center"/>
          </w:tcPr>
          <w:p w14:paraId="2DDF0AE8">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72</w:t>
            </w:r>
          </w:p>
        </w:tc>
        <w:tc>
          <w:tcPr>
            <w:tcW w:w="2990" w:type="dxa"/>
            <w:vAlign w:val="center"/>
          </w:tcPr>
          <w:p w14:paraId="3BC2EEB3">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信息插座</w:t>
            </w:r>
          </w:p>
        </w:tc>
        <w:tc>
          <w:tcPr>
            <w:tcW w:w="978" w:type="dxa"/>
            <w:vAlign w:val="center"/>
          </w:tcPr>
          <w:p w14:paraId="6B3D9249">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005" w:type="dxa"/>
            <w:vAlign w:val="center"/>
          </w:tcPr>
          <w:p w14:paraId="6EDF10AC">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2604" w:type="dxa"/>
            <w:vAlign w:val="center"/>
          </w:tcPr>
          <w:p w14:paraId="42228723">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康普，一舟，罗格朗</w:t>
            </w:r>
          </w:p>
        </w:tc>
      </w:tr>
      <w:tr w14:paraId="78DAE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9" w:type="dxa"/>
            <w:vAlign w:val="center"/>
          </w:tcPr>
          <w:p w14:paraId="0C8CE209">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73</w:t>
            </w:r>
          </w:p>
        </w:tc>
        <w:tc>
          <w:tcPr>
            <w:tcW w:w="2990" w:type="dxa"/>
            <w:vAlign w:val="center"/>
          </w:tcPr>
          <w:p w14:paraId="2B855119">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信息插座</w:t>
            </w:r>
          </w:p>
        </w:tc>
        <w:tc>
          <w:tcPr>
            <w:tcW w:w="978" w:type="dxa"/>
            <w:vAlign w:val="center"/>
          </w:tcPr>
          <w:p w14:paraId="764A07C0">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005" w:type="dxa"/>
            <w:vAlign w:val="center"/>
          </w:tcPr>
          <w:p w14:paraId="685C3A1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2604" w:type="dxa"/>
            <w:vAlign w:val="center"/>
          </w:tcPr>
          <w:p w14:paraId="3C2FBA95">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康普，一舟，罗格朗</w:t>
            </w:r>
          </w:p>
        </w:tc>
      </w:tr>
      <w:tr w14:paraId="13490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9" w:type="dxa"/>
            <w:vAlign w:val="center"/>
          </w:tcPr>
          <w:p w14:paraId="00C12226">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74</w:t>
            </w:r>
          </w:p>
        </w:tc>
        <w:tc>
          <w:tcPr>
            <w:tcW w:w="2990" w:type="dxa"/>
            <w:vAlign w:val="center"/>
          </w:tcPr>
          <w:p w14:paraId="6B202537">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信息插座</w:t>
            </w:r>
          </w:p>
        </w:tc>
        <w:tc>
          <w:tcPr>
            <w:tcW w:w="978" w:type="dxa"/>
            <w:vAlign w:val="center"/>
          </w:tcPr>
          <w:p w14:paraId="5E41AFEC">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57</w:t>
            </w:r>
          </w:p>
        </w:tc>
        <w:tc>
          <w:tcPr>
            <w:tcW w:w="1005" w:type="dxa"/>
            <w:vAlign w:val="center"/>
          </w:tcPr>
          <w:p w14:paraId="18CD4057">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2604" w:type="dxa"/>
            <w:vAlign w:val="center"/>
          </w:tcPr>
          <w:p w14:paraId="6666C63C">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康普，一舟，罗格朗</w:t>
            </w:r>
          </w:p>
        </w:tc>
      </w:tr>
      <w:tr w14:paraId="07953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9" w:type="dxa"/>
            <w:vAlign w:val="center"/>
          </w:tcPr>
          <w:p w14:paraId="7F16DE88">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75</w:t>
            </w:r>
          </w:p>
        </w:tc>
        <w:tc>
          <w:tcPr>
            <w:tcW w:w="2990" w:type="dxa"/>
            <w:vAlign w:val="center"/>
          </w:tcPr>
          <w:p w14:paraId="64B887A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信息插座</w:t>
            </w:r>
          </w:p>
        </w:tc>
        <w:tc>
          <w:tcPr>
            <w:tcW w:w="978" w:type="dxa"/>
            <w:vAlign w:val="center"/>
          </w:tcPr>
          <w:p w14:paraId="3501AB6F">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22</w:t>
            </w:r>
          </w:p>
        </w:tc>
        <w:tc>
          <w:tcPr>
            <w:tcW w:w="1005" w:type="dxa"/>
            <w:vAlign w:val="center"/>
          </w:tcPr>
          <w:p w14:paraId="77ED3711">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2604" w:type="dxa"/>
            <w:vAlign w:val="center"/>
          </w:tcPr>
          <w:p w14:paraId="08526F7C">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康普，一舟，罗格朗</w:t>
            </w:r>
          </w:p>
        </w:tc>
      </w:tr>
      <w:tr w14:paraId="4C59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9" w:type="dxa"/>
            <w:vAlign w:val="center"/>
          </w:tcPr>
          <w:p w14:paraId="1D883F0E">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76</w:t>
            </w:r>
          </w:p>
        </w:tc>
        <w:tc>
          <w:tcPr>
            <w:tcW w:w="2990" w:type="dxa"/>
            <w:vAlign w:val="center"/>
          </w:tcPr>
          <w:p w14:paraId="7F8F04DB">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信息插座</w:t>
            </w:r>
          </w:p>
        </w:tc>
        <w:tc>
          <w:tcPr>
            <w:tcW w:w="978" w:type="dxa"/>
            <w:vAlign w:val="center"/>
          </w:tcPr>
          <w:p w14:paraId="236A167B">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102</w:t>
            </w:r>
          </w:p>
        </w:tc>
        <w:tc>
          <w:tcPr>
            <w:tcW w:w="1005" w:type="dxa"/>
            <w:vAlign w:val="center"/>
          </w:tcPr>
          <w:p w14:paraId="4500CB2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2604" w:type="dxa"/>
            <w:vAlign w:val="center"/>
          </w:tcPr>
          <w:p w14:paraId="26CCB68C">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康普，一舟，罗格朗</w:t>
            </w:r>
          </w:p>
        </w:tc>
      </w:tr>
      <w:tr w14:paraId="1AB0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9" w:type="dxa"/>
            <w:vAlign w:val="center"/>
          </w:tcPr>
          <w:p w14:paraId="0CE684EE">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77</w:t>
            </w:r>
          </w:p>
        </w:tc>
        <w:tc>
          <w:tcPr>
            <w:tcW w:w="2990" w:type="dxa"/>
            <w:vAlign w:val="center"/>
          </w:tcPr>
          <w:p w14:paraId="5FC731F9">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信息插座</w:t>
            </w:r>
          </w:p>
        </w:tc>
        <w:tc>
          <w:tcPr>
            <w:tcW w:w="978" w:type="dxa"/>
            <w:vAlign w:val="center"/>
          </w:tcPr>
          <w:p w14:paraId="7F4D2792">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59</w:t>
            </w:r>
          </w:p>
        </w:tc>
        <w:tc>
          <w:tcPr>
            <w:tcW w:w="1005" w:type="dxa"/>
            <w:vAlign w:val="center"/>
          </w:tcPr>
          <w:p w14:paraId="1ED78F9F">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2604" w:type="dxa"/>
            <w:vAlign w:val="center"/>
          </w:tcPr>
          <w:p w14:paraId="0D423040">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康普，一舟，罗格朗</w:t>
            </w:r>
          </w:p>
        </w:tc>
      </w:tr>
      <w:tr w14:paraId="569D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9" w:type="dxa"/>
            <w:vAlign w:val="center"/>
          </w:tcPr>
          <w:p w14:paraId="373FC9E8">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78</w:t>
            </w:r>
          </w:p>
        </w:tc>
        <w:tc>
          <w:tcPr>
            <w:tcW w:w="2990" w:type="dxa"/>
            <w:vAlign w:val="center"/>
          </w:tcPr>
          <w:p w14:paraId="647A6DA7">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交换机</w:t>
            </w:r>
          </w:p>
        </w:tc>
        <w:tc>
          <w:tcPr>
            <w:tcW w:w="978" w:type="dxa"/>
            <w:vAlign w:val="center"/>
          </w:tcPr>
          <w:p w14:paraId="72D71870">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1005" w:type="dxa"/>
            <w:vAlign w:val="center"/>
          </w:tcPr>
          <w:p w14:paraId="3A44F7C2">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2604" w:type="dxa"/>
            <w:vAlign w:val="center"/>
          </w:tcPr>
          <w:p w14:paraId="2313167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康普，一舟，罗格朗</w:t>
            </w:r>
          </w:p>
        </w:tc>
      </w:tr>
      <w:tr w14:paraId="00F7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9" w:type="dxa"/>
            <w:vAlign w:val="center"/>
          </w:tcPr>
          <w:p w14:paraId="478FC671">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79</w:t>
            </w:r>
          </w:p>
        </w:tc>
        <w:tc>
          <w:tcPr>
            <w:tcW w:w="2990" w:type="dxa"/>
            <w:vAlign w:val="center"/>
          </w:tcPr>
          <w:p w14:paraId="6CF694A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配线架</w:t>
            </w:r>
          </w:p>
        </w:tc>
        <w:tc>
          <w:tcPr>
            <w:tcW w:w="978" w:type="dxa"/>
            <w:vAlign w:val="center"/>
          </w:tcPr>
          <w:p w14:paraId="33489DA6">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1005" w:type="dxa"/>
            <w:vAlign w:val="center"/>
          </w:tcPr>
          <w:p w14:paraId="148C10EB">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架</w:t>
            </w:r>
          </w:p>
        </w:tc>
        <w:tc>
          <w:tcPr>
            <w:tcW w:w="2604" w:type="dxa"/>
            <w:vAlign w:val="center"/>
          </w:tcPr>
          <w:p w14:paraId="0CB281DD">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康普，一舟，罗格朗</w:t>
            </w:r>
          </w:p>
        </w:tc>
      </w:tr>
      <w:tr w14:paraId="4C948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9" w:type="dxa"/>
            <w:vAlign w:val="center"/>
          </w:tcPr>
          <w:p w14:paraId="1B730F96">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80</w:t>
            </w:r>
          </w:p>
        </w:tc>
        <w:tc>
          <w:tcPr>
            <w:tcW w:w="2990" w:type="dxa"/>
            <w:vAlign w:val="center"/>
          </w:tcPr>
          <w:p w14:paraId="7FF821F9">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配线架</w:t>
            </w:r>
          </w:p>
        </w:tc>
        <w:tc>
          <w:tcPr>
            <w:tcW w:w="978" w:type="dxa"/>
            <w:vAlign w:val="center"/>
          </w:tcPr>
          <w:p w14:paraId="20BAC092">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40</w:t>
            </w:r>
          </w:p>
        </w:tc>
        <w:tc>
          <w:tcPr>
            <w:tcW w:w="1005" w:type="dxa"/>
            <w:vAlign w:val="center"/>
          </w:tcPr>
          <w:p w14:paraId="71AE8A65">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2604" w:type="dxa"/>
            <w:vAlign w:val="center"/>
          </w:tcPr>
          <w:p w14:paraId="18E0EA83">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康普，一舟，罗格朗</w:t>
            </w:r>
          </w:p>
        </w:tc>
      </w:tr>
    </w:tbl>
    <w:p w14:paraId="66ABAC08">
      <w:pPr>
        <w:pStyle w:val="14"/>
        <w:numPr>
          <w:ilvl w:val="0"/>
          <w:numId w:val="0"/>
        </w:numPr>
        <w:ind w:leftChars="0"/>
        <w:rPr>
          <w:b/>
          <w:bCs/>
          <w:color w:val="auto"/>
          <w:sz w:val="21"/>
          <w:szCs w:val="21"/>
          <w:highlight w:val="none"/>
        </w:rPr>
      </w:pPr>
      <w:r>
        <w:rPr>
          <w:rFonts w:hint="eastAsia"/>
          <w:b/>
          <w:bCs/>
          <w:color w:val="auto"/>
          <w:sz w:val="21"/>
          <w:szCs w:val="21"/>
          <w:highlight w:val="none"/>
          <w:lang w:val="en-US" w:eastAsia="zh-CN"/>
        </w:rPr>
        <w:t>二.</w:t>
      </w:r>
      <w:r>
        <w:rPr>
          <w:rFonts w:hint="eastAsia"/>
          <w:b/>
          <w:bCs/>
          <w:color w:val="auto"/>
          <w:sz w:val="21"/>
          <w:szCs w:val="21"/>
          <w:highlight w:val="none"/>
        </w:rPr>
        <w:t>详细技术参数</w:t>
      </w:r>
    </w:p>
    <w:tbl>
      <w:tblPr>
        <w:tblStyle w:val="45"/>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663"/>
        <w:gridCol w:w="5893"/>
      </w:tblGrid>
      <w:tr w14:paraId="7063F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916" w:type="dxa"/>
            <w:vAlign w:val="center"/>
          </w:tcPr>
          <w:p w14:paraId="56DB2530">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1663" w:type="dxa"/>
            <w:vAlign w:val="center"/>
          </w:tcPr>
          <w:p w14:paraId="535D6B71">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名称</w:t>
            </w:r>
          </w:p>
        </w:tc>
        <w:tc>
          <w:tcPr>
            <w:tcW w:w="5893" w:type="dxa"/>
            <w:vAlign w:val="center"/>
          </w:tcPr>
          <w:p w14:paraId="0F4A6283">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参数</w:t>
            </w:r>
          </w:p>
        </w:tc>
      </w:tr>
      <w:tr w14:paraId="0155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8472" w:type="dxa"/>
            <w:gridSpan w:val="3"/>
            <w:shd w:val="clear" w:color="auto" w:fill="BEBEBE" w:themeFill="background1" w:themeFillShade="BF"/>
            <w:vAlign w:val="center"/>
          </w:tcPr>
          <w:p w14:paraId="54E3DF08">
            <w:pPr>
              <w:widowControl/>
              <w:jc w:val="left"/>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1F</w:t>
            </w:r>
          </w:p>
        </w:tc>
      </w:tr>
      <w:tr w14:paraId="2288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8472" w:type="dxa"/>
            <w:gridSpan w:val="3"/>
            <w:shd w:val="clear" w:color="auto" w:fill="BEBEBE" w:themeFill="background1" w:themeFillShade="BF"/>
            <w:vAlign w:val="center"/>
          </w:tcPr>
          <w:p w14:paraId="6F3D13CF">
            <w:pPr>
              <w:widowControl/>
              <w:jc w:val="left"/>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（1F）、视频监控系统</w:t>
            </w:r>
          </w:p>
        </w:tc>
      </w:tr>
      <w:tr w14:paraId="0E9A1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916" w:type="dxa"/>
            <w:vAlign w:val="center"/>
          </w:tcPr>
          <w:p w14:paraId="68FD04A5">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663" w:type="dxa"/>
            <w:vAlign w:val="center"/>
          </w:tcPr>
          <w:p w14:paraId="065C00C8">
            <w:pPr>
              <w:widowControl/>
              <w:jc w:val="center"/>
              <w:rPr>
                <w:rFonts w:hint="default" w:ascii="宋体" w:hAnsi="宋体" w:cs="宋体"/>
                <w:color w:val="auto"/>
                <w:kern w:val="0"/>
                <w:sz w:val="21"/>
                <w:szCs w:val="21"/>
                <w:highlight w:val="none"/>
                <w:lang w:val="en-US"/>
              </w:rPr>
            </w:pPr>
            <w:r>
              <w:rPr>
                <w:rFonts w:hint="eastAsia" w:ascii="宋体" w:hAnsi="宋体" w:cs="宋体"/>
                <w:color w:val="auto"/>
                <w:kern w:val="0"/>
                <w:sz w:val="21"/>
                <w:szCs w:val="21"/>
                <w:highlight w:val="none"/>
                <w:lang w:val="en-US" w:eastAsia="zh-CN"/>
              </w:rPr>
              <w:t>监控摄像设备1</w:t>
            </w:r>
          </w:p>
        </w:tc>
        <w:tc>
          <w:tcPr>
            <w:tcW w:w="5893" w:type="dxa"/>
            <w:shd w:val="clear" w:color="FFFFFF" w:fill="FFFFFF"/>
            <w:vAlign w:val="center"/>
          </w:tcPr>
          <w:p w14:paraId="1BD936D0">
            <w:pPr>
              <w:widowControl/>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1.名称：200万宽动态半球摄像机 </w:t>
            </w:r>
          </w:p>
          <w:p w14:paraId="31B5E416">
            <w:pPr>
              <w:widowControl/>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2.规格型号：200万 1/2.7" CMOS变焦半球型网络，摄像机；视频压缩标准： 主码流H.265/H.264；最大图像尺寸：1920× 1080；焦距&amp;视场角：2.7~12 mm：水平视场角：107 °~32°，垂直视场角：5 6°~18°，对角视场角： 128°~37°；调节角度: 水平：0°~355°，垂直 ：0°~75°，旋转：0°~ 355°；补光灯类型：红外灯；音频：1路输入（ Line in）；1路输出（ Line out）；1个内置麦克风；报警：1路输入，1路输出（报警输出最大支持DC12V/ PoE：，30 mA）；</w:t>
            </w:r>
          </w:p>
        </w:tc>
      </w:tr>
      <w:tr w14:paraId="3BF8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6" w:type="dxa"/>
            <w:vAlign w:val="center"/>
          </w:tcPr>
          <w:p w14:paraId="1701CBE8">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663" w:type="dxa"/>
            <w:vAlign w:val="center"/>
          </w:tcPr>
          <w:p w14:paraId="11655B2E">
            <w:pPr>
              <w:widowControl/>
              <w:jc w:val="center"/>
              <w:rPr>
                <w:rFonts w:hint="default" w:ascii="宋体" w:hAnsi="宋体" w:cs="宋体"/>
                <w:color w:val="auto"/>
                <w:kern w:val="0"/>
                <w:sz w:val="21"/>
                <w:szCs w:val="21"/>
                <w:highlight w:val="none"/>
                <w:lang w:val="en-US"/>
              </w:rPr>
            </w:pPr>
            <w:r>
              <w:rPr>
                <w:rFonts w:hint="eastAsia" w:ascii="宋体" w:hAnsi="宋体" w:cs="宋体"/>
                <w:color w:val="auto"/>
                <w:kern w:val="0"/>
                <w:sz w:val="21"/>
                <w:szCs w:val="21"/>
                <w:highlight w:val="none"/>
                <w:lang w:val="en-US" w:eastAsia="zh-CN"/>
              </w:rPr>
              <w:t>监控摄像设备2</w:t>
            </w:r>
          </w:p>
        </w:tc>
        <w:tc>
          <w:tcPr>
            <w:tcW w:w="5893" w:type="dxa"/>
            <w:vAlign w:val="center"/>
          </w:tcPr>
          <w:p w14:paraId="4F796B98">
            <w:pPr>
              <w:widowControl/>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 xml:space="preserve">1.名称：200万特写摄像机 </w:t>
            </w:r>
          </w:p>
          <w:p w14:paraId="4363A532">
            <w:pPr>
              <w:widowControl/>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2.规格型号：200万3寸4 倍PTZ半球；传感器类型 ：1/2.8＂progressive scan CMOS；焦距：2.8~ 12 mm；视场角：104.5~ 33度（广角~望远）；支 持最大1920× 1080@30 fps高清画面输出；支持H .265高效压缩算法；支持4倍光学变倍，16倍数字 变倍；支持350°水平旋转，垂直方向0°~90°；支持1路音频输入和1路音频输出；内置1路报警输入和1路报警输出，支持报警联动功能</w:t>
            </w:r>
          </w:p>
          <w:p w14:paraId="6A11C41E">
            <w:pPr>
              <w:widowControl/>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支持水平手控速度不小于60°/s，云台定位精度小于等于0.1°。（提供CNAS或CMA认可的第三方机构出具的测试报告证明）</w:t>
            </w:r>
          </w:p>
          <w:p w14:paraId="79C702F5">
            <w:pPr>
              <w:widowControl/>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水平旋转范围为355°连续旋转，垂直旋转范围为0°~90°。（提供CNAS或CMA认可的第三方机构出具的测试报告证明）</w:t>
            </w:r>
          </w:p>
          <w:p w14:paraId="5FBD4BE6">
            <w:pPr>
              <w:widowControl/>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5.</w:t>
            </w:r>
            <w:r>
              <w:rPr>
                <w:rFonts w:hint="eastAsia" w:ascii="宋体" w:hAnsi="宋体" w:cs="宋体"/>
                <w:color w:val="auto"/>
                <w:kern w:val="0"/>
                <w:sz w:val="21"/>
                <w:szCs w:val="21"/>
                <w:highlight w:val="none"/>
              </w:rPr>
              <w:t>网络接口：RJ45网口，自适应10M/100M网络数据</w:t>
            </w:r>
          </w:p>
          <w:p w14:paraId="392D0244">
            <w:pPr>
              <w:widowControl/>
              <w:rPr>
                <w:rFonts w:ascii="宋体" w:hAnsi="宋体" w:cs="宋体"/>
                <w:color w:val="auto"/>
                <w:kern w:val="0"/>
                <w:sz w:val="21"/>
                <w:szCs w:val="21"/>
                <w:highlight w:val="none"/>
              </w:rPr>
            </w:pPr>
            <w:r>
              <w:rPr>
                <w:rFonts w:hint="eastAsia" w:ascii="宋体" w:hAnsi="宋体" w:cs="宋体"/>
                <w:color w:val="auto"/>
                <w:kern w:val="0"/>
                <w:sz w:val="21"/>
                <w:szCs w:val="21"/>
                <w:highlight w:val="none"/>
              </w:rPr>
              <w:t>音频输入：内置mic，1路音频输入，音频峰值:2-2.4V[p-p]，输入阻抗:1KΩ±10%</w:t>
            </w:r>
          </w:p>
          <w:p w14:paraId="227682B9">
            <w:pPr>
              <w:widowControl/>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6.</w:t>
            </w:r>
            <w:r>
              <w:rPr>
                <w:rFonts w:hint="eastAsia" w:ascii="宋体" w:hAnsi="宋体" w:cs="宋体"/>
                <w:color w:val="auto"/>
                <w:kern w:val="0"/>
                <w:sz w:val="21"/>
                <w:szCs w:val="21"/>
                <w:highlight w:val="none"/>
              </w:rPr>
              <w:t>供电方式：DC：12 V /PoE：802.3af</w:t>
            </w:r>
          </w:p>
          <w:p w14:paraId="4A5327BC">
            <w:pPr>
              <w:widowControl/>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7.</w:t>
            </w:r>
            <w:r>
              <w:rPr>
                <w:rFonts w:hint="eastAsia" w:ascii="宋体" w:hAnsi="宋体" w:cs="宋体"/>
                <w:color w:val="auto"/>
                <w:kern w:val="0"/>
                <w:sz w:val="21"/>
                <w:szCs w:val="21"/>
                <w:highlight w:val="none"/>
              </w:rPr>
              <w:t>防护：IP66</w:t>
            </w:r>
          </w:p>
        </w:tc>
      </w:tr>
      <w:tr w14:paraId="343B1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6" w:type="dxa"/>
            <w:vAlign w:val="center"/>
          </w:tcPr>
          <w:p w14:paraId="0B0EFEF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663" w:type="dxa"/>
            <w:vAlign w:val="center"/>
          </w:tcPr>
          <w:p w14:paraId="7AF6650C">
            <w:pPr>
              <w:widowControl/>
              <w:jc w:val="center"/>
              <w:rPr>
                <w:rFonts w:hint="default" w:ascii="宋体" w:hAnsi="宋体" w:cs="宋体"/>
                <w:color w:val="auto"/>
                <w:kern w:val="0"/>
                <w:sz w:val="21"/>
                <w:szCs w:val="21"/>
                <w:highlight w:val="none"/>
                <w:lang w:val="en-US"/>
              </w:rPr>
            </w:pPr>
            <w:r>
              <w:rPr>
                <w:rFonts w:hint="eastAsia" w:ascii="宋体" w:hAnsi="宋体" w:cs="宋体"/>
                <w:color w:val="auto"/>
                <w:kern w:val="0"/>
                <w:sz w:val="21"/>
                <w:szCs w:val="21"/>
                <w:highlight w:val="none"/>
                <w:lang w:val="en-US" w:eastAsia="zh-CN"/>
              </w:rPr>
              <w:t>监控摄像设备3</w:t>
            </w:r>
          </w:p>
        </w:tc>
        <w:tc>
          <w:tcPr>
            <w:tcW w:w="5893" w:type="dxa"/>
            <w:vAlign w:val="center"/>
          </w:tcPr>
          <w:p w14:paraId="4E281347">
            <w:pPr>
              <w:widowControl/>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 xml:space="preserve">1.名称：200万全景摄像机 </w:t>
            </w:r>
          </w:p>
          <w:p w14:paraId="43F544CE">
            <w:pPr>
              <w:widowControl/>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2.规格型号：200万 1/1. 8”星光级CMOS 超宽动态 ICR日夜型半球型网络摄 像机；视频压缩标准：H. 265/H.264/MJPEG；最大 图像尺寸: 1920× 1080； 焦距&amp;视场角: 2.7-13.5 mm，水平视场角：107°~ 39.8° ，垂直视场角：56 ° ~22.4°，对角线视场 角：130.1°~45.7°；调 节角度: 水平：0~355°，垂直：0~75° ，旋转： 0~355°；音频: 2 路输入（Line in），1路输出 （Line out），2个内置麦克风，1个内置扬声器 ；报警: 3路输入，2路输出（报警输入支持开关量，报警输出最大支持DC12V，</w:t>
            </w:r>
            <w:r>
              <w:rPr>
                <w:rFonts w:hint="eastAsia" w:ascii="宋体" w:hAnsi="宋体" w:cs="宋体"/>
                <w:color w:val="auto"/>
                <w:kern w:val="0"/>
                <w:sz w:val="21"/>
                <w:szCs w:val="21"/>
                <w:highlight w:val="none"/>
              </w:rPr>
              <w:t>PoE</w:t>
            </w:r>
            <w:r>
              <w:rPr>
                <w:rFonts w:hint="eastAsia" w:ascii="宋体" w:hAnsi="宋体" w:cs="宋体"/>
                <w:color w:val="auto"/>
                <w:kern w:val="0"/>
                <w:sz w:val="21"/>
                <w:szCs w:val="21"/>
                <w:highlight w:val="none"/>
                <w:lang w:val="en-US" w:eastAsia="zh-CN"/>
              </w:rPr>
              <w:t>30mA）；</w:t>
            </w:r>
          </w:p>
          <w:p w14:paraId="2B18E2AE">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设备具有耀光抑制功能，耀光区域≤1%。（提供CNAS或CMA认可的第三方机构出具的测试报告证明）</w:t>
            </w:r>
          </w:p>
          <w:p w14:paraId="75E40EDD">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灯珠朝向与样机照射方向不同，补光灯开启后，灯光应均匀无波纹、圆环状、麻点状、条纹状和不规则亮斑。（提供CNAS或CMA认可的第三方机构出具的测试报告证明）</w:t>
            </w:r>
          </w:p>
          <w:p w14:paraId="54C65CDF">
            <w:pPr>
              <w:widowControl/>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5.</w:t>
            </w:r>
            <w:r>
              <w:rPr>
                <w:rFonts w:hint="eastAsia" w:ascii="宋体" w:hAnsi="宋体" w:cs="宋体"/>
                <w:color w:val="auto"/>
                <w:kern w:val="0"/>
                <w:sz w:val="21"/>
                <w:szCs w:val="21"/>
                <w:highlight w:val="none"/>
              </w:rPr>
              <w:t>防护：IP67</w:t>
            </w:r>
          </w:p>
        </w:tc>
      </w:tr>
      <w:tr w14:paraId="3F15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916" w:type="dxa"/>
            <w:vAlign w:val="center"/>
          </w:tcPr>
          <w:p w14:paraId="0F9C7FC7">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1663" w:type="dxa"/>
            <w:vAlign w:val="center"/>
          </w:tcPr>
          <w:p w14:paraId="39E19787">
            <w:pPr>
              <w:widowControl/>
              <w:jc w:val="center"/>
              <w:rPr>
                <w:rFonts w:hint="default" w:ascii="宋体" w:hAnsi="宋体" w:cs="宋体"/>
                <w:color w:val="auto"/>
                <w:kern w:val="0"/>
                <w:sz w:val="21"/>
                <w:szCs w:val="21"/>
                <w:highlight w:val="none"/>
                <w:lang w:val="en-US"/>
              </w:rPr>
            </w:pPr>
            <w:r>
              <w:rPr>
                <w:rFonts w:hint="eastAsia" w:ascii="宋体" w:hAnsi="宋体" w:cs="宋体"/>
                <w:color w:val="auto"/>
                <w:kern w:val="0"/>
                <w:sz w:val="21"/>
                <w:szCs w:val="21"/>
                <w:highlight w:val="none"/>
                <w:lang w:val="en-US" w:eastAsia="zh-CN"/>
              </w:rPr>
              <w:t>监控摄像设备4</w:t>
            </w:r>
          </w:p>
        </w:tc>
        <w:tc>
          <w:tcPr>
            <w:tcW w:w="5893" w:type="dxa"/>
            <w:vAlign w:val="center"/>
          </w:tcPr>
          <w:p w14:paraId="76803D56">
            <w:pPr>
              <w:widowControl/>
              <w:rPr>
                <w:rFonts w:hint="default" w:ascii="宋体" w:hAnsi="宋体" w:cs="宋体"/>
                <w:color w:val="auto"/>
                <w:kern w:val="0"/>
                <w:sz w:val="21"/>
                <w:szCs w:val="21"/>
                <w:highlight w:val="none"/>
                <w:lang w:val="en-US"/>
              </w:rPr>
            </w:pPr>
            <w:r>
              <w:rPr>
                <w:rFonts w:hint="eastAsia" w:ascii="宋体" w:hAnsi="宋体" w:cs="宋体"/>
                <w:color w:val="auto"/>
                <w:kern w:val="0"/>
                <w:sz w:val="21"/>
                <w:szCs w:val="21"/>
                <w:highlight w:val="none"/>
                <w:lang w:val="en-US" w:eastAsia="zh-CN"/>
              </w:rPr>
              <w:t>1.名称：物品拍照球机IP/AI</w:t>
            </w:r>
          </w:p>
          <w:p w14:paraId="3EF6D1A1">
            <w:pPr>
              <w:widowControl/>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传感器类型：1/2.8＂ progressive scan CMOS</w:t>
            </w: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rPr>
              <w:t>最低照度：彩色：0.005Lux @ (F1.6，AGC ON)；黑白：0.001Lux @(F1.6，AGC ON) ；0 Lux with IR</w:t>
            </w:r>
          </w:p>
          <w:p w14:paraId="5D1360F2">
            <w:pPr>
              <w:widowControl/>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rPr>
              <w:t xml:space="preserve">宽动态：支持真宽动态 </w:t>
            </w:r>
          </w:p>
          <w:p w14:paraId="27122ABD">
            <w:pPr>
              <w:widowControl/>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5.</w:t>
            </w:r>
            <w:r>
              <w:rPr>
                <w:rFonts w:hint="eastAsia" w:ascii="宋体" w:hAnsi="宋体" w:cs="宋体"/>
                <w:color w:val="auto"/>
                <w:kern w:val="0"/>
                <w:sz w:val="21"/>
                <w:szCs w:val="21"/>
                <w:highlight w:val="none"/>
              </w:rPr>
              <w:t xml:space="preserve">焦距：4.8 mm~110 mm，23倍光学变倍 </w:t>
            </w:r>
          </w:p>
          <w:p w14:paraId="557E028A">
            <w:pPr>
              <w:widowControl/>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6.</w:t>
            </w:r>
            <w:r>
              <w:rPr>
                <w:rFonts w:hint="eastAsia" w:ascii="宋体" w:hAnsi="宋体" w:cs="宋体"/>
                <w:color w:val="auto"/>
                <w:kern w:val="0"/>
                <w:sz w:val="21"/>
                <w:szCs w:val="21"/>
                <w:highlight w:val="none"/>
              </w:rPr>
              <w:t xml:space="preserve">视场角：水平视场角：55°~2.7°（广角~望远）垂直视场角：33°~1.5°（广角~望远）对角视场角：61.5°~3.1°（广角~望远） </w:t>
            </w:r>
          </w:p>
          <w:p w14:paraId="587E0FAC">
            <w:pPr>
              <w:widowControl/>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7.</w:t>
            </w:r>
            <w:r>
              <w:rPr>
                <w:rFonts w:hint="eastAsia" w:ascii="宋体" w:hAnsi="宋体" w:cs="宋体"/>
                <w:color w:val="auto"/>
                <w:kern w:val="0"/>
                <w:sz w:val="21"/>
                <w:szCs w:val="21"/>
                <w:highlight w:val="none"/>
              </w:rPr>
              <w:t>补光灯类型：红外补光</w:t>
            </w:r>
          </w:p>
          <w:p w14:paraId="208B5752">
            <w:pPr>
              <w:widowControl/>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8.</w:t>
            </w:r>
            <w:r>
              <w:rPr>
                <w:rFonts w:hint="eastAsia" w:ascii="宋体" w:hAnsi="宋体" w:cs="宋体"/>
                <w:color w:val="auto"/>
                <w:kern w:val="0"/>
                <w:sz w:val="21"/>
                <w:szCs w:val="21"/>
                <w:highlight w:val="none"/>
              </w:rPr>
              <w:t xml:space="preserve">红外照射距离：150 m </w:t>
            </w:r>
          </w:p>
          <w:p w14:paraId="2959471A">
            <w:pPr>
              <w:widowControl/>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9.</w:t>
            </w:r>
            <w:r>
              <w:rPr>
                <w:rFonts w:hint="eastAsia" w:ascii="宋体" w:hAnsi="宋体" w:cs="宋体"/>
                <w:color w:val="auto"/>
                <w:kern w:val="0"/>
                <w:sz w:val="21"/>
                <w:szCs w:val="21"/>
                <w:highlight w:val="none"/>
              </w:rPr>
              <w:t>水平范围：360°</w:t>
            </w:r>
          </w:p>
          <w:p w14:paraId="6E4F3B00">
            <w:pPr>
              <w:widowControl/>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10.</w:t>
            </w:r>
            <w:r>
              <w:rPr>
                <w:rFonts w:hint="eastAsia" w:ascii="宋体" w:hAnsi="宋体" w:cs="宋体"/>
                <w:color w:val="auto"/>
                <w:kern w:val="0"/>
                <w:sz w:val="21"/>
                <w:szCs w:val="21"/>
                <w:highlight w:val="none"/>
              </w:rPr>
              <w:t>垂直范围：-15°-90°(自动翻转)</w:t>
            </w:r>
          </w:p>
          <w:p w14:paraId="0FE19B42">
            <w:pPr>
              <w:widowControl/>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11.</w:t>
            </w:r>
            <w:r>
              <w:rPr>
                <w:rFonts w:hint="eastAsia" w:ascii="宋体" w:hAnsi="宋体" w:cs="宋体"/>
                <w:color w:val="auto"/>
                <w:kern w:val="0"/>
                <w:sz w:val="21"/>
                <w:szCs w:val="21"/>
                <w:highlight w:val="none"/>
              </w:rPr>
              <w:t>水平速度：水平键控速度：0.1°-160°/s,速度可设;水平预置点速度：240°/s</w:t>
            </w:r>
          </w:p>
          <w:p w14:paraId="6D4E73E4">
            <w:pPr>
              <w:widowControl/>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12.</w:t>
            </w:r>
            <w:r>
              <w:rPr>
                <w:rFonts w:hint="eastAsia" w:ascii="宋体" w:hAnsi="宋体" w:cs="宋体"/>
                <w:color w:val="auto"/>
                <w:kern w:val="0"/>
                <w:sz w:val="21"/>
                <w:szCs w:val="21"/>
                <w:highlight w:val="none"/>
              </w:rPr>
              <w:t xml:space="preserve">垂直速度：垂直键控速度：0.1°-120°/s,速度可设;垂直预置点速度：200°/s </w:t>
            </w:r>
          </w:p>
          <w:p w14:paraId="40985253">
            <w:pPr>
              <w:widowControl/>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13.</w:t>
            </w:r>
            <w:r>
              <w:rPr>
                <w:rFonts w:hint="eastAsia" w:ascii="宋体" w:hAnsi="宋体" w:cs="宋体"/>
                <w:color w:val="auto"/>
                <w:kern w:val="0"/>
                <w:sz w:val="21"/>
                <w:szCs w:val="21"/>
                <w:highlight w:val="none"/>
              </w:rPr>
              <w:t xml:space="preserve">内置麦克风：支持双mic功能，拾音距离8 m  </w:t>
            </w:r>
          </w:p>
          <w:p w14:paraId="69125FF8">
            <w:pPr>
              <w:widowControl/>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14.</w:t>
            </w:r>
            <w:r>
              <w:rPr>
                <w:rFonts w:hint="eastAsia" w:ascii="宋体" w:hAnsi="宋体" w:cs="宋体"/>
                <w:color w:val="auto"/>
                <w:kern w:val="0"/>
                <w:sz w:val="21"/>
                <w:szCs w:val="21"/>
                <w:highlight w:val="none"/>
              </w:rPr>
              <w:t>网络接口：RJ45网口，自适应10 M/100 M网络数据</w:t>
            </w:r>
          </w:p>
          <w:p w14:paraId="6D94252B">
            <w:pPr>
              <w:widowControl/>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15.</w:t>
            </w:r>
            <w:r>
              <w:rPr>
                <w:rFonts w:hint="eastAsia" w:ascii="宋体" w:hAnsi="宋体" w:cs="宋体"/>
                <w:color w:val="auto"/>
                <w:kern w:val="0"/>
                <w:sz w:val="21"/>
                <w:szCs w:val="21"/>
                <w:highlight w:val="none"/>
              </w:rPr>
              <w:t>供电方式：DC36V</w:t>
            </w:r>
          </w:p>
          <w:p w14:paraId="0527EBF0">
            <w:pPr>
              <w:widowControl/>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16.</w:t>
            </w:r>
            <w:r>
              <w:rPr>
                <w:rFonts w:hint="eastAsia" w:ascii="宋体" w:hAnsi="宋体" w:cs="宋体"/>
                <w:color w:val="auto"/>
                <w:kern w:val="0"/>
                <w:sz w:val="21"/>
                <w:szCs w:val="21"/>
                <w:highlight w:val="none"/>
              </w:rPr>
              <w:t xml:space="preserve">防护：IP66，符合GB/T 17626.5 认证标准   </w:t>
            </w:r>
          </w:p>
        </w:tc>
      </w:tr>
      <w:tr w14:paraId="4BB2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8" w:hRule="atLeast"/>
        </w:trPr>
        <w:tc>
          <w:tcPr>
            <w:tcW w:w="916" w:type="dxa"/>
            <w:vAlign w:val="center"/>
          </w:tcPr>
          <w:p w14:paraId="75C93FF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1663" w:type="dxa"/>
            <w:vAlign w:val="center"/>
          </w:tcPr>
          <w:p w14:paraId="42B3E4D2">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录像设备</w:t>
            </w:r>
          </w:p>
        </w:tc>
        <w:tc>
          <w:tcPr>
            <w:tcW w:w="5893" w:type="dxa"/>
            <w:vAlign w:val="center"/>
          </w:tcPr>
          <w:p w14:paraId="4C941857">
            <w:pPr>
              <w:widowControl/>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1.名称：32路16盘位NVR</w:t>
            </w:r>
          </w:p>
          <w:p w14:paraId="270BE822">
            <w:pPr>
              <w:widowControl/>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2.规格型号：3U标准机架 式IP存储，DSP+ARM架构 ，嵌入式软硬件设计；支持32路高清，400M带宽网络视频接入；支持16个SATA盘位；支持RAID 0、1、5、6、10多种RAID模式及全局热备，多重保护数据安全；支持4K分辨率接入和解码输出；支持H.265、H.264编码前端自适应接入；支持关键视频添加标签和加锁保护、整机热备、断网续传、SMART2.0等功能；2个千兆以太网口，充分满足网络预览、回放以及备份应用。</w:t>
            </w:r>
          </w:p>
          <w:p w14:paraId="64B212ED">
            <w:pPr>
              <w:widowControl/>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rPr>
              <w:t>输入带宽：256Mbps</w:t>
            </w:r>
          </w:p>
          <w:p w14:paraId="2A6CBF9F">
            <w:pPr>
              <w:widowControl/>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rPr>
              <w:t>输出带宽：160Mbps</w:t>
            </w:r>
          </w:p>
          <w:p w14:paraId="3705598B">
            <w:pPr>
              <w:widowControl/>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5.</w:t>
            </w:r>
            <w:r>
              <w:rPr>
                <w:rFonts w:hint="eastAsia" w:ascii="宋体" w:hAnsi="宋体" w:cs="宋体"/>
                <w:color w:val="auto"/>
                <w:kern w:val="0"/>
                <w:sz w:val="21"/>
                <w:szCs w:val="21"/>
                <w:highlight w:val="none"/>
              </w:rPr>
              <w:t>解码能力：最大支持24×1080P</w:t>
            </w:r>
          </w:p>
          <w:p w14:paraId="0C23F053">
            <w:pPr>
              <w:widowControl/>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6.</w:t>
            </w:r>
            <w:r>
              <w:rPr>
                <w:rFonts w:hint="eastAsia" w:ascii="宋体" w:hAnsi="宋体" w:cs="宋体"/>
                <w:color w:val="auto"/>
                <w:kern w:val="0"/>
                <w:sz w:val="21"/>
                <w:szCs w:val="21"/>
                <w:highlight w:val="none"/>
              </w:rPr>
              <w:t>显示能力：最大支持4K+1080P异源输出</w:t>
            </w:r>
          </w:p>
          <w:p w14:paraId="6FD268D8">
            <w:pPr>
              <w:widowControl/>
              <w:rPr>
                <w:rFonts w:hint="eastAsia" w:ascii="宋体" w:hAnsi="宋体" w:cs="宋体"/>
                <w:color w:val="auto"/>
                <w:kern w:val="0"/>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支持本地预览权限的配置，设置权限后的通道只有登录后才会出现预览画面；支持远程预览加密，只有输入密钥才能解开视频；（提供CNAS或CMA认可的第三方机构出具的测试报告证明）</w:t>
            </w:r>
          </w:p>
          <w:p w14:paraId="07C9700F">
            <w:pPr>
              <w:widowControl/>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具有存储安全保障策略功能，当存储压力过高或硬盘出现性能不足时，可优先录像业务存储；（提供CNAS或CMA认可的第三方机构出具的测试报告证明）</w:t>
            </w:r>
          </w:p>
        </w:tc>
      </w:tr>
      <w:tr w14:paraId="18F3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916" w:type="dxa"/>
            <w:vAlign w:val="center"/>
          </w:tcPr>
          <w:p w14:paraId="19ECB573">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1663" w:type="dxa"/>
            <w:vAlign w:val="center"/>
          </w:tcPr>
          <w:p w14:paraId="4947FBAE">
            <w:pPr>
              <w:widowControl/>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其他电源设备安装</w:t>
            </w:r>
          </w:p>
        </w:tc>
        <w:tc>
          <w:tcPr>
            <w:tcW w:w="5893" w:type="dxa"/>
            <w:vAlign w:val="center"/>
          </w:tcPr>
          <w:p w14:paraId="3E36577D">
            <w:pPr>
              <w:widowControl/>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1.名称：1U机架式 </w:t>
            </w:r>
          </w:p>
          <w:p w14:paraId="3F677B6B">
            <w:pPr>
              <w:widowControl/>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2.规格型号：输出AC220V ，输出DC12V/30A，16路接线端子</w:t>
            </w:r>
          </w:p>
        </w:tc>
      </w:tr>
      <w:tr w14:paraId="1550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16" w:type="dxa"/>
            <w:vAlign w:val="center"/>
          </w:tcPr>
          <w:p w14:paraId="45C2C058">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1663" w:type="dxa"/>
            <w:vAlign w:val="center"/>
          </w:tcPr>
          <w:p w14:paraId="1DDAA1A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存储设备</w:t>
            </w:r>
          </w:p>
        </w:tc>
        <w:tc>
          <w:tcPr>
            <w:tcW w:w="5893" w:type="dxa"/>
            <w:vAlign w:val="center"/>
          </w:tcPr>
          <w:p w14:paraId="10269EFB">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1.硬盘（6T）</w:t>
            </w:r>
          </w:p>
        </w:tc>
      </w:tr>
      <w:tr w14:paraId="04A43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916" w:type="dxa"/>
            <w:vAlign w:val="center"/>
          </w:tcPr>
          <w:p w14:paraId="0494B32F">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1663" w:type="dxa"/>
            <w:vAlign w:val="center"/>
          </w:tcPr>
          <w:p w14:paraId="7E0AA047">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机柜、机架</w:t>
            </w:r>
          </w:p>
        </w:tc>
        <w:tc>
          <w:tcPr>
            <w:tcW w:w="5893" w:type="dxa"/>
            <w:vAlign w:val="center"/>
          </w:tcPr>
          <w:p w14:paraId="41A97798">
            <w:pPr>
              <w:widowControl/>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1.名称：42U机柜（含PDU ）</w:t>
            </w:r>
          </w:p>
          <w:p w14:paraId="47D87A68">
            <w:pPr>
              <w:widowControl/>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2.标准19"机柜，600*600*</w:t>
            </w:r>
            <w:r>
              <w:rPr>
                <w:rFonts w:hint="eastAsia" w:ascii="微软雅黑" w:hAnsi="微软雅黑" w:eastAsia="微软雅黑" w:cs="微软雅黑"/>
                <w:color w:val="auto"/>
                <w:kern w:val="0"/>
                <w:sz w:val="21"/>
                <w:szCs w:val="21"/>
                <w:highlight w:val="none"/>
                <w:lang w:val="en-US" w:eastAsia="zh-CN"/>
              </w:rPr>
              <w:t>≥</w:t>
            </w:r>
            <w:r>
              <w:rPr>
                <w:rFonts w:hint="eastAsia" w:ascii="宋体" w:hAnsi="宋体" w:cs="宋体"/>
                <w:color w:val="auto"/>
                <w:kern w:val="0"/>
                <w:sz w:val="21"/>
                <w:szCs w:val="21"/>
                <w:highlight w:val="none"/>
                <w:lang w:val="en-US" w:eastAsia="zh-CN"/>
              </w:rPr>
              <w:t>2000mm 42U，</w:t>
            </w:r>
          </w:p>
          <w:p w14:paraId="7C0B724B">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3.黑色，承重</w:t>
            </w:r>
            <w:r>
              <w:rPr>
                <w:rFonts w:hint="default" w:ascii="Arial" w:hAnsi="Arial" w:cs="Arial"/>
                <w:color w:val="auto"/>
                <w:kern w:val="0"/>
                <w:sz w:val="21"/>
                <w:szCs w:val="21"/>
                <w:highlight w:val="none"/>
                <w:lang w:val="en-US" w:eastAsia="zh-CN"/>
              </w:rPr>
              <w:t>≈</w:t>
            </w:r>
            <w:r>
              <w:rPr>
                <w:rFonts w:hint="eastAsia" w:ascii="宋体" w:hAnsi="宋体" w:cs="宋体"/>
                <w:color w:val="auto"/>
                <w:kern w:val="0"/>
                <w:sz w:val="21"/>
                <w:szCs w:val="21"/>
                <w:highlight w:val="none"/>
                <w:lang w:val="en-US" w:eastAsia="zh-CN"/>
              </w:rPr>
              <w:t>1000KG；</w:t>
            </w:r>
          </w:p>
        </w:tc>
      </w:tr>
      <w:tr w14:paraId="71EF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916" w:type="dxa"/>
            <w:vAlign w:val="center"/>
          </w:tcPr>
          <w:p w14:paraId="0525DD0D">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w:t>
            </w:r>
          </w:p>
        </w:tc>
        <w:tc>
          <w:tcPr>
            <w:tcW w:w="1663" w:type="dxa"/>
            <w:vAlign w:val="center"/>
          </w:tcPr>
          <w:p w14:paraId="411F0E15">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交换机</w:t>
            </w:r>
          </w:p>
        </w:tc>
        <w:tc>
          <w:tcPr>
            <w:tcW w:w="5893" w:type="dxa"/>
            <w:vAlign w:val="center"/>
          </w:tcPr>
          <w:p w14:paraId="34AD512E">
            <w:pPr>
              <w:widowControl/>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1.名称：24口交换机 </w:t>
            </w:r>
          </w:p>
          <w:p w14:paraId="2F9CFCC5">
            <w:pPr>
              <w:widowControl/>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2.规格型号：与核心交换机同品牌；交换容量≥25 0Gbps, 包转发率≥65 Mpps（若有不同指标,以较低为准）,千兆电口≥24个,千兆光口≥4个,MAC 地址容量≥16K,支持堆叠 技术,堆叠带宽≥40G</w:t>
            </w:r>
          </w:p>
          <w:p w14:paraId="4A02F1DD">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支持VLAN划分、环路检测、防私接、线缆检测、端口隔离等功能，支持EWEB/APP/MACC远程管理</w:t>
            </w:r>
          </w:p>
          <w:p w14:paraId="5FA251FE">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4.支持网管平台管理，通过可上网的PC或者手机，即可完成部署，即插即用，支持可视化整网拓扑、前面板端口通断状态呈现、CPU、内存利用率、设备配置等功能。</w:t>
            </w:r>
          </w:p>
          <w:p w14:paraId="307A337A">
            <w:pPr>
              <w:pStyle w:val="14"/>
              <w:numPr>
                <w:ilvl w:val="0"/>
                <w:numId w:val="0"/>
              </w:numPr>
              <w:ind w:leftChars="0"/>
              <w:rPr>
                <w:color w:val="auto"/>
                <w:sz w:val="21"/>
                <w:szCs w:val="21"/>
                <w:highlight w:val="none"/>
              </w:rPr>
            </w:pPr>
            <w:r>
              <w:rPr>
                <w:rFonts w:hint="eastAsia" w:ascii="宋体" w:hAnsi="宋体" w:cs="宋体"/>
                <w:color w:val="auto"/>
                <w:sz w:val="21"/>
                <w:szCs w:val="21"/>
                <w:highlight w:val="none"/>
                <w:lang w:val="en-US" w:eastAsia="zh-CN"/>
              </w:rPr>
              <w:t>5.为方便新建项目开局，要求设备支持对全网同品牌设备整网一体化统一组网，并通过网关对交换、AP、AC进行集中化的调试。</w:t>
            </w:r>
          </w:p>
        </w:tc>
      </w:tr>
      <w:tr w14:paraId="10E29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916" w:type="dxa"/>
            <w:vAlign w:val="center"/>
          </w:tcPr>
          <w:p w14:paraId="3163BEA9">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1663" w:type="dxa"/>
            <w:vAlign w:val="center"/>
          </w:tcPr>
          <w:p w14:paraId="20149C36">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交换机</w:t>
            </w:r>
          </w:p>
        </w:tc>
        <w:tc>
          <w:tcPr>
            <w:tcW w:w="5893" w:type="dxa"/>
            <w:vAlign w:val="center"/>
          </w:tcPr>
          <w:p w14:paraId="55C83102">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1.名称：24口交换机 </w:t>
            </w:r>
          </w:p>
          <w:p w14:paraId="11ED5B8B">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2.规格型号：与核心交换 机同品牌；交换容量≥25 0Gbps, 包转发率≥65 Mpps（若有不同指标,以 较低为准）,千兆电口≥2 4个,千兆光口≥4个,MAC 地址容量≥16K,支持堆叠 技术,堆叠带宽≥40G</w:t>
            </w:r>
          </w:p>
          <w:p w14:paraId="7C231BBE">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3.支持网管平台管理，通过可上网的PC或者手机，即可完成部署，即插即用，支持可视化整网拓扑、前面板端口通断状态呈现、CPU、内存利用率、设备配置等功能。</w:t>
            </w:r>
          </w:p>
          <w:p w14:paraId="4343847E">
            <w:pPr>
              <w:pStyle w:val="14"/>
              <w:numPr>
                <w:ilvl w:val="0"/>
                <w:numId w:val="0"/>
              </w:numPr>
              <w:ind w:leftChars="0"/>
              <w:rPr>
                <w:color w:val="auto"/>
                <w:sz w:val="21"/>
                <w:szCs w:val="21"/>
                <w:highlight w:val="none"/>
                <w:lang w:val="en-US" w:eastAsia="zh-CN"/>
              </w:rPr>
            </w:pPr>
            <w:r>
              <w:rPr>
                <w:rFonts w:hint="eastAsia" w:ascii="宋体" w:hAnsi="宋体" w:cs="宋体"/>
                <w:color w:val="auto"/>
                <w:sz w:val="21"/>
                <w:szCs w:val="21"/>
                <w:highlight w:val="none"/>
                <w:lang w:val="en-US" w:eastAsia="zh-CN"/>
              </w:rPr>
              <w:t>4.为方便新建项目开局，要求设备支持对全网同品牌设备整网一体化统一组网，并通过网关对交换、AP、AC进行集中化的调试。</w:t>
            </w:r>
          </w:p>
        </w:tc>
      </w:tr>
      <w:tr w14:paraId="006D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916" w:type="dxa"/>
            <w:vAlign w:val="center"/>
          </w:tcPr>
          <w:p w14:paraId="31FD87AF">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w:t>
            </w:r>
          </w:p>
        </w:tc>
        <w:tc>
          <w:tcPr>
            <w:tcW w:w="1663" w:type="dxa"/>
            <w:vAlign w:val="center"/>
          </w:tcPr>
          <w:p w14:paraId="14817F86">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交换机</w:t>
            </w:r>
          </w:p>
        </w:tc>
        <w:tc>
          <w:tcPr>
            <w:tcW w:w="5893" w:type="dxa"/>
            <w:vAlign w:val="center"/>
          </w:tcPr>
          <w:p w14:paraId="34AC12BF">
            <w:pPr>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1.名称：核心交换机 </w:t>
            </w:r>
          </w:p>
          <w:p w14:paraId="526E58D7">
            <w:pPr>
              <w:widowControl/>
              <w:jc w:val="left"/>
              <w:rPr>
                <w:rFonts w:hint="eastAsia" w:ascii="宋体" w:hAnsi="宋体" w:cs="宋体"/>
                <w:color w:val="auto"/>
                <w:kern w:val="0"/>
                <w:sz w:val="21"/>
                <w:szCs w:val="21"/>
                <w:highlight w:val="none"/>
                <w:lang w:val="en-US" w:eastAsia="zh-CN"/>
              </w:rPr>
            </w:pPr>
            <w:r>
              <w:rPr>
                <w:rFonts w:hint="eastAsia" w:ascii="宋体" w:hAnsi="宋体" w:cs="宋体"/>
                <w:color w:val="auto"/>
                <w:sz w:val="21"/>
                <w:szCs w:val="21"/>
                <w:highlight w:val="none"/>
                <w:lang w:val="en-US" w:eastAsia="zh-CN"/>
              </w:rPr>
              <w:t>2.规格型号：（24个千兆 SFP，8个10/100/1000 Base-T以太网端口，4个 万兆SFP+）交换容量672 Gbps/6.72Tbps，包转发 率120/138Mpps，电源模 块:1+1备份，默认带1个1</w:t>
            </w:r>
            <w:r>
              <w:rPr>
                <w:rFonts w:hint="eastAsia" w:ascii="宋体" w:hAnsi="宋体" w:cs="宋体"/>
                <w:color w:val="auto"/>
                <w:kern w:val="0"/>
                <w:sz w:val="21"/>
                <w:szCs w:val="21"/>
                <w:highlight w:val="none"/>
                <w:lang w:val="en-US" w:eastAsia="zh-CN"/>
              </w:rPr>
              <w:t>50W交流电源模块支持静态路由、三层聚合口、ACL、端口镜像等功能</w:t>
            </w:r>
          </w:p>
          <w:p w14:paraId="392CD480">
            <w:pPr>
              <w:widowControl/>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3.▲符合国家低碳环保等政策要求，支持IEEE802.3az标准的EEE节能技术，提供相关材料证明。</w:t>
            </w:r>
          </w:p>
          <w:p w14:paraId="0B0F7547">
            <w:pPr>
              <w:widowControl/>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4.支持网管平台管理，通过可上网的PC或者手机，即可完成部署，即插即用，支持可视化整网拓扑、前面板端口通断状态呈现、CPU、内存利用率、设备配置等功能.</w:t>
            </w:r>
          </w:p>
          <w:p w14:paraId="035A2CB8">
            <w:pPr>
              <w:widowControl/>
              <w:jc w:val="left"/>
              <w:rPr>
                <w:rFonts w:hint="eastAsia"/>
                <w:color w:val="auto"/>
                <w:sz w:val="21"/>
                <w:szCs w:val="21"/>
                <w:highlight w:val="none"/>
                <w:lang w:val="en-US" w:eastAsia="zh-CN"/>
              </w:rPr>
            </w:pPr>
            <w:r>
              <w:rPr>
                <w:rFonts w:hint="eastAsia" w:ascii="宋体" w:hAnsi="宋体" w:cs="宋体"/>
                <w:color w:val="auto"/>
                <w:kern w:val="0"/>
                <w:sz w:val="21"/>
                <w:szCs w:val="21"/>
                <w:highlight w:val="none"/>
                <w:lang w:val="en-US" w:eastAsia="zh-CN"/>
              </w:rPr>
              <w:t>5.为方便新建项目开局，要求设备支持对全网</w:t>
            </w:r>
            <w:r>
              <w:rPr>
                <w:rFonts w:hint="eastAsia" w:ascii="宋体" w:hAnsi="宋体" w:cs="宋体"/>
                <w:color w:val="auto"/>
                <w:sz w:val="21"/>
                <w:szCs w:val="21"/>
                <w:highlight w:val="none"/>
                <w:lang w:val="en-US" w:eastAsia="zh-CN"/>
              </w:rPr>
              <w:t>同品牌设备整网一体化统一组网，并通过网关对交换、AP、AC进行集中化的调试</w:t>
            </w:r>
          </w:p>
        </w:tc>
      </w:tr>
      <w:tr w14:paraId="15919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916" w:type="dxa"/>
            <w:vAlign w:val="center"/>
          </w:tcPr>
          <w:p w14:paraId="6CCC09F1">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12</w:t>
            </w:r>
          </w:p>
        </w:tc>
        <w:tc>
          <w:tcPr>
            <w:tcW w:w="1663" w:type="dxa"/>
            <w:vAlign w:val="center"/>
          </w:tcPr>
          <w:p w14:paraId="7D72AA72">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配线架</w:t>
            </w:r>
          </w:p>
        </w:tc>
        <w:tc>
          <w:tcPr>
            <w:tcW w:w="5893" w:type="dxa"/>
            <w:vAlign w:val="center"/>
          </w:tcPr>
          <w:p w14:paraId="1EF7ABB1">
            <w:pPr>
              <w:widowControl/>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1.名称：配线架 </w:t>
            </w:r>
          </w:p>
          <w:p w14:paraId="7043B680">
            <w:pPr>
              <w:widowControl/>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2.规格型号：24口机架式 六类非屏蔽配线架1U模块式配线架</w:t>
            </w:r>
          </w:p>
          <w:p w14:paraId="06B6C934">
            <w:pPr>
              <w:widowControl/>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3.后端自带线缆管理单元，采用免工具设计，便于安装和拆卸</w:t>
            </w:r>
          </w:p>
          <w:p w14:paraId="60B7491E">
            <w:pPr>
              <w:widowControl/>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标识管理：完善清晰的标识系统，让施工、维护、管理更方便、快捷，端口带序号标识</w:t>
            </w:r>
          </w:p>
          <w:p w14:paraId="6190D2F2">
            <w:pPr>
              <w:widowControl/>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IDC：磷青铜</w:t>
            </w:r>
          </w:p>
          <w:p w14:paraId="02C285F7">
            <w:pPr>
              <w:widowControl/>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金针：磷青铜表面镀金</w:t>
            </w:r>
          </w:p>
          <w:p w14:paraId="7F56CBD0">
            <w:pPr>
              <w:widowControl/>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val="en-US" w:eastAsia="zh-CN"/>
              </w:rPr>
              <w:t>线缆保护盖：PC 材料</w:t>
            </w:r>
          </w:p>
          <w:p w14:paraId="6B39755E">
            <w:pPr>
              <w:widowControl/>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lang w:val="en-US" w:eastAsia="zh-CN"/>
              </w:rPr>
              <w:t>进线方式：180°进线</w:t>
            </w:r>
          </w:p>
        </w:tc>
      </w:tr>
      <w:tr w14:paraId="0E2F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16" w:type="dxa"/>
            <w:vAlign w:val="center"/>
          </w:tcPr>
          <w:p w14:paraId="5D869712">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13</w:t>
            </w:r>
          </w:p>
        </w:tc>
        <w:tc>
          <w:tcPr>
            <w:tcW w:w="1663" w:type="dxa"/>
            <w:vAlign w:val="center"/>
          </w:tcPr>
          <w:p w14:paraId="5CE302FF">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配线架</w:t>
            </w:r>
          </w:p>
        </w:tc>
        <w:tc>
          <w:tcPr>
            <w:tcW w:w="5893" w:type="dxa"/>
            <w:vAlign w:val="center"/>
          </w:tcPr>
          <w:p w14:paraId="489A03AB">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1.名称：理线架 </w:t>
            </w:r>
          </w:p>
          <w:p w14:paraId="630AD974">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2.规格：琴键式设计，可上下开合；ABS阻燃材料</w:t>
            </w:r>
          </w:p>
          <w:p w14:paraId="0EB812D7">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3.产品参数：标准19英寸机架式安装，高度：1U</w:t>
            </w:r>
          </w:p>
          <w:p w14:paraId="6DCA6E3D">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材料及厚度：SPCC冷轧钢板表面脱脂、磷化、静电喷塑处理，架体1.2，盖板1.0mm</w:t>
            </w:r>
          </w:p>
          <w:p w14:paraId="39B126AF">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4.带有盖板，盖板上具有模压品牌标识，不可采用丝网印刷</w:t>
            </w:r>
          </w:p>
          <w:p w14:paraId="0695065B">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理线档位：上下各24档带有贯穿孔，支持前后走线和多余线缆的存放</w:t>
            </w:r>
          </w:p>
          <w:p w14:paraId="7505488A">
            <w:pPr>
              <w:keepNext w:val="0"/>
              <w:keepLines w:val="0"/>
              <w:widowControl/>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颜色：黑色</w:t>
            </w:r>
          </w:p>
        </w:tc>
      </w:tr>
      <w:tr w14:paraId="5786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1" w:hRule="atLeast"/>
        </w:trPr>
        <w:tc>
          <w:tcPr>
            <w:tcW w:w="916" w:type="dxa"/>
            <w:vAlign w:val="center"/>
          </w:tcPr>
          <w:p w14:paraId="09E738F2">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14</w:t>
            </w:r>
          </w:p>
        </w:tc>
        <w:tc>
          <w:tcPr>
            <w:tcW w:w="1663" w:type="dxa"/>
            <w:vAlign w:val="center"/>
          </w:tcPr>
          <w:p w14:paraId="65D66C9B">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显示设备</w:t>
            </w:r>
          </w:p>
        </w:tc>
        <w:tc>
          <w:tcPr>
            <w:tcW w:w="5893" w:type="dxa"/>
            <w:vAlign w:val="center"/>
          </w:tcPr>
          <w:p w14:paraId="4D2C991C">
            <w:pPr>
              <w:widowControl/>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1.名称：温湿度显示屏 </w:t>
            </w:r>
          </w:p>
          <w:p w14:paraId="79B1C4D6">
            <w:pPr>
              <w:widowControl/>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2.规格型号：显示范围： 温度-9℃～99℃ ，湿度0 ％～99％；功耗：≤15W 显示时间精确到秒（年月、日、时分秒）；供电电压 ：AC~220V；外观尺寸：（L*W*H）580*380*37mm；</w:t>
            </w:r>
          </w:p>
          <w:p w14:paraId="02B72AB0">
            <w:pPr>
              <w:widowControl/>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3.支持温度、湿度信息检测；</w:t>
            </w:r>
          </w:p>
          <w:p w14:paraId="005D597B">
            <w:pPr>
              <w:widowControl/>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4.支持1路相机接入，分辨率最高支持400W</w:t>
            </w:r>
          </w:p>
          <w:p w14:paraId="34400639">
            <w:pPr>
              <w:widowControl/>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5.默认显示时间精确到秒，可通过配置修改成精确到分</w:t>
            </w:r>
          </w:p>
          <w:p w14:paraId="5CF149A6">
            <w:pPr>
              <w:widowControl/>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6.支持RS485协议上传环境数据、校时；</w:t>
            </w:r>
          </w:p>
          <w:p w14:paraId="432C0640">
            <w:pPr>
              <w:widowControl/>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7.支持网络ISAPI协议上传环境数据、校时；</w:t>
            </w:r>
          </w:p>
          <w:p w14:paraId="73AFEC34">
            <w:pPr>
              <w:widowControl/>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8.采用防反光磨砂面板设计；</w:t>
            </w:r>
          </w:p>
          <w:p w14:paraId="1E5A74F8">
            <w:pPr>
              <w:widowControl/>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9.采用高精度的环境检测传感器，性能稳定可靠；</w:t>
            </w:r>
          </w:p>
          <w:p w14:paraId="4F16EFD1">
            <w:pPr>
              <w:widowControl/>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10.采用静态显示，防白光处理，防止图像闪烁，适合同步录像应用；</w:t>
            </w:r>
          </w:p>
          <w:p w14:paraId="7BE34DC3">
            <w:pPr>
              <w:widowControl/>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11.可以将采集到的环境数据和时间数据通过RS-485接口或者网络传送到计算机；</w:t>
            </w:r>
          </w:p>
          <w:p w14:paraId="5A26BC82">
            <w:pPr>
              <w:widowControl/>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12.▲温度检测范围：-40℃～+125℃，温度检测误差：≤±1℃，支持设置温度监测报警，当温度大于等于特定值、小于等于特定值、在设定区间之内、在设定区间之外时，设备可实时发送报警或者触发本地报警输出（提供CNAS或CMA认可的第三方机构出具的测试报告证明）</w:t>
            </w:r>
          </w:p>
          <w:p w14:paraId="76425F71">
            <w:pPr>
              <w:widowControl/>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13.外部接口：485接口，RJ45自适应以太网口，报警1进1出</w:t>
            </w:r>
          </w:p>
        </w:tc>
      </w:tr>
      <w:tr w14:paraId="34F4E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trPr>
        <w:tc>
          <w:tcPr>
            <w:tcW w:w="916" w:type="dxa"/>
            <w:vAlign w:val="center"/>
          </w:tcPr>
          <w:p w14:paraId="2CCBA3B0">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15</w:t>
            </w:r>
          </w:p>
        </w:tc>
        <w:tc>
          <w:tcPr>
            <w:tcW w:w="1663" w:type="dxa"/>
            <w:vAlign w:val="center"/>
          </w:tcPr>
          <w:p w14:paraId="5E2DCA7C">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扩声系统设备</w:t>
            </w:r>
          </w:p>
        </w:tc>
        <w:tc>
          <w:tcPr>
            <w:tcW w:w="5893" w:type="dxa"/>
            <w:vAlign w:val="center"/>
          </w:tcPr>
          <w:p w14:paraId="2B11DC28">
            <w:pPr>
              <w:widowControl/>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1.名称：吸顶拾音器 </w:t>
            </w:r>
          </w:p>
          <w:p w14:paraId="69C7EF7F">
            <w:pPr>
              <w:widowControl/>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2.规格型号：模拟拾音器 ；最大承受音压：120 dBSPL；拾音范围：0m~5m ；灵敏度：-32 dB；输出信号幅度：2.5Vpp；信噪比：90dB；频率响应：20 </w:t>
            </w:r>
          </w:p>
          <w:p w14:paraId="75C2A514">
            <w:pPr>
              <w:widowControl/>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Hz~2 kHz；音频传输距离 ：≥500 m；接口类型：LINE OUT；输出阻抗：60 0Ω；电源电压：DC12V</w:t>
            </w:r>
          </w:p>
          <w:p w14:paraId="2B30704E">
            <w:pPr>
              <w:widowControl/>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内置雷击保护、电源极性反接保护和静电保护</w:t>
            </w:r>
          </w:p>
          <w:p w14:paraId="15F420F7">
            <w:pPr>
              <w:widowControl/>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外壳材质：ABS</w:t>
            </w:r>
          </w:p>
        </w:tc>
      </w:tr>
      <w:tr w14:paraId="1A84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916" w:type="dxa"/>
            <w:vAlign w:val="center"/>
          </w:tcPr>
          <w:p w14:paraId="56163356">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16</w:t>
            </w:r>
          </w:p>
        </w:tc>
        <w:tc>
          <w:tcPr>
            <w:tcW w:w="1663" w:type="dxa"/>
            <w:vAlign w:val="center"/>
          </w:tcPr>
          <w:p w14:paraId="240AAF05">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光纤盒</w:t>
            </w:r>
          </w:p>
        </w:tc>
        <w:tc>
          <w:tcPr>
            <w:tcW w:w="5893" w:type="dxa"/>
            <w:vAlign w:val="center"/>
          </w:tcPr>
          <w:p w14:paraId="29680CF5">
            <w:pPr>
              <w:keepNext w:val="0"/>
              <w:keepLines w:val="0"/>
              <w:widowControl/>
              <w:suppressLineNumbers w:val="0"/>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1.名称：双工耦合器</w:t>
            </w:r>
            <w:r>
              <w:rPr>
                <w:rFonts w:hint="eastAsia" w:ascii="宋体" w:hAnsi="宋体" w:eastAsia="宋体" w:cs="宋体"/>
                <w:color w:val="auto"/>
                <w:kern w:val="0"/>
                <w:sz w:val="21"/>
                <w:szCs w:val="21"/>
                <w:highlight w:val="none"/>
                <w:lang w:val="en-US" w:eastAsia="zh-CN"/>
              </w:rPr>
              <w:br w:type="textWrapping"/>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产品参数：标准：YD/T1272，ISO/IEC 11801，ANSI/TIA-568-C.3</w:t>
            </w:r>
            <w:r>
              <w:rPr>
                <w:rFonts w:hint="eastAsia" w:ascii="宋体" w:hAnsi="宋体" w:eastAsia="宋体" w:cs="宋体"/>
                <w:color w:val="auto"/>
                <w:kern w:val="0"/>
                <w:sz w:val="21"/>
                <w:szCs w:val="21"/>
                <w:highlight w:val="none"/>
                <w:lang w:val="en-US" w:eastAsia="zh-CN"/>
              </w:rPr>
              <w:br w:type="textWrapping"/>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材料：氧化锆陶瓷套管</w:t>
            </w:r>
          </w:p>
        </w:tc>
      </w:tr>
      <w:tr w14:paraId="6F745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916" w:type="dxa"/>
            <w:vAlign w:val="center"/>
          </w:tcPr>
          <w:p w14:paraId="56CE5106">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17</w:t>
            </w:r>
          </w:p>
        </w:tc>
        <w:tc>
          <w:tcPr>
            <w:tcW w:w="1663" w:type="dxa"/>
            <w:vAlign w:val="center"/>
          </w:tcPr>
          <w:p w14:paraId="2E78157F">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布放</w:t>
            </w:r>
            <w:r>
              <w:rPr>
                <w:rFonts w:hint="eastAsia" w:ascii="宋体" w:hAnsi="宋体" w:cs="宋体"/>
                <w:color w:val="auto"/>
                <w:kern w:val="0"/>
                <w:sz w:val="21"/>
                <w:szCs w:val="21"/>
                <w:highlight w:val="none"/>
              </w:rPr>
              <w:t>尾纤</w:t>
            </w:r>
          </w:p>
        </w:tc>
        <w:tc>
          <w:tcPr>
            <w:tcW w:w="5893" w:type="dxa"/>
            <w:vAlign w:val="center"/>
          </w:tcPr>
          <w:p w14:paraId="54850584">
            <w:pPr>
              <w:keepNext w:val="0"/>
              <w:keepLines w:val="0"/>
              <w:widowControl/>
              <w:suppressLineNumbers w:val="0"/>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1.名称：1米单模LC尾纤</w:t>
            </w:r>
          </w:p>
          <w:p w14:paraId="02D8B6D4">
            <w:pPr>
              <w:keepNext w:val="0"/>
              <w:keepLines w:val="0"/>
              <w:widowControl/>
              <w:suppressLineNumbers w:val="0"/>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2.LSZH护套，双芯“8”字形2×4mm</w:t>
            </w:r>
          </w:p>
        </w:tc>
      </w:tr>
      <w:tr w14:paraId="3D2E4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916" w:type="dxa"/>
            <w:vAlign w:val="center"/>
          </w:tcPr>
          <w:p w14:paraId="7F5027D3">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18</w:t>
            </w:r>
          </w:p>
        </w:tc>
        <w:tc>
          <w:tcPr>
            <w:tcW w:w="1663" w:type="dxa"/>
            <w:vAlign w:val="center"/>
          </w:tcPr>
          <w:p w14:paraId="432BB380">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跳线</w:t>
            </w:r>
          </w:p>
        </w:tc>
        <w:tc>
          <w:tcPr>
            <w:tcW w:w="5893" w:type="dxa"/>
            <w:vAlign w:val="center"/>
          </w:tcPr>
          <w:p w14:paraId="6F483301">
            <w:pPr>
              <w:keepNext w:val="0"/>
              <w:keepLines w:val="0"/>
              <w:widowControl/>
              <w:suppressLineNumbers w:val="0"/>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1.名称：2米LC-LC光纤跳 线</w:t>
            </w:r>
          </w:p>
          <w:p w14:paraId="324C0687">
            <w:pPr>
              <w:keepNext w:val="0"/>
              <w:keepLines w:val="0"/>
              <w:widowControl/>
              <w:suppressLineNumbers w:val="0"/>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2.B1.3，LSZH护套，双芯“8”字形2×4mm，2米跳纤</w:t>
            </w:r>
          </w:p>
        </w:tc>
      </w:tr>
      <w:tr w14:paraId="20D9C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8472" w:type="dxa"/>
            <w:gridSpan w:val="3"/>
            <w:shd w:val="clear" w:color="auto" w:fill="BEBEBE" w:themeFill="background1" w:themeFillShade="BF"/>
            <w:vAlign w:val="center"/>
          </w:tcPr>
          <w:p w14:paraId="484DAE7B">
            <w:pPr>
              <w:jc w:val="left"/>
              <w:rPr>
                <w:rFonts w:ascii="宋体" w:hAnsi="宋体" w:cs="宋体"/>
                <w:b/>
                <w:bCs/>
                <w:color w:val="auto"/>
                <w:sz w:val="21"/>
                <w:szCs w:val="21"/>
                <w:highlight w:val="none"/>
              </w:rPr>
            </w:pPr>
            <w:r>
              <w:rPr>
                <w:rFonts w:hint="eastAsia" w:ascii="宋体" w:hAnsi="宋体" w:cs="宋体"/>
                <w:b/>
                <w:bCs/>
                <w:color w:val="auto"/>
                <w:sz w:val="21"/>
                <w:szCs w:val="21"/>
                <w:highlight w:val="none"/>
              </w:rPr>
              <w:t>（1F）、办案区出入口控制系统</w:t>
            </w:r>
          </w:p>
        </w:tc>
      </w:tr>
      <w:tr w14:paraId="5CD0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6" w:hRule="atLeast"/>
        </w:trPr>
        <w:tc>
          <w:tcPr>
            <w:tcW w:w="916" w:type="dxa"/>
            <w:vAlign w:val="center"/>
          </w:tcPr>
          <w:p w14:paraId="27D57782">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19</w:t>
            </w:r>
          </w:p>
        </w:tc>
        <w:tc>
          <w:tcPr>
            <w:tcW w:w="1663" w:type="dxa"/>
            <w:vAlign w:val="center"/>
          </w:tcPr>
          <w:p w14:paraId="06B6B70C">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出入口目标识别设备</w:t>
            </w:r>
          </w:p>
        </w:tc>
        <w:tc>
          <w:tcPr>
            <w:tcW w:w="5893" w:type="dxa"/>
            <w:vAlign w:val="center"/>
          </w:tcPr>
          <w:p w14:paraId="3471A9C6">
            <w:pPr>
              <w:widowControl/>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 xml:space="preserve">1.名称：采用7英寸LCD触 摸显示屏，200万像素双目摄像头 </w:t>
            </w:r>
          </w:p>
          <w:p w14:paraId="6E5A15E4">
            <w:pPr>
              <w:widowControl/>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2.规格型号：面部识别距 离0.3m-1m，支持照片视频防假；支持20000张人脸白名单，1：N人脸比对 时间＜0.2S/人，支持50000张卡片，50000条记录 ；支持人脸、刷卡；可读 取Mifare卡（IC卡）卡号及内容、CPU序列号、身份证序列号；通讯方式：上行通讯为TCP/IP</w:t>
            </w:r>
          </w:p>
          <w:p w14:paraId="39EF5B0C">
            <w:pPr>
              <w:widowControl/>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rPr>
              <w:t>人脸门禁考勤一体机人脸认证：采用深度学习算法，支持单人和多人识别（最多支持5人同时识别），</w:t>
            </w:r>
          </w:p>
          <w:p w14:paraId="2EECE830">
            <w:pPr>
              <w:widowControl/>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rPr>
              <w:t>多重认证：设备支持本地认证、本地+远程开门认证、本地+超级密码认证三种认证模式。每种模式最大支持20个认证组，每个认证组最多支持128人多重认证（每个认证组支持8个群组，每个群组支持16个人）</w:t>
            </w:r>
          </w:p>
          <w:p w14:paraId="3EF50533">
            <w:pPr>
              <w:widowControl/>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5.</w:t>
            </w:r>
            <w:r>
              <w:rPr>
                <w:rFonts w:hint="eastAsia" w:ascii="宋体" w:hAnsi="宋体" w:cs="宋体"/>
                <w:color w:val="auto"/>
                <w:kern w:val="0"/>
                <w:sz w:val="21"/>
                <w:szCs w:val="21"/>
                <w:highlight w:val="none"/>
              </w:rPr>
              <w:t>信息发布功能：支持图片、文字、视频的信息发布</w:t>
            </w:r>
          </w:p>
          <w:p w14:paraId="198164DB">
            <w:pPr>
              <w:widowControl/>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6.</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设备应支持防假体攻击功能，对视频、电子照片、打印照片、头模、3D模型攻击应能防伪。（提供CNAS或CMA认可的第三方机构出具的测试报告证明）</w:t>
            </w:r>
          </w:p>
          <w:p w14:paraId="6B9DC7DD">
            <w:pPr>
              <w:widowControl/>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7.</w:t>
            </w:r>
            <w:r>
              <w:rPr>
                <w:rFonts w:hint="eastAsia" w:ascii="宋体" w:hAnsi="宋体" w:cs="宋体"/>
                <w:color w:val="auto"/>
                <w:kern w:val="0"/>
                <w:sz w:val="21"/>
                <w:szCs w:val="21"/>
                <w:highlight w:val="none"/>
              </w:rPr>
              <w:t>读卡器模式：支持通过RS-485或韦根（W26/W34）接入门禁控制器，作为读卡器使用</w:t>
            </w:r>
          </w:p>
          <w:p w14:paraId="4B103A38">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8.</w:t>
            </w:r>
            <w:r>
              <w:rPr>
                <w:rFonts w:hint="eastAsia" w:ascii="宋体" w:hAnsi="宋体" w:cs="宋体"/>
                <w:color w:val="auto"/>
                <w:kern w:val="0"/>
                <w:sz w:val="21"/>
                <w:szCs w:val="21"/>
                <w:highlight w:val="none"/>
              </w:rPr>
              <w:t>胁迫开门：支持配置胁迫码/胁迫卡后，遇到胁迫后，输入胁迫码/刷胁迫卡后立即开门，同时上报胁迫事件非授权人员管理：支持对非授权人员进行开门管理、报警联动</w:t>
            </w:r>
          </w:p>
          <w:p w14:paraId="1F660D30">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9.</w:t>
            </w:r>
            <w:r>
              <w:rPr>
                <w:rFonts w:hint="eastAsia" w:ascii="宋体" w:hAnsi="宋体" w:cs="宋体"/>
                <w:color w:val="auto"/>
                <w:kern w:val="0"/>
                <w:sz w:val="21"/>
                <w:szCs w:val="21"/>
                <w:highlight w:val="none"/>
              </w:rPr>
              <w:t>报警功能：支持防拆报警、门被外力开起报警、胁迫卡和胁迫密码报警、事件联动报警等</w:t>
            </w:r>
          </w:p>
          <w:p w14:paraId="7D847E15">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10.</w:t>
            </w:r>
            <w:r>
              <w:rPr>
                <w:rFonts w:hint="eastAsia" w:ascii="宋体" w:hAnsi="宋体" w:cs="宋体"/>
                <w:color w:val="auto"/>
                <w:kern w:val="0"/>
                <w:sz w:val="21"/>
                <w:szCs w:val="21"/>
                <w:highlight w:val="none"/>
              </w:rPr>
              <w:t>联动配置：支持事件联动、卡号联动、工号联动，可配置联动门开关、联动报警输出、联动抓拍等功能</w:t>
            </w:r>
          </w:p>
          <w:p w14:paraId="4B59F577">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11.</w:t>
            </w:r>
            <w:r>
              <w:rPr>
                <w:rFonts w:hint="eastAsia" w:ascii="宋体" w:hAnsi="宋体" w:cs="宋体"/>
                <w:color w:val="auto"/>
                <w:kern w:val="0"/>
                <w:sz w:val="21"/>
                <w:szCs w:val="21"/>
                <w:highlight w:val="none"/>
              </w:rPr>
              <w:t>本地功能：支持本地注册人脸、查询、设置、管理设备参数等操作</w:t>
            </w:r>
          </w:p>
          <w:p w14:paraId="2E31E550">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12.</w:t>
            </w:r>
            <w:r>
              <w:rPr>
                <w:rFonts w:hint="eastAsia" w:ascii="宋体" w:hAnsi="宋体" w:cs="宋体"/>
                <w:color w:val="auto"/>
                <w:kern w:val="0"/>
                <w:sz w:val="21"/>
                <w:szCs w:val="21"/>
                <w:highlight w:val="none"/>
              </w:rPr>
              <w:t>Web端管理：可进行人员管理、参数配置、事件查询、系统维护等操作</w:t>
            </w:r>
          </w:p>
        </w:tc>
      </w:tr>
      <w:tr w14:paraId="0D8F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916" w:type="dxa"/>
            <w:shd w:val="clear" w:color="auto" w:fill="auto"/>
            <w:vAlign w:val="center"/>
          </w:tcPr>
          <w:p w14:paraId="4F775B86">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w:t>
            </w:r>
          </w:p>
        </w:tc>
        <w:tc>
          <w:tcPr>
            <w:tcW w:w="1663" w:type="dxa"/>
            <w:vAlign w:val="center"/>
          </w:tcPr>
          <w:p w14:paraId="03F77BC6">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出入口目标识别设备</w:t>
            </w:r>
          </w:p>
        </w:tc>
        <w:tc>
          <w:tcPr>
            <w:tcW w:w="5893" w:type="dxa"/>
            <w:vAlign w:val="center"/>
          </w:tcPr>
          <w:p w14:paraId="219F6B38">
            <w:pPr>
              <w:widowControl/>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1.名称：单门磁力锁； </w:t>
            </w:r>
          </w:p>
          <w:p w14:paraId="7341DCC9">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2.规格型号：上锁时NO输出；开锁时NC输出；最大拉力280kg静态直线拉力 ；输入电压 DC12V；支持门磁输出；工作电流：12 V/500m</w:t>
            </w:r>
          </w:p>
        </w:tc>
      </w:tr>
      <w:tr w14:paraId="4621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916" w:type="dxa"/>
            <w:shd w:val="clear" w:color="auto" w:fill="auto"/>
            <w:vAlign w:val="center"/>
          </w:tcPr>
          <w:p w14:paraId="4F772EC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21</w:t>
            </w:r>
          </w:p>
        </w:tc>
        <w:tc>
          <w:tcPr>
            <w:tcW w:w="1663" w:type="dxa"/>
            <w:vAlign w:val="center"/>
          </w:tcPr>
          <w:p w14:paraId="58E73DD0">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出入口目标识别设备</w:t>
            </w:r>
          </w:p>
        </w:tc>
        <w:tc>
          <w:tcPr>
            <w:tcW w:w="5893" w:type="dxa"/>
            <w:vAlign w:val="center"/>
          </w:tcPr>
          <w:p w14:paraId="16E5C3F5">
            <w:pPr>
              <w:widowControl/>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1.名称：双门磁力锁； </w:t>
            </w:r>
          </w:p>
          <w:p w14:paraId="7F8FC699">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2.规格型号：上锁时NO输出；开锁时NC输出；最大拉力280kg*2静态直线拉力；输入电压 DC12V；支 持门磁输出；工作电流：12 V/500m</w:t>
            </w:r>
          </w:p>
        </w:tc>
      </w:tr>
      <w:tr w14:paraId="43E0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916" w:type="dxa"/>
            <w:shd w:val="clear" w:color="auto" w:fill="auto"/>
            <w:vAlign w:val="center"/>
          </w:tcPr>
          <w:p w14:paraId="2B6E116C">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22</w:t>
            </w:r>
          </w:p>
        </w:tc>
        <w:tc>
          <w:tcPr>
            <w:tcW w:w="1663" w:type="dxa"/>
            <w:vAlign w:val="center"/>
          </w:tcPr>
          <w:p w14:paraId="5814277B">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出入口目标识别设备</w:t>
            </w:r>
          </w:p>
        </w:tc>
        <w:tc>
          <w:tcPr>
            <w:tcW w:w="5893" w:type="dxa"/>
            <w:vAlign w:val="center"/>
          </w:tcPr>
          <w:p w14:paraId="6514529F">
            <w:pPr>
              <w:widowControl/>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1.名称：出门按扭 </w:t>
            </w:r>
          </w:p>
          <w:p w14:paraId="74F94113">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2.规格型号：结构：塑料 面板；性能：最大耐电流 1.25A，电压250V；输出 ：常开；类型：适合埋入式电器盒使用；尺寸：86 *86mm</w:t>
            </w:r>
          </w:p>
        </w:tc>
      </w:tr>
      <w:tr w14:paraId="3D80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16" w:type="dxa"/>
            <w:shd w:val="clear" w:color="auto" w:fill="auto"/>
            <w:vAlign w:val="center"/>
          </w:tcPr>
          <w:p w14:paraId="5A8009B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23</w:t>
            </w:r>
          </w:p>
        </w:tc>
        <w:tc>
          <w:tcPr>
            <w:tcW w:w="1663" w:type="dxa"/>
            <w:vAlign w:val="center"/>
          </w:tcPr>
          <w:p w14:paraId="7CC4E46F">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其他电源设备安装</w:t>
            </w:r>
          </w:p>
        </w:tc>
        <w:tc>
          <w:tcPr>
            <w:tcW w:w="5893" w:type="dxa"/>
            <w:vAlign w:val="center"/>
          </w:tcPr>
          <w:p w14:paraId="2A795C8F">
            <w:pPr>
              <w:widowControl/>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1.名称：1U机架式 </w:t>
            </w:r>
          </w:p>
          <w:p w14:paraId="1D3BB3F1">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2.规格型号：输出AC220V ，输出DC12V/30A，16路接线端子</w:t>
            </w:r>
          </w:p>
        </w:tc>
      </w:tr>
      <w:tr w14:paraId="10C7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916" w:type="dxa"/>
            <w:shd w:val="clear" w:color="auto" w:fill="auto"/>
            <w:vAlign w:val="center"/>
          </w:tcPr>
          <w:p w14:paraId="3786EFE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24</w:t>
            </w:r>
          </w:p>
        </w:tc>
        <w:tc>
          <w:tcPr>
            <w:tcW w:w="1663" w:type="dxa"/>
            <w:vAlign w:val="center"/>
          </w:tcPr>
          <w:p w14:paraId="2E1BDD0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机柜</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机架</w:t>
            </w:r>
          </w:p>
        </w:tc>
        <w:tc>
          <w:tcPr>
            <w:tcW w:w="5893" w:type="dxa"/>
            <w:shd w:val="clear" w:color="auto" w:fill="auto"/>
            <w:vAlign w:val="center"/>
          </w:tcPr>
          <w:p w14:paraId="52019FC5">
            <w:pPr>
              <w:widowControl/>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1.名称：42U机柜（含PDU ）</w:t>
            </w:r>
          </w:p>
          <w:p w14:paraId="2E0F30F7">
            <w:pPr>
              <w:widowControl/>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2.标准19"机柜，600*600*</w:t>
            </w:r>
            <w:r>
              <w:rPr>
                <w:rFonts w:hint="eastAsia" w:ascii="微软雅黑" w:hAnsi="微软雅黑" w:eastAsia="微软雅黑" w:cs="微软雅黑"/>
                <w:color w:val="auto"/>
                <w:kern w:val="0"/>
                <w:sz w:val="21"/>
                <w:szCs w:val="21"/>
                <w:highlight w:val="none"/>
                <w:lang w:val="en-US" w:eastAsia="zh-CN"/>
              </w:rPr>
              <w:t>≥</w:t>
            </w:r>
            <w:r>
              <w:rPr>
                <w:rFonts w:hint="eastAsia" w:ascii="宋体" w:hAnsi="宋体" w:cs="宋体"/>
                <w:color w:val="auto"/>
                <w:kern w:val="0"/>
                <w:sz w:val="21"/>
                <w:szCs w:val="21"/>
                <w:highlight w:val="none"/>
                <w:lang w:val="en-US" w:eastAsia="zh-CN"/>
              </w:rPr>
              <w:t>2000mm 42U，</w:t>
            </w:r>
          </w:p>
          <w:p w14:paraId="453B93E0">
            <w:pPr>
              <w:widowControl/>
              <w:numPr>
                <w:ilvl w:val="-1"/>
                <w:numId w:val="0"/>
              </w:numPr>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3.黑色，承重</w:t>
            </w:r>
            <w:r>
              <w:rPr>
                <w:rFonts w:hint="default" w:ascii="Arial" w:hAnsi="Arial" w:cs="Arial"/>
                <w:color w:val="auto"/>
                <w:kern w:val="0"/>
                <w:sz w:val="21"/>
                <w:szCs w:val="21"/>
                <w:highlight w:val="none"/>
                <w:lang w:val="en-US" w:eastAsia="zh-CN"/>
              </w:rPr>
              <w:t>≈</w:t>
            </w:r>
            <w:r>
              <w:rPr>
                <w:rFonts w:hint="eastAsia" w:ascii="宋体" w:hAnsi="宋体" w:cs="宋体"/>
                <w:color w:val="auto"/>
                <w:kern w:val="0"/>
                <w:sz w:val="21"/>
                <w:szCs w:val="21"/>
                <w:highlight w:val="none"/>
                <w:lang w:val="en-US" w:eastAsia="zh-CN"/>
              </w:rPr>
              <w:t>1000KG；</w:t>
            </w:r>
          </w:p>
        </w:tc>
      </w:tr>
      <w:tr w14:paraId="60C0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4" w:hRule="atLeast"/>
        </w:trPr>
        <w:tc>
          <w:tcPr>
            <w:tcW w:w="916" w:type="dxa"/>
            <w:shd w:val="clear" w:color="auto" w:fill="auto"/>
            <w:vAlign w:val="center"/>
          </w:tcPr>
          <w:p w14:paraId="3E4D1A3F">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25</w:t>
            </w:r>
          </w:p>
        </w:tc>
        <w:tc>
          <w:tcPr>
            <w:tcW w:w="1663" w:type="dxa"/>
            <w:vAlign w:val="center"/>
          </w:tcPr>
          <w:p w14:paraId="6475B791">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交换机</w:t>
            </w:r>
          </w:p>
        </w:tc>
        <w:tc>
          <w:tcPr>
            <w:tcW w:w="5893" w:type="dxa"/>
            <w:vAlign w:val="center"/>
          </w:tcPr>
          <w:p w14:paraId="4616B6DE">
            <w:pPr>
              <w:widowControl/>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1.名称：24口交换机 </w:t>
            </w:r>
          </w:p>
          <w:p w14:paraId="4103FB33">
            <w:pPr>
              <w:widowControl/>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2.规格型号：与核心交换 机同品牌；交换容量≥25 0Gbps, 包转发率≥65 Mpps（若有不同指标,以 较低为准）,千兆电口≥2 4个,千兆光口≥4个,MAC 地址容量≥16K,支持堆叠 技术,堆叠带宽≥40G</w:t>
            </w:r>
          </w:p>
          <w:p w14:paraId="3983618B">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支持VLAN划分、环路检测、防私接、线缆检测、端口隔离等功能，支持EWEB/APP/MACC远程管理</w:t>
            </w:r>
          </w:p>
          <w:p w14:paraId="47EC5071">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4.支持网管平台管理，通过可上网的PC或者手机，即可完成部署，即插即用，支持可视化整网拓扑、前面板端口通断状态呈现、CPU、内存利用率、设备配置等功能。</w:t>
            </w:r>
          </w:p>
          <w:p w14:paraId="4E842F6F">
            <w:pPr>
              <w:pStyle w:val="14"/>
              <w:numPr>
                <w:ilvl w:val="0"/>
                <w:numId w:val="0"/>
              </w:numPr>
              <w:ind w:leftChars="0"/>
              <w:rPr>
                <w:rFonts w:hint="eastAsia"/>
                <w:color w:val="auto"/>
                <w:sz w:val="21"/>
                <w:szCs w:val="21"/>
                <w:highlight w:val="none"/>
              </w:rPr>
            </w:pPr>
            <w:r>
              <w:rPr>
                <w:rFonts w:hint="eastAsia" w:ascii="宋体" w:hAnsi="宋体" w:cs="宋体"/>
                <w:color w:val="auto"/>
                <w:sz w:val="21"/>
                <w:szCs w:val="21"/>
                <w:highlight w:val="none"/>
                <w:lang w:val="en-US" w:eastAsia="zh-CN"/>
              </w:rPr>
              <w:t>5.为方便新建项目开局，要求设备支持对全网同品牌设备整网一体化统一组网，并通过网关对交换、AP、AC进行集中化的调试。</w:t>
            </w:r>
          </w:p>
        </w:tc>
      </w:tr>
      <w:tr w14:paraId="61FBE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8472" w:type="dxa"/>
            <w:gridSpan w:val="3"/>
            <w:shd w:val="clear" w:color="auto" w:fill="BEBEBE" w:themeFill="background1" w:themeFillShade="BF"/>
            <w:vAlign w:val="center"/>
          </w:tcPr>
          <w:p w14:paraId="656D8936">
            <w:pPr>
              <w:widowControl/>
              <w:jc w:val="left"/>
              <w:rPr>
                <w:rFonts w:hint="eastAsia" w:ascii="宋体" w:hAnsi="宋体" w:eastAsia="宋体" w:cs="宋体"/>
                <w:color w:val="auto"/>
                <w:kern w:val="0"/>
                <w:sz w:val="21"/>
                <w:szCs w:val="21"/>
                <w:highlight w:val="none"/>
              </w:rPr>
            </w:pPr>
            <w:r>
              <w:rPr>
                <w:rFonts w:hint="eastAsia" w:ascii="宋体" w:hAnsi="宋体" w:cs="宋体"/>
                <w:b/>
                <w:bCs/>
                <w:color w:val="auto"/>
                <w:sz w:val="21"/>
                <w:szCs w:val="21"/>
                <w:highlight w:val="none"/>
              </w:rPr>
              <w:t>（1F）、办案区综合布线系统</w:t>
            </w:r>
          </w:p>
        </w:tc>
      </w:tr>
      <w:tr w14:paraId="3068E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916" w:type="dxa"/>
            <w:vAlign w:val="center"/>
          </w:tcPr>
          <w:p w14:paraId="2F1515DB">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26</w:t>
            </w:r>
          </w:p>
        </w:tc>
        <w:tc>
          <w:tcPr>
            <w:tcW w:w="1663" w:type="dxa"/>
            <w:vAlign w:val="center"/>
          </w:tcPr>
          <w:p w14:paraId="4EBA23C8">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配电箱</w:t>
            </w:r>
          </w:p>
        </w:tc>
        <w:tc>
          <w:tcPr>
            <w:tcW w:w="5893" w:type="dxa"/>
            <w:vAlign w:val="center"/>
          </w:tcPr>
          <w:p w14:paraId="66B3B58F">
            <w:pPr>
              <w:widowControl/>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1.名称：UPS配电箱 </w:t>
            </w:r>
          </w:p>
          <w:p w14:paraId="686A9350">
            <w:pPr>
              <w:widowControl/>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2.型号：非标定制 </w:t>
            </w:r>
          </w:p>
          <w:p w14:paraId="3946921E">
            <w:pPr>
              <w:widowControl/>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sz w:val="21"/>
                <w:szCs w:val="21"/>
                <w:highlight w:val="none"/>
                <w:lang w:val="en-US" w:eastAsia="zh-CN"/>
              </w:rPr>
              <w:t xml:space="preserve">3.安装形式：挂墙明装 </w:t>
            </w:r>
          </w:p>
        </w:tc>
      </w:tr>
      <w:tr w14:paraId="1550E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916" w:type="dxa"/>
            <w:vAlign w:val="center"/>
          </w:tcPr>
          <w:p w14:paraId="6074A3DC">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27</w:t>
            </w:r>
          </w:p>
        </w:tc>
        <w:tc>
          <w:tcPr>
            <w:tcW w:w="1663" w:type="dxa"/>
            <w:shd w:val="clear" w:color="auto" w:fill="auto"/>
            <w:vAlign w:val="center"/>
          </w:tcPr>
          <w:p w14:paraId="67CBF5F2">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配线架</w:t>
            </w:r>
          </w:p>
        </w:tc>
        <w:tc>
          <w:tcPr>
            <w:tcW w:w="5893" w:type="dxa"/>
            <w:shd w:val="clear" w:color="auto" w:fill="auto"/>
            <w:vAlign w:val="center"/>
          </w:tcPr>
          <w:p w14:paraId="3632559B">
            <w:pPr>
              <w:widowControl/>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1.名称：配线架1U， </w:t>
            </w:r>
          </w:p>
          <w:p w14:paraId="4D8783B2">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2.规格：24口，兼容T568 A/B 打线方式，背后采用 110 接线端子；插拔次数 ：大于750 次；满配六类非屏蔽模块；防火等级：UL-rated 94V-0</w:t>
            </w:r>
          </w:p>
        </w:tc>
      </w:tr>
      <w:tr w14:paraId="4997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916" w:type="dxa"/>
            <w:vAlign w:val="center"/>
          </w:tcPr>
          <w:p w14:paraId="15F4AC61">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28</w:t>
            </w:r>
          </w:p>
        </w:tc>
        <w:tc>
          <w:tcPr>
            <w:tcW w:w="1663" w:type="dxa"/>
            <w:shd w:val="clear" w:color="auto" w:fill="auto"/>
            <w:vAlign w:val="center"/>
          </w:tcPr>
          <w:p w14:paraId="12C7009C">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交换机</w:t>
            </w:r>
          </w:p>
        </w:tc>
        <w:tc>
          <w:tcPr>
            <w:tcW w:w="5893" w:type="dxa"/>
            <w:vAlign w:val="center"/>
          </w:tcPr>
          <w:p w14:paraId="07A7A9FF">
            <w:pPr>
              <w:widowControl/>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1.名称：24口千兆接入层交换机 </w:t>
            </w:r>
          </w:p>
          <w:p w14:paraId="61AC8358">
            <w:pPr>
              <w:widowControl/>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2.规格型号：与核心交换机同品牌；交换容量≥25 0Gbps, 包转发率≥65 Mpps（若有不同指标,以 较低为准）,千兆电口≥2 4个,千兆光口≥4个,MAC 地址容量≥16K,支持堆叠 技术,堆叠带宽≥40G</w:t>
            </w:r>
          </w:p>
          <w:p w14:paraId="095A2EDC">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支持VLAN划分、环路检测、防私接、线缆检测、端口隔离等功能，支持EWEB/APP/MACC远程管理</w:t>
            </w:r>
          </w:p>
          <w:p w14:paraId="65E10780">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4.支持网管平台管理，通过可上网的PC或者手机，即可完成部署，即插即用，支持可视化整网拓扑、前面板端口通断状态呈现、CPU、内存利用率、设备配置等功能。</w:t>
            </w:r>
          </w:p>
          <w:p w14:paraId="683D6182">
            <w:pPr>
              <w:pStyle w:val="14"/>
              <w:numPr>
                <w:ilvl w:val="0"/>
                <w:numId w:val="0"/>
              </w:numPr>
              <w:ind w:leftChars="0"/>
              <w:rPr>
                <w:color w:val="auto"/>
                <w:sz w:val="21"/>
                <w:szCs w:val="21"/>
                <w:highlight w:val="none"/>
              </w:rPr>
            </w:pPr>
            <w:r>
              <w:rPr>
                <w:rFonts w:hint="eastAsia" w:ascii="宋体" w:hAnsi="宋体" w:cs="宋体"/>
                <w:color w:val="auto"/>
                <w:sz w:val="21"/>
                <w:szCs w:val="21"/>
                <w:highlight w:val="none"/>
                <w:lang w:val="en-US" w:eastAsia="zh-CN"/>
              </w:rPr>
              <w:t>5.为方便新建项目开局，要求设备支持对全网同品牌设备整网一体化统一组网，并通过网关对交换、AP、AC进行集中化的调试。</w:t>
            </w:r>
          </w:p>
        </w:tc>
      </w:tr>
      <w:tr w14:paraId="2635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916" w:type="dxa"/>
            <w:vAlign w:val="center"/>
          </w:tcPr>
          <w:p w14:paraId="0B7B3DA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29</w:t>
            </w:r>
          </w:p>
        </w:tc>
        <w:tc>
          <w:tcPr>
            <w:tcW w:w="1663" w:type="dxa"/>
            <w:shd w:val="clear" w:color="auto" w:fill="auto"/>
            <w:vAlign w:val="center"/>
          </w:tcPr>
          <w:p w14:paraId="5B9805B2">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配线架</w:t>
            </w:r>
          </w:p>
        </w:tc>
        <w:tc>
          <w:tcPr>
            <w:tcW w:w="5893" w:type="dxa"/>
            <w:vAlign w:val="center"/>
          </w:tcPr>
          <w:p w14:paraId="1366313A">
            <w:pPr>
              <w:keepNext w:val="0"/>
              <w:keepLines w:val="0"/>
              <w:widowControl/>
              <w:suppressLineNumbers w:val="0"/>
              <w:jc w:val="left"/>
              <w:textAlignment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1.名称：100对110配线架 </w:t>
            </w:r>
          </w:p>
          <w:p w14:paraId="543FE310">
            <w:pPr>
              <w:keepNext w:val="0"/>
              <w:keepLines w:val="0"/>
              <w:widowControl/>
              <w:suppressLineNumbers w:val="0"/>
              <w:jc w:val="left"/>
              <w:textAlignment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2.规格：机架式110型，100对，压接次数大于200次，含连接块</w:t>
            </w:r>
          </w:p>
          <w:p w14:paraId="3BF7A069">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3.标准19英寸机架式安装</w:t>
            </w:r>
            <w:r>
              <w:rPr>
                <w:rFonts w:hint="eastAsia" w:ascii="宋体" w:hAnsi="宋体" w:eastAsia="宋体" w:cs="宋体"/>
                <w:color w:val="auto"/>
                <w:kern w:val="0"/>
                <w:sz w:val="21"/>
                <w:szCs w:val="21"/>
                <w:highlight w:val="none"/>
                <w:lang w:val="en-US" w:eastAsia="zh-CN"/>
              </w:rPr>
              <w:t>，高度：1U</w:t>
            </w:r>
          </w:p>
          <w:p w14:paraId="5C304801">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塑料件：PC</w:t>
            </w:r>
          </w:p>
          <w:p w14:paraId="7E3AB2D1">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塑料件颜色：象牙色</w:t>
            </w:r>
          </w:p>
          <w:p w14:paraId="389FB787">
            <w:pPr>
              <w:keepNext w:val="0"/>
              <w:keepLines w:val="0"/>
              <w:widowControl/>
              <w:suppressLineNumbers w:val="0"/>
              <w:jc w:val="left"/>
              <w:textAlignment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工作温度：-10℃～+60℃</w:t>
            </w:r>
          </w:p>
        </w:tc>
      </w:tr>
      <w:tr w14:paraId="76A27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16" w:type="dxa"/>
            <w:vAlign w:val="center"/>
          </w:tcPr>
          <w:p w14:paraId="767D8119">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w:t>
            </w:r>
          </w:p>
        </w:tc>
        <w:tc>
          <w:tcPr>
            <w:tcW w:w="1663" w:type="dxa"/>
            <w:shd w:val="clear" w:color="auto" w:fill="auto"/>
            <w:vAlign w:val="center"/>
          </w:tcPr>
          <w:p w14:paraId="6979D253">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配线架</w:t>
            </w:r>
          </w:p>
        </w:tc>
        <w:tc>
          <w:tcPr>
            <w:tcW w:w="5893" w:type="dxa"/>
            <w:vAlign w:val="center"/>
          </w:tcPr>
          <w:p w14:paraId="0FD3AACE">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1.名称：理线架 </w:t>
            </w:r>
          </w:p>
          <w:p w14:paraId="1A4E972D">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2.规格：琴键式设计，可上下开合；ABS阻燃材料</w:t>
            </w:r>
          </w:p>
          <w:p w14:paraId="433013C9">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3.产品参数：标准19英寸机架式安装，高度：1U</w:t>
            </w:r>
          </w:p>
          <w:p w14:paraId="10F48F2E">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材料及厚度：SPCC冷轧钢板表面脱脂、磷化、静电喷塑处理，架体1.2，盖板1.0mm</w:t>
            </w:r>
          </w:p>
          <w:p w14:paraId="6398D975">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4.带有盖板，盖板上具有模压品牌标识，不可采用丝网印刷</w:t>
            </w:r>
          </w:p>
          <w:p w14:paraId="185F56E7">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理线档位：上下各24档带有贯穿孔，支持前后走线和多余线缆的存放</w:t>
            </w:r>
          </w:p>
          <w:p w14:paraId="63450600">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颜色：黑色</w:t>
            </w:r>
          </w:p>
        </w:tc>
      </w:tr>
      <w:tr w14:paraId="17CB0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916" w:type="dxa"/>
            <w:vAlign w:val="center"/>
          </w:tcPr>
          <w:p w14:paraId="352389BB">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31</w:t>
            </w:r>
          </w:p>
        </w:tc>
        <w:tc>
          <w:tcPr>
            <w:tcW w:w="1663" w:type="dxa"/>
            <w:shd w:val="clear" w:color="auto" w:fill="auto"/>
            <w:vAlign w:val="center"/>
          </w:tcPr>
          <w:p w14:paraId="271DD5AB">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信息插座</w:t>
            </w:r>
          </w:p>
        </w:tc>
        <w:tc>
          <w:tcPr>
            <w:tcW w:w="5893" w:type="dxa"/>
            <w:vAlign w:val="center"/>
          </w:tcPr>
          <w:p w14:paraId="2D3C2F8A">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1.名称：单孔地插（含底盒） </w:t>
            </w:r>
          </w:p>
          <w:p w14:paraId="1EA46D49">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2.规格：弹起型内含弹簧 装置，一位信息插座，不含模块，含预埋底盒</w:t>
            </w:r>
          </w:p>
          <w:p w14:paraId="3BA63AC7">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3.面板尺寸：120×120mm，底盒尺寸：100×100×60mm</w:t>
            </w:r>
          </w:p>
        </w:tc>
      </w:tr>
      <w:tr w14:paraId="11082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916" w:type="dxa"/>
            <w:vAlign w:val="center"/>
          </w:tcPr>
          <w:p w14:paraId="7B2ABA10">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32</w:t>
            </w:r>
          </w:p>
        </w:tc>
        <w:tc>
          <w:tcPr>
            <w:tcW w:w="1663" w:type="dxa"/>
            <w:shd w:val="clear" w:color="auto" w:fill="auto"/>
            <w:vAlign w:val="center"/>
          </w:tcPr>
          <w:p w14:paraId="40E635CB">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信息插座</w:t>
            </w:r>
          </w:p>
        </w:tc>
        <w:tc>
          <w:tcPr>
            <w:tcW w:w="5893" w:type="dxa"/>
            <w:vAlign w:val="center"/>
          </w:tcPr>
          <w:p w14:paraId="01065664">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1.名称：双孔地插（含底盒） </w:t>
            </w:r>
          </w:p>
          <w:p w14:paraId="6A09618E">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2.规格：弹起型内含弹簧 装置，两位信息插座，不含模块，含预埋底盒</w:t>
            </w:r>
          </w:p>
          <w:p w14:paraId="60AF3AEC">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3.面板尺寸：120×120mm，底盒尺寸：100×100×60mm</w:t>
            </w:r>
          </w:p>
        </w:tc>
      </w:tr>
      <w:tr w14:paraId="4AE6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916" w:type="dxa"/>
            <w:vAlign w:val="center"/>
          </w:tcPr>
          <w:p w14:paraId="3CCF5EA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33</w:t>
            </w:r>
          </w:p>
        </w:tc>
        <w:tc>
          <w:tcPr>
            <w:tcW w:w="1663" w:type="dxa"/>
            <w:shd w:val="clear" w:color="auto" w:fill="auto"/>
            <w:vAlign w:val="center"/>
          </w:tcPr>
          <w:p w14:paraId="651C2131">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信息插座</w:t>
            </w:r>
          </w:p>
        </w:tc>
        <w:tc>
          <w:tcPr>
            <w:tcW w:w="5893" w:type="dxa"/>
            <w:vAlign w:val="center"/>
          </w:tcPr>
          <w:p w14:paraId="137D7295">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1.名称：单口信息面板 </w:t>
            </w:r>
          </w:p>
          <w:p w14:paraId="29423AB7">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2.规格：方形86式，单口；白色PC料，燃烧性能符合GB/T 5169.7；自带可更换式标签；自带滑门式防尘盖</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3.具有风格统一的单口、双口、三口、四口规格</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3.面板尺寸：高度:86×宽度:86mm</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4.材料：ABS</w:t>
            </w:r>
          </w:p>
        </w:tc>
      </w:tr>
      <w:tr w14:paraId="0931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916" w:type="dxa"/>
            <w:vAlign w:val="center"/>
          </w:tcPr>
          <w:p w14:paraId="4D06F9E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34</w:t>
            </w:r>
          </w:p>
        </w:tc>
        <w:tc>
          <w:tcPr>
            <w:tcW w:w="1663" w:type="dxa"/>
            <w:shd w:val="clear" w:color="auto" w:fill="auto"/>
            <w:vAlign w:val="center"/>
          </w:tcPr>
          <w:p w14:paraId="4E64D913">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信息插座</w:t>
            </w:r>
          </w:p>
        </w:tc>
        <w:tc>
          <w:tcPr>
            <w:tcW w:w="5893" w:type="dxa"/>
            <w:vAlign w:val="center"/>
          </w:tcPr>
          <w:p w14:paraId="60428EF4">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1.名称：双口信息面板 </w:t>
            </w:r>
          </w:p>
          <w:p w14:paraId="772E4A58">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2.规格：方形86式，双口；白色PC料，燃烧性能符合GB/T 5169.7；自带可更换式标签；自带滑门式防尘盖</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3.具有风格统一的单口、双口、三口、四口规格</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3.面板尺寸：高度:86×宽度:86mm</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4.材料：ABS</w:t>
            </w:r>
          </w:p>
        </w:tc>
      </w:tr>
      <w:tr w14:paraId="5D71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916" w:type="dxa"/>
            <w:vAlign w:val="center"/>
          </w:tcPr>
          <w:p w14:paraId="3A13DE2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35</w:t>
            </w:r>
          </w:p>
        </w:tc>
        <w:tc>
          <w:tcPr>
            <w:tcW w:w="1663" w:type="dxa"/>
            <w:shd w:val="clear" w:color="auto" w:fill="auto"/>
            <w:vAlign w:val="center"/>
          </w:tcPr>
          <w:p w14:paraId="2A0066F7">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信息插座</w:t>
            </w:r>
          </w:p>
        </w:tc>
        <w:tc>
          <w:tcPr>
            <w:tcW w:w="5893" w:type="dxa"/>
            <w:vAlign w:val="center"/>
          </w:tcPr>
          <w:p w14:paraId="01D32598">
            <w:pPr>
              <w:keepNext w:val="0"/>
              <w:keepLines w:val="0"/>
              <w:widowControl/>
              <w:suppressLineNumbers w:val="0"/>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1.名称：有线电视插座面</w:t>
            </w:r>
          </w:p>
          <w:p w14:paraId="31152C86">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2.规格：方形86式，单口；白色PC料，燃烧性能符合GB/T 5169.7；自带可更换式标签；自带滑门式防尘盖</w:t>
            </w:r>
            <w:r>
              <w:rPr>
                <w:rFonts w:hint="eastAsia" w:ascii="宋体" w:hAnsi="宋体" w:cs="宋体"/>
                <w:color w:val="auto"/>
                <w:kern w:val="0"/>
                <w:sz w:val="21"/>
                <w:szCs w:val="21"/>
                <w:highlight w:val="none"/>
                <w:lang w:val="en-US" w:eastAsia="zh-CN"/>
              </w:rPr>
              <w:br w:type="textWrapping"/>
            </w:r>
            <w:r>
              <w:rPr>
                <w:rFonts w:hint="eastAsia" w:ascii="宋体" w:hAnsi="宋体" w:cs="宋体"/>
                <w:color w:val="auto"/>
                <w:kern w:val="0"/>
                <w:sz w:val="21"/>
                <w:szCs w:val="21"/>
                <w:highlight w:val="none"/>
                <w:lang w:val="en-US" w:eastAsia="zh-CN"/>
              </w:rPr>
              <w:t>3.面板尺寸：高度:86×宽度:86mm</w:t>
            </w:r>
            <w:r>
              <w:rPr>
                <w:rFonts w:hint="eastAsia" w:ascii="宋体" w:hAnsi="宋体" w:cs="宋体"/>
                <w:color w:val="auto"/>
                <w:kern w:val="0"/>
                <w:sz w:val="21"/>
                <w:szCs w:val="21"/>
                <w:highlight w:val="none"/>
                <w:lang w:val="en-US" w:eastAsia="zh-CN"/>
              </w:rPr>
              <w:br w:type="textWrapping"/>
            </w:r>
            <w:r>
              <w:rPr>
                <w:rFonts w:hint="eastAsia" w:ascii="宋体" w:hAnsi="宋体" w:cs="宋体"/>
                <w:color w:val="auto"/>
                <w:kern w:val="0"/>
                <w:sz w:val="21"/>
                <w:szCs w:val="21"/>
                <w:highlight w:val="none"/>
                <w:lang w:val="en-US" w:eastAsia="zh-CN"/>
              </w:rPr>
              <w:t>4.材料：ABS</w:t>
            </w:r>
          </w:p>
        </w:tc>
      </w:tr>
      <w:tr w14:paraId="3F963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16" w:type="dxa"/>
            <w:vAlign w:val="center"/>
          </w:tcPr>
          <w:p w14:paraId="442255B6">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36</w:t>
            </w:r>
          </w:p>
        </w:tc>
        <w:tc>
          <w:tcPr>
            <w:tcW w:w="1663" w:type="dxa"/>
            <w:shd w:val="clear" w:color="auto" w:fill="auto"/>
            <w:vAlign w:val="center"/>
          </w:tcPr>
          <w:p w14:paraId="28520F6B">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信息插座</w:t>
            </w:r>
          </w:p>
        </w:tc>
        <w:tc>
          <w:tcPr>
            <w:tcW w:w="5893" w:type="dxa"/>
            <w:vAlign w:val="center"/>
          </w:tcPr>
          <w:p w14:paraId="4E019BD4">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1.名称：开关盒插座盒安装</w:t>
            </w:r>
          </w:p>
          <w:p w14:paraId="62DF8817">
            <w:pPr>
              <w:keepNext w:val="0"/>
              <w:keepLines w:val="0"/>
              <w:widowControl/>
              <w:suppressLineNumbers w:val="0"/>
              <w:jc w:val="left"/>
              <w:textAlignment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86型暗盒，86×86，</w:t>
            </w:r>
          </w:p>
        </w:tc>
      </w:tr>
      <w:tr w14:paraId="701D6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16" w:type="dxa"/>
            <w:vAlign w:val="center"/>
          </w:tcPr>
          <w:p w14:paraId="24539C93">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37</w:t>
            </w:r>
          </w:p>
        </w:tc>
        <w:tc>
          <w:tcPr>
            <w:tcW w:w="1663" w:type="dxa"/>
            <w:shd w:val="clear" w:color="auto" w:fill="auto"/>
            <w:vAlign w:val="center"/>
          </w:tcPr>
          <w:p w14:paraId="405FB16F">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跳线</w:t>
            </w:r>
          </w:p>
        </w:tc>
        <w:tc>
          <w:tcPr>
            <w:tcW w:w="5893" w:type="dxa"/>
            <w:vAlign w:val="center"/>
          </w:tcPr>
          <w:p w14:paraId="03D911B5">
            <w:pPr>
              <w:keepNext w:val="0"/>
              <w:keepLines w:val="0"/>
              <w:widowControl/>
              <w:suppressLineNumbers w:val="0"/>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1.名称：2米LC-LC光纤跳线</w:t>
            </w:r>
          </w:p>
          <w:p w14:paraId="14F965B2">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2.B1.3，LSZH护套，双芯“8”字形2×4mm，2米跳纤</w:t>
            </w:r>
          </w:p>
        </w:tc>
      </w:tr>
      <w:tr w14:paraId="02A7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916" w:type="dxa"/>
            <w:vAlign w:val="center"/>
          </w:tcPr>
          <w:p w14:paraId="7E08D803">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38</w:t>
            </w:r>
          </w:p>
        </w:tc>
        <w:tc>
          <w:tcPr>
            <w:tcW w:w="1663" w:type="dxa"/>
            <w:shd w:val="clear" w:color="auto" w:fill="auto"/>
            <w:vAlign w:val="center"/>
          </w:tcPr>
          <w:p w14:paraId="61840CCB">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光纤盒</w:t>
            </w:r>
          </w:p>
        </w:tc>
        <w:tc>
          <w:tcPr>
            <w:tcW w:w="5893" w:type="dxa"/>
            <w:vAlign w:val="center"/>
          </w:tcPr>
          <w:p w14:paraId="18D6D5E2">
            <w:pPr>
              <w:widowControl/>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1.名称：双工耦合器</w:t>
            </w:r>
            <w:r>
              <w:rPr>
                <w:rFonts w:hint="eastAsia" w:ascii="宋体" w:hAnsi="宋体" w:eastAsia="宋体" w:cs="宋体"/>
                <w:color w:val="auto"/>
                <w:kern w:val="0"/>
                <w:sz w:val="21"/>
                <w:szCs w:val="21"/>
                <w:highlight w:val="none"/>
                <w:lang w:val="en-US" w:eastAsia="zh-CN"/>
              </w:rPr>
              <w:br w:type="textWrapping"/>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产品参数：标准：YD/T1272，ISO/IEC 11801，ANSI/TIA-568-C.3</w:t>
            </w:r>
            <w:r>
              <w:rPr>
                <w:rFonts w:hint="eastAsia" w:ascii="宋体" w:hAnsi="宋体" w:eastAsia="宋体" w:cs="宋体"/>
                <w:color w:val="auto"/>
                <w:kern w:val="0"/>
                <w:sz w:val="21"/>
                <w:szCs w:val="21"/>
                <w:highlight w:val="none"/>
                <w:lang w:val="en-US" w:eastAsia="zh-CN"/>
              </w:rPr>
              <w:br w:type="textWrapping"/>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材料：氧化锆陶瓷套管</w:t>
            </w:r>
          </w:p>
        </w:tc>
      </w:tr>
      <w:tr w14:paraId="0B09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916" w:type="dxa"/>
            <w:vAlign w:val="center"/>
          </w:tcPr>
          <w:p w14:paraId="2413DDAC">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39</w:t>
            </w:r>
          </w:p>
        </w:tc>
        <w:tc>
          <w:tcPr>
            <w:tcW w:w="1663" w:type="dxa"/>
            <w:shd w:val="clear" w:color="auto" w:fill="auto"/>
            <w:vAlign w:val="center"/>
          </w:tcPr>
          <w:p w14:paraId="4A61ED8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布放</w:t>
            </w:r>
            <w:r>
              <w:rPr>
                <w:rFonts w:hint="eastAsia" w:ascii="宋体" w:hAnsi="宋体" w:cs="宋体"/>
                <w:color w:val="auto"/>
                <w:kern w:val="0"/>
                <w:sz w:val="21"/>
                <w:szCs w:val="21"/>
                <w:highlight w:val="none"/>
              </w:rPr>
              <w:t>尾纤</w:t>
            </w:r>
          </w:p>
        </w:tc>
        <w:tc>
          <w:tcPr>
            <w:tcW w:w="5893" w:type="dxa"/>
            <w:vAlign w:val="center"/>
          </w:tcPr>
          <w:p w14:paraId="1A31EC8B">
            <w:pPr>
              <w:keepNext w:val="0"/>
              <w:keepLines w:val="0"/>
              <w:widowControl/>
              <w:suppressLineNumbers w:val="0"/>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1.名称：1米单模LC尾纤</w:t>
            </w:r>
          </w:p>
          <w:p w14:paraId="2F5D6C96">
            <w:pPr>
              <w:widowControl/>
              <w:numPr>
                <w:ilvl w:val="-1"/>
                <w:numId w:val="0"/>
              </w:numP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2.LSZH护套，双芯“8”字形2×4mm</w:t>
            </w:r>
          </w:p>
        </w:tc>
      </w:tr>
      <w:tr w14:paraId="38C38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916" w:type="dxa"/>
            <w:vAlign w:val="center"/>
          </w:tcPr>
          <w:p w14:paraId="4A3E7411">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40</w:t>
            </w:r>
          </w:p>
        </w:tc>
        <w:tc>
          <w:tcPr>
            <w:tcW w:w="1663" w:type="dxa"/>
            <w:shd w:val="clear" w:color="auto" w:fill="auto"/>
            <w:vAlign w:val="center"/>
          </w:tcPr>
          <w:p w14:paraId="369B0C13">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机柜</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机架</w:t>
            </w:r>
          </w:p>
        </w:tc>
        <w:tc>
          <w:tcPr>
            <w:tcW w:w="5893" w:type="dxa"/>
            <w:vAlign w:val="center"/>
          </w:tcPr>
          <w:p w14:paraId="64D11435">
            <w:pPr>
              <w:widowControl/>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1.名称：42U机柜（含PDU ）</w:t>
            </w:r>
          </w:p>
          <w:p w14:paraId="015DA22A">
            <w:pPr>
              <w:widowControl/>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2.标准19"机柜，600*600*</w:t>
            </w:r>
            <w:r>
              <w:rPr>
                <w:rFonts w:hint="eastAsia" w:ascii="微软雅黑" w:hAnsi="微软雅黑" w:eastAsia="微软雅黑" w:cs="微软雅黑"/>
                <w:color w:val="auto"/>
                <w:kern w:val="0"/>
                <w:sz w:val="21"/>
                <w:szCs w:val="21"/>
                <w:highlight w:val="none"/>
                <w:lang w:val="en-US" w:eastAsia="zh-CN"/>
              </w:rPr>
              <w:t>≥</w:t>
            </w:r>
            <w:r>
              <w:rPr>
                <w:rFonts w:hint="eastAsia" w:ascii="宋体" w:hAnsi="宋体" w:cs="宋体"/>
                <w:color w:val="auto"/>
                <w:kern w:val="0"/>
                <w:sz w:val="21"/>
                <w:szCs w:val="21"/>
                <w:highlight w:val="none"/>
                <w:lang w:val="en-US" w:eastAsia="zh-CN"/>
              </w:rPr>
              <w:t>2000mm 42U，</w:t>
            </w:r>
          </w:p>
          <w:p w14:paraId="59A0267B">
            <w:pPr>
              <w:widowControl/>
              <w:numPr>
                <w:ilvl w:val="0"/>
                <w:numId w:val="0"/>
              </w:numPr>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3.黑色，承重1000KG；</w:t>
            </w:r>
          </w:p>
        </w:tc>
      </w:tr>
      <w:tr w14:paraId="0BCC1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16" w:type="dxa"/>
            <w:vAlign w:val="center"/>
          </w:tcPr>
          <w:p w14:paraId="4928D99A">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41</w:t>
            </w:r>
          </w:p>
        </w:tc>
        <w:tc>
          <w:tcPr>
            <w:tcW w:w="1663" w:type="dxa"/>
            <w:shd w:val="clear" w:color="auto" w:fill="auto"/>
            <w:vAlign w:val="center"/>
          </w:tcPr>
          <w:p w14:paraId="5982483D">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光纤测试</w:t>
            </w:r>
          </w:p>
        </w:tc>
        <w:tc>
          <w:tcPr>
            <w:tcW w:w="5893" w:type="dxa"/>
            <w:vAlign w:val="center"/>
          </w:tcPr>
          <w:p w14:paraId="19F0FF07">
            <w:pPr>
              <w:widowControl/>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1.名称：光纤测试</w:t>
            </w:r>
          </w:p>
        </w:tc>
      </w:tr>
      <w:tr w14:paraId="1FC0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16" w:type="dxa"/>
            <w:vAlign w:val="center"/>
          </w:tcPr>
          <w:p w14:paraId="140DCCE6">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42</w:t>
            </w:r>
          </w:p>
        </w:tc>
        <w:tc>
          <w:tcPr>
            <w:tcW w:w="1663" w:type="dxa"/>
            <w:shd w:val="clear" w:color="auto" w:fill="auto"/>
            <w:vAlign w:val="center"/>
          </w:tcPr>
          <w:p w14:paraId="6EF64F9F">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光纤连接</w:t>
            </w:r>
          </w:p>
        </w:tc>
        <w:tc>
          <w:tcPr>
            <w:tcW w:w="5893" w:type="dxa"/>
            <w:vAlign w:val="center"/>
          </w:tcPr>
          <w:p w14:paraId="63B54427">
            <w:pPr>
              <w:widowControl/>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1.名称：光纤熔接</w:t>
            </w:r>
          </w:p>
        </w:tc>
      </w:tr>
      <w:tr w14:paraId="419D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8472" w:type="dxa"/>
            <w:gridSpan w:val="3"/>
            <w:shd w:val="clear" w:color="auto" w:fill="BEBEBE" w:themeFill="background1" w:themeFillShade="BF"/>
            <w:vAlign w:val="center"/>
          </w:tcPr>
          <w:p w14:paraId="435C571D">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cs="宋体"/>
                <w:b/>
                <w:bCs/>
                <w:color w:val="auto"/>
                <w:sz w:val="21"/>
                <w:szCs w:val="21"/>
                <w:highlight w:val="none"/>
              </w:rPr>
              <w:t>（1F）、办案区人员定位系统</w:t>
            </w:r>
          </w:p>
        </w:tc>
      </w:tr>
      <w:tr w14:paraId="6846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916" w:type="dxa"/>
            <w:vAlign w:val="center"/>
          </w:tcPr>
          <w:p w14:paraId="1CD91A1D">
            <w:pPr>
              <w:widowControl/>
              <w:jc w:val="center"/>
              <w:rPr>
                <w:rFonts w:hint="default" w:ascii="宋体" w:hAnsi="宋体" w:cs="宋体"/>
                <w:color w:val="auto"/>
                <w:kern w:val="0"/>
                <w:sz w:val="21"/>
                <w:szCs w:val="21"/>
                <w:highlight w:val="none"/>
                <w:lang w:val="en-US"/>
              </w:rPr>
            </w:pPr>
            <w:r>
              <w:rPr>
                <w:rFonts w:hint="eastAsia" w:ascii="宋体" w:hAnsi="宋体" w:cs="宋体"/>
                <w:color w:val="auto"/>
                <w:kern w:val="0"/>
                <w:sz w:val="21"/>
                <w:szCs w:val="21"/>
                <w:highlight w:val="none"/>
                <w:lang w:val="en-US" w:eastAsia="zh-CN"/>
              </w:rPr>
              <w:t>43</w:t>
            </w:r>
          </w:p>
        </w:tc>
        <w:tc>
          <w:tcPr>
            <w:tcW w:w="1663" w:type="dxa"/>
            <w:vAlign w:val="center"/>
          </w:tcPr>
          <w:p w14:paraId="27CBA8DD">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交换机</w:t>
            </w:r>
          </w:p>
        </w:tc>
        <w:tc>
          <w:tcPr>
            <w:tcW w:w="5893" w:type="dxa"/>
            <w:vAlign w:val="center"/>
          </w:tcPr>
          <w:p w14:paraId="0FFE31E5">
            <w:pPr>
              <w:widowControl/>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1.名称：24口交换机 </w:t>
            </w:r>
          </w:p>
          <w:p w14:paraId="0CA256A8">
            <w:pPr>
              <w:widowControl/>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2.规格型号：与核心交换 机同品牌；交换容量≥25 0Gbps, 包转发率≥65 Mpps（若有不同指标,以 较低为准）,千兆电口≥2 4个,千兆光口≥4个,MAC 地址容量≥16K,支持堆叠 技术,堆叠带宽≥40G</w:t>
            </w:r>
          </w:p>
          <w:p w14:paraId="0F0F02F8">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支持VLAN划分、环路检测、防私接、线缆检测、端口隔离等功能，支持EWEB/APP/MACC远程管理</w:t>
            </w:r>
          </w:p>
          <w:p w14:paraId="5A878D85">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4.支持网管平台管理，通过可上网的PC或者手机，即可完成部署，即插即用，支持可视化整网拓扑、前面板端口通断状态呈现、CPU、内存利用率、设备配置等功能。</w:t>
            </w:r>
          </w:p>
          <w:p w14:paraId="0C90FB8F">
            <w:pPr>
              <w:pStyle w:val="14"/>
              <w:numPr>
                <w:ilvl w:val="0"/>
                <w:numId w:val="0"/>
              </w:numPr>
              <w:ind w:leftChars="0"/>
              <w:rPr>
                <w:rFonts w:hint="eastAsia"/>
                <w:color w:val="auto"/>
                <w:sz w:val="21"/>
                <w:szCs w:val="21"/>
                <w:highlight w:val="none"/>
                <w:lang w:val="en-US" w:eastAsia="zh-CN"/>
              </w:rPr>
            </w:pPr>
            <w:r>
              <w:rPr>
                <w:rFonts w:hint="eastAsia" w:ascii="宋体" w:hAnsi="宋体" w:cs="宋体"/>
                <w:color w:val="auto"/>
                <w:sz w:val="21"/>
                <w:szCs w:val="21"/>
                <w:highlight w:val="none"/>
                <w:lang w:val="en-US" w:eastAsia="zh-CN"/>
              </w:rPr>
              <w:t>5.为方便新建项目开局，要求设备支持对全网同品牌设备整网一体化统一组网，并通过网关对交换、AP、AC进行集中化的调试。</w:t>
            </w:r>
          </w:p>
        </w:tc>
      </w:tr>
      <w:tr w14:paraId="0E07D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916" w:type="dxa"/>
            <w:shd w:val="clear" w:color="auto" w:fill="auto"/>
            <w:vAlign w:val="center"/>
          </w:tcPr>
          <w:p w14:paraId="1AD4512E">
            <w:pPr>
              <w:widowControl/>
              <w:jc w:val="center"/>
              <w:rPr>
                <w:rFonts w:hint="default" w:ascii="宋体" w:hAnsi="宋体" w:cs="宋体"/>
                <w:color w:val="auto"/>
                <w:kern w:val="0"/>
                <w:sz w:val="21"/>
                <w:szCs w:val="21"/>
                <w:highlight w:val="none"/>
                <w:lang w:val="en-US"/>
              </w:rPr>
            </w:pPr>
            <w:r>
              <w:rPr>
                <w:rFonts w:hint="eastAsia" w:ascii="宋体" w:hAnsi="宋体" w:cs="宋体"/>
                <w:color w:val="auto"/>
                <w:kern w:val="0"/>
                <w:sz w:val="21"/>
                <w:szCs w:val="21"/>
                <w:highlight w:val="none"/>
                <w:lang w:val="en-US" w:eastAsia="zh-CN"/>
              </w:rPr>
              <w:t>44</w:t>
            </w:r>
          </w:p>
        </w:tc>
        <w:tc>
          <w:tcPr>
            <w:tcW w:w="1663" w:type="dxa"/>
            <w:shd w:val="clear" w:color="auto" w:fill="auto"/>
            <w:vAlign w:val="center"/>
          </w:tcPr>
          <w:p w14:paraId="30061FF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声光报警器</w:t>
            </w:r>
          </w:p>
        </w:tc>
        <w:tc>
          <w:tcPr>
            <w:tcW w:w="5893" w:type="dxa"/>
            <w:vAlign w:val="center"/>
          </w:tcPr>
          <w:p w14:paraId="3EA0B7C4">
            <w:pPr>
              <w:widowControl/>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1.名称：声光报警器</w:t>
            </w:r>
          </w:p>
          <w:p w14:paraId="1FA6DAC6">
            <w:pPr>
              <w:widowControl/>
              <w:jc w:val="left"/>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2.语音声光报警器12V</w:t>
            </w:r>
          </w:p>
        </w:tc>
      </w:tr>
      <w:tr w14:paraId="4CFAE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916" w:type="dxa"/>
            <w:shd w:val="clear" w:color="auto" w:fill="auto"/>
            <w:vAlign w:val="center"/>
          </w:tcPr>
          <w:p w14:paraId="6BC51C11">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45</w:t>
            </w:r>
          </w:p>
        </w:tc>
        <w:tc>
          <w:tcPr>
            <w:tcW w:w="1663" w:type="dxa"/>
            <w:shd w:val="clear" w:color="auto" w:fill="auto"/>
            <w:vAlign w:val="center"/>
          </w:tcPr>
          <w:p w14:paraId="1C6CF7CD">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小电器</w:t>
            </w:r>
          </w:p>
        </w:tc>
        <w:tc>
          <w:tcPr>
            <w:tcW w:w="5893" w:type="dxa"/>
            <w:vAlign w:val="center"/>
          </w:tcPr>
          <w:p w14:paraId="348DB143">
            <w:pPr>
              <w:widowControl/>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1.名称：网络继电器</w:t>
            </w:r>
          </w:p>
          <w:p w14:paraId="7604632C">
            <w:pPr>
              <w:widowControl/>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2.工业级wifi串口服务器</w:t>
            </w:r>
            <w:r>
              <w:rPr>
                <w:rFonts w:hint="eastAsia" w:ascii="宋体" w:hAnsi="宋体" w:cs="宋体"/>
                <w:color w:val="auto"/>
                <w:kern w:val="0"/>
                <w:sz w:val="21"/>
                <w:szCs w:val="21"/>
                <w:highlight w:val="none"/>
                <w:lang w:val="en-US" w:eastAsia="zh-CN"/>
              </w:rPr>
              <w:br w:type="textWrapping"/>
            </w:r>
            <w:r>
              <w:rPr>
                <w:rFonts w:hint="eastAsia" w:ascii="宋体" w:hAnsi="宋体" w:cs="宋体"/>
                <w:color w:val="auto"/>
                <w:kern w:val="0"/>
                <w:sz w:val="21"/>
                <w:szCs w:val="21"/>
                <w:highlight w:val="none"/>
                <w:lang w:val="en-US" w:eastAsia="zh-CN"/>
              </w:rPr>
              <w:t>3.485/232转以太网口转WiFi AP/STA无线通信modbusRTU网关数据MQTT透传HTTP传输</w:t>
            </w:r>
          </w:p>
        </w:tc>
      </w:tr>
      <w:tr w14:paraId="77E9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8472" w:type="dxa"/>
            <w:gridSpan w:val="3"/>
            <w:shd w:val="clear" w:color="auto" w:fill="BEBEBE" w:themeFill="background1" w:themeFillShade="BF"/>
            <w:vAlign w:val="center"/>
          </w:tcPr>
          <w:p w14:paraId="1B8C6254">
            <w:pPr>
              <w:bidi w:val="0"/>
              <w:rPr>
                <w:rFonts w:hint="eastAsia"/>
                <w:color w:val="auto"/>
                <w:sz w:val="21"/>
                <w:szCs w:val="21"/>
                <w:highlight w:val="none"/>
                <w:lang w:val="en-US" w:eastAsia="zh-CN"/>
              </w:rPr>
            </w:pPr>
            <w:r>
              <w:rPr>
                <w:rFonts w:hint="eastAsia" w:ascii="宋体" w:hAnsi="宋体" w:cs="宋体"/>
                <w:b/>
                <w:bCs/>
                <w:color w:val="auto"/>
                <w:sz w:val="21"/>
                <w:szCs w:val="21"/>
                <w:highlight w:val="none"/>
              </w:rPr>
              <w:t>（1F）、办案区</w:t>
            </w:r>
            <w:r>
              <w:rPr>
                <w:rFonts w:hint="eastAsia" w:ascii="宋体" w:hAnsi="宋体" w:cs="宋体"/>
                <w:b/>
                <w:bCs/>
                <w:color w:val="auto"/>
                <w:sz w:val="21"/>
                <w:szCs w:val="21"/>
                <w:highlight w:val="none"/>
                <w:lang w:val="en-US" w:eastAsia="zh-CN"/>
              </w:rPr>
              <w:t>对讲</w:t>
            </w:r>
            <w:r>
              <w:rPr>
                <w:rFonts w:hint="eastAsia" w:ascii="宋体" w:hAnsi="宋体" w:cs="宋体"/>
                <w:b/>
                <w:bCs/>
                <w:color w:val="auto"/>
                <w:sz w:val="21"/>
                <w:szCs w:val="21"/>
                <w:highlight w:val="none"/>
              </w:rPr>
              <w:t>系统</w:t>
            </w:r>
          </w:p>
        </w:tc>
      </w:tr>
      <w:tr w14:paraId="5F57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916" w:type="dxa"/>
            <w:shd w:val="clear" w:color="auto" w:fill="auto"/>
            <w:vAlign w:val="center"/>
          </w:tcPr>
          <w:p w14:paraId="0EB9B8C1">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46</w:t>
            </w:r>
          </w:p>
        </w:tc>
        <w:tc>
          <w:tcPr>
            <w:tcW w:w="1663" w:type="dxa"/>
            <w:shd w:val="clear" w:color="auto" w:fill="auto"/>
            <w:vAlign w:val="center"/>
          </w:tcPr>
          <w:p w14:paraId="5945161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交换机</w:t>
            </w:r>
          </w:p>
        </w:tc>
        <w:tc>
          <w:tcPr>
            <w:tcW w:w="5893" w:type="dxa"/>
            <w:vAlign w:val="center"/>
          </w:tcPr>
          <w:p w14:paraId="3469290A">
            <w:pPr>
              <w:widowControl/>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1.名称：24口千兆接入层交换机 </w:t>
            </w:r>
          </w:p>
          <w:p w14:paraId="35C07E56">
            <w:pPr>
              <w:widowControl/>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2.规格型号：与核心交换机同品牌；交换容量≥25 0Gbps, 包转发率≥65 Mpps（若有不同指标,以 较低为准）,千兆电口≥24个,千兆光口≥4个,MAC 地址容量≥16K,支持堆叠 技术,堆叠带宽≥40G</w:t>
            </w:r>
          </w:p>
          <w:p w14:paraId="293761D2">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支持VLAN划分、环路检测、防私接、线缆检测、端口隔离等功能，支持EWEB/APP/MACC远程管理</w:t>
            </w:r>
          </w:p>
          <w:p w14:paraId="06BFD2FE">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4.支持网管平台管理，通过可上网的PC或者手机，即可完成部署，即插即用，支持可视化整网拓扑、前面板端口通断状态呈现、CPU、内存利用率、设备配置等功能。</w:t>
            </w:r>
          </w:p>
          <w:p w14:paraId="1DD80735">
            <w:pPr>
              <w:pStyle w:val="14"/>
              <w:numPr>
                <w:ilvl w:val="0"/>
                <w:numId w:val="0"/>
              </w:numPr>
              <w:ind w:leftChars="0"/>
              <w:rPr>
                <w:rFonts w:hint="eastAsia"/>
                <w:color w:val="auto"/>
                <w:sz w:val="21"/>
                <w:szCs w:val="21"/>
                <w:highlight w:val="none"/>
                <w:lang w:val="en-US" w:eastAsia="zh-CN"/>
              </w:rPr>
            </w:pPr>
            <w:r>
              <w:rPr>
                <w:rFonts w:hint="eastAsia" w:ascii="宋体" w:hAnsi="宋体" w:cs="宋体"/>
                <w:color w:val="auto"/>
                <w:sz w:val="21"/>
                <w:szCs w:val="21"/>
                <w:highlight w:val="none"/>
                <w:lang w:val="en-US" w:eastAsia="zh-CN"/>
              </w:rPr>
              <w:t>5.为方便新建项目开局，要求设备支持对全网同品牌设备整网一体化统一组网，并通过网关对交换、AP、AC进行集中化的调试。</w:t>
            </w:r>
          </w:p>
        </w:tc>
      </w:tr>
      <w:tr w14:paraId="5B4B1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916" w:type="dxa"/>
            <w:shd w:val="clear" w:color="auto" w:fill="auto"/>
            <w:vAlign w:val="center"/>
          </w:tcPr>
          <w:p w14:paraId="7DB77F2E">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47</w:t>
            </w:r>
          </w:p>
        </w:tc>
        <w:tc>
          <w:tcPr>
            <w:tcW w:w="1663" w:type="dxa"/>
            <w:shd w:val="clear" w:color="auto" w:fill="auto"/>
            <w:vAlign w:val="center"/>
          </w:tcPr>
          <w:p w14:paraId="226E7045">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入侵报警控制器</w:t>
            </w:r>
          </w:p>
        </w:tc>
        <w:tc>
          <w:tcPr>
            <w:tcW w:w="5893" w:type="dxa"/>
            <w:vAlign w:val="center"/>
          </w:tcPr>
          <w:p w14:paraId="01209F8F">
            <w:pPr>
              <w:pStyle w:val="14"/>
              <w:numPr>
                <w:ilvl w:val="0"/>
                <w:numId w:val="0"/>
              </w:numPr>
              <w:ind w:left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1.名称：对讲分机</w:t>
            </w:r>
          </w:p>
        </w:tc>
      </w:tr>
      <w:tr w14:paraId="5CD8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916" w:type="dxa"/>
            <w:shd w:val="clear" w:color="auto" w:fill="auto"/>
            <w:vAlign w:val="center"/>
          </w:tcPr>
          <w:p w14:paraId="66C755EB">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48</w:t>
            </w:r>
          </w:p>
        </w:tc>
        <w:tc>
          <w:tcPr>
            <w:tcW w:w="1663" w:type="dxa"/>
            <w:shd w:val="clear" w:color="auto" w:fill="auto"/>
            <w:vAlign w:val="center"/>
          </w:tcPr>
          <w:p w14:paraId="5F5A8987">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入侵报警控制器</w:t>
            </w:r>
          </w:p>
        </w:tc>
        <w:tc>
          <w:tcPr>
            <w:tcW w:w="5893" w:type="dxa"/>
            <w:vAlign w:val="center"/>
          </w:tcPr>
          <w:p w14:paraId="7EAC9C42">
            <w:pPr>
              <w:pStyle w:val="14"/>
              <w:numPr>
                <w:ilvl w:val="0"/>
                <w:numId w:val="0"/>
              </w:numPr>
              <w:ind w:leftChars="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1.名称：对讲主机</w:t>
            </w:r>
          </w:p>
        </w:tc>
      </w:tr>
      <w:tr w14:paraId="214B3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8472" w:type="dxa"/>
            <w:gridSpan w:val="3"/>
            <w:shd w:val="clear" w:color="auto" w:fill="BEBEBE" w:themeFill="background1" w:themeFillShade="BF"/>
            <w:vAlign w:val="center"/>
          </w:tcPr>
          <w:p w14:paraId="038FEAA7">
            <w:pPr>
              <w:jc w:val="left"/>
              <w:rPr>
                <w:rFonts w:ascii="宋体" w:hAnsi="宋体" w:cs="宋体"/>
                <w:b/>
                <w:bCs/>
                <w:color w:val="auto"/>
                <w:sz w:val="21"/>
                <w:szCs w:val="21"/>
                <w:highlight w:val="none"/>
              </w:rPr>
            </w:pPr>
            <w:r>
              <w:rPr>
                <w:rFonts w:hint="eastAsia" w:ascii="宋体" w:hAnsi="宋体" w:cs="宋体"/>
                <w:b/>
                <w:bCs/>
                <w:color w:val="auto"/>
                <w:sz w:val="21"/>
                <w:szCs w:val="21"/>
                <w:highlight w:val="none"/>
              </w:rPr>
              <w:t>（1F）、办案区区域状态显示系统</w:t>
            </w:r>
          </w:p>
        </w:tc>
      </w:tr>
      <w:tr w14:paraId="21AC0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916" w:type="dxa"/>
            <w:vAlign w:val="center"/>
          </w:tcPr>
          <w:p w14:paraId="676BAEC8">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49</w:t>
            </w:r>
          </w:p>
        </w:tc>
        <w:tc>
          <w:tcPr>
            <w:tcW w:w="1663" w:type="dxa"/>
            <w:vAlign w:val="center"/>
          </w:tcPr>
          <w:p w14:paraId="4FF56CFF">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交换机</w:t>
            </w:r>
          </w:p>
        </w:tc>
        <w:tc>
          <w:tcPr>
            <w:tcW w:w="5893" w:type="dxa"/>
            <w:vAlign w:val="center"/>
          </w:tcPr>
          <w:p w14:paraId="52EAFD49">
            <w:pPr>
              <w:widowControl/>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1.名称：24口交换机 </w:t>
            </w:r>
          </w:p>
          <w:p w14:paraId="2C33F651">
            <w:pPr>
              <w:widowControl/>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2.规格型号：与核心交换 机同品牌；交换容量≥25 0Gbps, 包转发率≥65 Mpps（若有不同指标,以 较低为准）,千兆电口≥2 4个,千兆光口≥4个,MAC 地址容量≥16K,支持堆叠 技术,堆叠带宽≥40G</w:t>
            </w:r>
          </w:p>
          <w:p w14:paraId="0B353C0D">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支持VLAN划分、环路检测、防私接、线缆检测、端口隔离等功能，支持EWEB/APP/MACC远程管理</w:t>
            </w:r>
          </w:p>
          <w:p w14:paraId="2E364DEC">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4.支持网管平台管理，通过可上网的PC或者手机，即可完成部署，即插即用，支持可视化整网拓扑、前面板端口通断状态呈现、CPU、内存利用率、设备配置等功能。</w:t>
            </w:r>
          </w:p>
          <w:p w14:paraId="0763A9BA">
            <w:pPr>
              <w:pStyle w:val="14"/>
              <w:numPr>
                <w:ilvl w:val="0"/>
                <w:numId w:val="0"/>
              </w:numPr>
              <w:ind w:leftChars="0"/>
              <w:rPr>
                <w:color w:val="auto"/>
                <w:sz w:val="21"/>
                <w:szCs w:val="21"/>
                <w:highlight w:val="none"/>
              </w:rPr>
            </w:pPr>
            <w:r>
              <w:rPr>
                <w:rFonts w:hint="eastAsia" w:ascii="宋体" w:hAnsi="宋体" w:cs="宋体"/>
                <w:color w:val="auto"/>
                <w:sz w:val="21"/>
                <w:szCs w:val="21"/>
                <w:highlight w:val="none"/>
                <w:lang w:val="en-US" w:eastAsia="zh-CN"/>
              </w:rPr>
              <w:t>5.为方便新建项目开局，要求设备支持对全网同品牌设备整网一体化统一组网，并通过网关对交换、AP、AC进行集中化的调试。</w:t>
            </w:r>
          </w:p>
        </w:tc>
      </w:tr>
      <w:tr w14:paraId="62F1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8472" w:type="dxa"/>
            <w:gridSpan w:val="3"/>
            <w:shd w:val="clear" w:color="auto" w:fill="BEBEBE" w:themeFill="background1" w:themeFillShade="BF"/>
            <w:vAlign w:val="center"/>
          </w:tcPr>
          <w:p w14:paraId="4E3F4DC6">
            <w:pPr>
              <w:widowControl/>
              <w:jc w:val="left"/>
              <w:rPr>
                <w:rFonts w:ascii="宋体" w:hAnsi="宋体" w:cs="宋体"/>
                <w:color w:val="auto"/>
                <w:kern w:val="0"/>
                <w:sz w:val="21"/>
                <w:szCs w:val="21"/>
                <w:highlight w:val="none"/>
              </w:rPr>
            </w:pPr>
            <w:r>
              <w:rPr>
                <w:rFonts w:hint="eastAsia" w:ascii="宋体" w:hAnsi="宋体" w:cs="宋体"/>
                <w:b/>
                <w:bCs/>
                <w:color w:val="auto"/>
                <w:sz w:val="21"/>
                <w:szCs w:val="21"/>
                <w:highlight w:val="none"/>
              </w:rPr>
              <w:t>（1F）、办案区应急报警系统</w:t>
            </w:r>
          </w:p>
        </w:tc>
      </w:tr>
      <w:tr w14:paraId="440B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16" w:type="dxa"/>
            <w:vAlign w:val="center"/>
          </w:tcPr>
          <w:p w14:paraId="4848458D">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50</w:t>
            </w:r>
          </w:p>
        </w:tc>
        <w:tc>
          <w:tcPr>
            <w:tcW w:w="1663" w:type="dxa"/>
            <w:vAlign w:val="center"/>
          </w:tcPr>
          <w:p w14:paraId="49B63FC5">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视频控制设备</w:t>
            </w:r>
          </w:p>
        </w:tc>
        <w:tc>
          <w:tcPr>
            <w:tcW w:w="5893" w:type="dxa"/>
            <w:vAlign w:val="center"/>
          </w:tcPr>
          <w:p w14:paraId="2F41D8C0">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1.名称：编程键盘</w:t>
            </w:r>
          </w:p>
          <w:p w14:paraId="40CCED8F">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2.操作指令接收：支持对报警系统进行布防、撤防、消警、旁路、旁路恢复、紧急求助等操作</w:t>
            </w:r>
          </w:p>
          <w:p w14:paraId="599098AF">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3.操作方式管理：支持密码方式对报警系统进行操作指令交互</w:t>
            </w:r>
          </w:p>
          <w:p w14:paraId="470E9414">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4.报警状态指示：支持对报警系统防区报警状态进行实时指示，包括指示灯变化，提示音变化，文字内容变化等</w:t>
            </w:r>
          </w:p>
          <w:p w14:paraId="311FE126">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5.系统状态展示：支持对报警系统运行状态进行展示，包括主电源状态、蓄电池状态、防拆状态、子系统布撤防状态，防区状态、扩展模块状态等</w:t>
            </w:r>
          </w:p>
          <w:p w14:paraId="335C714D">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6.胁迫码功能：支持通过胁迫密码进行布撤防管理，并将警情进行中心上报</w:t>
            </w:r>
          </w:p>
          <w:p w14:paraId="63BC409E">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7.防区名称自定义：支持防区名称自定义配置，在键盘屏幕中展示对应文字内容</w:t>
            </w:r>
          </w:p>
          <w:p w14:paraId="60D9E906">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8.配置管理：支持通过键盘对报警主机进行参数配置，包括密码修改、防区类型配置、上报中心参数配置等</w:t>
            </w:r>
          </w:p>
          <w:p w14:paraId="1DDA8AF7">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9.通讯协议：RS485</w:t>
            </w:r>
          </w:p>
          <w:p w14:paraId="64C40EEB">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10传输距离：800m</w:t>
            </w:r>
          </w:p>
          <w:p w14:paraId="48339428">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11.使用环境：室内</w:t>
            </w:r>
          </w:p>
          <w:p w14:paraId="17FF2FB6">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12.显示屏：LCD（尺寸80X25mm）</w:t>
            </w:r>
          </w:p>
          <w:p w14:paraId="08969674">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13.操作按键：20个</w:t>
            </w:r>
          </w:p>
          <w:p w14:paraId="0D18894D">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14.指示灯：5个</w:t>
            </w:r>
          </w:p>
          <w:p w14:paraId="406D0282">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15.蜂鸣器：支持</w:t>
            </w:r>
          </w:p>
          <w:p w14:paraId="07A64638">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16.安装方式：壁挂</w:t>
            </w:r>
          </w:p>
          <w:p w14:paraId="23F62B8B">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17.工作电源：DC12V</w:t>
            </w:r>
          </w:p>
        </w:tc>
      </w:tr>
      <w:tr w14:paraId="7878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7" w:hRule="atLeast"/>
        </w:trPr>
        <w:tc>
          <w:tcPr>
            <w:tcW w:w="916" w:type="dxa"/>
            <w:vAlign w:val="center"/>
          </w:tcPr>
          <w:p w14:paraId="441EDA77">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51</w:t>
            </w:r>
          </w:p>
        </w:tc>
        <w:tc>
          <w:tcPr>
            <w:tcW w:w="1663" w:type="dxa"/>
            <w:vAlign w:val="center"/>
          </w:tcPr>
          <w:p w14:paraId="12B4AD91">
            <w:pPr>
              <w:widowControl/>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按钮</w:t>
            </w:r>
          </w:p>
        </w:tc>
        <w:tc>
          <w:tcPr>
            <w:tcW w:w="5893" w:type="dxa"/>
            <w:vAlign w:val="center"/>
          </w:tcPr>
          <w:p w14:paraId="68261EF9">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1.名称：紧急报警按钮</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2、外壳材质：环保塑料</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3、耐压耐流：耐压:24VDC、耐流:500mA</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4、报警输出：IO输出（常闭NC/常开NO可选）</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5、使用环境：室内</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6、安装方式：86盒安装</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7、工作电源：无需供电</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8、工作温度：-10 °C 至 55 °C</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9、工作湿度：10% 至 90%</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10、产品尺寸：86mm * 86mm * 28.5mm</w:t>
            </w:r>
          </w:p>
        </w:tc>
      </w:tr>
      <w:tr w14:paraId="68169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4" w:hRule="atLeast"/>
        </w:trPr>
        <w:tc>
          <w:tcPr>
            <w:tcW w:w="916" w:type="dxa"/>
            <w:vAlign w:val="center"/>
          </w:tcPr>
          <w:p w14:paraId="0756CBF0">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52</w:t>
            </w:r>
          </w:p>
        </w:tc>
        <w:tc>
          <w:tcPr>
            <w:tcW w:w="1663" w:type="dxa"/>
            <w:vAlign w:val="center"/>
          </w:tcPr>
          <w:p w14:paraId="2F9598E5">
            <w:pPr>
              <w:widowControl/>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火灾报警系统控制主机</w:t>
            </w:r>
          </w:p>
        </w:tc>
        <w:tc>
          <w:tcPr>
            <w:tcW w:w="5893" w:type="dxa"/>
            <w:vAlign w:val="center"/>
          </w:tcPr>
          <w:p w14:paraId="59FA849E">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1.名称：报警主机</w:t>
            </w:r>
          </w:p>
          <w:p w14:paraId="354AAAAC">
            <w:pPr>
              <w:widowControl/>
              <w:jc w:val="left"/>
              <w:rPr>
                <w:rFonts w:hint="eastAsia" w:ascii="宋体" w:hAnsi="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2.操作系统：嵌入式Linux操作系统</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3.防区数量：板载8路（探测器100m以内），可通过防区模块扩展至256路</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4.继电器数量：板载4路（距离50m以内），可通过继5.电器模块扩展至256路</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6.日志容量：4万条</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7.传输距离：双总线，每条总线最长支持2.4Km（每条8.总线可增加2个中继器扩展至7.2km，总共支持14.4km）</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9.硬件接口：RS485*1、MBUS*2、RJ45*1，PSTN*1（板载包含），4G*1，RS232*1（可接报警打印机）</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10.安装方式：壁挂安装</w:t>
            </w:r>
            <w:r>
              <w:rPr>
                <w:rFonts w:hint="eastAsia" w:ascii="宋体" w:hAnsi="宋体" w:eastAsia="宋体" w:cs="宋体"/>
                <w:color w:val="auto"/>
                <w:kern w:val="0"/>
                <w:sz w:val="21"/>
                <w:szCs w:val="21"/>
                <w:highlight w:val="none"/>
                <w:lang w:val="en-US" w:eastAsia="zh-CN"/>
              </w:rPr>
              <w:br w:type="textWrapping"/>
            </w:r>
            <w:r>
              <w:rPr>
                <w:rFonts w:hint="eastAsia" w:ascii="宋体" w:hAnsi="宋体" w:cs="宋体"/>
                <w:color w:val="auto"/>
                <w:kern w:val="0"/>
                <w:sz w:val="21"/>
                <w:szCs w:val="21"/>
                <w:highlight w:val="none"/>
                <w:lang w:val="en-US" w:eastAsia="zh-CN"/>
              </w:rPr>
              <w:t>11.</w:t>
            </w:r>
            <w:r>
              <w:rPr>
                <w:rFonts w:hint="eastAsia" w:ascii="宋体" w:hAnsi="宋体" w:eastAsia="宋体" w:cs="宋体"/>
                <w:color w:val="auto"/>
                <w:kern w:val="0"/>
                <w:sz w:val="21"/>
                <w:szCs w:val="21"/>
                <w:highlight w:val="none"/>
                <w:lang w:val="en-US" w:eastAsia="zh-CN"/>
              </w:rPr>
              <w:t>供电方式：AC220V（自带电源适配器）</w:t>
            </w:r>
            <w:r>
              <w:rPr>
                <w:rFonts w:hint="eastAsia" w:ascii="宋体" w:hAnsi="宋体" w:eastAsia="宋体" w:cs="宋体"/>
                <w:color w:val="auto"/>
                <w:kern w:val="0"/>
                <w:sz w:val="21"/>
                <w:szCs w:val="21"/>
                <w:highlight w:val="none"/>
                <w:lang w:val="en-US" w:eastAsia="zh-CN"/>
              </w:rPr>
              <w:br w:type="textWrapping"/>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lang w:val="en-US" w:eastAsia="zh-CN"/>
              </w:rPr>
              <w:t>设备功耗：裸机功耗≤5W，满载功耗≤60W</w:t>
            </w:r>
          </w:p>
        </w:tc>
      </w:tr>
      <w:tr w14:paraId="79488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8472" w:type="dxa"/>
            <w:gridSpan w:val="3"/>
            <w:shd w:val="clear" w:color="auto" w:fill="BEBEBE" w:themeFill="background1" w:themeFillShade="BF"/>
            <w:vAlign w:val="center"/>
          </w:tcPr>
          <w:p w14:paraId="527A2FB6">
            <w:pPr>
              <w:widowControl/>
              <w:jc w:val="left"/>
              <w:rPr>
                <w:rFonts w:ascii="宋体" w:hAnsi="宋体" w:cs="宋体"/>
                <w:color w:val="auto"/>
                <w:kern w:val="0"/>
                <w:sz w:val="21"/>
                <w:szCs w:val="21"/>
                <w:highlight w:val="none"/>
              </w:rPr>
            </w:pPr>
            <w:r>
              <w:rPr>
                <w:rFonts w:hint="eastAsia" w:ascii="宋体" w:hAnsi="宋体" w:cs="宋体"/>
                <w:b/>
                <w:bCs/>
                <w:color w:val="auto"/>
                <w:sz w:val="21"/>
                <w:szCs w:val="21"/>
                <w:highlight w:val="none"/>
              </w:rPr>
              <w:t>（1F）、UPS3配电箱</w:t>
            </w:r>
          </w:p>
        </w:tc>
      </w:tr>
      <w:tr w14:paraId="0D51F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916" w:type="dxa"/>
            <w:vAlign w:val="center"/>
          </w:tcPr>
          <w:p w14:paraId="161086CE">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53</w:t>
            </w:r>
          </w:p>
        </w:tc>
        <w:tc>
          <w:tcPr>
            <w:tcW w:w="1663" w:type="dxa"/>
            <w:vAlign w:val="center"/>
          </w:tcPr>
          <w:p w14:paraId="18ED72C3">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机柜</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机架</w:t>
            </w:r>
          </w:p>
        </w:tc>
        <w:tc>
          <w:tcPr>
            <w:tcW w:w="5893" w:type="dxa"/>
            <w:vAlign w:val="center"/>
          </w:tcPr>
          <w:p w14:paraId="4CCB3281">
            <w:pPr>
              <w:widowControl/>
              <w:numPr>
                <w:ilvl w:val="0"/>
                <w:numId w:val="0"/>
              </w:numPr>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1.名称：机柜A-PDU1 2.5KW，</w:t>
            </w:r>
          </w:p>
          <w:p w14:paraId="40BA33E3">
            <w:pPr>
              <w:widowControl/>
              <w:numPr>
                <w:ilvl w:val="0"/>
                <w:numId w:val="0"/>
              </w:numPr>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2.标准落地式机柜19"</w:t>
            </w:r>
          </w:p>
        </w:tc>
      </w:tr>
      <w:tr w14:paraId="07CFC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916" w:type="dxa"/>
            <w:vAlign w:val="center"/>
          </w:tcPr>
          <w:p w14:paraId="353E3218">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54</w:t>
            </w:r>
          </w:p>
        </w:tc>
        <w:tc>
          <w:tcPr>
            <w:tcW w:w="1663" w:type="dxa"/>
            <w:shd w:val="clear" w:color="auto" w:fill="auto"/>
            <w:vAlign w:val="center"/>
          </w:tcPr>
          <w:p w14:paraId="26A0DCF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机柜</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机架</w:t>
            </w:r>
          </w:p>
        </w:tc>
        <w:tc>
          <w:tcPr>
            <w:tcW w:w="5893" w:type="dxa"/>
            <w:vAlign w:val="center"/>
          </w:tcPr>
          <w:p w14:paraId="7D91FA4D">
            <w:pPr>
              <w:widowControl/>
              <w:numPr>
                <w:ilvl w:val="0"/>
                <w:numId w:val="0"/>
              </w:numPr>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名称：机柜B-PDU1 2.5KW，</w:t>
            </w:r>
          </w:p>
          <w:p w14:paraId="67B22856">
            <w:pPr>
              <w:widowControl/>
              <w:numPr>
                <w:ilvl w:val="0"/>
                <w:numId w:val="0"/>
              </w:numPr>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2.标准落地式机柜19"</w:t>
            </w:r>
          </w:p>
        </w:tc>
      </w:tr>
      <w:tr w14:paraId="71E4E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916" w:type="dxa"/>
            <w:vAlign w:val="center"/>
          </w:tcPr>
          <w:p w14:paraId="11ABC586">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55</w:t>
            </w:r>
          </w:p>
        </w:tc>
        <w:tc>
          <w:tcPr>
            <w:tcW w:w="1663" w:type="dxa"/>
            <w:shd w:val="clear" w:color="auto" w:fill="auto"/>
            <w:vAlign w:val="center"/>
          </w:tcPr>
          <w:p w14:paraId="6DA2632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机柜</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机架</w:t>
            </w:r>
          </w:p>
        </w:tc>
        <w:tc>
          <w:tcPr>
            <w:tcW w:w="5893" w:type="dxa"/>
            <w:vAlign w:val="center"/>
          </w:tcPr>
          <w:p w14:paraId="10674F9E">
            <w:pPr>
              <w:widowControl/>
              <w:numPr>
                <w:ilvl w:val="0"/>
                <w:numId w:val="0"/>
              </w:numPr>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1.名称：机柜C-PDU1 2.5KW </w:t>
            </w:r>
          </w:p>
          <w:p w14:paraId="7899C2FC">
            <w:pPr>
              <w:widowControl/>
              <w:numPr>
                <w:ilvl w:val="0"/>
                <w:numId w:val="0"/>
              </w:numPr>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2.标准落地式机柜19"</w:t>
            </w:r>
          </w:p>
        </w:tc>
      </w:tr>
      <w:tr w14:paraId="59C3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916" w:type="dxa"/>
            <w:vAlign w:val="center"/>
          </w:tcPr>
          <w:p w14:paraId="49735EA6">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56</w:t>
            </w:r>
          </w:p>
        </w:tc>
        <w:tc>
          <w:tcPr>
            <w:tcW w:w="1663" w:type="dxa"/>
            <w:shd w:val="clear" w:color="auto" w:fill="auto"/>
            <w:vAlign w:val="center"/>
          </w:tcPr>
          <w:p w14:paraId="230AC910">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机柜</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机架</w:t>
            </w:r>
          </w:p>
        </w:tc>
        <w:tc>
          <w:tcPr>
            <w:tcW w:w="5893" w:type="dxa"/>
            <w:vAlign w:val="center"/>
          </w:tcPr>
          <w:p w14:paraId="695842F1">
            <w:pPr>
              <w:widowControl/>
              <w:numPr>
                <w:ilvl w:val="0"/>
                <w:numId w:val="0"/>
              </w:numPr>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1.名称：机柜A-PDU2 0.50KW </w:t>
            </w:r>
          </w:p>
          <w:p w14:paraId="4BA5AFA5">
            <w:pPr>
              <w:widowControl/>
              <w:numPr>
                <w:ilvl w:val="0"/>
                <w:numId w:val="0"/>
              </w:numPr>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2.标准落地式机柜19"</w:t>
            </w:r>
          </w:p>
        </w:tc>
      </w:tr>
      <w:tr w14:paraId="3900A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916" w:type="dxa"/>
            <w:vAlign w:val="center"/>
          </w:tcPr>
          <w:p w14:paraId="71015AB2">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57</w:t>
            </w:r>
          </w:p>
        </w:tc>
        <w:tc>
          <w:tcPr>
            <w:tcW w:w="1663" w:type="dxa"/>
            <w:shd w:val="clear" w:color="auto" w:fill="auto"/>
            <w:vAlign w:val="center"/>
          </w:tcPr>
          <w:p w14:paraId="2F43942F">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机柜</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机架</w:t>
            </w:r>
          </w:p>
        </w:tc>
        <w:tc>
          <w:tcPr>
            <w:tcW w:w="5893" w:type="dxa"/>
            <w:vAlign w:val="center"/>
          </w:tcPr>
          <w:p w14:paraId="4A795036">
            <w:pPr>
              <w:widowControl/>
              <w:numPr>
                <w:ilvl w:val="0"/>
                <w:numId w:val="0"/>
              </w:numPr>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1.名称：机柜B-PDU2 0. 5KW </w:t>
            </w:r>
          </w:p>
          <w:p w14:paraId="75054B84">
            <w:pPr>
              <w:widowControl/>
              <w:numPr>
                <w:ilvl w:val="0"/>
                <w:numId w:val="0"/>
              </w:numPr>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2.标准落地式机柜19"</w:t>
            </w:r>
          </w:p>
        </w:tc>
      </w:tr>
      <w:tr w14:paraId="08337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916" w:type="dxa"/>
            <w:vAlign w:val="center"/>
          </w:tcPr>
          <w:p w14:paraId="0B8D5AE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58</w:t>
            </w:r>
          </w:p>
        </w:tc>
        <w:tc>
          <w:tcPr>
            <w:tcW w:w="1663" w:type="dxa"/>
            <w:shd w:val="clear" w:color="auto" w:fill="auto"/>
            <w:vAlign w:val="center"/>
          </w:tcPr>
          <w:p w14:paraId="5833A735">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机柜</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机架</w:t>
            </w:r>
          </w:p>
        </w:tc>
        <w:tc>
          <w:tcPr>
            <w:tcW w:w="5893" w:type="dxa"/>
            <w:vAlign w:val="center"/>
          </w:tcPr>
          <w:p w14:paraId="47BD0657">
            <w:pPr>
              <w:widowControl/>
              <w:numPr>
                <w:ilvl w:val="0"/>
                <w:numId w:val="0"/>
              </w:numPr>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1.名称：机柜C-PDU2 1.00KW </w:t>
            </w:r>
          </w:p>
          <w:p w14:paraId="33F39BD1">
            <w:pPr>
              <w:widowControl/>
              <w:numPr>
                <w:ilvl w:val="0"/>
                <w:numId w:val="0"/>
              </w:numPr>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2.标准落地式机柜19"</w:t>
            </w:r>
          </w:p>
        </w:tc>
      </w:tr>
      <w:tr w14:paraId="270D7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916" w:type="dxa"/>
            <w:vAlign w:val="center"/>
          </w:tcPr>
          <w:p w14:paraId="194701F1">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59</w:t>
            </w:r>
          </w:p>
        </w:tc>
        <w:tc>
          <w:tcPr>
            <w:tcW w:w="1663" w:type="dxa"/>
            <w:vAlign w:val="center"/>
          </w:tcPr>
          <w:p w14:paraId="79E0F8FF">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电池柜</w:t>
            </w:r>
          </w:p>
        </w:tc>
        <w:tc>
          <w:tcPr>
            <w:tcW w:w="5893" w:type="dxa"/>
            <w:vAlign w:val="center"/>
          </w:tcPr>
          <w:p w14:paraId="7AFC70A8">
            <w:pPr>
              <w:widowControl/>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1.名称：</w:t>
            </w:r>
            <w:r>
              <w:rPr>
                <w:rFonts w:hint="eastAsia" w:ascii="宋体" w:hAnsi="宋体" w:eastAsia="宋体" w:cs="宋体"/>
                <w:color w:val="auto"/>
                <w:kern w:val="0"/>
                <w:sz w:val="21"/>
                <w:szCs w:val="21"/>
                <w:highlight w:val="none"/>
              </w:rPr>
              <w:t>UPS3电池柜(落地式),可容纳16节12V/100AH电池</w:t>
            </w:r>
          </w:p>
        </w:tc>
      </w:tr>
      <w:tr w14:paraId="7D54B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916" w:type="dxa"/>
            <w:vAlign w:val="center"/>
          </w:tcPr>
          <w:p w14:paraId="7ACFF2B4">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60</w:t>
            </w:r>
          </w:p>
        </w:tc>
        <w:tc>
          <w:tcPr>
            <w:tcW w:w="1663" w:type="dxa"/>
            <w:vAlign w:val="center"/>
          </w:tcPr>
          <w:p w14:paraId="0B7BD835">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蓄电池</w:t>
            </w:r>
          </w:p>
        </w:tc>
        <w:tc>
          <w:tcPr>
            <w:tcW w:w="5893" w:type="dxa"/>
            <w:vAlign w:val="center"/>
          </w:tcPr>
          <w:p w14:paraId="5F3B996C">
            <w:pPr>
              <w:widowControl/>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1.名称：UPS电池 </w:t>
            </w:r>
          </w:p>
          <w:p w14:paraId="5BB5F6FD">
            <w:pPr>
              <w:widowControl/>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2.标称电压：12V；额定 容量：100AH；浮充充电电压：13.625± 0.15；均充充电电压：14.2± 0.15；容量保存率：≧96%/月 ；浮充设计使用寿命：≧6年；工作温度：-20∽+5 0℃</w:t>
            </w:r>
          </w:p>
        </w:tc>
      </w:tr>
      <w:tr w14:paraId="5BF6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9" w:hRule="atLeast"/>
        </w:trPr>
        <w:tc>
          <w:tcPr>
            <w:tcW w:w="916" w:type="dxa"/>
            <w:vAlign w:val="center"/>
          </w:tcPr>
          <w:p w14:paraId="0BA3BD03">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61</w:t>
            </w:r>
          </w:p>
        </w:tc>
        <w:tc>
          <w:tcPr>
            <w:tcW w:w="1663" w:type="dxa"/>
            <w:vAlign w:val="center"/>
          </w:tcPr>
          <w:p w14:paraId="26A49319">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配线架</w:t>
            </w:r>
          </w:p>
        </w:tc>
        <w:tc>
          <w:tcPr>
            <w:tcW w:w="5893" w:type="dxa"/>
            <w:vAlign w:val="center"/>
          </w:tcPr>
          <w:p w14:paraId="46A97A98">
            <w:pPr>
              <w:widowControl/>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1.名称：NPE配线架</w:t>
            </w:r>
          </w:p>
          <w:p w14:paraId="2CBA7D11">
            <w:pPr>
              <w:widowControl/>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2.规格型号：24口机架式 六类非屏蔽配线架1U模块式配线架</w:t>
            </w:r>
          </w:p>
          <w:p w14:paraId="1CDC31EF">
            <w:pPr>
              <w:widowControl/>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3.后端自带线缆管理单元，采用免工具设计，便于安装和拆卸</w:t>
            </w:r>
          </w:p>
          <w:p w14:paraId="5764FC0E">
            <w:pPr>
              <w:widowControl/>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4.标识管理：完善清晰的标识系统，让施工、维护、管理更方便、快捷，端口带序号标识</w:t>
            </w:r>
          </w:p>
          <w:p w14:paraId="2783F29D">
            <w:pPr>
              <w:widowControl/>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5.IDC：磷青铜</w:t>
            </w:r>
          </w:p>
          <w:p w14:paraId="64EAB85B">
            <w:pPr>
              <w:widowControl/>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6.金针：磷青铜表面镀金</w:t>
            </w:r>
          </w:p>
          <w:p w14:paraId="1909C2C5">
            <w:pPr>
              <w:widowControl/>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7.线缆保护盖：PC 材料</w:t>
            </w:r>
          </w:p>
          <w:p w14:paraId="405490C7">
            <w:pPr>
              <w:widowControl/>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8.进线方式：180°进线</w:t>
            </w:r>
          </w:p>
        </w:tc>
      </w:tr>
      <w:tr w14:paraId="456F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6" w:type="dxa"/>
            <w:vAlign w:val="center"/>
          </w:tcPr>
          <w:p w14:paraId="6D1397ED">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62</w:t>
            </w:r>
          </w:p>
        </w:tc>
        <w:tc>
          <w:tcPr>
            <w:tcW w:w="1663" w:type="dxa"/>
            <w:vAlign w:val="center"/>
          </w:tcPr>
          <w:p w14:paraId="7959EBEC">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电力电缆</w:t>
            </w:r>
          </w:p>
        </w:tc>
        <w:tc>
          <w:tcPr>
            <w:tcW w:w="5893" w:type="dxa"/>
            <w:vAlign w:val="center"/>
          </w:tcPr>
          <w:p w14:paraId="7D306F59">
            <w:pPr>
              <w:widowControl/>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1.名称：电力电缆WDZYJY-3*6</w:t>
            </w:r>
          </w:p>
        </w:tc>
      </w:tr>
      <w:tr w14:paraId="2A12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16" w:type="dxa"/>
            <w:vAlign w:val="center"/>
          </w:tcPr>
          <w:p w14:paraId="4F276820">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63</w:t>
            </w:r>
          </w:p>
        </w:tc>
        <w:tc>
          <w:tcPr>
            <w:tcW w:w="1663" w:type="dxa"/>
            <w:vAlign w:val="center"/>
          </w:tcPr>
          <w:p w14:paraId="6BA33EA0">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电力电缆</w:t>
            </w:r>
          </w:p>
        </w:tc>
        <w:tc>
          <w:tcPr>
            <w:tcW w:w="5893" w:type="dxa"/>
            <w:vAlign w:val="center"/>
          </w:tcPr>
          <w:p w14:paraId="1BFC8F2D">
            <w:pPr>
              <w:widowControl/>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1.名称：电力电缆WDZYJY-3*4</w:t>
            </w:r>
          </w:p>
        </w:tc>
      </w:tr>
    </w:tbl>
    <w:p w14:paraId="329D0DB2">
      <w:pPr>
        <w:rPr>
          <w:color w:val="auto"/>
          <w:sz w:val="21"/>
          <w:szCs w:val="21"/>
          <w:highlight w:val="none"/>
        </w:rPr>
      </w:pPr>
    </w:p>
    <w:tbl>
      <w:tblPr>
        <w:tblStyle w:val="45"/>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520"/>
        <w:gridCol w:w="6036"/>
      </w:tblGrid>
      <w:tr w14:paraId="13C1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916" w:type="dxa"/>
            <w:vAlign w:val="center"/>
          </w:tcPr>
          <w:p w14:paraId="2E7E80BF">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1520" w:type="dxa"/>
            <w:vAlign w:val="center"/>
          </w:tcPr>
          <w:p w14:paraId="240C2DD5">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名称</w:t>
            </w:r>
          </w:p>
        </w:tc>
        <w:tc>
          <w:tcPr>
            <w:tcW w:w="6036" w:type="dxa"/>
            <w:vAlign w:val="center"/>
          </w:tcPr>
          <w:p w14:paraId="3964FC84">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参数</w:t>
            </w:r>
          </w:p>
        </w:tc>
      </w:tr>
      <w:tr w14:paraId="41058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8472" w:type="dxa"/>
            <w:gridSpan w:val="3"/>
            <w:shd w:val="clear" w:color="auto" w:fill="BEBEBE" w:themeFill="background1" w:themeFillShade="BF"/>
            <w:vAlign w:val="center"/>
          </w:tcPr>
          <w:p w14:paraId="00B2DCE7">
            <w:pPr>
              <w:widowControl/>
              <w:jc w:val="left"/>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2F</w:t>
            </w:r>
          </w:p>
        </w:tc>
      </w:tr>
      <w:tr w14:paraId="2A961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8472" w:type="dxa"/>
            <w:gridSpan w:val="3"/>
            <w:shd w:val="clear" w:color="auto" w:fill="BEBEBE" w:themeFill="background1" w:themeFillShade="BF"/>
            <w:vAlign w:val="center"/>
          </w:tcPr>
          <w:p w14:paraId="4EFD45A7">
            <w:pPr>
              <w:widowControl/>
              <w:jc w:val="left"/>
              <w:rPr>
                <w:rFonts w:ascii="宋体" w:hAnsi="宋体" w:cs="宋体"/>
                <w:b/>
                <w:bCs/>
                <w:color w:val="auto"/>
                <w:sz w:val="21"/>
                <w:szCs w:val="21"/>
                <w:highlight w:val="none"/>
              </w:rPr>
            </w:pPr>
            <w:r>
              <w:rPr>
                <w:rFonts w:hint="eastAsia" w:ascii="宋体" w:hAnsi="宋体" w:cs="宋体"/>
                <w:b/>
                <w:bCs/>
                <w:color w:val="auto"/>
                <w:sz w:val="21"/>
                <w:szCs w:val="21"/>
                <w:highlight w:val="none"/>
              </w:rPr>
              <w:t>（2F）、视频监控系统</w:t>
            </w:r>
          </w:p>
        </w:tc>
      </w:tr>
      <w:tr w14:paraId="4012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4" w:hRule="atLeast"/>
        </w:trPr>
        <w:tc>
          <w:tcPr>
            <w:tcW w:w="916" w:type="dxa"/>
            <w:vAlign w:val="center"/>
          </w:tcPr>
          <w:p w14:paraId="74A15FF9">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64</w:t>
            </w:r>
          </w:p>
        </w:tc>
        <w:tc>
          <w:tcPr>
            <w:tcW w:w="1520" w:type="dxa"/>
            <w:vAlign w:val="center"/>
          </w:tcPr>
          <w:p w14:paraId="729403D3">
            <w:pPr>
              <w:widowControl/>
              <w:jc w:val="center"/>
              <w:rPr>
                <w:rFonts w:hint="default" w:ascii="宋体" w:hAnsi="宋体" w:cs="宋体"/>
                <w:color w:val="auto"/>
                <w:kern w:val="0"/>
                <w:sz w:val="21"/>
                <w:szCs w:val="21"/>
                <w:highlight w:val="none"/>
                <w:lang w:val="en-US"/>
              </w:rPr>
            </w:pPr>
            <w:r>
              <w:rPr>
                <w:rFonts w:hint="eastAsia" w:ascii="宋体" w:hAnsi="宋体" w:cs="宋体"/>
                <w:color w:val="auto"/>
                <w:kern w:val="0"/>
                <w:sz w:val="21"/>
                <w:szCs w:val="21"/>
                <w:highlight w:val="none"/>
                <w:lang w:val="en-US" w:eastAsia="zh-CN"/>
              </w:rPr>
              <w:t>监控摄像设备5</w:t>
            </w:r>
          </w:p>
        </w:tc>
        <w:tc>
          <w:tcPr>
            <w:tcW w:w="6036" w:type="dxa"/>
            <w:shd w:val="clear" w:color="FFFFFF" w:fill="FFFFFF"/>
            <w:vAlign w:val="center"/>
          </w:tcPr>
          <w:p w14:paraId="37866DEB">
            <w:pPr>
              <w:widowControl/>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1.名称：200万宽动态半球摄像机 </w:t>
            </w:r>
          </w:p>
          <w:p w14:paraId="1D56D8E4">
            <w:pPr>
              <w:widowControl/>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2.规格型号：200万 1/2. 7" CMOS变焦半球型网络，摄像机；视频压缩标准： 主码流H.265/H.264； </w:t>
            </w:r>
          </w:p>
          <w:p w14:paraId="1E913C3B">
            <w:pPr>
              <w:widowControl/>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最大图像尺寸：1920× 1080；焦距&amp;视场角：2.7~1 </w:t>
            </w:r>
          </w:p>
          <w:p w14:paraId="6071696A">
            <w:pPr>
              <w:widowControl/>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2 mm：水平视场角：107 ° ~32° ，垂直视场角：5 6° ~18° ，对角视场角： 128° ~37° ；调节角度: 水平：0° ~355° ，垂直 ：0° ~75° ，旋转：0° ~ 355° ；补光灯类型：红外灯；音频：1路输入（ Line in）；1路输出（ Line out）；1个内置麦 克风；报警：1路输入，1 路输出（报警输出最大支持DC12V/ PoE：，30 mA）；</w:t>
            </w:r>
          </w:p>
        </w:tc>
      </w:tr>
      <w:tr w14:paraId="4299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trPr>
        <w:tc>
          <w:tcPr>
            <w:tcW w:w="916" w:type="dxa"/>
            <w:vAlign w:val="center"/>
          </w:tcPr>
          <w:p w14:paraId="73FA06A7">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65</w:t>
            </w:r>
          </w:p>
        </w:tc>
        <w:tc>
          <w:tcPr>
            <w:tcW w:w="1520" w:type="dxa"/>
            <w:vAlign w:val="center"/>
          </w:tcPr>
          <w:p w14:paraId="645FD431">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监控摄像设备6</w:t>
            </w:r>
          </w:p>
        </w:tc>
        <w:tc>
          <w:tcPr>
            <w:tcW w:w="6036" w:type="dxa"/>
            <w:shd w:val="clear" w:color="FFFFFF" w:fill="FFFFFF"/>
            <w:vAlign w:val="center"/>
          </w:tcPr>
          <w:p w14:paraId="51D0AA38">
            <w:pPr>
              <w:widowControl/>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1.名称：红外枪式摄像机</w:t>
            </w:r>
          </w:p>
          <w:p w14:paraId="78C49A33">
            <w:pPr>
              <w:widowControl/>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2.规格型号：/200万 1/2. 7" CMOS变焦筒型摄像机；视频压缩标准： 主码流H.265/H.264； </w:t>
            </w:r>
          </w:p>
          <w:p w14:paraId="12228362">
            <w:pPr>
              <w:widowControl/>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最大图像尺寸：1920× 1080；焦距&amp;视场角：2.7~1 </w:t>
            </w:r>
          </w:p>
          <w:p w14:paraId="63637B8A">
            <w:pPr>
              <w:widowControl/>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 mm：水平视场角：107 ° ~32° ，垂直视场角：5 6° ~18° ，对角视场角： 128° ~37° ；调节角度: 水平：0° ~355° ，垂直 ：0° ~75° ，旋转：0° ~ 355° ；补光灯类型：红外灯；音频：1路输入（ Line in）；1路输出（ Line out）；1个内置麦 克风；报警：1路输入，1 路输出（报警输出最大支持DC12V/ PoE：，30 mA）；</w:t>
            </w:r>
          </w:p>
        </w:tc>
      </w:tr>
      <w:tr w14:paraId="38E71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72" w:type="dxa"/>
            <w:gridSpan w:val="3"/>
            <w:shd w:val="clear" w:color="auto" w:fill="BEBEBE" w:themeFill="background1" w:themeFillShade="BF"/>
            <w:vAlign w:val="center"/>
          </w:tcPr>
          <w:p w14:paraId="040F3853">
            <w:pPr>
              <w:widowControl/>
              <w:jc w:val="left"/>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sz w:val="21"/>
                <w:szCs w:val="21"/>
                <w:highlight w:val="none"/>
              </w:rPr>
              <w:t>（2F）、办案区出入口控制系统</w:t>
            </w:r>
          </w:p>
        </w:tc>
      </w:tr>
      <w:tr w14:paraId="063B1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7" w:hRule="atLeast"/>
        </w:trPr>
        <w:tc>
          <w:tcPr>
            <w:tcW w:w="916" w:type="dxa"/>
            <w:vAlign w:val="center"/>
          </w:tcPr>
          <w:p w14:paraId="154B5409">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66</w:t>
            </w:r>
          </w:p>
        </w:tc>
        <w:tc>
          <w:tcPr>
            <w:tcW w:w="1520" w:type="dxa"/>
            <w:vAlign w:val="center"/>
          </w:tcPr>
          <w:p w14:paraId="68F85AEF">
            <w:pPr>
              <w:widowControl/>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出入口目标识别设备</w:t>
            </w:r>
          </w:p>
        </w:tc>
        <w:tc>
          <w:tcPr>
            <w:tcW w:w="6036" w:type="dxa"/>
            <w:shd w:val="clear" w:color="FFFFFF" w:fill="FFFFFF"/>
            <w:vAlign w:val="center"/>
          </w:tcPr>
          <w:p w14:paraId="3E774B93">
            <w:pPr>
              <w:widowControl/>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 xml:space="preserve">1.名称：采用7英寸LCD触 摸显示屏，200万像素双目摄像头 </w:t>
            </w:r>
          </w:p>
          <w:p w14:paraId="7619FEC3">
            <w:pPr>
              <w:widowControl/>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2.规格型号：面部识别距 离0.3m-1m，支持照片视频防假；支持20000张人脸白名单，1：N人脸比对 时间＜0.2S/人，支持50000张卡片，50000条记录 ；支持人脸、刷卡；可读 取Mifare卡（IC卡）卡号及内容、CPU序列号、身份证序列号；通讯方式：上行通讯为TCP/IP</w:t>
            </w:r>
          </w:p>
          <w:p w14:paraId="46B21D8C">
            <w:pPr>
              <w:widowControl/>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rPr>
              <w:t>人脸门禁考勤一体机人脸认证：采用深度学习算法，支持单人和多人识别（最多支持5人同时识别）</w:t>
            </w:r>
            <w:r>
              <w:rPr>
                <w:rFonts w:hint="eastAsia"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rPr>
              <w:t>多重认证：设备支持本地认证、本地+远程开门认证、本地+超级密码认证三种认证模式。每种模式最大支持20个认证组，每个认证组最多支持128人多重认证（每个认证组支持8个群组，每个群组支持16个人）</w:t>
            </w:r>
          </w:p>
          <w:p w14:paraId="1304A0E0">
            <w:pPr>
              <w:widowControl/>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5.</w:t>
            </w:r>
            <w:r>
              <w:rPr>
                <w:rFonts w:hint="eastAsia" w:ascii="宋体" w:hAnsi="宋体" w:cs="宋体"/>
                <w:color w:val="auto"/>
                <w:kern w:val="0"/>
                <w:sz w:val="21"/>
                <w:szCs w:val="21"/>
                <w:highlight w:val="none"/>
              </w:rPr>
              <w:t>信息发布功能：支持图片、文字、视频的信息发布</w:t>
            </w:r>
          </w:p>
          <w:p w14:paraId="021717CA">
            <w:pPr>
              <w:widowControl/>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6.</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设备应支持防假体攻击功能，对视频、电子照片、打印照片、头模、3D模型攻击应能防伪。（提供CNAS或CMA认可的第三方机构出具的测试报告证明）</w:t>
            </w:r>
          </w:p>
          <w:p w14:paraId="3B830B0B">
            <w:pPr>
              <w:widowControl/>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7.</w:t>
            </w:r>
            <w:r>
              <w:rPr>
                <w:rFonts w:hint="eastAsia" w:ascii="宋体" w:hAnsi="宋体" w:cs="宋体"/>
                <w:color w:val="auto"/>
                <w:kern w:val="0"/>
                <w:sz w:val="21"/>
                <w:szCs w:val="21"/>
                <w:highlight w:val="none"/>
              </w:rPr>
              <w:t>读卡器模式：支持通过RS-485或韦根（W26/W34）接入门禁控制器，作为读卡器使用</w:t>
            </w:r>
          </w:p>
          <w:p w14:paraId="05820FB1">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8.</w:t>
            </w:r>
            <w:r>
              <w:rPr>
                <w:rFonts w:hint="eastAsia" w:ascii="宋体" w:hAnsi="宋体" w:cs="宋体"/>
                <w:color w:val="auto"/>
                <w:kern w:val="0"/>
                <w:sz w:val="21"/>
                <w:szCs w:val="21"/>
                <w:highlight w:val="none"/>
              </w:rPr>
              <w:t>胁迫开门：支持配置胁迫码/胁迫卡后，遇到胁迫后，输入胁迫码/刷胁迫卡后立即开门，同时上报胁迫事件非授权人员管理：支持对非授权人员进行开门管理、报警联动</w:t>
            </w:r>
          </w:p>
          <w:p w14:paraId="492DB6C3">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9.</w:t>
            </w:r>
            <w:r>
              <w:rPr>
                <w:rFonts w:hint="eastAsia" w:ascii="宋体" w:hAnsi="宋体" w:cs="宋体"/>
                <w:color w:val="auto"/>
                <w:kern w:val="0"/>
                <w:sz w:val="21"/>
                <w:szCs w:val="21"/>
                <w:highlight w:val="none"/>
              </w:rPr>
              <w:t>报警功能：支持防拆报警、门被外力开起报警、胁迫卡和胁迫密码报警、事件联动报警等</w:t>
            </w:r>
          </w:p>
          <w:p w14:paraId="678167E4">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10.</w:t>
            </w:r>
            <w:r>
              <w:rPr>
                <w:rFonts w:hint="eastAsia" w:ascii="宋体" w:hAnsi="宋体" w:cs="宋体"/>
                <w:color w:val="auto"/>
                <w:kern w:val="0"/>
                <w:sz w:val="21"/>
                <w:szCs w:val="21"/>
                <w:highlight w:val="none"/>
              </w:rPr>
              <w:t>联动配置：支持事件联动、卡号联动、工号联动，可配置联动门开关、联动报警输出、联动抓拍等功能</w:t>
            </w:r>
          </w:p>
          <w:p w14:paraId="5576BFE8">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11.</w:t>
            </w:r>
            <w:r>
              <w:rPr>
                <w:rFonts w:hint="eastAsia" w:ascii="宋体" w:hAnsi="宋体" w:cs="宋体"/>
                <w:color w:val="auto"/>
                <w:kern w:val="0"/>
                <w:sz w:val="21"/>
                <w:szCs w:val="21"/>
                <w:highlight w:val="none"/>
              </w:rPr>
              <w:t>本地功能：支持本地注册人脸、查询、设置、管理设备参数等操作</w:t>
            </w:r>
          </w:p>
          <w:p w14:paraId="2D3437E0">
            <w:pPr>
              <w:widowControl/>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12.</w:t>
            </w:r>
            <w:r>
              <w:rPr>
                <w:rFonts w:hint="eastAsia" w:ascii="宋体" w:hAnsi="宋体" w:cs="宋体"/>
                <w:color w:val="auto"/>
                <w:kern w:val="0"/>
                <w:sz w:val="21"/>
                <w:szCs w:val="21"/>
                <w:highlight w:val="none"/>
              </w:rPr>
              <w:t>Web端管理：可进行人员管理、参数配置、事件查询、系统维护等操作</w:t>
            </w:r>
          </w:p>
        </w:tc>
      </w:tr>
      <w:tr w14:paraId="029DD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6" w:type="dxa"/>
            <w:vAlign w:val="center"/>
          </w:tcPr>
          <w:p w14:paraId="2586F471">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67</w:t>
            </w:r>
          </w:p>
        </w:tc>
        <w:tc>
          <w:tcPr>
            <w:tcW w:w="1520" w:type="dxa"/>
            <w:vAlign w:val="center"/>
          </w:tcPr>
          <w:p w14:paraId="15B27605">
            <w:pPr>
              <w:widowControl/>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出入口目标识别设备</w:t>
            </w:r>
          </w:p>
        </w:tc>
        <w:tc>
          <w:tcPr>
            <w:tcW w:w="6036" w:type="dxa"/>
            <w:shd w:val="clear" w:color="FFFFFF" w:fill="FFFFFF"/>
            <w:vAlign w:val="center"/>
          </w:tcPr>
          <w:p w14:paraId="39E0878B">
            <w:pPr>
              <w:widowControl/>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1.名称：单门磁力锁； </w:t>
            </w:r>
          </w:p>
          <w:p w14:paraId="00207808">
            <w:pPr>
              <w:widowControl/>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2.规格型号：上锁时NO输出；开锁时NC输出；最大拉力280kg静态直线拉力 ；输入电压 DC12V；支持门磁输出；工作电流：12 V/500m</w:t>
            </w:r>
          </w:p>
        </w:tc>
      </w:tr>
      <w:tr w14:paraId="3D06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916" w:type="dxa"/>
            <w:vAlign w:val="center"/>
          </w:tcPr>
          <w:p w14:paraId="5875BAAF">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68</w:t>
            </w:r>
          </w:p>
        </w:tc>
        <w:tc>
          <w:tcPr>
            <w:tcW w:w="1520" w:type="dxa"/>
            <w:vAlign w:val="center"/>
          </w:tcPr>
          <w:p w14:paraId="7EE65A56">
            <w:pPr>
              <w:widowControl/>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出入口目标识别设备</w:t>
            </w:r>
          </w:p>
        </w:tc>
        <w:tc>
          <w:tcPr>
            <w:tcW w:w="6036" w:type="dxa"/>
            <w:shd w:val="clear" w:color="FFFFFF" w:fill="FFFFFF"/>
            <w:vAlign w:val="center"/>
          </w:tcPr>
          <w:p w14:paraId="2D297A86">
            <w:pPr>
              <w:widowControl/>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1.名称：双门磁力锁； </w:t>
            </w:r>
          </w:p>
          <w:p w14:paraId="2C68C959">
            <w:pPr>
              <w:widowControl/>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2.规格型号：上锁时NO输出；开锁时NC输出；最大拉力280kg*2静态直线拉力；输入电压 DC12V；支 持门磁输出；工作电流：12 V/500m</w:t>
            </w:r>
          </w:p>
        </w:tc>
      </w:tr>
      <w:tr w14:paraId="18BB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6" w:type="dxa"/>
            <w:vAlign w:val="center"/>
          </w:tcPr>
          <w:p w14:paraId="0E16B1D2">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69</w:t>
            </w:r>
          </w:p>
        </w:tc>
        <w:tc>
          <w:tcPr>
            <w:tcW w:w="1520" w:type="dxa"/>
            <w:vAlign w:val="center"/>
          </w:tcPr>
          <w:p w14:paraId="304FFBDC">
            <w:pPr>
              <w:widowControl/>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出入口目标识别设备</w:t>
            </w:r>
          </w:p>
        </w:tc>
        <w:tc>
          <w:tcPr>
            <w:tcW w:w="6036" w:type="dxa"/>
            <w:shd w:val="clear" w:color="FFFFFF" w:fill="FFFFFF"/>
            <w:vAlign w:val="center"/>
          </w:tcPr>
          <w:p w14:paraId="29F2EA3F">
            <w:pPr>
              <w:widowControl/>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1.名称：出门按扭 </w:t>
            </w:r>
          </w:p>
          <w:p w14:paraId="021DBD30">
            <w:pPr>
              <w:widowControl/>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2.规格型号：结构：塑料 面板；性能：最大耐电流 1.25A，电压250V；输出 ：常开；类型：适合埋入式电器盒使用；尺寸：86 *86mm</w:t>
            </w:r>
          </w:p>
        </w:tc>
      </w:tr>
      <w:tr w14:paraId="73632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6" w:type="dxa"/>
            <w:vAlign w:val="center"/>
          </w:tcPr>
          <w:p w14:paraId="58BFAA57">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70</w:t>
            </w:r>
          </w:p>
        </w:tc>
        <w:tc>
          <w:tcPr>
            <w:tcW w:w="1520" w:type="dxa"/>
            <w:vAlign w:val="center"/>
          </w:tcPr>
          <w:p w14:paraId="2E146E21">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交换机</w:t>
            </w:r>
          </w:p>
        </w:tc>
        <w:tc>
          <w:tcPr>
            <w:tcW w:w="6036" w:type="dxa"/>
            <w:shd w:val="clear" w:color="FFFFFF" w:fill="FFFFFF"/>
            <w:vAlign w:val="center"/>
          </w:tcPr>
          <w:p w14:paraId="7B25181E">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1.名称：24口交换机 </w:t>
            </w:r>
          </w:p>
          <w:p w14:paraId="3C1D3EBA">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2.规格型号：与核心交换 机同品牌；交换容量≥25 0Gbps, 包转发率≥65 Mpps（若有不同指标,以 较低为准）,千兆电口≥2 4个,千兆光口≥4个,MAC 地址容量≥16K,支持堆叠 技术,堆叠带宽≥40G</w:t>
            </w:r>
          </w:p>
          <w:p w14:paraId="2546FC1E">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3.支持网管平台管理，通过可上网的PC或者手机，即可完成部署，即插即用，支持可视化整网拓扑、前面板端口通断状态呈现、CPU、内存利用率、设备配置等功能。</w:t>
            </w:r>
          </w:p>
          <w:p w14:paraId="1CCE23B2">
            <w:pPr>
              <w:widowControl/>
              <w:jc w:val="left"/>
              <w:rPr>
                <w:rFonts w:hint="eastAsia" w:ascii="宋体" w:hAnsi="宋体" w:cs="宋体"/>
                <w:color w:val="auto"/>
                <w:kern w:val="0"/>
                <w:sz w:val="21"/>
                <w:szCs w:val="21"/>
                <w:highlight w:val="none"/>
                <w:lang w:val="en-US" w:eastAsia="zh-CN"/>
              </w:rPr>
            </w:pPr>
            <w:r>
              <w:rPr>
                <w:rFonts w:hint="eastAsia" w:ascii="宋体" w:hAnsi="宋体" w:cs="宋体"/>
                <w:color w:val="auto"/>
                <w:sz w:val="21"/>
                <w:szCs w:val="21"/>
                <w:highlight w:val="none"/>
                <w:lang w:val="en-US" w:eastAsia="zh-CN"/>
              </w:rPr>
              <w:t>4.为方便新建项目开局，要求设备支持对全网同品牌设备整网一体化统一组网，并通过网关对交换、AP、AC进行集中化的调试。</w:t>
            </w:r>
          </w:p>
        </w:tc>
      </w:tr>
      <w:tr w14:paraId="576A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72" w:type="dxa"/>
            <w:gridSpan w:val="3"/>
            <w:shd w:val="clear" w:color="auto" w:fill="BEBEBE" w:themeFill="background1" w:themeFillShade="BF"/>
            <w:vAlign w:val="center"/>
          </w:tcPr>
          <w:p w14:paraId="195C1731">
            <w:pPr>
              <w:widowControl/>
              <w:jc w:val="left"/>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sz w:val="21"/>
                <w:szCs w:val="21"/>
                <w:highlight w:val="none"/>
              </w:rPr>
              <w:t>（2F）、办案区综合布线系统</w:t>
            </w:r>
          </w:p>
        </w:tc>
      </w:tr>
      <w:tr w14:paraId="231BE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6" w:type="dxa"/>
            <w:vAlign w:val="center"/>
          </w:tcPr>
          <w:p w14:paraId="2F1EB7EB">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71</w:t>
            </w:r>
          </w:p>
        </w:tc>
        <w:tc>
          <w:tcPr>
            <w:tcW w:w="1520" w:type="dxa"/>
            <w:vAlign w:val="center"/>
          </w:tcPr>
          <w:p w14:paraId="6CF87CC1">
            <w:pPr>
              <w:widowControl/>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信息插座</w:t>
            </w:r>
          </w:p>
        </w:tc>
        <w:tc>
          <w:tcPr>
            <w:tcW w:w="6036" w:type="dxa"/>
            <w:shd w:val="clear" w:color="FFFFFF" w:fill="FFFFFF"/>
            <w:vAlign w:val="center"/>
          </w:tcPr>
          <w:p w14:paraId="63EB9FD4">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1.名称：单孔地插（含底盒） </w:t>
            </w:r>
          </w:p>
          <w:p w14:paraId="2805B926">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2.规格：弹起型内含弹簧 装置，一位信息插座，不含模块，含预埋底盒</w:t>
            </w:r>
          </w:p>
          <w:p w14:paraId="2237B757">
            <w:pPr>
              <w:keepNext w:val="0"/>
              <w:keepLines w:val="0"/>
              <w:widowControl/>
              <w:suppressLineNumbers w:val="0"/>
              <w:jc w:val="left"/>
              <w:textAlignment w:val="center"/>
              <w:rPr>
                <w:rFonts w:hint="eastAsia" w:ascii="宋体" w:hAnsi="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3.面板尺寸：120×120mm，底盒尺寸：100×100×60mm</w:t>
            </w:r>
          </w:p>
        </w:tc>
      </w:tr>
      <w:tr w14:paraId="44E4F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6" w:type="dxa"/>
            <w:vAlign w:val="center"/>
          </w:tcPr>
          <w:p w14:paraId="2677587F">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72</w:t>
            </w:r>
          </w:p>
        </w:tc>
        <w:tc>
          <w:tcPr>
            <w:tcW w:w="1520" w:type="dxa"/>
            <w:vAlign w:val="center"/>
          </w:tcPr>
          <w:p w14:paraId="368DC932">
            <w:pPr>
              <w:widowControl/>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信息插座</w:t>
            </w:r>
          </w:p>
        </w:tc>
        <w:tc>
          <w:tcPr>
            <w:tcW w:w="6036" w:type="dxa"/>
            <w:shd w:val="clear" w:color="FFFFFF" w:fill="FFFFFF"/>
            <w:vAlign w:val="center"/>
          </w:tcPr>
          <w:p w14:paraId="4319420A">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1.名称：双孔地插（含底盒） </w:t>
            </w:r>
          </w:p>
          <w:p w14:paraId="789A0A70">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2.规格：弹起型内含弹簧 装置，两位信息插座，不含模块，含预埋底盒</w:t>
            </w:r>
          </w:p>
          <w:p w14:paraId="6E5BD8FA">
            <w:pPr>
              <w:keepNext w:val="0"/>
              <w:keepLines w:val="0"/>
              <w:widowControl/>
              <w:suppressLineNumbers w:val="0"/>
              <w:jc w:val="left"/>
              <w:textAlignment w:val="center"/>
              <w:rPr>
                <w:rFonts w:hint="eastAsia" w:ascii="宋体" w:hAnsi="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3.面板尺寸：120×120mm，底盒尺寸：100×100×60mm</w:t>
            </w:r>
          </w:p>
        </w:tc>
      </w:tr>
      <w:tr w14:paraId="62A5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6" w:type="dxa"/>
            <w:vAlign w:val="center"/>
          </w:tcPr>
          <w:p w14:paraId="4D01A96F">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73</w:t>
            </w:r>
          </w:p>
        </w:tc>
        <w:tc>
          <w:tcPr>
            <w:tcW w:w="1520" w:type="dxa"/>
            <w:vAlign w:val="center"/>
          </w:tcPr>
          <w:p w14:paraId="6684B71B">
            <w:pPr>
              <w:widowControl/>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信息插座</w:t>
            </w:r>
          </w:p>
        </w:tc>
        <w:tc>
          <w:tcPr>
            <w:tcW w:w="6036" w:type="dxa"/>
            <w:shd w:val="clear" w:color="FFFFFF" w:fill="FFFFFF"/>
            <w:vAlign w:val="center"/>
          </w:tcPr>
          <w:p w14:paraId="54A768EE">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1.名称：单口信息面板 </w:t>
            </w:r>
          </w:p>
          <w:p w14:paraId="4D6402B3">
            <w:pPr>
              <w:keepNext w:val="0"/>
              <w:keepLines w:val="0"/>
              <w:widowControl/>
              <w:suppressLineNumbers w:val="0"/>
              <w:jc w:val="left"/>
              <w:textAlignment w:val="center"/>
              <w:rPr>
                <w:rFonts w:hint="eastAsia" w:ascii="宋体" w:hAnsi="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2.规格：方形86式，单口；白色PC料，燃烧性能符合GB/T 5169.7；自带可更换式标签；自带滑门式防尘盖</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3.具有风格统一的单口、双口、三口、四口规格</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3.面板尺寸：高度:86×宽度:86mm</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4.材料：ABS</w:t>
            </w:r>
          </w:p>
        </w:tc>
      </w:tr>
      <w:tr w14:paraId="3C5F3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6" w:type="dxa"/>
            <w:vAlign w:val="center"/>
          </w:tcPr>
          <w:p w14:paraId="63A50D8C">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74</w:t>
            </w:r>
          </w:p>
        </w:tc>
        <w:tc>
          <w:tcPr>
            <w:tcW w:w="1520" w:type="dxa"/>
            <w:vAlign w:val="center"/>
          </w:tcPr>
          <w:p w14:paraId="73642FCD">
            <w:pPr>
              <w:widowControl/>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信息插座</w:t>
            </w:r>
          </w:p>
        </w:tc>
        <w:tc>
          <w:tcPr>
            <w:tcW w:w="6036" w:type="dxa"/>
            <w:shd w:val="clear" w:color="FFFFFF" w:fill="FFFFFF"/>
            <w:vAlign w:val="center"/>
          </w:tcPr>
          <w:p w14:paraId="0685D971">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1.名称：双口信息面板 </w:t>
            </w:r>
          </w:p>
          <w:p w14:paraId="220C827B">
            <w:pPr>
              <w:keepNext w:val="0"/>
              <w:keepLines w:val="0"/>
              <w:widowControl/>
              <w:suppressLineNumbers w:val="0"/>
              <w:jc w:val="left"/>
              <w:textAlignment w:val="center"/>
              <w:rPr>
                <w:rFonts w:hint="eastAsia" w:ascii="宋体" w:hAnsi="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2.规格：方形86式，双口；白色PC料，燃烧性能符合GB/T 5169.7；自带可更换式标签；自带滑门式防尘盖</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3.具有风格统一的单口、双口、三口、四口规格</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3.面板尺寸：高度:86×宽度:86mm</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4.材料：ABS</w:t>
            </w:r>
          </w:p>
        </w:tc>
      </w:tr>
      <w:tr w14:paraId="6865D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6" w:type="dxa"/>
            <w:vAlign w:val="center"/>
          </w:tcPr>
          <w:p w14:paraId="63472A3F">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75</w:t>
            </w:r>
          </w:p>
        </w:tc>
        <w:tc>
          <w:tcPr>
            <w:tcW w:w="1520" w:type="dxa"/>
            <w:vAlign w:val="center"/>
          </w:tcPr>
          <w:p w14:paraId="1FBE643E">
            <w:pPr>
              <w:widowControl/>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信息插座</w:t>
            </w:r>
          </w:p>
        </w:tc>
        <w:tc>
          <w:tcPr>
            <w:tcW w:w="6036" w:type="dxa"/>
            <w:shd w:val="clear" w:color="FFFFFF" w:fill="FFFFFF"/>
            <w:vAlign w:val="center"/>
          </w:tcPr>
          <w:p w14:paraId="4D2CEE78">
            <w:pPr>
              <w:keepNext w:val="0"/>
              <w:keepLines w:val="0"/>
              <w:widowControl/>
              <w:suppressLineNumbers w:val="0"/>
              <w:jc w:val="left"/>
              <w:textAlignment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1.名称：电话模块</w:t>
            </w:r>
          </w:p>
        </w:tc>
      </w:tr>
      <w:tr w14:paraId="13D0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6" w:type="dxa"/>
            <w:vAlign w:val="center"/>
          </w:tcPr>
          <w:p w14:paraId="5767EDF5">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76</w:t>
            </w:r>
          </w:p>
        </w:tc>
        <w:tc>
          <w:tcPr>
            <w:tcW w:w="1520" w:type="dxa"/>
            <w:vAlign w:val="center"/>
          </w:tcPr>
          <w:p w14:paraId="2B05B9EF">
            <w:pPr>
              <w:widowControl/>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信息插座</w:t>
            </w:r>
          </w:p>
        </w:tc>
        <w:tc>
          <w:tcPr>
            <w:tcW w:w="6036" w:type="dxa"/>
            <w:shd w:val="clear" w:color="FFFFFF" w:fill="FFFFFF"/>
            <w:vAlign w:val="center"/>
          </w:tcPr>
          <w:p w14:paraId="1C6C4249">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1.名称：网络模块</w:t>
            </w:r>
          </w:p>
        </w:tc>
      </w:tr>
      <w:tr w14:paraId="209EC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6" w:type="dxa"/>
            <w:vAlign w:val="center"/>
          </w:tcPr>
          <w:p w14:paraId="1EAA2482">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77</w:t>
            </w:r>
          </w:p>
        </w:tc>
        <w:tc>
          <w:tcPr>
            <w:tcW w:w="1520" w:type="dxa"/>
            <w:vAlign w:val="center"/>
          </w:tcPr>
          <w:p w14:paraId="410FE909">
            <w:pPr>
              <w:widowControl/>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信息插座</w:t>
            </w:r>
          </w:p>
        </w:tc>
        <w:tc>
          <w:tcPr>
            <w:tcW w:w="6036" w:type="dxa"/>
            <w:shd w:val="clear" w:color="FFFFFF" w:fill="FFFFFF"/>
            <w:vAlign w:val="center"/>
          </w:tcPr>
          <w:p w14:paraId="39F3BCC3">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1.名称：开关盒插座盒安装</w:t>
            </w:r>
          </w:p>
          <w:p w14:paraId="09BF8670">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86型暗盒，86×86，</w:t>
            </w:r>
          </w:p>
        </w:tc>
      </w:tr>
      <w:tr w14:paraId="6434A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6" w:type="dxa"/>
            <w:vAlign w:val="center"/>
          </w:tcPr>
          <w:p w14:paraId="7FED442B">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78</w:t>
            </w:r>
          </w:p>
        </w:tc>
        <w:tc>
          <w:tcPr>
            <w:tcW w:w="1520" w:type="dxa"/>
            <w:vAlign w:val="center"/>
          </w:tcPr>
          <w:p w14:paraId="36E8CCB6">
            <w:pPr>
              <w:widowControl/>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rPr>
              <w:t>交换机</w:t>
            </w:r>
          </w:p>
        </w:tc>
        <w:tc>
          <w:tcPr>
            <w:tcW w:w="6036" w:type="dxa"/>
            <w:shd w:val="clear" w:color="FFFFFF" w:fill="FFFFFF"/>
            <w:vAlign w:val="center"/>
          </w:tcPr>
          <w:p w14:paraId="731D30BD">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1.名称：24口交换机 </w:t>
            </w:r>
          </w:p>
          <w:p w14:paraId="4B3E05C6">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2.规格型号：与核心交换 机同品牌；交换容量≥25 0Gbps, 包转发率≥65 Mpps（若有不同指标,以 较低为准）,千兆电口≥2 4个,千兆光口≥4个,MAC 地址容量≥16K,支持堆叠 技术,堆叠带宽≥40G</w:t>
            </w:r>
          </w:p>
          <w:p w14:paraId="42FA0629">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3.支持网管平台管理，通过可上网的PC或者手机，即可完成部署，即插即用，支持可视化整网拓扑、前面板端口通断状态呈现、CPU、内存利用率、设备配置等功能。</w:t>
            </w:r>
          </w:p>
          <w:p w14:paraId="40BF47B8">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sz w:val="21"/>
                <w:szCs w:val="21"/>
                <w:highlight w:val="none"/>
                <w:lang w:val="en-US" w:eastAsia="zh-CN"/>
              </w:rPr>
              <w:t>4.为方便新建项目开局，要求设备支持对全网同品牌设备整网一体化统一组网，并通过网关对交换、AP、AC进行集中化的调试。</w:t>
            </w:r>
          </w:p>
        </w:tc>
      </w:tr>
      <w:tr w14:paraId="7A48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6" w:type="dxa"/>
            <w:vAlign w:val="center"/>
          </w:tcPr>
          <w:p w14:paraId="150B5B3B">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79</w:t>
            </w:r>
          </w:p>
        </w:tc>
        <w:tc>
          <w:tcPr>
            <w:tcW w:w="1520" w:type="dxa"/>
            <w:vAlign w:val="center"/>
          </w:tcPr>
          <w:p w14:paraId="08A10CC4">
            <w:pPr>
              <w:widowControl/>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rPr>
              <w:t>配线架</w:t>
            </w:r>
          </w:p>
        </w:tc>
        <w:tc>
          <w:tcPr>
            <w:tcW w:w="6036" w:type="dxa"/>
            <w:shd w:val="clear" w:color="FFFFFF" w:fill="FFFFFF"/>
            <w:vAlign w:val="center"/>
          </w:tcPr>
          <w:p w14:paraId="31D50D7B">
            <w:pPr>
              <w:widowControl/>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1.名称：NPE配线架</w:t>
            </w:r>
          </w:p>
          <w:p w14:paraId="27637964">
            <w:pPr>
              <w:widowControl/>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2.规格型号：24口机架式 六类非屏蔽配线架1U模块式配线架</w:t>
            </w:r>
          </w:p>
          <w:p w14:paraId="3EEC896A">
            <w:pPr>
              <w:widowControl/>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3.后端自带线缆管理单元，采用免工具设计，便于安装和拆卸</w:t>
            </w:r>
          </w:p>
          <w:p w14:paraId="5FFBC45B">
            <w:pPr>
              <w:widowControl/>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4.标识管理：完善清晰的标识系统，让施工、维护、管理更方便、快捷，端口带序号标识</w:t>
            </w:r>
          </w:p>
          <w:p w14:paraId="43B26E0B">
            <w:pPr>
              <w:widowControl/>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5.IDC：磷青铜</w:t>
            </w:r>
          </w:p>
          <w:p w14:paraId="1D14515A">
            <w:pPr>
              <w:widowControl/>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6.金针：磷青铜表面镀金</w:t>
            </w:r>
          </w:p>
          <w:p w14:paraId="5F16FC86">
            <w:pPr>
              <w:widowControl/>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7.线缆保护盖：PC 材料</w:t>
            </w:r>
          </w:p>
          <w:p w14:paraId="2C965D7C">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8.进线方式：180°进线</w:t>
            </w:r>
          </w:p>
        </w:tc>
      </w:tr>
      <w:tr w14:paraId="556D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6" w:type="dxa"/>
            <w:vAlign w:val="center"/>
          </w:tcPr>
          <w:p w14:paraId="307A7E05">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80</w:t>
            </w:r>
          </w:p>
        </w:tc>
        <w:tc>
          <w:tcPr>
            <w:tcW w:w="1520" w:type="dxa"/>
            <w:vAlign w:val="center"/>
          </w:tcPr>
          <w:p w14:paraId="62EFE1C1">
            <w:pPr>
              <w:widowControl/>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rPr>
              <w:t>配线架</w:t>
            </w:r>
          </w:p>
        </w:tc>
        <w:tc>
          <w:tcPr>
            <w:tcW w:w="6036" w:type="dxa"/>
            <w:shd w:val="clear" w:color="FFFFFF" w:fill="FFFFFF"/>
            <w:vAlign w:val="center"/>
          </w:tcPr>
          <w:p w14:paraId="3ED5C384">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1.名称：理线架 </w:t>
            </w:r>
          </w:p>
          <w:p w14:paraId="73B2B47C">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2.规格：琴键式设计，可上下开合；ABS阻燃材料</w:t>
            </w:r>
          </w:p>
          <w:p w14:paraId="40BA0685">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3.产品参数：标准19英寸机架式安装，高度：1U</w:t>
            </w:r>
          </w:p>
          <w:p w14:paraId="11560E0D">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材料及厚度：SPCC冷轧钢板表面脱脂、磷化、静电喷塑处理，架体1.2，盖板1.0mm</w:t>
            </w:r>
          </w:p>
          <w:p w14:paraId="1586884D">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4.带有盖板，盖板上具有模压品牌标识，不可采用丝网印刷</w:t>
            </w:r>
          </w:p>
          <w:p w14:paraId="7D10DCDB">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理线档位：上下各24档带有贯穿孔，支持前后走线和多余线缆的存放</w:t>
            </w:r>
          </w:p>
          <w:p w14:paraId="2B67C3E8">
            <w:pPr>
              <w:widowControl/>
              <w:jc w:val="both"/>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颜色：黑色</w:t>
            </w:r>
          </w:p>
        </w:tc>
      </w:tr>
    </w:tbl>
    <w:p w14:paraId="64C718AB">
      <w:pPr>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br w:type="page"/>
      </w:r>
    </w:p>
    <w:p w14:paraId="44E1DE20">
      <w:pPr>
        <w:rPr>
          <w:b/>
          <w:bCs/>
          <w:color w:val="auto"/>
          <w:sz w:val="20"/>
          <w:szCs w:val="22"/>
          <w:highlight w:val="none"/>
        </w:rPr>
        <w:sectPr>
          <w:pgSz w:w="11906" w:h="16838"/>
          <w:pgMar w:top="1440" w:right="1803" w:bottom="1440" w:left="1803" w:header="851" w:footer="992" w:gutter="0"/>
          <w:cols w:space="0" w:num="1"/>
          <w:docGrid w:type="lines" w:linePitch="319" w:charSpace="0"/>
        </w:sectPr>
      </w:pPr>
    </w:p>
    <w:bookmarkEnd w:id="93"/>
    <w:p w14:paraId="1361CB71">
      <w:pPr>
        <w:pStyle w:val="43"/>
        <w:ind w:left="143" w:leftChars="68" w:firstLine="0" w:firstLineChars="0"/>
        <w:jc w:val="left"/>
        <w:rPr>
          <w:color w:val="auto"/>
          <w:szCs w:val="21"/>
          <w:highlight w:val="none"/>
        </w:rPr>
      </w:pPr>
      <w:bookmarkStart w:id="98" w:name="_Toc460416594"/>
      <w:bookmarkStart w:id="99" w:name="_Toc460857895"/>
    </w:p>
    <w:bookmarkEnd w:id="98"/>
    <w:bookmarkEnd w:id="99"/>
    <w:p w14:paraId="0AD18048">
      <w:pPr>
        <w:pStyle w:val="2"/>
        <w:spacing w:before="0" w:after="0" w:line="360" w:lineRule="auto"/>
        <w:jc w:val="center"/>
        <w:rPr>
          <w:color w:val="auto"/>
          <w:sz w:val="30"/>
          <w:highlight w:val="none"/>
        </w:rPr>
      </w:pPr>
      <w:bookmarkStart w:id="100" w:name="_Toc13985"/>
      <w:bookmarkStart w:id="101" w:name="_Toc18"/>
      <w:bookmarkStart w:id="102" w:name="_Toc24217"/>
      <w:r>
        <w:rPr>
          <w:rFonts w:hint="eastAsia"/>
          <w:color w:val="auto"/>
          <w:sz w:val="30"/>
          <w:highlight w:val="none"/>
        </w:rPr>
        <w:t xml:space="preserve">第四章   </w:t>
      </w:r>
      <w:bookmarkStart w:id="103" w:name="_Toc184312098"/>
      <w:bookmarkEnd w:id="103"/>
      <w:bookmarkStart w:id="104" w:name="_Toc184308105"/>
      <w:bookmarkEnd w:id="104"/>
      <w:bookmarkStart w:id="105" w:name="_Toc184314463"/>
      <w:bookmarkEnd w:id="105"/>
      <w:bookmarkStart w:id="106" w:name="_Toc184308036"/>
      <w:bookmarkEnd w:id="106"/>
      <w:bookmarkStart w:id="107" w:name="_Toc184308095"/>
      <w:bookmarkEnd w:id="107"/>
      <w:bookmarkStart w:id="108" w:name="_Toc184308101"/>
      <w:bookmarkEnd w:id="108"/>
      <w:bookmarkStart w:id="109" w:name="_Toc184308045"/>
      <w:bookmarkEnd w:id="109"/>
      <w:bookmarkStart w:id="110" w:name="_Toc184308065"/>
      <w:bookmarkEnd w:id="110"/>
      <w:bookmarkStart w:id="111" w:name="_Toc184313256"/>
      <w:bookmarkEnd w:id="111"/>
      <w:bookmarkStart w:id="112" w:name="_Toc184314449"/>
      <w:bookmarkEnd w:id="112"/>
      <w:bookmarkStart w:id="113" w:name="_Toc184308078"/>
      <w:bookmarkEnd w:id="113"/>
      <w:bookmarkStart w:id="114" w:name="_Toc184312070"/>
      <w:bookmarkEnd w:id="114"/>
      <w:bookmarkStart w:id="115" w:name="_Toc184313267"/>
      <w:bookmarkEnd w:id="115"/>
      <w:bookmarkStart w:id="116" w:name="_Toc184313253"/>
      <w:bookmarkEnd w:id="116"/>
      <w:bookmarkStart w:id="117" w:name="_Toc184312122"/>
      <w:bookmarkEnd w:id="117"/>
      <w:bookmarkStart w:id="118" w:name="_Toc184308084"/>
      <w:bookmarkEnd w:id="118"/>
      <w:bookmarkStart w:id="119" w:name="_Toc184310280"/>
      <w:bookmarkEnd w:id="119"/>
      <w:bookmarkStart w:id="120" w:name="_Toc184312104"/>
      <w:bookmarkEnd w:id="120"/>
      <w:bookmarkStart w:id="121" w:name="_Toc184312126"/>
      <w:bookmarkEnd w:id="121"/>
      <w:bookmarkStart w:id="122" w:name="_Toc184313244"/>
      <w:bookmarkEnd w:id="122"/>
      <w:bookmarkStart w:id="123" w:name="_Toc184313281"/>
      <w:bookmarkEnd w:id="123"/>
      <w:bookmarkStart w:id="124" w:name="_Toc184308087"/>
      <w:bookmarkEnd w:id="124"/>
      <w:bookmarkStart w:id="125" w:name="_Toc184308092"/>
      <w:bookmarkEnd w:id="125"/>
      <w:bookmarkStart w:id="126" w:name="_Toc184312113"/>
      <w:bookmarkEnd w:id="126"/>
      <w:bookmarkStart w:id="127" w:name="_Toc184308042"/>
      <w:bookmarkEnd w:id="127"/>
      <w:bookmarkStart w:id="128" w:name="_Toc184308097"/>
      <w:bookmarkEnd w:id="128"/>
      <w:bookmarkStart w:id="129" w:name="_Toc184313266"/>
      <w:bookmarkEnd w:id="129"/>
      <w:bookmarkStart w:id="130" w:name="_Toc184310273"/>
      <w:bookmarkEnd w:id="130"/>
      <w:bookmarkStart w:id="131" w:name="_Toc184312130"/>
      <w:bookmarkEnd w:id="131"/>
      <w:bookmarkStart w:id="132" w:name="_Toc184310306"/>
      <w:bookmarkEnd w:id="132"/>
      <w:bookmarkStart w:id="133" w:name="_Toc184312129"/>
      <w:bookmarkEnd w:id="133"/>
      <w:bookmarkStart w:id="134" w:name="_Toc184314428"/>
      <w:bookmarkEnd w:id="134"/>
      <w:bookmarkStart w:id="135" w:name="_Toc184310277"/>
      <w:bookmarkEnd w:id="135"/>
      <w:bookmarkStart w:id="136" w:name="_Toc184314421"/>
      <w:bookmarkEnd w:id="136"/>
      <w:bookmarkStart w:id="137" w:name="_Toc184314468"/>
      <w:bookmarkEnd w:id="137"/>
      <w:bookmarkStart w:id="138" w:name="_Toc184314478"/>
      <w:bookmarkEnd w:id="138"/>
      <w:bookmarkStart w:id="139" w:name="_Toc184310310"/>
      <w:bookmarkEnd w:id="139"/>
      <w:bookmarkStart w:id="140" w:name="_Toc184313288"/>
      <w:bookmarkEnd w:id="140"/>
      <w:bookmarkStart w:id="141" w:name="_Toc184312115"/>
      <w:bookmarkEnd w:id="141"/>
      <w:bookmarkStart w:id="142" w:name="_Toc184314441"/>
      <w:bookmarkEnd w:id="142"/>
      <w:bookmarkStart w:id="143" w:name="_Toc184308069"/>
      <w:bookmarkEnd w:id="143"/>
      <w:bookmarkStart w:id="144" w:name="_Toc184313260"/>
      <w:bookmarkEnd w:id="144"/>
      <w:bookmarkStart w:id="145" w:name="_Toc184308100"/>
      <w:bookmarkEnd w:id="145"/>
      <w:bookmarkStart w:id="146" w:name="_Toc184314447"/>
      <w:bookmarkEnd w:id="146"/>
      <w:bookmarkStart w:id="147" w:name="_Toc184310325"/>
      <w:bookmarkEnd w:id="147"/>
      <w:bookmarkStart w:id="148" w:name="_Toc184312099"/>
      <w:bookmarkEnd w:id="148"/>
      <w:bookmarkStart w:id="149" w:name="_Toc184314423"/>
      <w:bookmarkEnd w:id="149"/>
      <w:bookmarkStart w:id="150" w:name="_Toc184313241"/>
      <w:bookmarkEnd w:id="150"/>
      <w:bookmarkStart w:id="151" w:name="_Toc184313262"/>
      <w:bookmarkEnd w:id="151"/>
      <w:bookmarkStart w:id="152" w:name="_Toc184314464"/>
      <w:bookmarkEnd w:id="152"/>
      <w:bookmarkStart w:id="153" w:name="_Toc184312080"/>
      <w:bookmarkEnd w:id="153"/>
      <w:bookmarkStart w:id="154" w:name="_Toc184310302"/>
      <w:bookmarkEnd w:id="154"/>
      <w:bookmarkStart w:id="155" w:name="_Toc184312123"/>
      <w:bookmarkEnd w:id="155"/>
      <w:bookmarkStart w:id="156" w:name="_Toc184310303"/>
      <w:bookmarkEnd w:id="156"/>
      <w:bookmarkStart w:id="157" w:name="_Toc184310275"/>
      <w:bookmarkEnd w:id="157"/>
      <w:bookmarkStart w:id="158" w:name="_Toc184314422"/>
      <w:bookmarkEnd w:id="158"/>
      <w:bookmarkStart w:id="159" w:name="_Toc184308067"/>
      <w:bookmarkEnd w:id="159"/>
      <w:bookmarkStart w:id="160" w:name="_Toc184310342"/>
      <w:bookmarkEnd w:id="160"/>
      <w:bookmarkStart w:id="161" w:name="_Toc184312096"/>
      <w:bookmarkEnd w:id="161"/>
      <w:bookmarkStart w:id="162" w:name="_Toc184310316"/>
      <w:bookmarkEnd w:id="162"/>
      <w:bookmarkStart w:id="163" w:name="_Toc184313268"/>
      <w:bookmarkEnd w:id="163"/>
      <w:bookmarkStart w:id="164" w:name="_Toc184314425"/>
      <w:bookmarkEnd w:id="164"/>
      <w:bookmarkStart w:id="165" w:name="_Toc184308106"/>
      <w:bookmarkEnd w:id="165"/>
      <w:bookmarkStart w:id="166" w:name="_Toc184308053"/>
      <w:bookmarkEnd w:id="166"/>
      <w:bookmarkStart w:id="167" w:name="_Toc184310309"/>
      <w:bookmarkEnd w:id="167"/>
      <w:bookmarkStart w:id="168" w:name="_Toc184312132"/>
      <w:bookmarkEnd w:id="168"/>
      <w:bookmarkStart w:id="169" w:name="_Toc184308073"/>
      <w:bookmarkEnd w:id="169"/>
      <w:bookmarkStart w:id="170" w:name="_Toc184314462"/>
      <w:bookmarkEnd w:id="170"/>
      <w:bookmarkStart w:id="171" w:name="_Toc184314460"/>
      <w:bookmarkEnd w:id="171"/>
      <w:bookmarkStart w:id="172" w:name="_Toc184314424"/>
      <w:bookmarkEnd w:id="172"/>
      <w:bookmarkStart w:id="173" w:name="_Toc184313300"/>
      <w:bookmarkEnd w:id="173"/>
      <w:bookmarkStart w:id="174" w:name="_Toc184310335"/>
      <w:bookmarkEnd w:id="174"/>
      <w:bookmarkStart w:id="175" w:name="_Toc184310305"/>
      <w:bookmarkEnd w:id="175"/>
      <w:bookmarkStart w:id="176" w:name="_Toc184313297"/>
      <w:bookmarkEnd w:id="176"/>
      <w:bookmarkStart w:id="177" w:name="_Toc184313257"/>
      <w:bookmarkEnd w:id="177"/>
      <w:bookmarkStart w:id="178" w:name="_Toc184312114"/>
      <w:bookmarkEnd w:id="178"/>
      <w:bookmarkStart w:id="179" w:name="_Toc184310338"/>
      <w:bookmarkEnd w:id="179"/>
      <w:bookmarkStart w:id="180" w:name="_Toc184313296"/>
      <w:bookmarkEnd w:id="180"/>
      <w:bookmarkStart w:id="181" w:name="_Toc184312109"/>
      <w:bookmarkEnd w:id="181"/>
      <w:bookmarkStart w:id="182" w:name="_Toc184314474"/>
      <w:bookmarkEnd w:id="182"/>
      <w:bookmarkStart w:id="183" w:name="_Toc184310339"/>
      <w:bookmarkEnd w:id="183"/>
      <w:bookmarkStart w:id="184" w:name="_Toc184308043"/>
      <w:bookmarkEnd w:id="184"/>
      <w:bookmarkStart w:id="185" w:name="_Toc184310327"/>
      <w:bookmarkEnd w:id="185"/>
      <w:bookmarkStart w:id="186" w:name="_Toc184310330"/>
      <w:bookmarkEnd w:id="186"/>
      <w:bookmarkStart w:id="187" w:name="_Toc184314437"/>
      <w:bookmarkEnd w:id="187"/>
      <w:bookmarkStart w:id="188" w:name="_Toc184312087"/>
      <w:bookmarkEnd w:id="188"/>
      <w:bookmarkStart w:id="189" w:name="_Toc184313276"/>
      <w:bookmarkEnd w:id="189"/>
      <w:bookmarkStart w:id="190" w:name="_Toc184314452"/>
      <w:bookmarkEnd w:id="190"/>
      <w:bookmarkStart w:id="191" w:name="_Toc184308075"/>
      <w:bookmarkEnd w:id="191"/>
      <w:bookmarkStart w:id="192" w:name="_Toc184310324"/>
      <w:bookmarkEnd w:id="192"/>
      <w:bookmarkStart w:id="193" w:name="_Toc184313280"/>
      <w:bookmarkEnd w:id="193"/>
      <w:bookmarkStart w:id="194" w:name="_Toc184313279"/>
      <w:bookmarkEnd w:id="194"/>
      <w:bookmarkStart w:id="195" w:name="_Toc184308062"/>
      <w:bookmarkEnd w:id="195"/>
      <w:bookmarkStart w:id="196" w:name="_Toc184314455"/>
      <w:bookmarkEnd w:id="196"/>
      <w:bookmarkStart w:id="197" w:name="_Toc184313275"/>
      <w:bookmarkEnd w:id="197"/>
      <w:bookmarkStart w:id="198" w:name="_Toc184314434"/>
      <w:bookmarkEnd w:id="198"/>
      <w:bookmarkStart w:id="199" w:name="_Toc184313295"/>
      <w:bookmarkEnd w:id="199"/>
      <w:bookmarkStart w:id="200" w:name="_Toc184308052"/>
      <w:bookmarkEnd w:id="200"/>
      <w:bookmarkStart w:id="201" w:name="_Toc184310274"/>
      <w:bookmarkEnd w:id="201"/>
      <w:bookmarkStart w:id="202" w:name="_Toc184313240"/>
      <w:bookmarkEnd w:id="202"/>
      <w:bookmarkStart w:id="203" w:name="_Toc184312069"/>
      <w:bookmarkEnd w:id="203"/>
      <w:bookmarkStart w:id="204" w:name="_Toc184310282"/>
      <w:bookmarkEnd w:id="204"/>
      <w:bookmarkStart w:id="205" w:name="_Toc184312118"/>
      <w:bookmarkEnd w:id="205"/>
      <w:bookmarkStart w:id="206" w:name="_Toc184312093"/>
      <w:bookmarkEnd w:id="206"/>
      <w:bookmarkStart w:id="207" w:name="_Toc184310284"/>
      <w:bookmarkEnd w:id="207"/>
      <w:bookmarkStart w:id="208" w:name="_Toc184308089"/>
      <w:bookmarkEnd w:id="208"/>
      <w:bookmarkStart w:id="209" w:name="_Toc184308102"/>
      <w:bookmarkEnd w:id="209"/>
      <w:bookmarkStart w:id="210" w:name="_Toc184308085"/>
      <w:bookmarkEnd w:id="210"/>
      <w:bookmarkStart w:id="211" w:name="_Toc184308093"/>
      <w:bookmarkEnd w:id="211"/>
      <w:bookmarkStart w:id="212" w:name="_Toc184310334"/>
      <w:bookmarkEnd w:id="212"/>
      <w:bookmarkStart w:id="213" w:name="_Toc184314430"/>
      <w:bookmarkEnd w:id="213"/>
      <w:bookmarkStart w:id="214" w:name="_Toc184314432"/>
      <w:bookmarkEnd w:id="214"/>
      <w:bookmarkStart w:id="215" w:name="_Toc184314438"/>
      <w:bookmarkEnd w:id="215"/>
      <w:bookmarkStart w:id="216" w:name="_Toc184312105"/>
      <w:bookmarkEnd w:id="216"/>
      <w:bookmarkStart w:id="217" w:name="_Toc184314480"/>
      <w:bookmarkEnd w:id="217"/>
      <w:bookmarkStart w:id="218" w:name="_Toc184312138"/>
      <w:bookmarkEnd w:id="218"/>
      <w:bookmarkStart w:id="219" w:name="_Toc184310297"/>
      <w:bookmarkEnd w:id="219"/>
      <w:bookmarkStart w:id="220" w:name="_Toc184313302"/>
      <w:bookmarkEnd w:id="220"/>
      <w:bookmarkStart w:id="221" w:name="_Toc184313273"/>
      <w:bookmarkEnd w:id="221"/>
      <w:bookmarkStart w:id="222" w:name="_Toc184312124"/>
      <w:bookmarkEnd w:id="222"/>
      <w:bookmarkStart w:id="223" w:name="_Toc184308090"/>
      <w:bookmarkEnd w:id="223"/>
      <w:bookmarkStart w:id="224" w:name="_Toc184314410"/>
      <w:bookmarkEnd w:id="224"/>
      <w:bookmarkStart w:id="225" w:name="_Toc184308104"/>
      <w:bookmarkEnd w:id="225"/>
      <w:bookmarkStart w:id="226" w:name="_Toc184310287"/>
      <w:bookmarkEnd w:id="226"/>
      <w:bookmarkStart w:id="227" w:name="_Toc184313289"/>
      <w:bookmarkEnd w:id="227"/>
      <w:bookmarkStart w:id="228" w:name="_Toc184310336"/>
      <w:bookmarkEnd w:id="228"/>
      <w:bookmarkStart w:id="229" w:name="_Toc184313245"/>
      <w:bookmarkEnd w:id="229"/>
      <w:bookmarkStart w:id="230" w:name="_Toc184314439"/>
      <w:bookmarkEnd w:id="230"/>
      <w:bookmarkStart w:id="231" w:name="_Toc184310289"/>
      <w:bookmarkEnd w:id="231"/>
      <w:bookmarkStart w:id="232" w:name="_Toc184314453"/>
      <w:bookmarkEnd w:id="232"/>
      <w:bookmarkStart w:id="233" w:name="_Toc184314450"/>
      <w:bookmarkEnd w:id="233"/>
      <w:bookmarkStart w:id="234" w:name="_Toc184308077"/>
      <w:bookmarkEnd w:id="234"/>
      <w:bookmarkStart w:id="235" w:name="_Toc184314459"/>
      <w:bookmarkEnd w:id="235"/>
      <w:bookmarkStart w:id="236" w:name="_Toc184313250"/>
      <w:bookmarkEnd w:id="236"/>
      <w:bookmarkStart w:id="237" w:name="_Toc184313292"/>
      <w:bookmarkEnd w:id="237"/>
      <w:bookmarkStart w:id="238" w:name="_Toc184314415"/>
      <w:bookmarkEnd w:id="238"/>
      <w:bookmarkStart w:id="239" w:name="_Toc184310319"/>
      <w:bookmarkEnd w:id="239"/>
      <w:bookmarkStart w:id="240" w:name="_Toc184308096"/>
      <w:bookmarkEnd w:id="240"/>
      <w:bookmarkStart w:id="241" w:name="_Toc184314461"/>
      <w:bookmarkEnd w:id="241"/>
      <w:bookmarkStart w:id="242" w:name="_Toc184313277"/>
      <w:bookmarkEnd w:id="242"/>
      <w:bookmarkStart w:id="243" w:name="_Toc184312116"/>
      <w:bookmarkEnd w:id="243"/>
      <w:bookmarkStart w:id="244" w:name="_Toc184313238"/>
      <w:bookmarkEnd w:id="244"/>
      <w:bookmarkStart w:id="245" w:name="_Toc184314482"/>
      <w:bookmarkEnd w:id="245"/>
      <w:bookmarkStart w:id="246" w:name="_Toc184310317"/>
      <w:bookmarkEnd w:id="246"/>
      <w:bookmarkStart w:id="247" w:name="_Toc184313309"/>
      <w:bookmarkEnd w:id="247"/>
      <w:bookmarkStart w:id="248" w:name="_Toc184310288"/>
      <w:bookmarkEnd w:id="248"/>
      <w:bookmarkStart w:id="249" w:name="_Toc184312086"/>
      <w:bookmarkEnd w:id="249"/>
      <w:bookmarkStart w:id="250" w:name="_Toc184313261"/>
      <w:bookmarkEnd w:id="250"/>
      <w:bookmarkStart w:id="251" w:name="_Toc184312078"/>
      <w:bookmarkEnd w:id="251"/>
      <w:bookmarkStart w:id="252" w:name="_Toc184312103"/>
      <w:bookmarkEnd w:id="252"/>
      <w:bookmarkStart w:id="253" w:name="_Toc184310323"/>
      <w:bookmarkEnd w:id="253"/>
      <w:bookmarkStart w:id="254" w:name="_Toc184313306"/>
      <w:bookmarkEnd w:id="254"/>
      <w:bookmarkStart w:id="255" w:name="_Toc184314451"/>
      <w:bookmarkEnd w:id="255"/>
      <w:bookmarkStart w:id="256" w:name="_Toc184314442"/>
      <w:bookmarkEnd w:id="256"/>
      <w:bookmarkStart w:id="257" w:name="_Toc184308047"/>
      <w:bookmarkEnd w:id="257"/>
      <w:bookmarkStart w:id="258" w:name="_Toc184310340"/>
      <w:bookmarkEnd w:id="258"/>
      <w:bookmarkStart w:id="259" w:name="_Toc184312091"/>
      <w:bookmarkEnd w:id="259"/>
      <w:bookmarkStart w:id="260" w:name="_Toc184314411"/>
      <w:bookmarkEnd w:id="260"/>
      <w:bookmarkStart w:id="261" w:name="_Toc184314466"/>
      <w:bookmarkEnd w:id="261"/>
      <w:bookmarkStart w:id="262" w:name="_Toc184310321"/>
      <w:bookmarkEnd w:id="262"/>
      <w:bookmarkStart w:id="263" w:name="_Toc184308066"/>
      <w:bookmarkEnd w:id="263"/>
      <w:bookmarkStart w:id="264" w:name="_Toc184314427"/>
      <w:bookmarkEnd w:id="264"/>
      <w:bookmarkStart w:id="265" w:name="_Toc184314444"/>
      <w:bookmarkEnd w:id="265"/>
      <w:bookmarkStart w:id="266" w:name="_Toc184312137"/>
      <w:bookmarkEnd w:id="266"/>
      <w:bookmarkStart w:id="267" w:name="_Toc184312095"/>
      <w:bookmarkEnd w:id="267"/>
      <w:bookmarkStart w:id="268" w:name="_Toc184308051"/>
      <w:bookmarkEnd w:id="268"/>
      <w:bookmarkStart w:id="269" w:name="_Toc184313255"/>
      <w:bookmarkEnd w:id="269"/>
      <w:bookmarkStart w:id="270" w:name="_Toc184313271"/>
      <w:bookmarkEnd w:id="270"/>
      <w:bookmarkStart w:id="271" w:name="_Toc184310294"/>
      <w:bookmarkEnd w:id="271"/>
      <w:bookmarkStart w:id="272" w:name="_Toc184312094"/>
      <w:bookmarkEnd w:id="272"/>
      <w:bookmarkStart w:id="273" w:name="_Toc184312107"/>
      <w:bookmarkEnd w:id="273"/>
      <w:bookmarkStart w:id="274" w:name="_Toc184308044"/>
      <w:bookmarkEnd w:id="274"/>
      <w:bookmarkStart w:id="275" w:name="_Toc184312073"/>
      <w:bookmarkEnd w:id="275"/>
      <w:bookmarkStart w:id="276" w:name="_Toc184308061"/>
      <w:bookmarkEnd w:id="276"/>
      <w:bookmarkStart w:id="277" w:name="_Toc184313259"/>
      <w:bookmarkEnd w:id="277"/>
      <w:bookmarkStart w:id="278" w:name="_Toc184312127"/>
      <w:bookmarkEnd w:id="278"/>
      <w:bookmarkStart w:id="279" w:name="_Toc184314426"/>
      <w:bookmarkEnd w:id="279"/>
      <w:bookmarkStart w:id="280" w:name="_Toc184314445"/>
      <w:bookmarkEnd w:id="280"/>
      <w:bookmarkStart w:id="281" w:name="_Toc184313293"/>
      <w:bookmarkEnd w:id="281"/>
      <w:bookmarkStart w:id="282" w:name="_Toc184308048"/>
      <w:bookmarkEnd w:id="282"/>
      <w:bookmarkStart w:id="283" w:name="_Toc184310286"/>
      <w:bookmarkEnd w:id="283"/>
      <w:bookmarkStart w:id="284" w:name="_Toc184308038"/>
      <w:bookmarkEnd w:id="284"/>
      <w:bookmarkStart w:id="285" w:name="_Toc184308099"/>
      <w:bookmarkEnd w:id="285"/>
      <w:bookmarkStart w:id="286" w:name="_Toc184313278"/>
      <w:bookmarkEnd w:id="286"/>
      <w:bookmarkStart w:id="287" w:name="_Toc184313298"/>
      <w:bookmarkEnd w:id="287"/>
      <w:bookmarkStart w:id="288" w:name="_Toc184314457"/>
      <w:bookmarkEnd w:id="288"/>
      <w:bookmarkStart w:id="289" w:name="_Toc184310290"/>
      <w:bookmarkEnd w:id="289"/>
      <w:bookmarkStart w:id="290" w:name="_Toc184310314"/>
      <w:bookmarkEnd w:id="290"/>
      <w:bookmarkStart w:id="291" w:name="_Toc184312090"/>
      <w:bookmarkEnd w:id="291"/>
      <w:bookmarkStart w:id="292" w:name="_Toc184308071"/>
      <w:bookmarkEnd w:id="292"/>
      <w:bookmarkStart w:id="293" w:name="_Toc184313284"/>
      <w:bookmarkEnd w:id="293"/>
      <w:bookmarkStart w:id="294" w:name="_Toc184308063"/>
      <w:bookmarkEnd w:id="294"/>
      <w:bookmarkStart w:id="295" w:name="_Toc184308108"/>
      <w:bookmarkEnd w:id="295"/>
      <w:bookmarkStart w:id="296" w:name="_Toc184308046"/>
      <w:bookmarkEnd w:id="296"/>
      <w:bookmarkStart w:id="297" w:name="_Toc184313254"/>
      <w:bookmarkEnd w:id="297"/>
      <w:bookmarkStart w:id="298" w:name="_Toc184313290"/>
      <w:bookmarkEnd w:id="298"/>
      <w:bookmarkStart w:id="299" w:name="_Toc184310333"/>
      <w:bookmarkEnd w:id="299"/>
      <w:bookmarkStart w:id="300" w:name="_Toc184313283"/>
      <w:bookmarkEnd w:id="300"/>
      <w:bookmarkStart w:id="301" w:name="_Toc184313242"/>
      <w:bookmarkEnd w:id="301"/>
      <w:bookmarkStart w:id="302" w:name="_Toc184314429"/>
      <w:bookmarkEnd w:id="302"/>
      <w:bookmarkStart w:id="303" w:name="_Toc184308040"/>
      <w:bookmarkEnd w:id="303"/>
      <w:bookmarkStart w:id="304" w:name="_Toc184308039"/>
      <w:bookmarkEnd w:id="304"/>
      <w:bookmarkStart w:id="305" w:name="_Toc184310278"/>
      <w:bookmarkEnd w:id="305"/>
      <w:bookmarkStart w:id="306" w:name="_Toc184313265"/>
      <w:bookmarkEnd w:id="306"/>
      <w:bookmarkStart w:id="307" w:name="_Toc184313286"/>
      <w:bookmarkEnd w:id="307"/>
      <w:bookmarkStart w:id="308" w:name="_Toc184312108"/>
      <w:bookmarkEnd w:id="308"/>
      <w:bookmarkStart w:id="309" w:name="_Toc184313303"/>
      <w:bookmarkEnd w:id="309"/>
      <w:bookmarkStart w:id="310" w:name="_Toc184308103"/>
      <w:bookmarkEnd w:id="310"/>
      <w:bookmarkStart w:id="311" w:name="_Toc184308049"/>
      <w:bookmarkEnd w:id="311"/>
      <w:bookmarkStart w:id="312" w:name="_Toc184312081"/>
      <w:bookmarkEnd w:id="312"/>
      <w:bookmarkStart w:id="313" w:name="_Toc184310341"/>
      <w:bookmarkEnd w:id="313"/>
      <w:bookmarkStart w:id="314" w:name="_Toc184312106"/>
      <w:bookmarkEnd w:id="314"/>
      <w:bookmarkStart w:id="315" w:name="_Toc184314448"/>
      <w:bookmarkEnd w:id="315"/>
      <w:bookmarkStart w:id="316" w:name="_Toc184314436"/>
      <w:bookmarkEnd w:id="316"/>
      <w:bookmarkStart w:id="317" w:name="_Toc184310315"/>
      <w:bookmarkEnd w:id="317"/>
      <w:bookmarkStart w:id="318" w:name="_Toc184310292"/>
      <w:bookmarkEnd w:id="318"/>
      <w:bookmarkStart w:id="319" w:name="_Toc184314469"/>
      <w:bookmarkEnd w:id="319"/>
      <w:bookmarkStart w:id="320" w:name="_Toc184313252"/>
      <w:bookmarkEnd w:id="320"/>
      <w:bookmarkStart w:id="321" w:name="_Toc184308037"/>
      <w:bookmarkEnd w:id="321"/>
      <w:bookmarkStart w:id="322" w:name="_Toc184312083"/>
      <w:bookmarkEnd w:id="322"/>
      <w:bookmarkStart w:id="323" w:name="_Toc184314481"/>
      <w:bookmarkEnd w:id="323"/>
      <w:bookmarkStart w:id="324" w:name="_Toc184308088"/>
      <w:bookmarkEnd w:id="324"/>
      <w:bookmarkStart w:id="325" w:name="_Toc184308064"/>
      <w:bookmarkEnd w:id="325"/>
      <w:bookmarkStart w:id="326" w:name="_Toc184314419"/>
      <w:bookmarkEnd w:id="326"/>
      <w:bookmarkStart w:id="327" w:name="_Toc184314458"/>
      <w:bookmarkEnd w:id="327"/>
      <w:bookmarkStart w:id="328" w:name="_Toc184308054"/>
      <w:bookmarkEnd w:id="328"/>
      <w:bookmarkStart w:id="329" w:name="_Toc184312128"/>
      <w:bookmarkEnd w:id="329"/>
      <w:bookmarkStart w:id="330" w:name="_Toc184310291"/>
      <w:bookmarkEnd w:id="330"/>
      <w:bookmarkStart w:id="331" w:name="_Toc184312089"/>
      <w:bookmarkEnd w:id="331"/>
      <w:bookmarkStart w:id="332" w:name="_Toc184310322"/>
      <w:bookmarkEnd w:id="332"/>
      <w:bookmarkStart w:id="333" w:name="_Toc184313282"/>
      <w:bookmarkEnd w:id="333"/>
      <w:bookmarkStart w:id="334" w:name="_Toc184308041"/>
      <w:bookmarkEnd w:id="334"/>
      <w:bookmarkStart w:id="335" w:name="_Toc184310283"/>
      <w:bookmarkEnd w:id="335"/>
      <w:bookmarkStart w:id="336" w:name="_Toc184313258"/>
      <w:bookmarkEnd w:id="336"/>
      <w:bookmarkStart w:id="337" w:name="_Toc184308094"/>
      <w:bookmarkEnd w:id="337"/>
      <w:bookmarkStart w:id="338" w:name="_Toc184313270"/>
      <w:bookmarkEnd w:id="338"/>
      <w:bookmarkStart w:id="339" w:name="_Toc184312072"/>
      <w:bookmarkEnd w:id="339"/>
      <w:bookmarkStart w:id="340" w:name="_Toc184314414"/>
      <w:bookmarkEnd w:id="340"/>
      <w:bookmarkStart w:id="341" w:name="_Toc184313285"/>
      <w:bookmarkEnd w:id="341"/>
      <w:bookmarkStart w:id="342" w:name="_Toc184308074"/>
      <w:bookmarkEnd w:id="342"/>
      <w:bookmarkStart w:id="343" w:name="_Toc184314416"/>
      <w:bookmarkEnd w:id="343"/>
      <w:bookmarkStart w:id="344" w:name="_Toc184308060"/>
      <w:bookmarkEnd w:id="344"/>
      <w:bookmarkStart w:id="345" w:name="_Toc184312085"/>
      <w:bookmarkEnd w:id="345"/>
      <w:bookmarkStart w:id="346" w:name="_Toc184313272"/>
      <w:bookmarkEnd w:id="346"/>
      <w:bookmarkStart w:id="347" w:name="_Toc184310337"/>
      <w:bookmarkEnd w:id="347"/>
      <w:bookmarkStart w:id="348" w:name="_Toc184312119"/>
      <w:bookmarkEnd w:id="348"/>
      <w:bookmarkStart w:id="349" w:name="_Toc184310301"/>
      <w:bookmarkEnd w:id="349"/>
      <w:bookmarkStart w:id="350" w:name="_Toc184310281"/>
      <w:bookmarkEnd w:id="350"/>
      <w:bookmarkStart w:id="351" w:name="_Toc184312133"/>
      <w:bookmarkEnd w:id="351"/>
      <w:bookmarkStart w:id="352" w:name="_Toc184308050"/>
      <w:bookmarkEnd w:id="352"/>
      <w:bookmarkStart w:id="353" w:name="_Toc184313274"/>
      <w:bookmarkEnd w:id="353"/>
      <w:bookmarkStart w:id="354" w:name="_Toc184310276"/>
      <w:bookmarkEnd w:id="354"/>
      <w:bookmarkStart w:id="355" w:name="_Toc184310295"/>
      <w:bookmarkEnd w:id="355"/>
      <w:bookmarkStart w:id="356" w:name="_Toc184308057"/>
      <w:bookmarkEnd w:id="356"/>
      <w:bookmarkStart w:id="357" w:name="_Toc184310308"/>
      <w:bookmarkEnd w:id="357"/>
      <w:bookmarkStart w:id="358" w:name="_Toc184310312"/>
      <w:bookmarkEnd w:id="358"/>
      <w:bookmarkStart w:id="359" w:name="_Toc184313291"/>
      <w:bookmarkEnd w:id="359"/>
      <w:bookmarkStart w:id="360" w:name="_Toc184314467"/>
      <w:bookmarkEnd w:id="360"/>
      <w:bookmarkStart w:id="361" w:name="_Toc184310343"/>
      <w:bookmarkEnd w:id="361"/>
      <w:bookmarkStart w:id="362" w:name="_Toc184310279"/>
      <w:bookmarkEnd w:id="362"/>
      <w:bookmarkStart w:id="363" w:name="_Toc184314465"/>
      <w:bookmarkEnd w:id="363"/>
      <w:bookmarkStart w:id="364" w:name="_Toc184312117"/>
      <w:bookmarkEnd w:id="364"/>
      <w:bookmarkStart w:id="365" w:name="_Toc184313299"/>
      <w:bookmarkEnd w:id="365"/>
      <w:bookmarkStart w:id="366" w:name="_Toc184312121"/>
      <w:bookmarkEnd w:id="366"/>
      <w:bookmarkStart w:id="367" w:name="_Toc184310298"/>
      <w:bookmarkEnd w:id="367"/>
      <w:bookmarkStart w:id="368" w:name="_Toc184314420"/>
      <w:bookmarkEnd w:id="368"/>
      <w:bookmarkStart w:id="369" w:name="_Toc184312084"/>
      <w:bookmarkEnd w:id="369"/>
      <w:bookmarkStart w:id="370" w:name="_Toc184308107"/>
      <w:bookmarkEnd w:id="370"/>
      <w:bookmarkStart w:id="371" w:name="_Toc184313301"/>
      <w:bookmarkEnd w:id="371"/>
      <w:bookmarkStart w:id="372" w:name="_Toc184310320"/>
      <w:bookmarkEnd w:id="372"/>
      <w:bookmarkStart w:id="373" w:name="_Toc184312088"/>
      <w:bookmarkEnd w:id="373"/>
      <w:bookmarkStart w:id="374" w:name="_Toc184310285"/>
      <w:bookmarkEnd w:id="374"/>
      <w:bookmarkStart w:id="375" w:name="_Toc184310329"/>
      <w:bookmarkEnd w:id="375"/>
      <w:bookmarkStart w:id="376" w:name="_Toc184313287"/>
      <w:bookmarkEnd w:id="376"/>
      <w:bookmarkStart w:id="377" w:name="_Toc184312076"/>
      <w:bookmarkEnd w:id="377"/>
      <w:bookmarkStart w:id="378" w:name="_Toc184312134"/>
      <w:bookmarkEnd w:id="378"/>
      <w:bookmarkStart w:id="379" w:name="_Toc184312125"/>
      <w:bookmarkEnd w:id="379"/>
      <w:bookmarkStart w:id="380" w:name="_Toc184314440"/>
      <w:bookmarkEnd w:id="380"/>
      <w:bookmarkStart w:id="381" w:name="_Toc184312077"/>
      <w:bookmarkEnd w:id="381"/>
      <w:bookmarkStart w:id="382" w:name="_Toc184312068"/>
      <w:bookmarkEnd w:id="382"/>
      <w:bookmarkStart w:id="383" w:name="_Toc184308098"/>
      <w:bookmarkEnd w:id="383"/>
      <w:bookmarkStart w:id="384" w:name="_Toc184312101"/>
      <w:bookmarkEnd w:id="384"/>
      <w:bookmarkStart w:id="385" w:name="_Toc184312075"/>
      <w:bookmarkEnd w:id="385"/>
      <w:bookmarkStart w:id="386" w:name="_Toc184314476"/>
      <w:bookmarkEnd w:id="386"/>
      <w:bookmarkStart w:id="387" w:name="_Toc184313263"/>
      <w:bookmarkEnd w:id="387"/>
      <w:bookmarkStart w:id="388" w:name="_Toc184314413"/>
      <w:bookmarkEnd w:id="388"/>
      <w:bookmarkStart w:id="389" w:name="_Toc184314477"/>
      <w:bookmarkEnd w:id="389"/>
      <w:bookmarkStart w:id="390" w:name="_Toc184312102"/>
      <w:bookmarkEnd w:id="390"/>
      <w:bookmarkStart w:id="391" w:name="_Toc184310331"/>
      <w:bookmarkEnd w:id="391"/>
      <w:bookmarkStart w:id="392" w:name="_Toc184310293"/>
      <w:bookmarkEnd w:id="392"/>
      <w:bookmarkStart w:id="393" w:name="_Toc184312110"/>
      <w:bookmarkEnd w:id="393"/>
      <w:bookmarkStart w:id="394" w:name="_Toc184308055"/>
      <w:bookmarkEnd w:id="394"/>
      <w:bookmarkStart w:id="395" w:name="_Toc184312135"/>
      <w:bookmarkEnd w:id="395"/>
      <w:bookmarkStart w:id="396" w:name="_Toc184310344"/>
      <w:bookmarkEnd w:id="396"/>
      <w:bookmarkStart w:id="397" w:name="_Toc184308058"/>
      <w:bookmarkEnd w:id="397"/>
      <w:bookmarkStart w:id="398" w:name="_Toc184314470"/>
      <w:bookmarkEnd w:id="398"/>
      <w:bookmarkStart w:id="399" w:name="_Toc184313248"/>
      <w:bookmarkEnd w:id="399"/>
      <w:bookmarkStart w:id="400" w:name="_Toc184308081"/>
      <w:bookmarkEnd w:id="400"/>
      <w:bookmarkStart w:id="401" w:name="_Toc184313294"/>
      <w:bookmarkEnd w:id="401"/>
      <w:bookmarkStart w:id="402" w:name="_Toc184308083"/>
      <w:bookmarkEnd w:id="402"/>
      <w:bookmarkStart w:id="403" w:name="_Toc184313246"/>
      <w:bookmarkEnd w:id="403"/>
      <w:bookmarkStart w:id="404" w:name="_Toc184308070"/>
      <w:bookmarkEnd w:id="404"/>
      <w:bookmarkStart w:id="405" w:name="_Toc184308080"/>
      <w:bookmarkEnd w:id="405"/>
      <w:bookmarkStart w:id="406" w:name="_Toc184314433"/>
      <w:bookmarkEnd w:id="406"/>
      <w:bookmarkStart w:id="407" w:name="_Toc184313269"/>
      <w:bookmarkEnd w:id="407"/>
      <w:bookmarkStart w:id="408" w:name="_Toc184310299"/>
      <w:bookmarkEnd w:id="408"/>
      <w:bookmarkStart w:id="409" w:name="_Toc184314472"/>
      <w:bookmarkEnd w:id="409"/>
      <w:bookmarkStart w:id="410" w:name="_Toc184314473"/>
      <w:bookmarkEnd w:id="410"/>
      <w:bookmarkStart w:id="411" w:name="_Toc184310311"/>
      <w:bookmarkEnd w:id="411"/>
      <w:bookmarkStart w:id="412" w:name="_Toc184313239"/>
      <w:bookmarkEnd w:id="412"/>
      <w:bookmarkStart w:id="413" w:name="_Toc184313251"/>
      <w:bookmarkEnd w:id="413"/>
      <w:bookmarkStart w:id="414" w:name="_Toc184308072"/>
      <w:bookmarkEnd w:id="414"/>
      <w:bookmarkStart w:id="415" w:name="_Toc184312082"/>
      <w:bookmarkEnd w:id="415"/>
      <w:bookmarkStart w:id="416" w:name="_Toc184312136"/>
      <w:bookmarkEnd w:id="416"/>
      <w:bookmarkStart w:id="417" w:name="_Toc184310328"/>
      <w:bookmarkEnd w:id="417"/>
      <w:bookmarkStart w:id="418" w:name="_Toc184312074"/>
      <w:bookmarkEnd w:id="418"/>
      <w:bookmarkStart w:id="419" w:name="_Toc184310272"/>
      <w:bookmarkEnd w:id="419"/>
      <w:bookmarkStart w:id="420" w:name="_Toc184312100"/>
      <w:bookmarkEnd w:id="420"/>
      <w:bookmarkStart w:id="421" w:name="_Toc184310332"/>
      <w:bookmarkEnd w:id="421"/>
      <w:bookmarkStart w:id="422" w:name="_Toc184310318"/>
      <w:bookmarkEnd w:id="422"/>
      <w:bookmarkStart w:id="423" w:name="_Toc184314417"/>
      <w:bookmarkEnd w:id="423"/>
      <w:bookmarkStart w:id="424" w:name="_Toc184314435"/>
      <w:bookmarkEnd w:id="424"/>
      <w:bookmarkStart w:id="425" w:name="_Toc184312131"/>
      <w:bookmarkEnd w:id="425"/>
      <w:bookmarkStart w:id="426" w:name="_Toc184308082"/>
      <w:bookmarkEnd w:id="426"/>
      <w:bookmarkStart w:id="427" w:name="_Toc184313305"/>
      <w:bookmarkEnd w:id="427"/>
      <w:bookmarkStart w:id="428" w:name="_Toc184313308"/>
      <w:bookmarkEnd w:id="428"/>
      <w:bookmarkStart w:id="429" w:name="_Toc184310304"/>
      <w:bookmarkEnd w:id="429"/>
      <w:bookmarkStart w:id="430" w:name="_Toc184308079"/>
      <w:bookmarkEnd w:id="430"/>
      <w:bookmarkStart w:id="431" w:name="_Toc184310313"/>
      <w:bookmarkEnd w:id="431"/>
      <w:bookmarkStart w:id="432" w:name="_Toc184314412"/>
      <w:bookmarkEnd w:id="432"/>
      <w:bookmarkStart w:id="433" w:name="_Toc184308076"/>
      <w:bookmarkEnd w:id="433"/>
      <w:bookmarkStart w:id="434" w:name="_Toc184310307"/>
      <w:bookmarkEnd w:id="434"/>
      <w:bookmarkStart w:id="435" w:name="_Toc184308068"/>
      <w:bookmarkEnd w:id="435"/>
      <w:bookmarkStart w:id="436" w:name="_Toc184313310"/>
      <w:bookmarkEnd w:id="436"/>
      <w:bookmarkStart w:id="437" w:name="_Toc184314454"/>
      <w:bookmarkEnd w:id="437"/>
      <w:bookmarkStart w:id="438" w:name="_Toc184312139"/>
      <w:bookmarkEnd w:id="438"/>
      <w:bookmarkStart w:id="439" w:name="_Toc184312111"/>
      <w:bookmarkEnd w:id="439"/>
      <w:bookmarkStart w:id="440" w:name="_Toc184313247"/>
      <w:bookmarkEnd w:id="440"/>
      <w:bookmarkStart w:id="441" w:name="_Toc184313304"/>
      <w:bookmarkEnd w:id="441"/>
      <w:bookmarkStart w:id="442" w:name="_Toc184312079"/>
      <w:bookmarkEnd w:id="442"/>
      <w:bookmarkStart w:id="443" w:name="_Toc184312067"/>
      <w:bookmarkEnd w:id="443"/>
      <w:bookmarkStart w:id="444" w:name="_Toc184310326"/>
      <w:bookmarkEnd w:id="444"/>
      <w:bookmarkStart w:id="445" w:name="_Toc184312071"/>
      <w:bookmarkEnd w:id="445"/>
      <w:bookmarkStart w:id="446" w:name="_Toc184308056"/>
      <w:bookmarkEnd w:id="446"/>
      <w:bookmarkStart w:id="447" w:name="_Toc184308059"/>
      <w:bookmarkEnd w:id="447"/>
      <w:bookmarkStart w:id="448" w:name="_Toc184314443"/>
      <w:bookmarkEnd w:id="448"/>
      <w:bookmarkStart w:id="449" w:name="_Toc184314431"/>
      <w:bookmarkEnd w:id="449"/>
      <w:bookmarkStart w:id="450" w:name="_Toc184308091"/>
      <w:bookmarkEnd w:id="450"/>
      <w:bookmarkStart w:id="451" w:name="_Toc184314475"/>
      <w:bookmarkEnd w:id="451"/>
      <w:bookmarkStart w:id="452" w:name="_Toc184312112"/>
      <w:bookmarkEnd w:id="452"/>
      <w:bookmarkStart w:id="453" w:name="_Toc184313307"/>
      <w:bookmarkEnd w:id="453"/>
      <w:bookmarkStart w:id="454" w:name="_Toc184313249"/>
      <w:bookmarkEnd w:id="454"/>
      <w:bookmarkStart w:id="455" w:name="_Toc184314471"/>
      <w:bookmarkEnd w:id="455"/>
      <w:bookmarkStart w:id="456" w:name="_Toc184313264"/>
      <w:bookmarkEnd w:id="456"/>
      <w:bookmarkStart w:id="457" w:name="_Toc184310300"/>
      <w:bookmarkEnd w:id="457"/>
      <w:bookmarkStart w:id="458" w:name="_Toc184310296"/>
      <w:bookmarkEnd w:id="458"/>
      <w:bookmarkStart w:id="459" w:name="_Toc184314456"/>
      <w:bookmarkEnd w:id="459"/>
      <w:bookmarkStart w:id="460" w:name="_Toc184314479"/>
      <w:bookmarkEnd w:id="460"/>
      <w:bookmarkStart w:id="461" w:name="_Toc184314418"/>
      <w:bookmarkEnd w:id="461"/>
      <w:bookmarkStart w:id="462" w:name="_Toc184312092"/>
      <w:bookmarkEnd w:id="462"/>
      <w:bookmarkStart w:id="463" w:name="_Toc184314446"/>
      <w:bookmarkEnd w:id="463"/>
      <w:bookmarkStart w:id="464" w:name="_Toc184312120"/>
      <w:bookmarkEnd w:id="464"/>
      <w:bookmarkStart w:id="465" w:name="_Toc184312097"/>
      <w:bookmarkEnd w:id="465"/>
      <w:bookmarkStart w:id="466" w:name="_Toc184313243"/>
      <w:bookmarkEnd w:id="466"/>
      <w:bookmarkStart w:id="467" w:name="_Toc184308086"/>
      <w:bookmarkEnd w:id="467"/>
      <w:r>
        <w:rPr>
          <w:rFonts w:hint="eastAsia"/>
          <w:color w:val="auto"/>
          <w:sz w:val="30"/>
          <w:highlight w:val="none"/>
        </w:rPr>
        <w:t>评标办法</w:t>
      </w:r>
      <w:bookmarkEnd w:id="100"/>
      <w:bookmarkEnd w:id="101"/>
      <w:bookmarkEnd w:id="102"/>
    </w:p>
    <w:p w14:paraId="4A0431CF">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outlineLvl w:val="0"/>
        <w:rPr>
          <w:rFonts w:hint="eastAsia" w:ascii="Arial" w:hAnsi="Arial" w:cs="宋体"/>
          <w:b/>
          <w:color w:val="auto"/>
          <w:sz w:val="28"/>
          <w:szCs w:val="28"/>
          <w:highlight w:val="none"/>
        </w:rPr>
      </w:pPr>
      <w:bookmarkStart w:id="468" w:name="_Toc4206"/>
      <w:bookmarkStart w:id="469" w:name="_Toc32156"/>
      <w:bookmarkStart w:id="470" w:name="_Toc7471"/>
      <w:bookmarkStart w:id="471" w:name="_Toc2169"/>
      <w:r>
        <w:rPr>
          <w:rFonts w:hint="eastAsia" w:ascii="Arial" w:hAnsi="Arial" w:cs="宋体"/>
          <w:b/>
          <w:color w:val="auto"/>
          <w:sz w:val="28"/>
          <w:szCs w:val="28"/>
          <w:highlight w:val="none"/>
        </w:rPr>
        <w:t>评标办法前附表</w:t>
      </w:r>
      <w:bookmarkEnd w:id="468"/>
      <w:bookmarkEnd w:id="469"/>
      <w:bookmarkEnd w:id="470"/>
      <w:bookmarkEnd w:id="471"/>
    </w:p>
    <w:p w14:paraId="4B1072B9">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outlineLvl w:val="0"/>
        <w:rPr>
          <w:rFonts w:hint="eastAsia" w:ascii="Arial" w:hAnsi="Arial" w:cs="宋体"/>
          <w:b/>
          <w:color w:val="auto"/>
          <w:sz w:val="28"/>
          <w:szCs w:val="28"/>
          <w:highlight w:val="none"/>
        </w:rPr>
      </w:pPr>
    </w:p>
    <w:tbl>
      <w:tblPr>
        <w:tblStyle w:val="44"/>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624"/>
        <w:gridCol w:w="650"/>
        <w:gridCol w:w="356"/>
      </w:tblGrid>
      <w:tr w14:paraId="5E0C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348" w:type="dxa"/>
            <w:gridSpan w:val="2"/>
            <w:tcBorders>
              <w:top w:val="double" w:color="auto" w:sz="4" w:space="0"/>
              <w:left w:val="double" w:color="auto" w:sz="4" w:space="0"/>
              <w:bottom w:val="double" w:color="auto" w:sz="4" w:space="0"/>
            </w:tcBorders>
            <w:noWrap w:val="0"/>
            <w:vAlign w:val="center"/>
          </w:tcPr>
          <w:p w14:paraId="5A034791">
            <w:pPr>
              <w:keepNext w:val="0"/>
              <w:keepLines w:val="0"/>
              <w:pageBreakBefore w:val="0"/>
              <w:kinsoku/>
              <w:wordWrap/>
              <w:overflowPunct/>
              <w:topLinePunct w:val="0"/>
              <w:autoSpaceDE/>
              <w:autoSpaceDN/>
              <w:bidi w:val="0"/>
              <w:spacing w:line="360" w:lineRule="exact"/>
              <w:ind w:left="0" w:leftChars="0" w:firstLine="211" w:firstLineChars="10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评分标准内容</w:t>
            </w:r>
          </w:p>
        </w:tc>
        <w:tc>
          <w:tcPr>
            <w:tcW w:w="650" w:type="dxa"/>
            <w:tcBorders>
              <w:top w:val="double" w:color="auto" w:sz="4" w:space="0"/>
              <w:bottom w:val="double" w:color="auto" w:sz="4" w:space="0"/>
            </w:tcBorders>
            <w:noWrap w:val="0"/>
            <w:vAlign w:val="center"/>
          </w:tcPr>
          <w:p w14:paraId="12D8027E">
            <w:pPr>
              <w:keepNext w:val="0"/>
              <w:keepLines w:val="0"/>
              <w:pageBreakBefore w:val="0"/>
              <w:kinsoku/>
              <w:wordWrap/>
              <w:overflowPunct/>
              <w:topLinePunct w:val="0"/>
              <w:autoSpaceDE/>
              <w:autoSpaceDN/>
              <w:bidi w:val="0"/>
              <w:spacing w:line="36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356" w:type="dxa"/>
            <w:tcBorders>
              <w:top w:val="double" w:color="auto" w:sz="4" w:space="0"/>
              <w:bottom w:val="double" w:color="auto" w:sz="4" w:space="0"/>
              <w:right w:val="double" w:color="auto" w:sz="4" w:space="0"/>
            </w:tcBorders>
            <w:noWrap w:val="0"/>
            <w:vAlign w:val="center"/>
          </w:tcPr>
          <w:p w14:paraId="48D039BE">
            <w:pPr>
              <w:keepNext w:val="0"/>
              <w:keepLines w:val="0"/>
              <w:pageBreakBefore w:val="0"/>
              <w:kinsoku/>
              <w:wordWrap/>
              <w:overflowPunct/>
              <w:topLinePunct w:val="0"/>
              <w:autoSpaceDE/>
              <w:autoSpaceDN/>
              <w:bidi w:val="0"/>
              <w:spacing w:line="360" w:lineRule="exact"/>
              <w:ind w:left="0" w:leftChars="0"/>
              <w:jc w:val="center"/>
              <w:rPr>
                <w:rFonts w:hint="eastAsia" w:ascii="宋体" w:hAnsi="宋体" w:eastAsia="宋体" w:cs="宋体"/>
                <w:color w:val="auto"/>
                <w:sz w:val="21"/>
                <w:szCs w:val="21"/>
                <w:highlight w:val="none"/>
              </w:rPr>
            </w:pPr>
          </w:p>
        </w:tc>
      </w:tr>
      <w:tr w14:paraId="1666B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4" w:hRule="atLeast"/>
          <w:jc w:val="center"/>
        </w:trPr>
        <w:tc>
          <w:tcPr>
            <w:tcW w:w="724" w:type="dxa"/>
            <w:vMerge w:val="restart"/>
            <w:tcBorders>
              <w:left w:val="double" w:color="auto" w:sz="4" w:space="0"/>
            </w:tcBorders>
            <w:noWrap w:val="0"/>
            <w:vAlign w:val="center"/>
          </w:tcPr>
          <w:p w14:paraId="55B22305">
            <w:pPr>
              <w:keepNext w:val="0"/>
              <w:keepLines w:val="0"/>
              <w:pageBreakBefore w:val="0"/>
              <w:kinsoku/>
              <w:wordWrap/>
              <w:overflowPunct/>
              <w:topLinePunct w:val="0"/>
              <w:autoSpaceDE/>
              <w:autoSpaceDN/>
              <w:bidi w:val="0"/>
              <w:spacing w:line="36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技术分</w:t>
            </w:r>
            <w:r>
              <w:rPr>
                <w:rFonts w:hint="eastAsia" w:ascii="宋体" w:hAnsi="宋体" w:eastAsia="宋体" w:cs="宋体"/>
                <w:color w:val="auto"/>
                <w:sz w:val="21"/>
                <w:szCs w:val="21"/>
                <w:highlight w:val="none"/>
                <w:lang w:eastAsia="zh-CN"/>
              </w:rPr>
              <w:t>、商务分</w:t>
            </w:r>
            <w:r>
              <w:rPr>
                <w:rFonts w:hint="eastAsia" w:ascii="宋体" w:hAnsi="宋体" w:eastAsia="宋体" w:cs="宋体"/>
                <w:color w:val="auto"/>
                <w:sz w:val="21"/>
                <w:szCs w:val="21"/>
                <w:highlight w:val="none"/>
                <w:lang w:val="en-US" w:eastAsia="zh-CN"/>
              </w:rPr>
              <w:t>70</w:t>
            </w:r>
            <w:r>
              <w:rPr>
                <w:rFonts w:hint="eastAsia" w:ascii="宋体" w:hAnsi="宋体" w:eastAsia="宋体" w:cs="宋体"/>
                <w:color w:val="auto"/>
                <w:sz w:val="21"/>
                <w:szCs w:val="21"/>
                <w:highlight w:val="none"/>
              </w:rPr>
              <w:t>分</w:t>
            </w:r>
          </w:p>
        </w:tc>
        <w:tc>
          <w:tcPr>
            <w:tcW w:w="7624" w:type="dxa"/>
            <w:noWrap w:val="0"/>
            <w:vAlign w:val="center"/>
          </w:tcPr>
          <w:p w14:paraId="44677DD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1、对“第二章  采购需求”响应性</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rPr>
              <w:t>分）</w:t>
            </w:r>
          </w:p>
          <w:p w14:paraId="79BFF0F7">
            <w:pPr>
              <w:keepNext w:val="0"/>
              <w:keepLines w:val="0"/>
              <w:pageBreakBefore w:val="0"/>
              <w:widowControl w:val="0"/>
              <w:kinsoku/>
              <w:wordWrap/>
              <w:overflowPunct/>
              <w:topLinePunct w:val="0"/>
              <w:autoSpaceDE/>
              <w:autoSpaceDN/>
              <w:bidi w:val="0"/>
              <w:spacing w:line="360" w:lineRule="exact"/>
              <w:ind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完全响应招标文件“第二章  采购需求”所有指标的得</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p w14:paraId="0915C46B">
            <w:pPr>
              <w:keepNext w:val="0"/>
              <w:keepLines w:val="0"/>
              <w:pageBreakBefore w:val="0"/>
              <w:widowControl w:val="0"/>
              <w:kinsoku/>
              <w:wordWrap/>
              <w:overflowPunct/>
              <w:topLinePunct w:val="0"/>
              <w:autoSpaceDE/>
              <w:autoSpaceDN/>
              <w:bidi w:val="0"/>
              <w:spacing w:line="360" w:lineRule="exact"/>
              <w:ind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）每负偏离一条</w:t>
            </w:r>
            <w:r>
              <w:rPr>
                <w:rFonts w:hint="eastAsia" w:ascii="宋体" w:hAnsi="宋体" w:eastAsia="宋体" w:cs="宋体"/>
                <w:b w:val="0"/>
                <w:bCs w:val="0"/>
                <w:color w:val="auto"/>
                <w:sz w:val="21"/>
                <w:szCs w:val="21"/>
                <w:highlight w:val="none"/>
                <w:lang w:eastAsia="zh-CN"/>
              </w:rPr>
              <w:t>指标</w:t>
            </w:r>
            <w:r>
              <w:rPr>
                <w:rFonts w:hint="eastAsia" w:ascii="宋体" w:hAnsi="宋体" w:eastAsia="宋体" w:cs="宋体"/>
                <w:b w:val="0"/>
                <w:bCs w:val="0"/>
                <w:color w:val="auto"/>
                <w:sz w:val="21"/>
                <w:szCs w:val="21"/>
                <w:highlight w:val="none"/>
              </w:rPr>
              <w:t>的扣</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w:t>
            </w:r>
          </w:p>
          <w:p w14:paraId="6A74B23E">
            <w:pPr>
              <w:keepNext w:val="0"/>
              <w:keepLines w:val="0"/>
              <w:pageBreakBefore w:val="0"/>
              <w:widowControl w:val="0"/>
              <w:kinsoku/>
              <w:wordWrap/>
              <w:overflowPunct/>
              <w:topLinePunct w:val="0"/>
              <w:autoSpaceDE/>
              <w:autoSpaceDN/>
              <w:bidi w:val="0"/>
              <w:spacing w:line="360" w:lineRule="exact"/>
              <w:ind w:right="0"/>
              <w:textAlignment w:val="auto"/>
              <w:rPr>
                <w:rFonts w:hint="eastAsia"/>
                <w:color w:val="auto"/>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）每负偏离一条</w:t>
            </w:r>
            <w:r>
              <w:rPr>
                <w:rFonts w:hint="eastAsia" w:ascii="宋体" w:hAnsi="宋体" w:eastAsia="宋体" w:cs="宋体"/>
                <w:b w:val="0"/>
                <w:bCs w:val="0"/>
                <w:color w:val="auto"/>
                <w:sz w:val="21"/>
                <w:szCs w:val="21"/>
                <w:highlight w:val="none"/>
                <w:lang w:val="en-US" w:eastAsia="zh-CN"/>
              </w:rPr>
              <w:t>打“</w:t>
            </w:r>
            <w:r>
              <w:rPr>
                <w:rFonts w:hint="eastAsia" w:ascii="仿宋" w:hAnsi="仿宋" w:eastAsia="仿宋" w:cs="仿宋"/>
                <w:i w:val="0"/>
                <w:iCs w:val="0"/>
                <w:color w:val="auto"/>
                <w:kern w:val="0"/>
                <w:sz w:val="22"/>
                <w:szCs w:val="22"/>
                <w:highlight w:val="none"/>
                <w:u w:val="none"/>
                <w:lang w:val="en-US" w:eastAsia="zh-CN" w:bidi="ar"/>
              </w:rPr>
              <w:t>▲”</w:t>
            </w:r>
            <w:r>
              <w:rPr>
                <w:rFonts w:hint="eastAsia" w:ascii="宋体" w:hAnsi="宋体" w:eastAsia="宋体" w:cs="宋体"/>
                <w:b w:val="0"/>
                <w:bCs w:val="0"/>
                <w:color w:val="auto"/>
                <w:sz w:val="21"/>
                <w:szCs w:val="21"/>
                <w:highlight w:val="none"/>
                <w:lang w:eastAsia="zh-CN"/>
              </w:rPr>
              <w:t>指标</w:t>
            </w:r>
            <w:r>
              <w:rPr>
                <w:rFonts w:hint="eastAsia" w:ascii="宋体" w:hAnsi="宋体" w:eastAsia="宋体" w:cs="宋体"/>
                <w:b w:val="0"/>
                <w:bCs w:val="0"/>
                <w:color w:val="auto"/>
                <w:sz w:val="21"/>
                <w:szCs w:val="21"/>
                <w:highlight w:val="none"/>
              </w:rPr>
              <w:t>的扣</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w:t>
            </w:r>
          </w:p>
          <w:p w14:paraId="3BD806D6">
            <w:pPr>
              <w:keepNext w:val="0"/>
              <w:keepLines w:val="0"/>
              <w:pageBreakBefore w:val="0"/>
              <w:widowControl w:val="0"/>
              <w:kinsoku/>
              <w:wordWrap/>
              <w:overflowPunct/>
              <w:topLinePunct w:val="0"/>
              <w:autoSpaceDE/>
              <w:autoSpaceDN/>
              <w:bidi w:val="0"/>
              <w:spacing w:line="360" w:lineRule="exact"/>
              <w:ind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负偏离扣完为止。</w:t>
            </w:r>
          </w:p>
          <w:p w14:paraId="38833563">
            <w:pPr>
              <w:keepNext w:val="0"/>
              <w:keepLines w:val="0"/>
              <w:pageBreakBefore w:val="0"/>
              <w:widowControl w:val="0"/>
              <w:kinsoku/>
              <w:wordWrap/>
              <w:overflowPunct/>
              <w:topLinePunct w:val="0"/>
              <w:autoSpaceDE/>
              <w:autoSpaceDN/>
              <w:bidi w:val="0"/>
              <w:spacing w:line="360" w:lineRule="exact"/>
              <w:ind w:right="0"/>
              <w:textAlignment w:val="auto"/>
              <w:rPr>
                <w:rFonts w:hint="default"/>
                <w:lang w:val="en-US" w:eastAsia="zh-CN"/>
              </w:rPr>
            </w:pPr>
            <w:r>
              <w:rPr>
                <w:rFonts w:hint="eastAsia" w:ascii="宋体" w:hAnsi="宋体" w:eastAsia="宋体" w:cs="宋体"/>
                <w:b w:val="0"/>
                <w:bCs w:val="0"/>
                <w:color w:val="auto"/>
                <w:sz w:val="21"/>
                <w:szCs w:val="21"/>
                <w:highlight w:val="none"/>
                <w:lang w:val="en-US" w:eastAsia="zh-CN"/>
              </w:rPr>
              <w:t>备注：</w:t>
            </w:r>
            <w:r>
              <w:rPr>
                <w:rFonts w:hint="eastAsia" w:ascii="宋体" w:hAnsi="宋体" w:eastAsia="宋体" w:cs="宋体"/>
                <w:b w:val="0"/>
                <w:bCs w:val="0"/>
                <w:color w:val="auto"/>
                <w:sz w:val="21"/>
                <w:szCs w:val="21"/>
                <w:highlight w:val="none"/>
              </w:rPr>
              <w:t>本项最高</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得分小于零分的作无效标处理。</w:t>
            </w:r>
          </w:p>
        </w:tc>
        <w:tc>
          <w:tcPr>
            <w:tcW w:w="650" w:type="dxa"/>
            <w:noWrap w:val="0"/>
            <w:vAlign w:val="center"/>
          </w:tcPr>
          <w:p w14:paraId="4C7A92F4">
            <w:pPr>
              <w:keepNext w:val="0"/>
              <w:keepLines w:val="0"/>
              <w:pageBreakBefore w:val="0"/>
              <w:kinsoku/>
              <w:wordWrap/>
              <w:overflowPunct/>
              <w:topLinePunct w:val="0"/>
              <w:autoSpaceDE/>
              <w:autoSpaceDN/>
              <w:bidi w:val="0"/>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p>
        </w:tc>
        <w:tc>
          <w:tcPr>
            <w:tcW w:w="356" w:type="dxa"/>
            <w:tcBorders>
              <w:right w:val="double" w:color="auto" w:sz="4" w:space="0"/>
            </w:tcBorders>
            <w:noWrap w:val="0"/>
            <w:vAlign w:val="center"/>
          </w:tcPr>
          <w:p w14:paraId="7D22A8D2">
            <w:pPr>
              <w:keepNext w:val="0"/>
              <w:keepLines w:val="0"/>
              <w:pageBreakBefore w:val="0"/>
              <w:kinsoku/>
              <w:wordWrap/>
              <w:overflowPunct/>
              <w:topLinePunct w:val="0"/>
              <w:autoSpaceDE/>
              <w:autoSpaceDN/>
              <w:bidi w:val="0"/>
              <w:spacing w:line="360" w:lineRule="exact"/>
              <w:ind w:left="0" w:leftChars="0"/>
              <w:jc w:val="center"/>
              <w:rPr>
                <w:rFonts w:hint="eastAsia" w:ascii="宋体" w:hAnsi="宋体" w:eastAsia="宋体" w:cs="宋体"/>
                <w:color w:val="auto"/>
                <w:sz w:val="21"/>
                <w:szCs w:val="21"/>
                <w:highlight w:val="none"/>
              </w:rPr>
            </w:pPr>
          </w:p>
        </w:tc>
      </w:tr>
      <w:tr w14:paraId="24D3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Merge w:val="continue"/>
            <w:tcBorders>
              <w:left w:val="double" w:color="auto" w:sz="4" w:space="0"/>
            </w:tcBorders>
            <w:noWrap w:val="0"/>
            <w:vAlign w:val="center"/>
          </w:tcPr>
          <w:p w14:paraId="526A9987">
            <w:pPr>
              <w:keepNext w:val="0"/>
              <w:keepLines w:val="0"/>
              <w:pageBreakBefore w:val="0"/>
              <w:widowControl/>
              <w:kinsoku/>
              <w:wordWrap/>
              <w:overflowPunct/>
              <w:topLinePunct w:val="0"/>
              <w:autoSpaceDE/>
              <w:autoSpaceDN/>
              <w:bidi w:val="0"/>
              <w:spacing w:line="360" w:lineRule="exact"/>
              <w:ind w:left="0" w:leftChars="0"/>
              <w:jc w:val="left"/>
              <w:rPr>
                <w:rFonts w:hint="eastAsia" w:ascii="宋体" w:hAnsi="宋体" w:eastAsia="宋体" w:cs="宋体"/>
                <w:color w:val="auto"/>
                <w:sz w:val="21"/>
                <w:szCs w:val="21"/>
                <w:highlight w:val="none"/>
              </w:rPr>
            </w:pPr>
          </w:p>
        </w:tc>
        <w:tc>
          <w:tcPr>
            <w:tcW w:w="7624" w:type="dxa"/>
            <w:noWrap w:val="0"/>
            <w:vAlign w:val="center"/>
          </w:tcPr>
          <w:p w14:paraId="1BB6C926">
            <w:pPr>
              <w:pStyle w:val="198"/>
              <w:keepNext w:val="0"/>
              <w:keepLines w:val="0"/>
              <w:pageBreakBefore w:val="0"/>
              <w:framePr w:hSpace="0" w:wrap="auto" w:vAnchor="margin" w:hAnchor="text" w:xAlign="left" w:yAlign="inline"/>
              <w:kinsoku/>
              <w:wordWrap/>
              <w:overflowPunct/>
              <w:topLinePunct w:val="0"/>
              <w:autoSpaceDE/>
              <w:autoSpaceDN/>
              <w:bidi w:val="0"/>
              <w:spacing w:line="360" w:lineRule="exact"/>
              <w:ind w:left="0" w:leftChars="0" w:firstLine="0" w:firstLineChars="0"/>
              <w:jc w:val="both"/>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、业绩：（3分）</w:t>
            </w:r>
          </w:p>
          <w:p w14:paraId="075B080C">
            <w:pPr>
              <w:pStyle w:val="198"/>
              <w:keepNext w:val="0"/>
              <w:keepLines w:val="0"/>
              <w:pageBreakBefore w:val="0"/>
              <w:framePr w:hSpace="0" w:wrap="auto" w:vAnchor="margin" w:hAnchor="text" w:xAlign="left" w:yAlign="inline"/>
              <w:kinsoku/>
              <w:wordWrap/>
              <w:overflowPunct/>
              <w:topLinePunct w:val="0"/>
              <w:autoSpaceDE/>
              <w:autoSpaceDN/>
              <w:bidi w:val="0"/>
              <w:spacing w:line="360" w:lineRule="exact"/>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自</w:t>
            </w: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2</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年1月1日（合同签订时间为准）至今</w:t>
            </w:r>
            <w:r>
              <w:rPr>
                <w:rFonts w:hint="eastAsia" w:ascii="宋体" w:hAnsi="宋体" w:eastAsia="宋体" w:cs="宋体"/>
                <w:color w:val="auto"/>
                <w:kern w:val="0"/>
                <w:sz w:val="21"/>
                <w:szCs w:val="21"/>
                <w:highlight w:val="none"/>
                <w:lang w:eastAsia="zh-CN"/>
              </w:rPr>
              <w:t>具有同类业绩的，每提供</w:t>
            </w:r>
            <w:r>
              <w:rPr>
                <w:rFonts w:hint="eastAsia" w:ascii="宋体" w:hAnsi="宋体" w:eastAsia="宋体" w:cs="宋体"/>
                <w:color w:val="auto"/>
                <w:kern w:val="0"/>
                <w:sz w:val="21"/>
                <w:szCs w:val="21"/>
                <w:highlight w:val="none"/>
                <w:lang w:val="en-US" w:eastAsia="zh-CN"/>
              </w:rPr>
              <w:t>1个得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6178922D">
            <w:pPr>
              <w:pStyle w:val="198"/>
              <w:keepNext w:val="0"/>
              <w:keepLines w:val="0"/>
              <w:pageBreakBefore w:val="0"/>
              <w:framePr w:hSpace="0" w:wrap="auto" w:vAnchor="margin" w:hAnchor="text" w:xAlign="left" w:yAlign="inline"/>
              <w:kinsoku/>
              <w:wordWrap/>
              <w:overflowPunct/>
              <w:topLinePunct w:val="0"/>
              <w:autoSpaceDE/>
              <w:autoSpaceDN/>
              <w:bidi w:val="0"/>
              <w:spacing w:line="360" w:lineRule="exact"/>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类似业绩认定标准：</w:t>
            </w:r>
            <w:r>
              <w:rPr>
                <w:rFonts w:hint="eastAsia" w:ascii="宋体" w:hAnsi="宋体" w:eastAsia="宋体" w:cs="宋体"/>
                <w:color w:val="auto"/>
                <w:sz w:val="21"/>
                <w:szCs w:val="21"/>
                <w:highlight w:val="none"/>
                <w:lang w:val="en-US" w:eastAsia="zh-CN"/>
              </w:rPr>
              <w:t>①同一个采购单位，签订多个合同的，按1个业绩计算。</w:t>
            </w:r>
            <w:r>
              <w:rPr>
                <w:rFonts w:hint="eastAsia" w:ascii="宋体" w:hAnsi="宋体" w:cs="宋体"/>
                <w:color w:val="auto"/>
                <w:sz w:val="21"/>
                <w:szCs w:val="21"/>
                <w:highlight w:val="none"/>
                <w:lang w:eastAsia="zh-CN"/>
              </w:rPr>
              <w:t>（投标文件中</w:t>
            </w:r>
            <w:r>
              <w:rPr>
                <w:rFonts w:hint="eastAsia" w:ascii="宋体" w:hAnsi="宋体" w:eastAsia="宋体" w:cs="宋体"/>
                <w:color w:val="auto"/>
                <w:sz w:val="21"/>
                <w:szCs w:val="21"/>
                <w:highlight w:val="none"/>
              </w:rPr>
              <w:t>提供合同复印件，否则不得分</w:t>
            </w:r>
            <w:r>
              <w:rPr>
                <w:rFonts w:hint="eastAsia" w:ascii="宋体" w:hAnsi="宋体" w:cs="宋体"/>
                <w:color w:val="auto"/>
                <w:sz w:val="21"/>
                <w:szCs w:val="21"/>
                <w:highlight w:val="none"/>
                <w:lang w:eastAsia="zh-CN"/>
              </w:rPr>
              <w:t>）</w:t>
            </w:r>
          </w:p>
        </w:tc>
        <w:tc>
          <w:tcPr>
            <w:tcW w:w="650" w:type="dxa"/>
            <w:noWrap w:val="0"/>
            <w:vAlign w:val="center"/>
          </w:tcPr>
          <w:p w14:paraId="4ACED34A">
            <w:pPr>
              <w:pStyle w:val="198"/>
              <w:keepNext w:val="0"/>
              <w:keepLines w:val="0"/>
              <w:pageBreakBefore w:val="0"/>
              <w:framePr w:hSpace="0" w:wrap="auto" w:vAnchor="margin" w:hAnchor="text" w:xAlign="left" w:yAlign="inline"/>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356" w:type="dxa"/>
            <w:tcBorders>
              <w:right w:val="double" w:color="auto" w:sz="4" w:space="0"/>
            </w:tcBorders>
            <w:noWrap w:val="0"/>
            <w:vAlign w:val="center"/>
          </w:tcPr>
          <w:p w14:paraId="6229778B">
            <w:pPr>
              <w:keepNext w:val="0"/>
              <w:keepLines w:val="0"/>
              <w:pageBreakBefore w:val="0"/>
              <w:kinsoku/>
              <w:wordWrap/>
              <w:overflowPunct/>
              <w:topLinePunct w:val="0"/>
              <w:autoSpaceDE/>
              <w:autoSpaceDN/>
              <w:bidi w:val="0"/>
              <w:spacing w:line="360" w:lineRule="exact"/>
              <w:ind w:left="0" w:leftChars="0"/>
              <w:jc w:val="center"/>
              <w:rPr>
                <w:rFonts w:hint="eastAsia" w:ascii="宋体" w:hAnsi="宋体" w:eastAsia="宋体" w:cs="宋体"/>
                <w:color w:val="auto"/>
                <w:sz w:val="21"/>
                <w:szCs w:val="21"/>
                <w:highlight w:val="none"/>
              </w:rPr>
            </w:pPr>
          </w:p>
        </w:tc>
      </w:tr>
      <w:tr w14:paraId="1E83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Merge w:val="continue"/>
            <w:tcBorders>
              <w:left w:val="double" w:color="auto" w:sz="4" w:space="0"/>
            </w:tcBorders>
            <w:noWrap w:val="0"/>
            <w:vAlign w:val="center"/>
          </w:tcPr>
          <w:p w14:paraId="008729A6">
            <w:pPr>
              <w:keepNext w:val="0"/>
              <w:keepLines w:val="0"/>
              <w:pageBreakBefore w:val="0"/>
              <w:widowControl/>
              <w:kinsoku/>
              <w:wordWrap/>
              <w:overflowPunct/>
              <w:topLinePunct w:val="0"/>
              <w:autoSpaceDE/>
              <w:autoSpaceDN/>
              <w:bidi w:val="0"/>
              <w:spacing w:line="360" w:lineRule="exact"/>
              <w:ind w:left="0" w:leftChars="0"/>
              <w:jc w:val="left"/>
              <w:rPr>
                <w:rFonts w:hint="eastAsia" w:ascii="宋体" w:hAnsi="宋体" w:eastAsia="宋体" w:cs="宋体"/>
                <w:color w:val="auto"/>
                <w:sz w:val="21"/>
                <w:szCs w:val="21"/>
                <w:highlight w:val="none"/>
              </w:rPr>
            </w:pPr>
          </w:p>
        </w:tc>
        <w:tc>
          <w:tcPr>
            <w:tcW w:w="7624" w:type="dxa"/>
            <w:noWrap w:val="0"/>
            <w:vAlign w:val="center"/>
          </w:tcPr>
          <w:p w14:paraId="75450DC9">
            <w:pPr>
              <w:spacing w:line="400" w:lineRule="exact"/>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3</w:t>
            </w:r>
            <w:r>
              <w:rPr>
                <w:rFonts w:hint="eastAsia" w:ascii="宋体" w:hAnsi="宋体" w:eastAsia="宋体" w:cs="宋体"/>
                <w:b/>
                <w:color w:val="auto"/>
                <w:sz w:val="21"/>
                <w:szCs w:val="21"/>
                <w:highlight w:val="none"/>
                <w:lang w:val="en-US" w:eastAsia="zh-CN"/>
              </w:rPr>
              <w:t>、性能稳定性</w:t>
            </w: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val="en-US" w:eastAsia="zh-CN"/>
              </w:rPr>
              <w:t>6</w:t>
            </w:r>
            <w:r>
              <w:rPr>
                <w:rFonts w:hint="eastAsia" w:ascii="宋体" w:hAnsi="宋体" w:eastAsia="宋体" w:cs="宋体"/>
                <w:b/>
                <w:color w:val="auto"/>
                <w:sz w:val="21"/>
                <w:szCs w:val="21"/>
                <w:highlight w:val="none"/>
              </w:rPr>
              <w:t>分）：</w:t>
            </w:r>
          </w:p>
          <w:p w14:paraId="048B354B">
            <w:pPr>
              <w:keepNext w:val="0"/>
              <w:keepLines w:val="0"/>
              <w:pageBreakBefore w:val="0"/>
              <w:numPr>
                <w:ilvl w:val="0"/>
                <w:numId w:val="0"/>
              </w:numPr>
              <w:kinsoku/>
              <w:wordWrap/>
              <w:overflowPunct/>
              <w:topLinePunct w:val="0"/>
              <w:autoSpaceDE/>
              <w:autoSpaceDN/>
              <w:bidi w:val="0"/>
              <w:spacing w:line="360" w:lineRule="exact"/>
              <w:ind w:left="0" w:leftChars="0" w:firstLine="0" w:firstLineChars="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评标委员会对投标产品的性能稳定性进行评议：</w:t>
            </w:r>
          </w:p>
          <w:p w14:paraId="3C93B4C5">
            <w:pPr>
              <w:keepNext w:val="0"/>
              <w:keepLines w:val="0"/>
              <w:pageBreakBefore w:val="0"/>
              <w:numPr>
                <w:ilvl w:val="0"/>
                <w:numId w:val="0"/>
              </w:numPr>
              <w:kinsoku/>
              <w:wordWrap/>
              <w:overflowPunct/>
              <w:topLinePunct w:val="0"/>
              <w:autoSpaceDE/>
              <w:autoSpaceDN/>
              <w:bidi w:val="0"/>
              <w:spacing w:line="360" w:lineRule="exact"/>
              <w:ind w:left="0" w:leftChars="0" w:firstLine="0" w:firstLineChars="0"/>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val="en-US" w:eastAsia="zh-CN"/>
              </w:rPr>
              <w:t>匹配性高，性能稳定性优于招标需求的得</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val="en-US" w:eastAsia="zh-CN"/>
              </w:rPr>
              <w:t>分；</w:t>
            </w:r>
          </w:p>
          <w:p w14:paraId="5A6CB203">
            <w:pPr>
              <w:keepNext w:val="0"/>
              <w:keepLines w:val="0"/>
              <w:pageBreakBefore w:val="0"/>
              <w:numPr>
                <w:ilvl w:val="0"/>
                <w:numId w:val="0"/>
              </w:numPr>
              <w:kinsoku/>
              <w:wordWrap/>
              <w:overflowPunct/>
              <w:topLinePunct w:val="0"/>
              <w:autoSpaceDE/>
              <w:autoSpaceDN/>
              <w:bidi w:val="0"/>
              <w:spacing w:line="360" w:lineRule="exact"/>
              <w:ind w:left="0" w:leftChars="0" w:firstLine="0" w:firstLineChars="0"/>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匹配性一般，性能稳定性与招标需求基本一致的得</w:t>
            </w: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val="en-US" w:eastAsia="zh-CN"/>
              </w:rPr>
              <w:t>分；</w:t>
            </w:r>
          </w:p>
          <w:p w14:paraId="34C8301C">
            <w:pPr>
              <w:keepNext w:val="0"/>
              <w:keepLines w:val="0"/>
              <w:pageBreakBefore w:val="0"/>
              <w:numPr>
                <w:ilvl w:val="0"/>
                <w:numId w:val="0"/>
              </w:numPr>
              <w:kinsoku/>
              <w:wordWrap/>
              <w:overflowPunct/>
              <w:topLinePunct w:val="0"/>
              <w:autoSpaceDE/>
              <w:autoSpaceDN/>
              <w:bidi w:val="0"/>
              <w:spacing w:line="360" w:lineRule="exact"/>
              <w:ind w:left="0" w:leftChars="0" w:firstLine="0" w:firstLineChars="0"/>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val="en-US" w:eastAsia="zh-CN"/>
              </w:rPr>
              <w:t>匹配性差、性能稳定性无法满足招标需求的得</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分；</w:t>
            </w:r>
          </w:p>
          <w:p w14:paraId="152749C5">
            <w:pPr>
              <w:keepNext w:val="0"/>
              <w:keepLines w:val="0"/>
              <w:pageBreakBefore w:val="0"/>
              <w:numPr>
                <w:ilvl w:val="0"/>
                <w:numId w:val="0"/>
              </w:numPr>
              <w:kinsoku/>
              <w:wordWrap/>
              <w:overflowPunct/>
              <w:topLinePunct w:val="0"/>
              <w:autoSpaceDE/>
              <w:autoSpaceDN/>
              <w:bidi w:val="0"/>
              <w:spacing w:line="360" w:lineRule="exact"/>
              <w:ind w:left="0" w:leftChars="0" w:firstLine="0" w:firstLineChars="0"/>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未提供，不得分。</w:t>
            </w:r>
          </w:p>
        </w:tc>
        <w:tc>
          <w:tcPr>
            <w:tcW w:w="650" w:type="dxa"/>
            <w:noWrap w:val="0"/>
            <w:vAlign w:val="center"/>
          </w:tcPr>
          <w:p w14:paraId="64B1AA00">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6</w:t>
            </w:r>
          </w:p>
        </w:tc>
        <w:tc>
          <w:tcPr>
            <w:tcW w:w="356" w:type="dxa"/>
            <w:tcBorders>
              <w:right w:val="double" w:color="auto" w:sz="4" w:space="0"/>
            </w:tcBorders>
            <w:noWrap w:val="0"/>
            <w:vAlign w:val="center"/>
          </w:tcPr>
          <w:p w14:paraId="36CCEB78">
            <w:pPr>
              <w:keepNext w:val="0"/>
              <w:keepLines w:val="0"/>
              <w:pageBreakBefore w:val="0"/>
              <w:kinsoku/>
              <w:wordWrap/>
              <w:overflowPunct/>
              <w:topLinePunct w:val="0"/>
              <w:autoSpaceDE/>
              <w:autoSpaceDN/>
              <w:bidi w:val="0"/>
              <w:spacing w:line="360" w:lineRule="exact"/>
              <w:ind w:left="0" w:leftChars="0"/>
              <w:jc w:val="center"/>
              <w:rPr>
                <w:rFonts w:hint="eastAsia" w:ascii="宋体" w:hAnsi="宋体" w:eastAsia="宋体" w:cs="宋体"/>
                <w:color w:val="auto"/>
                <w:sz w:val="21"/>
                <w:szCs w:val="21"/>
                <w:highlight w:val="none"/>
              </w:rPr>
            </w:pPr>
          </w:p>
        </w:tc>
      </w:tr>
      <w:tr w14:paraId="1D44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Merge w:val="continue"/>
            <w:tcBorders>
              <w:left w:val="double" w:color="auto" w:sz="4" w:space="0"/>
            </w:tcBorders>
            <w:noWrap w:val="0"/>
            <w:vAlign w:val="center"/>
          </w:tcPr>
          <w:p w14:paraId="3D6D1617">
            <w:pPr>
              <w:keepNext w:val="0"/>
              <w:keepLines w:val="0"/>
              <w:pageBreakBefore w:val="0"/>
              <w:widowControl/>
              <w:kinsoku/>
              <w:wordWrap/>
              <w:overflowPunct/>
              <w:topLinePunct w:val="0"/>
              <w:autoSpaceDE/>
              <w:autoSpaceDN/>
              <w:bidi w:val="0"/>
              <w:spacing w:line="360" w:lineRule="exact"/>
              <w:ind w:left="0" w:leftChars="0"/>
              <w:jc w:val="left"/>
              <w:rPr>
                <w:rFonts w:hint="eastAsia" w:ascii="宋体" w:hAnsi="宋体" w:eastAsia="宋体" w:cs="宋体"/>
                <w:color w:val="auto"/>
                <w:sz w:val="21"/>
                <w:szCs w:val="21"/>
                <w:highlight w:val="none"/>
              </w:rPr>
            </w:pPr>
          </w:p>
        </w:tc>
        <w:tc>
          <w:tcPr>
            <w:tcW w:w="7624" w:type="dxa"/>
            <w:noWrap w:val="0"/>
            <w:vAlign w:val="center"/>
          </w:tcPr>
          <w:p w14:paraId="41BBF55B">
            <w:pPr>
              <w:keepNext w:val="0"/>
              <w:keepLines w:val="0"/>
              <w:pageBreakBefore w:val="0"/>
              <w:numPr>
                <w:ilvl w:val="0"/>
                <w:numId w:val="0"/>
              </w:numPr>
              <w:kinsoku/>
              <w:wordWrap/>
              <w:overflowPunct/>
              <w:topLinePunct w:val="0"/>
              <w:autoSpaceDE/>
              <w:autoSpaceDN/>
              <w:bidi w:val="0"/>
              <w:spacing w:line="360" w:lineRule="exac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、配置先进性</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6分</w:t>
            </w:r>
            <w:r>
              <w:rPr>
                <w:rFonts w:hint="eastAsia" w:ascii="宋体" w:hAnsi="宋体" w:eastAsia="宋体" w:cs="宋体"/>
                <w:b/>
                <w:bCs/>
                <w:color w:val="auto"/>
                <w:sz w:val="21"/>
                <w:szCs w:val="21"/>
                <w:highlight w:val="none"/>
                <w:lang w:eastAsia="zh-CN"/>
              </w:rPr>
              <w:t>）</w:t>
            </w:r>
          </w:p>
          <w:p w14:paraId="453D5D53">
            <w:pPr>
              <w:keepNext w:val="0"/>
              <w:keepLines w:val="0"/>
              <w:pageBreakBefore w:val="0"/>
              <w:numPr>
                <w:ilvl w:val="0"/>
                <w:numId w:val="0"/>
              </w:numPr>
              <w:kinsoku/>
              <w:wordWrap/>
              <w:overflowPunct/>
              <w:topLinePunct w:val="0"/>
              <w:autoSpaceDE/>
              <w:autoSpaceDN/>
              <w:bidi w:val="0"/>
              <w:spacing w:line="360" w:lineRule="exact"/>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评标委员会对投标产品的配置先进性进行评议：</w:t>
            </w:r>
          </w:p>
          <w:p w14:paraId="3A1A3157">
            <w:pPr>
              <w:keepNext w:val="0"/>
              <w:keepLines w:val="0"/>
              <w:pageBreakBefore w:val="0"/>
              <w:numPr>
                <w:ilvl w:val="0"/>
                <w:numId w:val="0"/>
              </w:numPr>
              <w:kinsoku/>
              <w:wordWrap/>
              <w:overflowPunct/>
              <w:topLinePunct w:val="0"/>
              <w:autoSpaceDE/>
              <w:autoSpaceDN/>
              <w:bidi w:val="0"/>
              <w:spacing w:line="360" w:lineRule="exact"/>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color w:val="auto"/>
                <w:sz w:val="21"/>
                <w:szCs w:val="21"/>
                <w:highlight w:val="none"/>
                <w:lang w:val="en-US" w:eastAsia="zh-CN"/>
              </w:rPr>
              <w:t>（1）</w:t>
            </w:r>
            <w:r>
              <w:rPr>
                <w:rFonts w:hint="eastAsia" w:ascii="宋体" w:hAnsi="宋体" w:eastAsia="宋体" w:cs="宋体"/>
                <w:b w:val="0"/>
                <w:bCs w:val="0"/>
                <w:color w:val="auto"/>
                <w:kern w:val="2"/>
                <w:sz w:val="21"/>
                <w:szCs w:val="21"/>
                <w:highlight w:val="none"/>
                <w:lang w:val="en-US" w:eastAsia="zh-CN" w:bidi="ar-SA"/>
              </w:rPr>
              <w:t>设备配置齐全、合理、先进的</w:t>
            </w:r>
            <w:r>
              <w:rPr>
                <w:rFonts w:hint="eastAsia" w:ascii="宋体" w:hAnsi="宋体" w:eastAsia="宋体" w:cs="宋体"/>
                <w:b w:val="0"/>
                <w:bCs/>
                <w:color w:val="auto"/>
                <w:sz w:val="21"/>
                <w:szCs w:val="21"/>
                <w:highlight w:val="none"/>
                <w:lang w:val="en-US" w:eastAsia="zh-CN"/>
              </w:rPr>
              <w:t>得</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val="en-US" w:eastAsia="zh-CN"/>
              </w:rPr>
              <w:t>分</w:t>
            </w:r>
            <w:r>
              <w:rPr>
                <w:rFonts w:hint="eastAsia" w:ascii="宋体" w:hAnsi="宋体" w:eastAsia="宋体" w:cs="宋体"/>
                <w:b w:val="0"/>
                <w:bCs w:val="0"/>
                <w:color w:val="auto"/>
                <w:kern w:val="2"/>
                <w:sz w:val="21"/>
                <w:szCs w:val="21"/>
                <w:highlight w:val="none"/>
                <w:lang w:val="en-US" w:eastAsia="zh-CN" w:bidi="ar-SA"/>
              </w:rPr>
              <w:t>；</w:t>
            </w:r>
          </w:p>
          <w:p w14:paraId="3E9F513B">
            <w:pPr>
              <w:keepNext w:val="0"/>
              <w:keepLines w:val="0"/>
              <w:pageBreakBefore w:val="0"/>
              <w:numPr>
                <w:ilvl w:val="0"/>
                <w:numId w:val="0"/>
              </w:numPr>
              <w:kinsoku/>
              <w:wordWrap/>
              <w:overflowPunct/>
              <w:topLinePunct w:val="0"/>
              <w:autoSpaceDE/>
              <w:autoSpaceDN/>
              <w:bidi w:val="0"/>
              <w:spacing w:line="360" w:lineRule="exact"/>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bidi="ar-SA"/>
              </w:rPr>
              <w:t>设备配置较齐全、合理、先进的</w:t>
            </w:r>
            <w:r>
              <w:rPr>
                <w:rFonts w:hint="eastAsia" w:ascii="宋体" w:hAnsi="宋体" w:eastAsia="宋体" w:cs="宋体"/>
                <w:b w:val="0"/>
                <w:bCs/>
                <w:color w:val="auto"/>
                <w:sz w:val="21"/>
                <w:szCs w:val="21"/>
                <w:highlight w:val="none"/>
                <w:lang w:val="en-US" w:eastAsia="zh-CN"/>
              </w:rPr>
              <w:t>得</w:t>
            </w: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val="en-US" w:eastAsia="zh-CN"/>
              </w:rPr>
              <w:t>分</w:t>
            </w:r>
            <w:r>
              <w:rPr>
                <w:rFonts w:hint="eastAsia" w:ascii="宋体" w:hAnsi="宋体" w:eastAsia="宋体" w:cs="宋体"/>
                <w:b w:val="0"/>
                <w:bCs w:val="0"/>
                <w:color w:val="auto"/>
                <w:kern w:val="2"/>
                <w:sz w:val="21"/>
                <w:szCs w:val="21"/>
                <w:highlight w:val="none"/>
                <w:lang w:val="en-US" w:eastAsia="zh-CN" w:bidi="ar-SA"/>
              </w:rPr>
              <w:t>；</w:t>
            </w:r>
          </w:p>
          <w:p w14:paraId="790226CC">
            <w:pPr>
              <w:keepNext w:val="0"/>
              <w:keepLines w:val="0"/>
              <w:pageBreakBefore w:val="0"/>
              <w:numPr>
                <w:ilvl w:val="0"/>
                <w:numId w:val="0"/>
              </w:numPr>
              <w:kinsoku/>
              <w:wordWrap/>
              <w:overflowPunct/>
              <w:topLinePunct w:val="0"/>
              <w:autoSpaceDE/>
              <w:autoSpaceDN/>
              <w:bidi w:val="0"/>
              <w:spacing w:line="360" w:lineRule="exact"/>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val="0"/>
                <w:color w:val="auto"/>
                <w:kern w:val="2"/>
                <w:sz w:val="21"/>
                <w:szCs w:val="21"/>
                <w:highlight w:val="none"/>
                <w:lang w:val="en-US" w:eastAsia="zh-CN" w:bidi="ar-SA"/>
              </w:rPr>
              <w:t>设备配置存在缺陷、不先进的</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分</w:t>
            </w:r>
            <w:r>
              <w:rPr>
                <w:rFonts w:hint="eastAsia" w:ascii="宋体" w:hAnsi="宋体" w:eastAsia="宋体" w:cs="宋体"/>
                <w:b w:val="0"/>
                <w:bCs w:val="0"/>
                <w:color w:val="auto"/>
                <w:kern w:val="2"/>
                <w:sz w:val="21"/>
                <w:szCs w:val="21"/>
                <w:highlight w:val="none"/>
                <w:lang w:val="en-US" w:eastAsia="zh-CN" w:bidi="ar-SA"/>
              </w:rPr>
              <w:t>；</w:t>
            </w:r>
          </w:p>
          <w:p w14:paraId="57E964D4">
            <w:pPr>
              <w:keepNext w:val="0"/>
              <w:keepLines w:val="0"/>
              <w:pageBreakBefore w:val="0"/>
              <w:numPr>
                <w:ilvl w:val="0"/>
                <w:numId w:val="0"/>
              </w:numPr>
              <w:kinsoku/>
              <w:wordWrap/>
              <w:overflowPunct/>
              <w:topLinePunct w:val="0"/>
              <w:autoSpaceDE/>
              <w:autoSpaceDN/>
              <w:bidi w:val="0"/>
              <w:spacing w:line="360" w:lineRule="exact"/>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未提供，不得分。</w:t>
            </w:r>
          </w:p>
        </w:tc>
        <w:tc>
          <w:tcPr>
            <w:tcW w:w="650" w:type="dxa"/>
            <w:noWrap w:val="0"/>
            <w:vAlign w:val="center"/>
          </w:tcPr>
          <w:p w14:paraId="04A26815">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p>
        </w:tc>
        <w:tc>
          <w:tcPr>
            <w:tcW w:w="356" w:type="dxa"/>
            <w:tcBorders>
              <w:right w:val="double" w:color="auto" w:sz="4" w:space="0"/>
            </w:tcBorders>
            <w:noWrap w:val="0"/>
            <w:vAlign w:val="center"/>
          </w:tcPr>
          <w:p w14:paraId="4A8708B0">
            <w:pPr>
              <w:keepNext w:val="0"/>
              <w:keepLines w:val="0"/>
              <w:pageBreakBefore w:val="0"/>
              <w:kinsoku/>
              <w:wordWrap/>
              <w:overflowPunct/>
              <w:topLinePunct w:val="0"/>
              <w:autoSpaceDE/>
              <w:autoSpaceDN/>
              <w:bidi w:val="0"/>
              <w:spacing w:line="360" w:lineRule="exact"/>
              <w:ind w:left="0" w:leftChars="0"/>
              <w:jc w:val="center"/>
              <w:rPr>
                <w:rFonts w:hint="eastAsia" w:ascii="宋体" w:hAnsi="宋体" w:eastAsia="宋体" w:cs="宋体"/>
                <w:color w:val="auto"/>
                <w:sz w:val="21"/>
                <w:szCs w:val="21"/>
                <w:highlight w:val="none"/>
              </w:rPr>
            </w:pPr>
          </w:p>
        </w:tc>
      </w:tr>
      <w:tr w14:paraId="00073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Merge w:val="continue"/>
            <w:tcBorders>
              <w:left w:val="double" w:color="auto" w:sz="4" w:space="0"/>
            </w:tcBorders>
            <w:noWrap w:val="0"/>
            <w:vAlign w:val="center"/>
          </w:tcPr>
          <w:p w14:paraId="50CE8F62">
            <w:pPr>
              <w:keepNext w:val="0"/>
              <w:keepLines w:val="0"/>
              <w:pageBreakBefore w:val="0"/>
              <w:widowControl/>
              <w:kinsoku/>
              <w:wordWrap/>
              <w:overflowPunct/>
              <w:topLinePunct w:val="0"/>
              <w:autoSpaceDE/>
              <w:autoSpaceDN/>
              <w:bidi w:val="0"/>
              <w:spacing w:line="360" w:lineRule="exact"/>
              <w:ind w:left="0" w:leftChars="0"/>
              <w:jc w:val="left"/>
              <w:rPr>
                <w:rFonts w:hint="eastAsia" w:ascii="宋体" w:hAnsi="宋体" w:eastAsia="宋体" w:cs="宋体"/>
                <w:color w:val="auto"/>
                <w:sz w:val="21"/>
                <w:szCs w:val="21"/>
                <w:highlight w:val="none"/>
              </w:rPr>
            </w:pPr>
          </w:p>
        </w:tc>
        <w:tc>
          <w:tcPr>
            <w:tcW w:w="7624" w:type="dxa"/>
            <w:noWrap w:val="0"/>
            <w:vAlign w:val="center"/>
          </w:tcPr>
          <w:p w14:paraId="642E2D8E">
            <w:pPr>
              <w:numPr>
                <w:ilvl w:val="0"/>
                <w:numId w:val="0"/>
              </w:numPr>
              <w:spacing w:line="400" w:lineRule="exact"/>
              <w:rPr>
                <w:rFonts w:hint="eastAsia" w:ascii="宋体" w:hAnsi="宋体" w:eastAsia="宋体" w:cs="宋体"/>
                <w:b/>
                <w:color w:val="auto"/>
                <w:sz w:val="21"/>
                <w:szCs w:val="21"/>
                <w:highlight w:val="none"/>
                <w:lang w:eastAsia="zh-CN"/>
              </w:rPr>
            </w:pPr>
            <w:r>
              <w:rPr>
                <w:rFonts w:hint="eastAsia" w:ascii="宋体" w:hAnsi="宋体" w:cs="宋体"/>
                <w:b/>
                <w:color w:val="auto"/>
                <w:sz w:val="21"/>
                <w:szCs w:val="21"/>
                <w:highlight w:val="none"/>
                <w:lang w:val="en-US" w:eastAsia="zh-CN"/>
              </w:rPr>
              <w:t>5</w:t>
            </w:r>
            <w:r>
              <w:rPr>
                <w:rFonts w:hint="eastAsia" w:ascii="宋体" w:hAnsi="宋体" w:eastAsia="宋体" w:cs="宋体"/>
                <w:b/>
                <w:color w:val="auto"/>
                <w:sz w:val="21"/>
                <w:szCs w:val="21"/>
                <w:highlight w:val="none"/>
                <w:lang w:val="en-US" w:eastAsia="zh-CN"/>
              </w:rPr>
              <w:t>、备品备件</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分）</w:t>
            </w:r>
            <w:r>
              <w:rPr>
                <w:rFonts w:hint="eastAsia" w:ascii="宋体" w:hAnsi="宋体" w:eastAsia="宋体" w:cs="宋体"/>
                <w:b/>
                <w:color w:val="auto"/>
                <w:sz w:val="21"/>
                <w:szCs w:val="21"/>
                <w:highlight w:val="none"/>
                <w:lang w:eastAsia="zh-CN"/>
              </w:rPr>
              <w:t>：</w:t>
            </w:r>
          </w:p>
          <w:p w14:paraId="4238A7D4">
            <w:pPr>
              <w:keepNext w:val="0"/>
              <w:keepLines w:val="0"/>
              <w:pageBreakBefore w:val="0"/>
              <w:numPr>
                <w:ilvl w:val="0"/>
                <w:numId w:val="0"/>
              </w:numPr>
              <w:kinsoku/>
              <w:wordWrap/>
              <w:overflowPunct/>
              <w:topLinePunct w:val="0"/>
              <w:autoSpaceDE/>
              <w:autoSpaceDN/>
              <w:bidi w:val="0"/>
              <w:spacing w:line="360" w:lineRule="exact"/>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根据供应商提供的备品备件进行评议。</w:t>
            </w:r>
          </w:p>
          <w:p w14:paraId="714D7745">
            <w:pPr>
              <w:keepNext w:val="0"/>
              <w:keepLines w:val="0"/>
              <w:pageBreakBefore w:val="0"/>
              <w:numPr>
                <w:ilvl w:val="0"/>
                <w:numId w:val="0"/>
              </w:numPr>
              <w:kinsoku/>
              <w:wordWrap/>
              <w:overflowPunct/>
              <w:topLinePunct w:val="0"/>
              <w:autoSpaceDE/>
              <w:autoSpaceDN/>
              <w:bidi w:val="0"/>
              <w:spacing w:line="360" w:lineRule="exact"/>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zh-CN" w:eastAsia="zh-CN" w:bidi="ar-SA"/>
              </w:rPr>
              <w:t>（</w:t>
            </w:r>
            <w:r>
              <w:rPr>
                <w:rFonts w:hint="eastAsia" w:ascii="宋体" w:hAnsi="宋体" w:cs="宋体"/>
                <w:b w:val="0"/>
                <w:bCs w:val="0"/>
                <w:color w:val="auto"/>
                <w:kern w:val="2"/>
                <w:sz w:val="21"/>
                <w:szCs w:val="21"/>
                <w:highlight w:val="none"/>
                <w:lang w:val="en-US" w:eastAsia="zh-CN" w:bidi="ar-SA"/>
              </w:rPr>
              <w:t>1</w:t>
            </w:r>
            <w:r>
              <w:rPr>
                <w:rFonts w:hint="eastAsia" w:ascii="宋体" w:hAnsi="宋体" w:cs="宋体"/>
                <w:b w:val="0"/>
                <w:bCs w:val="0"/>
                <w:color w:val="auto"/>
                <w:kern w:val="2"/>
                <w:sz w:val="21"/>
                <w:szCs w:val="21"/>
                <w:highlight w:val="none"/>
                <w:lang w:val="zh-CN" w:eastAsia="zh-CN" w:bidi="ar-SA"/>
              </w:rPr>
              <w:t>）</w:t>
            </w:r>
            <w:r>
              <w:rPr>
                <w:rFonts w:hint="eastAsia" w:ascii="宋体" w:hAnsi="宋体" w:eastAsia="宋体" w:cs="宋体"/>
                <w:b w:val="0"/>
                <w:bCs w:val="0"/>
                <w:color w:val="auto"/>
                <w:kern w:val="2"/>
                <w:sz w:val="21"/>
                <w:szCs w:val="21"/>
                <w:highlight w:val="none"/>
                <w:lang w:val="zh-CN" w:eastAsia="zh-CN" w:bidi="ar-SA"/>
              </w:rPr>
              <w:t>备品</w:t>
            </w:r>
            <w:r>
              <w:rPr>
                <w:rFonts w:hint="eastAsia" w:ascii="宋体" w:hAnsi="宋体" w:eastAsia="宋体" w:cs="宋体"/>
                <w:b w:val="0"/>
                <w:bCs w:val="0"/>
                <w:color w:val="auto"/>
                <w:kern w:val="2"/>
                <w:sz w:val="21"/>
                <w:szCs w:val="21"/>
                <w:highlight w:val="none"/>
                <w:lang w:val="en-US" w:eastAsia="zh-CN" w:bidi="ar-SA"/>
              </w:rPr>
              <w:t>配备合理，满足完全贴合本项目需求的得</w:t>
            </w:r>
            <w:r>
              <w:rPr>
                <w:rFonts w:hint="eastAsia" w:ascii="宋体" w:hAnsi="宋体" w:cs="宋体"/>
                <w:b w:val="0"/>
                <w:bCs w:val="0"/>
                <w:color w:val="auto"/>
                <w:kern w:val="2"/>
                <w:sz w:val="21"/>
                <w:szCs w:val="21"/>
                <w:highlight w:val="none"/>
                <w:lang w:val="en-US" w:eastAsia="zh-CN" w:bidi="ar-SA"/>
              </w:rPr>
              <w:t>5</w:t>
            </w:r>
            <w:r>
              <w:rPr>
                <w:rFonts w:hint="eastAsia" w:ascii="宋体" w:hAnsi="宋体" w:eastAsia="宋体" w:cs="宋体"/>
                <w:b w:val="0"/>
                <w:bCs w:val="0"/>
                <w:color w:val="auto"/>
                <w:kern w:val="2"/>
                <w:sz w:val="21"/>
                <w:szCs w:val="21"/>
                <w:highlight w:val="none"/>
                <w:lang w:val="en-US" w:eastAsia="zh-CN" w:bidi="ar-SA"/>
              </w:rPr>
              <w:t>分。</w:t>
            </w:r>
          </w:p>
          <w:p w14:paraId="01458E6F">
            <w:pPr>
              <w:keepNext w:val="0"/>
              <w:keepLines w:val="0"/>
              <w:pageBreakBefore w:val="0"/>
              <w:numPr>
                <w:ilvl w:val="0"/>
                <w:numId w:val="0"/>
              </w:numPr>
              <w:kinsoku/>
              <w:wordWrap/>
              <w:overflowPunct/>
              <w:topLinePunct w:val="0"/>
              <w:autoSpaceDE/>
              <w:autoSpaceDN/>
              <w:bidi w:val="0"/>
              <w:spacing w:line="360" w:lineRule="exact"/>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zh-CN" w:eastAsia="zh-CN" w:bidi="ar-SA"/>
              </w:rPr>
              <w:t>（</w:t>
            </w:r>
            <w:r>
              <w:rPr>
                <w:rFonts w:hint="eastAsia" w:ascii="宋体" w:hAnsi="宋体" w:cs="宋体"/>
                <w:b w:val="0"/>
                <w:bCs w:val="0"/>
                <w:color w:val="auto"/>
                <w:kern w:val="2"/>
                <w:sz w:val="21"/>
                <w:szCs w:val="21"/>
                <w:highlight w:val="none"/>
                <w:lang w:val="en-US" w:eastAsia="zh-CN" w:bidi="ar-SA"/>
              </w:rPr>
              <w:t>2</w:t>
            </w:r>
            <w:r>
              <w:rPr>
                <w:rFonts w:hint="eastAsia" w:ascii="宋体" w:hAnsi="宋体" w:cs="宋体"/>
                <w:b w:val="0"/>
                <w:bCs w:val="0"/>
                <w:color w:val="auto"/>
                <w:kern w:val="2"/>
                <w:sz w:val="21"/>
                <w:szCs w:val="21"/>
                <w:highlight w:val="none"/>
                <w:lang w:val="zh-CN" w:eastAsia="zh-CN" w:bidi="ar-SA"/>
              </w:rPr>
              <w:t>）</w:t>
            </w:r>
            <w:r>
              <w:rPr>
                <w:rFonts w:hint="eastAsia" w:ascii="宋体" w:hAnsi="宋体" w:eastAsia="宋体" w:cs="宋体"/>
                <w:b w:val="0"/>
                <w:bCs w:val="0"/>
                <w:color w:val="auto"/>
                <w:kern w:val="2"/>
                <w:sz w:val="21"/>
                <w:szCs w:val="21"/>
                <w:highlight w:val="none"/>
                <w:lang w:val="zh-CN" w:eastAsia="zh-CN" w:bidi="ar-SA"/>
              </w:rPr>
              <w:t>备品</w:t>
            </w:r>
            <w:r>
              <w:rPr>
                <w:rFonts w:hint="eastAsia" w:ascii="宋体" w:hAnsi="宋体" w:eastAsia="宋体" w:cs="宋体"/>
                <w:b w:val="0"/>
                <w:bCs w:val="0"/>
                <w:color w:val="auto"/>
                <w:kern w:val="2"/>
                <w:sz w:val="21"/>
                <w:szCs w:val="21"/>
                <w:highlight w:val="none"/>
                <w:lang w:val="en-US" w:eastAsia="zh-CN" w:bidi="ar-SA"/>
              </w:rPr>
              <w:t>配备基本合理，基本满足本项目需求的得</w:t>
            </w:r>
            <w:r>
              <w:rPr>
                <w:rFonts w:hint="eastAsia" w:ascii="宋体" w:hAnsi="宋体" w:cs="宋体"/>
                <w:b w:val="0"/>
                <w:bCs w:val="0"/>
                <w:color w:val="auto"/>
                <w:kern w:val="2"/>
                <w:sz w:val="21"/>
                <w:szCs w:val="21"/>
                <w:highlight w:val="none"/>
                <w:lang w:val="en-US" w:eastAsia="zh-CN" w:bidi="ar-SA"/>
              </w:rPr>
              <w:t>3</w:t>
            </w:r>
            <w:r>
              <w:rPr>
                <w:rFonts w:hint="eastAsia" w:ascii="宋体" w:hAnsi="宋体" w:eastAsia="宋体" w:cs="宋体"/>
                <w:b w:val="0"/>
                <w:bCs w:val="0"/>
                <w:color w:val="auto"/>
                <w:kern w:val="2"/>
                <w:sz w:val="21"/>
                <w:szCs w:val="21"/>
                <w:highlight w:val="none"/>
                <w:lang w:val="en-US" w:eastAsia="zh-CN" w:bidi="ar-SA"/>
              </w:rPr>
              <w:t>分。</w:t>
            </w:r>
          </w:p>
          <w:p w14:paraId="44A1034F">
            <w:pPr>
              <w:keepNext w:val="0"/>
              <w:keepLines w:val="0"/>
              <w:pageBreakBefore w:val="0"/>
              <w:numPr>
                <w:ilvl w:val="0"/>
                <w:numId w:val="0"/>
              </w:numPr>
              <w:kinsoku/>
              <w:wordWrap/>
              <w:overflowPunct/>
              <w:topLinePunct w:val="0"/>
              <w:autoSpaceDE/>
              <w:autoSpaceDN/>
              <w:bidi w:val="0"/>
              <w:spacing w:line="360" w:lineRule="exact"/>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zh-CN" w:eastAsia="zh-CN" w:bidi="ar-SA"/>
              </w:rPr>
              <w:t>（</w:t>
            </w:r>
            <w:r>
              <w:rPr>
                <w:rFonts w:hint="eastAsia" w:ascii="宋体" w:hAnsi="宋体" w:cs="宋体"/>
                <w:b w:val="0"/>
                <w:bCs w:val="0"/>
                <w:color w:val="auto"/>
                <w:kern w:val="2"/>
                <w:sz w:val="21"/>
                <w:szCs w:val="21"/>
                <w:highlight w:val="none"/>
                <w:lang w:val="en-US" w:eastAsia="zh-CN" w:bidi="ar-SA"/>
              </w:rPr>
              <w:t>3</w:t>
            </w:r>
            <w:r>
              <w:rPr>
                <w:rFonts w:hint="eastAsia" w:ascii="宋体" w:hAnsi="宋体" w:cs="宋体"/>
                <w:b w:val="0"/>
                <w:bCs w:val="0"/>
                <w:color w:val="auto"/>
                <w:kern w:val="2"/>
                <w:sz w:val="21"/>
                <w:szCs w:val="21"/>
                <w:highlight w:val="none"/>
                <w:lang w:val="zh-CN" w:eastAsia="zh-CN" w:bidi="ar-SA"/>
              </w:rPr>
              <w:t>）</w:t>
            </w:r>
            <w:r>
              <w:rPr>
                <w:rFonts w:hint="eastAsia" w:ascii="宋体" w:hAnsi="宋体" w:eastAsia="宋体" w:cs="宋体"/>
                <w:b w:val="0"/>
                <w:bCs w:val="0"/>
                <w:color w:val="auto"/>
                <w:kern w:val="2"/>
                <w:sz w:val="21"/>
                <w:szCs w:val="21"/>
                <w:highlight w:val="none"/>
                <w:lang w:val="zh-CN" w:eastAsia="zh-CN" w:bidi="ar-SA"/>
              </w:rPr>
              <w:t>备品</w:t>
            </w:r>
            <w:r>
              <w:rPr>
                <w:rFonts w:hint="eastAsia" w:ascii="宋体" w:hAnsi="宋体" w:eastAsia="宋体" w:cs="宋体"/>
                <w:b w:val="0"/>
                <w:bCs w:val="0"/>
                <w:color w:val="auto"/>
                <w:kern w:val="2"/>
                <w:sz w:val="21"/>
                <w:szCs w:val="21"/>
                <w:highlight w:val="none"/>
                <w:lang w:val="en-US" w:eastAsia="zh-CN" w:bidi="ar-SA"/>
              </w:rPr>
              <w:t>配备欠缺，提供备品不够贴合本项目需求的得</w:t>
            </w:r>
            <w:r>
              <w:rPr>
                <w:rFonts w:hint="eastAsia" w:ascii="宋体" w:hAnsi="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kern w:val="2"/>
                <w:sz w:val="21"/>
                <w:szCs w:val="21"/>
                <w:highlight w:val="none"/>
                <w:lang w:val="en-US" w:eastAsia="zh-CN" w:bidi="ar-SA"/>
              </w:rPr>
              <w:t>分。</w:t>
            </w:r>
          </w:p>
          <w:p w14:paraId="45C4595F">
            <w:pPr>
              <w:keepNext w:val="0"/>
              <w:keepLines w:val="0"/>
              <w:pageBreakBefore w:val="0"/>
              <w:numPr>
                <w:ilvl w:val="0"/>
                <w:numId w:val="0"/>
              </w:numPr>
              <w:kinsoku/>
              <w:wordWrap/>
              <w:overflowPunct/>
              <w:topLinePunct w:val="0"/>
              <w:autoSpaceDE/>
              <w:autoSpaceDN/>
              <w:bidi w:val="0"/>
              <w:spacing w:line="360" w:lineRule="exact"/>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zh-CN" w:eastAsia="zh-CN" w:bidi="ar-SA"/>
              </w:rPr>
              <w:t>备品</w:t>
            </w:r>
            <w:r>
              <w:rPr>
                <w:rFonts w:hint="eastAsia" w:ascii="宋体" w:hAnsi="宋体" w:eastAsia="宋体" w:cs="宋体"/>
                <w:b w:val="0"/>
                <w:bCs w:val="0"/>
                <w:color w:val="auto"/>
                <w:kern w:val="2"/>
                <w:sz w:val="21"/>
                <w:szCs w:val="21"/>
                <w:highlight w:val="none"/>
                <w:lang w:val="en-US" w:eastAsia="zh-CN" w:bidi="ar-SA"/>
              </w:rPr>
              <w:t>配备与本项目需求无关或未提供的不得分。</w:t>
            </w:r>
          </w:p>
        </w:tc>
        <w:tc>
          <w:tcPr>
            <w:tcW w:w="650" w:type="dxa"/>
            <w:noWrap w:val="0"/>
            <w:vAlign w:val="center"/>
          </w:tcPr>
          <w:p w14:paraId="0E47948C">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356" w:type="dxa"/>
            <w:tcBorders>
              <w:right w:val="double" w:color="auto" w:sz="4" w:space="0"/>
            </w:tcBorders>
            <w:noWrap w:val="0"/>
            <w:vAlign w:val="center"/>
          </w:tcPr>
          <w:p w14:paraId="0072EF6F">
            <w:pPr>
              <w:keepNext w:val="0"/>
              <w:keepLines w:val="0"/>
              <w:pageBreakBefore w:val="0"/>
              <w:kinsoku/>
              <w:wordWrap/>
              <w:overflowPunct/>
              <w:topLinePunct w:val="0"/>
              <w:autoSpaceDE/>
              <w:autoSpaceDN/>
              <w:bidi w:val="0"/>
              <w:spacing w:line="360" w:lineRule="exact"/>
              <w:ind w:left="0" w:leftChars="0"/>
              <w:jc w:val="center"/>
              <w:rPr>
                <w:rFonts w:hint="eastAsia" w:ascii="宋体" w:hAnsi="宋体" w:eastAsia="宋体" w:cs="宋体"/>
                <w:color w:val="auto"/>
                <w:sz w:val="21"/>
                <w:szCs w:val="21"/>
                <w:highlight w:val="none"/>
              </w:rPr>
            </w:pPr>
          </w:p>
        </w:tc>
      </w:tr>
      <w:tr w14:paraId="171F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Merge w:val="continue"/>
            <w:tcBorders>
              <w:left w:val="double" w:color="auto" w:sz="4" w:space="0"/>
            </w:tcBorders>
            <w:noWrap w:val="0"/>
            <w:vAlign w:val="center"/>
          </w:tcPr>
          <w:p w14:paraId="3FA6ACF7">
            <w:pPr>
              <w:keepNext w:val="0"/>
              <w:keepLines w:val="0"/>
              <w:pageBreakBefore w:val="0"/>
              <w:widowControl/>
              <w:kinsoku/>
              <w:wordWrap/>
              <w:overflowPunct/>
              <w:topLinePunct w:val="0"/>
              <w:autoSpaceDE/>
              <w:autoSpaceDN/>
              <w:bidi w:val="0"/>
              <w:spacing w:line="360" w:lineRule="exact"/>
              <w:ind w:left="0" w:leftChars="0"/>
              <w:jc w:val="left"/>
              <w:rPr>
                <w:rFonts w:hint="eastAsia" w:ascii="宋体" w:hAnsi="宋体" w:eastAsia="宋体" w:cs="宋体"/>
                <w:color w:val="auto"/>
                <w:sz w:val="21"/>
                <w:szCs w:val="21"/>
                <w:highlight w:val="none"/>
              </w:rPr>
            </w:pPr>
          </w:p>
        </w:tc>
        <w:tc>
          <w:tcPr>
            <w:tcW w:w="7624" w:type="dxa"/>
            <w:noWrap w:val="0"/>
            <w:vAlign w:val="center"/>
          </w:tcPr>
          <w:p w14:paraId="08C3CBB2">
            <w:pPr>
              <w:keepNext w:val="0"/>
              <w:keepLines w:val="0"/>
              <w:pageBreakBefore w:val="0"/>
              <w:numPr>
                <w:ilvl w:val="0"/>
                <w:numId w:val="0"/>
              </w:numPr>
              <w:kinsoku/>
              <w:wordWrap/>
              <w:overflowPunct/>
              <w:topLinePunct w:val="0"/>
              <w:autoSpaceDE/>
              <w:autoSpaceDN/>
              <w:bidi w:val="0"/>
              <w:spacing w:line="360" w:lineRule="exact"/>
              <w:ind w:leftChars="0"/>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评委对投标文件中提供的</w:t>
            </w:r>
            <w:r>
              <w:rPr>
                <w:rFonts w:hint="eastAsia" w:ascii="宋体" w:hAnsi="宋体" w:eastAsia="宋体" w:cs="宋体"/>
                <w:b/>
                <w:bCs/>
                <w:color w:val="auto"/>
                <w:sz w:val="21"/>
                <w:szCs w:val="21"/>
                <w:highlight w:val="none"/>
                <w:lang w:eastAsia="zh-CN"/>
              </w:rPr>
              <w:t>系统实施</w:t>
            </w:r>
            <w:r>
              <w:rPr>
                <w:rFonts w:hint="eastAsia" w:ascii="宋体" w:hAnsi="宋体" w:eastAsia="宋体" w:cs="宋体"/>
                <w:b/>
                <w:bCs/>
                <w:color w:val="auto"/>
                <w:sz w:val="21"/>
                <w:szCs w:val="21"/>
                <w:highlight w:val="none"/>
              </w:rPr>
              <w:t>方案进行评议</w:t>
            </w: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分</w:t>
            </w:r>
            <w:r>
              <w:rPr>
                <w:rFonts w:hint="eastAsia" w:ascii="宋体" w:hAnsi="宋体" w:eastAsia="宋体" w:cs="宋体"/>
                <w:b/>
                <w:bCs/>
                <w:color w:val="auto"/>
                <w:sz w:val="21"/>
                <w:szCs w:val="21"/>
                <w:highlight w:val="none"/>
                <w:lang w:eastAsia="zh-CN"/>
              </w:rPr>
              <w:t>）</w:t>
            </w:r>
          </w:p>
          <w:p w14:paraId="725D17A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eastAsia="zh-CN"/>
              </w:rPr>
              <w:t>实施方案详细、考虑周全、各系统对接、工序衔接合理、风险控制实施方案合理、详尽完全符合本项目需求的得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p w14:paraId="21DE509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eastAsia="zh-CN"/>
              </w:rPr>
              <w:t>实施方案基本合理，对系统对接、工序衔接表述笼统、风险控制实施方案合理，部分有待补充完善但基本符合采购人需求的得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p w14:paraId="1468FBC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eastAsia="zh-CN"/>
              </w:rPr>
              <w:t>实施方案有缺陷，不能确保完全满足采购人需求的得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lang w:val="en-US" w:eastAsia="zh-CN"/>
              </w:rPr>
              <w:t>;</w:t>
            </w:r>
          </w:p>
          <w:p w14:paraId="3BE6317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未提供，不得分。</w:t>
            </w:r>
          </w:p>
        </w:tc>
        <w:tc>
          <w:tcPr>
            <w:tcW w:w="650" w:type="dxa"/>
            <w:noWrap w:val="0"/>
            <w:vAlign w:val="center"/>
          </w:tcPr>
          <w:p w14:paraId="3F68F8BF">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p>
        </w:tc>
        <w:tc>
          <w:tcPr>
            <w:tcW w:w="356" w:type="dxa"/>
            <w:tcBorders>
              <w:right w:val="double" w:color="auto" w:sz="4" w:space="0"/>
            </w:tcBorders>
            <w:noWrap w:val="0"/>
            <w:vAlign w:val="center"/>
          </w:tcPr>
          <w:p w14:paraId="7FE23BA8">
            <w:pPr>
              <w:keepNext w:val="0"/>
              <w:keepLines w:val="0"/>
              <w:pageBreakBefore w:val="0"/>
              <w:kinsoku/>
              <w:wordWrap/>
              <w:overflowPunct/>
              <w:topLinePunct w:val="0"/>
              <w:autoSpaceDE/>
              <w:autoSpaceDN/>
              <w:bidi w:val="0"/>
              <w:spacing w:line="360" w:lineRule="exact"/>
              <w:ind w:left="0" w:leftChars="0"/>
              <w:jc w:val="center"/>
              <w:rPr>
                <w:rFonts w:hint="eastAsia" w:ascii="宋体" w:hAnsi="宋体" w:eastAsia="宋体" w:cs="宋体"/>
                <w:color w:val="auto"/>
                <w:sz w:val="21"/>
                <w:szCs w:val="21"/>
                <w:highlight w:val="none"/>
              </w:rPr>
            </w:pPr>
          </w:p>
        </w:tc>
      </w:tr>
      <w:tr w14:paraId="4BFB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Merge w:val="continue"/>
            <w:tcBorders>
              <w:left w:val="double" w:color="auto" w:sz="4" w:space="0"/>
            </w:tcBorders>
            <w:noWrap w:val="0"/>
            <w:vAlign w:val="center"/>
          </w:tcPr>
          <w:p w14:paraId="6CD31EB2">
            <w:pPr>
              <w:keepNext w:val="0"/>
              <w:keepLines w:val="0"/>
              <w:pageBreakBefore w:val="0"/>
              <w:widowControl/>
              <w:kinsoku/>
              <w:wordWrap/>
              <w:overflowPunct/>
              <w:topLinePunct w:val="0"/>
              <w:autoSpaceDE/>
              <w:autoSpaceDN/>
              <w:bidi w:val="0"/>
              <w:spacing w:line="360" w:lineRule="exact"/>
              <w:ind w:left="0" w:leftChars="0"/>
              <w:jc w:val="left"/>
              <w:rPr>
                <w:rFonts w:hint="eastAsia" w:ascii="宋体" w:hAnsi="宋体" w:eastAsia="宋体" w:cs="宋体"/>
                <w:color w:val="auto"/>
                <w:sz w:val="21"/>
                <w:szCs w:val="21"/>
                <w:highlight w:val="none"/>
              </w:rPr>
            </w:pPr>
          </w:p>
        </w:tc>
        <w:tc>
          <w:tcPr>
            <w:tcW w:w="7624" w:type="dxa"/>
            <w:noWrap w:val="0"/>
            <w:vAlign w:val="center"/>
          </w:tcPr>
          <w:p w14:paraId="3C2FAA0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评标委员会根据供应商</w:t>
            </w:r>
            <w:r>
              <w:rPr>
                <w:rFonts w:hint="eastAsia" w:ascii="宋体" w:hAnsi="宋体" w:eastAsia="宋体" w:cs="宋体"/>
                <w:b/>
                <w:bCs/>
                <w:color w:val="auto"/>
                <w:sz w:val="21"/>
                <w:szCs w:val="21"/>
                <w:highlight w:val="none"/>
                <w:lang w:eastAsia="zh-CN"/>
              </w:rPr>
              <w:t>的</w:t>
            </w:r>
            <w:r>
              <w:rPr>
                <w:rFonts w:hint="eastAsia" w:ascii="宋体" w:hAnsi="宋体" w:eastAsia="宋体" w:cs="宋体"/>
                <w:b/>
                <w:bCs/>
                <w:color w:val="auto"/>
                <w:sz w:val="21"/>
                <w:szCs w:val="21"/>
                <w:highlight w:val="none"/>
              </w:rPr>
              <w:t>进度计划</w:t>
            </w:r>
            <w:r>
              <w:rPr>
                <w:rFonts w:hint="eastAsia" w:ascii="宋体" w:hAnsi="宋体" w:eastAsia="宋体" w:cs="宋体"/>
                <w:b/>
                <w:bCs/>
                <w:color w:val="auto"/>
                <w:sz w:val="21"/>
                <w:szCs w:val="21"/>
                <w:highlight w:val="none"/>
                <w:lang w:eastAsia="zh-CN"/>
              </w:rPr>
              <w:t>进行评议：</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p>
          <w:p w14:paraId="19DA708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cs="宋体"/>
                <w:b w:val="0"/>
                <w:bCs w:val="0"/>
                <w:color w:val="auto"/>
                <w:kern w:val="2"/>
                <w:sz w:val="21"/>
                <w:szCs w:val="21"/>
                <w:highlight w:val="none"/>
                <w:lang w:val="zh-CN" w:eastAsia="zh-CN" w:bidi="ar-SA"/>
              </w:rPr>
              <w:t>（</w:t>
            </w:r>
            <w:r>
              <w:rPr>
                <w:rFonts w:hint="eastAsia" w:ascii="宋体" w:hAnsi="宋体" w:cs="宋体"/>
                <w:b w:val="0"/>
                <w:bCs w:val="0"/>
                <w:color w:val="auto"/>
                <w:kern w:val="2"/>
                <w:sz w:val="21"/>
                <w:szCs w:val="21"/>
                <w:highlight w:val="none"/>
                <w:lang w:val="en-US" w:eastAsia="zh-CN" w:bidi="ar-SA"/>
              </w:rPr>
              <w:t>1</w:t>
            </w:r>
            <w:r>
              <w:rPr>
                <w:rFonts w:hint="eastAsia" w:ascii="宋体" w:hAnsi="宋体" w:cs="宋体"/>
                <w:b w:val="0"/>
                <w:bCs w:val="0"/>
                <w:color w:val="auto"/>
                <w:kern w:val="2"/>
                <w:sz w:val="21"/>
                <w:szCs w:val="21"/>
                <w:highlight w:val="none"/>
                <w:lang w:val="zh-CN" w:eastAsia="zh-CN" w:bidi="ar-SA"/>
              </w:rPr>
              <w:t>）</w:t>
            </w:r>
            <w:r>
              <w:rPr>
                <w:rFonts w:hint="eastAsia" w:ascii="宋体" w:hAnsi="宋体" w:eastAsia="宋体" w:cs="宋体"/>
                <w:color w:val="auto"/>
                <w:sz w:val="21"/>
                <w:szCs w:val="21"/>
                <w:highlight w:val="none"/>
              </w:rPr>
              <w:t>工期目标</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关键点控制</w:t>
            </w:r>
            <w:r>
              <w:rPr>
                <w:rFonts w:hint="eastAsia" w:ascii="宋体" w:hAnsi="宋体" w:eastAsia="宋体" w:cs="宋体"/>
                <w:color w:val="auto"/>
                <w:sz w:val="21"/>
                <w:szCs w:val="21"/>
                <w:highlight w:val="none"/>
                <w:lang w:eastAsia="zh-CN"/>
              </w:rPr>
              <w:t>明确、</w:t>
            </w:r>
            <w:r>
              <w:rPr>
                <w:rFonts w:hint="eastAsia" w:ascii="宋体" w:hAnsi="宋体" w:eastAsia="宋体" w:cs="宋体"/>
                <w:color w:val="auto"/>
                <w:sz w:val="21"/>
                <w:szCs w:val="21"/>
                <w:highlight w:val="none"/>
              </w:rPr>
              <w:t>进度安排计划</w:t>
            </w:r>
            <w:r>
              <w:rPr>
                <w:rFonts w:hint="eastAsia" w:ascii="宋体" w:hAnsi="宋体" w:eastAsia="宋体" w:cs="宋体"/>
                <w:color w:val="auto"/>
                <w:sz w:val="21"/>
                <w:szCs w:val="21"/>
                <w:highlight w:val="none"/>
                <w:lang w:eastAsia="zh-CN"/>
              </w:rPr>
              <w:t>执行度高，</w:t>
            </w:r>
            <w:r>
              <w:rPr>
                <w:rFonts w:hint="eastAsia" w:ascii="宋体" w:hAnsi="宋体" w:eastAsia="宋体" w:cs="宋体"/>
                <w:color w:val="auto"/>
                <w:sz w:val="21"/>
                <w:szCs w:val="21"/>
                <w:highlight w:val="none"/>
              </w:rPr>
              <w:t>工期保障措施（包含组织管理保障、施工计划安排、人财物安排及技术保障等）</w:t>
            </w:r>
            <w:r>
              <w:rPr>
                <w:rFonts w:hint="eastAsia" w:ascii="宋体" w:hAnsi="宋体" w:eastAsia="宋体" w:cs="宋体"/>
                <w:color w:val="auto"/>
                <w:sz w:val="21"/>
                <w:szCs w:val="21"/>
                <w:highlight w:val="none"/>
                <w:lang w:eastAsia="zh-CN"/>
              </w:rPr>
              <w:t>完整详尽，人员分工明确能保证项目正常推进的的</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w:t>
            </w:r>
          </w:p>
          <w:p w14:paraId="6E5AFEE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cs="宋体"/>
                <w:b w:val="0"/>
                <w:bCs w:val="0"/>
                <w:color w:val="auto"/>
                <w:kern w:val="2"/>
                <w:sz w:val="21"/>
                <w:szCs w:val="21"/>
                <w:highlight w:val="none"/>
                <w:lang w:val="zh-CN" w:eastAsia="zh-CN" w:bidi="ar-SA"/>
              </w:rPr>
              <w:t>（</w:t>
            </w:r>
            <w:r>
              <w:rPr>
                <w:rFonts w:hint="eastAsia" w:ascii="宋体" w:hAnsi="宋体" w:cs="宋体"/>
                <w:b w:val="0"/>
                <w:bCs w:val="0"/>
                <w:color w:val="auto"/>
                <w:kern w:val="2"/>
                <w:sz w:val="21"/>
                <w:szCs w:val="21"/>
                <w:highlight w:val="none"/>
                <w:lang w:val="en-US" w:eastAsia="zh-CN" w:bidi="ar-SA"/>
              </w:rPr>
              <w:t>2</w:t>
            </w:r>
            <w:r>
              <w:rPr>
                <w:rFonts w:hint="eastAsia" w:ascii="宋体" w:hAnsi="宋体" w:cs="宋体"/>
                <w:b w:val="0"/>
                <w:bCs w:val="0"/>
                <w:color w:val="auto"/>
                <w:kern w:val="2"/>
                <w:sz w:val="21"/>
                <w:szCs w:val="21"/>
                <w:highlight w:val="none"/>
                <w:lang w:val="zh-CN" w:eastAsia="zh-CN" w:bidi="ar-SA"/>
              </w:rPr>
              <w:t>）</w:t>
            </w:r>
            <w:r>
              <w:rPr>
                <w:rFonts w:hint="eastAsia" w:ascii="宋体" w:hAnsi="宋体" w:eastAsia="宋体" w:cs="宋体"/>
                <w:color w:val="auto"/>
                <w:sz w:val="21"/>
                <w:szCs w:val="21"/>
                <w:highlight w:val="none"/>
              </w:rPr>
              <w:t>工期目标</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关键点控制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进度安排计划</w:t>
            </w:r>
            <w:r>
              <w:rPr>
                <w:rFonts w:hint="eastAsia" w:ascii="宋体" w:hAnsi="宋体" w:eastAsia="宋体" w:cs="宋体"/>
                <w:color w:val="auto"/>
                <w:sz w:val="21"/>
                <w:szCs w:val="21"/>
                <w:highlight w:val="none"/>
                <w:lang w:eastAsia="zh-CN"/>
              </w:rPr>
              <w:t>合理，</w:t>
            </w:r>
            <w:r>
              <w:rPr>
                <w:rFonts w:hint="eastAsia" w:ascii="宋体" w:hAnsi="宋体" w:eastAsia="宋体" w:cs="宋体"/>
                <w:color w:val="auto"/>
                <w:sz w:val="21"/>
                <w:szCs w:val="21"/>
                <w:highlight w:val="none"/>
              </w:rPr>
              <w:t>工期保障措施（包含组织管理保障、施工计划安排、人财物安排及技术保障等）</w:t>
            </w:r>
            <w:r>
              <w:rPr>
                <w:rFonts w:hint="eastAsia" w:ascii="宋体" w:hAnsi="宋体" w:eastAsia="宋体" w:cs="宋体"/>
                <w:color w:val="auto"/>
                <w:sz w:val="21"/>
                <w:szCs w:val="21"/>
                <w:highlight w:val="none"/>
                <w:lang w:eastAsia="zh-CN"/>
              </w:rPr>
              <w:t>部分有待完善补充，人员数量及分工基本能保证采购人进度要求的</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w:t>
            </w:r>
          </w:p>
          <w:p w14:paraId="781FC76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未提供，不得分。</w:t>
            </w:r>
          </w:p>
        </w:tc>
        <w:tc>
          <w:tcPr>
            <w:tcW w:w="650" w:type="dxa"/>
            <w:noWrap w:val="0"/>
            <w:vAlign w:val="center"/>
          </w:tcPr>
          <w:p w14:paraId="7B07B3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356" w:type="dxa"/>
            <w:tcBorders>
              <w:right w:val="double" w:color="auto" w:sz="4" w:space="0"/>
            </w:tcBorders>
            <w:noWrap w:val="0"/>
            <w:vAlign w:val="center"/>
          </w:tcPr>
          <w:p w14:paraId="36113F30">
            <w:pPr>
              <w:keepNext w:val="0"/>
              <w:keepLines w:val="0"/>
              <w:pageBreakBefore w:val="0"/>
              <w:kinsoku/>
              <w:wordWrap/>
              <w:overflowPunct/>
              <w:topLinePunct w:val="0"/>
              <w:autoSpaceDE/>
              <w:autoSpaceDN/>
              <w:bidi w:val="0"/>
              <w:spacing w:line="360" w:lineRule="exact"/>
              <w:ind w:left="0" w:leftChars="0"/>
              <w:jc w:val="center"/>
              <w:rPr>
                <w:rFonts w:hint="eastAsia" w:ascii="宋体" w:hAnsi="宋体" w:eastAsia="宋体" w:cs="宋体"/>
                <w:color w:val="auto"/>
                <w:sz w:val="21"/>
                <w:szCs w:val="21"/>
                <w:highlight w:val="none"/>
              </w:rPr>
            </w:pPr>
          </w:p>
        </w:tc>
      </w:tr>
      <w:tr w14:paraId="0CDC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Merge w:val="continue"/>
            <w:tcBorders>
              <w:left w:val="double" w:color="auto" w:sz="4" w:space="0"/>
            </w:tcBorders>
            <w:noWrap w:val="0"/>
            <w:vAlign w:val="center"/>
          </w:tcPr>
          <w:p w14:paraId="4508BAF0">
            <w:pPr>
              <w:keepNext w:val="0"/>
              <w:keepLines w:val="0"/>
              <w:pageBreakBefore w:val="0"/>
              <w:widowControl/>
              <w:kinsoku/>
              <w:wordWrap/>
              <w:overflowPunct/>
              <w:topLinePunct w:val="0"/>
              <w:autoSpaceDE/>
              <w:autoSpaceDN/>
              <w:bidi w:val="0"/>
              <w:spacing w:line="360" w:lineRule="exact"/>
              <w:ind w:left="0" w:leftChars="0"/>
              <w:jc w:val="left"/>
              <w:rPr>
                <w:rFonts w:hint="eastAsia" w:ascii="宋体" w:hAnsi="宋体" w:eastAsia="宋体" w:cs="宋体"/>
                <w:color w:val="auto"/>
                <w:sz w:val="21"/>
                <w:szCs w:val="21"/>
                <w:highlight w:val="none"/>
              </w:rPr>
            </w:pPr>
          </w:p>
        </w:tc>
        <w:tc>
          <w:tcPr>
            <w:tcW w:w="7624" w:type="dxa"/>
            <w:noWrap w:val="0"/>
            <w:vAlign w:val="center"/>
          </w:tcPr>
          <w:p w14:paraId="1EA4F44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8</w:t>
            </w:r>
            <w:r>
              <w:rPr>
                <w:rFonts w:hint="eastAsia" w:ascii="宋体" w:hAnsi="宋体" w:eastAsia="宋体" w:cs="宋体"/>
                <w:b/>
                <w:color w:val="auto"/>
                <w:sz w:val="21"/>
                <w:szCs w:val="21"/>
                <w:highlight w:val="none"/>
                <w:lang w:val="en-US" w:eastAsia="zh-CN"/>
              </w:rPr>
              <w:t>、</w:t>
            </w:r>
            <w:r>
              <w:rPr>
                <w:rFonts w:hint="eastAsia" w:ascii="宋体" w:hAnsi="宋体" w:cs="宋体"/>
                <w:b/>
                <w:color w:val="auto"/>
                <w:sz w:val="21"/>
                <w:szCs w:val="21"/>
                <w:highlight w:val="none"/>
                <w:lang w:val="en-US" w:eastAsia="zh-CN"/>
              </w:rPr>
              <w:t>拟投入本项目的实施团队的人员配置方案</w:t>
            </w:r>
            <w:r>
              <w:rPr>
                <w:rFonts w:hint="eastAsia" w:ascii="宋体" w:hAnsi="宋体" w:eastAsia="宋体" w:cs="宋体"/>
                <w:b/>
                <w:color w:val="auto"/>
                <w:sz w:val="21"/>
                <w:szCs w:val="21"/>
                <w:highlight w:val="none"/>
                <w:lang w:val="en-US" w:eastAsia="zh-CN"/>
              </w:rPr>
              <w:t>：（</w:t>
            </w:r>
            <w:r>
              <w:rPr>
                <w:rFonts w:hint="eastAsia" w:ascii="宋体" w:hAnsi="宋体" w:cs="宋体"/>
                <w:b/>
                <w:color w:val="auto"/>
                <w:sz w:val="21"/>
                <w:szCs w:val="21"/>
                <w:highlight w:val="none"/>
                <w:lang w:val="en-US" w:eastAsia="zh-CN"/>
              </w:rPr>
              <w:t>3</w:t>
            </w:r>
            <w:r>
              <w:rPr>
                <w:rFonts w:hint="eastAsia" w:ascii="宋体" w:hAnsi="宋体" w:eastAsia="宋体" w:cs="宋体"/>
                <w:b/>
                <w:color w:val="auto"/>
                <w:sz w:val="21"/>
                <w:szCs w:val="21"/>
                <w:highlight w:val="none"/>
                <w:lang w:val="en-US" w:eastAsia="zh-CN"/>
              </w:rPr>
              <w:t>分）</w:t>
            </w:r>
          </w:p>
          <w:p w14:paraId="33B4E66D">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拟派项目</w:t>
            </w:r>
            <w:r>
              <w:rPr>
                <w:rFonts w:hint="eastAsia" w:ascii="宋体" w:hAnsi="宋体" w:cs="宋体"/>
                <w:color w:val="auto"/>
                <w:sz w:val="21"/>
                <w:szCs w:val="21"/>
                <w:highlight w:val="none"/>
                <w:lang w:val="en-US" w:eastAsia="zh-CN"/>
              </w:rPr>
              <w:t>组成员</w:t>
            </w:r>
            <w:r>
              <w:rPr>
                <w:rFonts w:hint="eastAsia" w:ascii="宋体" w:hAnsi="宋体" w:eastAsia="宋体" w:cs="宋体"/>
                <w:color w:val="auto"/>
                <w:sz w:val="21"/>
                <w:szCs w:val="21"/>
                <w:highlight w:val="none"/>
                <w:lang w:val="en-US" w:eastAsia="zh-CN"/>
              </w:rPr>
              <w:t>具备信息安全系统</w:t>
            </w:r>
            <w:r>
              <w:rPr>
                <w:rFonts w:hint="eastAsia" w:ascii="宋体" w:hAnsi="宋体" w:cs="宋体"/>
                <w:color w:val="auto"/>
                <w:sz w:val="21"/>
                <w:szCs w:val="21"/>
                <w:highlight w:val="none"/>
                <w:lang w:val="en-US" w:eastAsia="zh-CN"/>
              </w:rPr>
              <w:t>集成证书的</w:t>
            </w:r>
            <w:r>
              <w:rPr>
                <w:rFonts w:hint="eastAsia" w:ascii="宋体" w:hAnsi="宋体" w:cs="宋体"/>
                <w:color w:val="auto"/>
                <w:sz w:val="21"/>
                <w:szCs w:val="21"/>
                <w:highlight w:val="none"/>
                <w:lang w:eastAsia="zh-CN"/>
              </w:rPr>
              <w:t>一个得</w:t>
            </w:r>
            <w:r>
              <w:rPr>
                <w:rFonts w:hint="eastAsia" w:ascii="宋体" w:hAnsi="宋体" w:cs="宋体"/>
                <w:color w:val="auto"/>
                <w:sz w:val="21"/>
                <w:szCs w:val="21"/>
                <w:highlight w:val="none"/>
                <w:lang w:val="en-US" w:eastAsia="zh-CN"/>
              </w:rPr>
              <w:t>1分，</w:t>
            </w:r>
            <w:r>
              <w:rPr>
                <w:rFonts w:hint="eastAsia" w:ascii="宋体" w:hAnsi="宋体" w:cs="宋体"/>
                <w:color w:val="auto"/>
                <w:sz w:val="21"/>
                <w:szCs w:val="21"/>
                <w:highlight w:val="none"/>
                <w:lang w:eastAsia="zh-CN"/>
              </w:rPr>
              <w:t>共</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1D14403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【须提供相关人员证书的证明材料以及供应商为其缴纳的的近3个月</w:t>
            </w:r>
            <w:r>
              <w:rPr>
                <w:rFonts w:hint="eastAsia" w:ascii="宋体" w:hAnsi="宋体" w:cs="宋体"/>
                <w:color w:val="auto"/>
                <w:sz w:val="21"/>
                <w:szCs w:val="21"/>
                <w:highlight w:val="none"/>
                <w:lang w:val="en-US" w:eastAsia="zh-CN"/>
              </w:rPr>
              <w:t>任意一个月</w:t>
            </w:r>
            <w:r>
              <w:rPr>
                <w:rFonts w:hint="eastAsia" w:ascii="宋体" w:hAnsi="宋体" w:eastAsia="宋体" w:cs="宋体"/>
                <w:color w:val="auto"/>
                <w:sz w:val="21"/>
                <w:szCs w:val="21"/>
                <w:highlight w:val="none"/>
                <w:lang w:val="en-US" w:eastAsia="zh-CN"/>
              </w:rPr>
              <w:t>的社保缴纳证明】社保缴纳证明复印件加盖供应商公章）</w:t>
            </w:r>
          </w:p>
        </w:tc>
        <w:tc>
          <w:tcPr>
            <w:tcW w:w="650" w:type="dxa"/>
            <w:noWrap w:val="0"/>
            <w:vAlign w:val="center"/>
          </w:tcPr>
          <w:p w14:paraId="2E7E42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3</w:t>
            </w:r>
          </w:p>
        </w:tc>
        <w:tc>
          <w:tcPr>
            <w:tcW w:w="356" w:type="dxa"/>
            <w:tcBorders>
              <w:right w:val="double" w:color="auto" w:sz="4" w:space="0"/>
            </w:tcBorders>
            <w:noWrap w:val="0"/>
            <w:vAlign w:val="center"/>
          </w:tcPr>
          <w:p w14:paraId="593397EA">
            <w:pPr>
              <w:keepNext w:val="0"/>
              <w:keepLines w:val="0"/>
              <w:pageBreakBefore w:val="0"/>
              <w:kinsoku/>
              <w:wordWrap/>
              <w:overflowPunct/>
              <w:topLinePunct w:val="0"/>
              <w:autoSpaceDE/>
              <w:autoSpaceDN/>
              <w:bidi w:val="0"/>
              <w:spacing w:line="360" w:lineRule="exact"/>
              <w:ind w:left="0" w:leftChars="0"/>
              <w:jc w:val="center"/>
              <w:rPr>
                <w:rFonts w:hint="eastAsia" w:ascii="宋体" w:hAnsi="宋体" w:eastAsia="宋体" w:cs="宋体"/>
                <w:color w:val="auto"/>
                <w:sz w:val="21"/>
                <w:szCs w:val="21"/>
                <w:highlight w:val="none"/>
              </w:rPr>
            </w:pPr>
          </w:p>
        </w:tc>
      </w:tr>
      <w:tr w14:paraId="32FD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Merge w:val="continue"/>
            <w:tcBorders>
              <w:left w:val="double" w:color="auto" w:sz="4" w:space="0"/>
            </w:tcBorders>
            <w:noWrap w:val="0"/>
            <w:vAlign w:val="center"/>
          </w:tcPr>
          <w:p w14:paraId="48B3FEC2">
            <w:pPr>
              <w:keepNext w:val="0"/>
              <w:keepLines w:val="0"/>
              <w:pageBreakBefore w:val="0"/>
              <w:widowControl/>
              <w:kinsoku/>
              <w:wordWrap/>
              <w:overflowPunct/>
              <w:topLinePunct w:val="0"/>
              <w:autoSpaceDE/>
              <w:autoSpaceDN/>
              <w:bidi w:val="0"/>
              <w:spacing w:line="360" w:lineRule="exact"/>
              <w:ind w:left="0" w:leftChars="0"/>
              <w:jc w:val="left"/>
              <w:rPr>
                <w:rFonts w:hint="eastAsia" w:ascii="宋体" w:hAnsi="宋体" w:eastAsia="宋体" w:cs="宋体"/>
                <w:color w:val="auto"/>
                <w:sz w:val="21"/>
                <w:szCs w:val="21"/>
                <w:highlight w:val="none"/>
              </w:rPr>
            </w:pPr>
          </w:p>
        </w:tc>
        <w:tc>
          <w:tcPr>
            <w:tcW w:w="7624" w:type="dxa"/>
            <w:noWrap w:val="0"/>
            <w:vAlign w:val="center"/>
          </w:tcPr>
          <w:p w14:paraId="3D20B74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评标委员会根据供应商的质量保证</w:t>
            </w:r>
            <w:r>
              <w:rPr>
                <w:rFonts w:hint="eastAsia" w:ascii="宋体" w:hAnsi="宋体" w:eastAsia="宋体" w:cs="宋体"/>
                <w:b/>
                <w:bCs/>
                <w:color w:val="auto"/>
                <w:sz w:val="21"/>
                <w:szCs w:val="21"/>
                <w:highlight w:val="none"/>
                <w:lang w:eastAsia="zh-CN"/>
              </w:rPr>
              <w:t>措施</w:t>
            </w:r>
            <w:r>
              <w:rPr>
                <w:rFonts w:hint="eastAsia" w:ascii="宋体" w:hAnsi="宋体" w:eastAsia="宋体" w:cs="宋体"/>
                <w:b/>
                <w:bCs/>
                <w:color w:val="auto"/>
                <w:sz w:val="21"/>
                <w:szCs w:val="21"/>
                <w:highlight w:val="none"/>
              </w:rPr>
              <w:t>进行评议</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p>
          <w:p w14:paraId="186FB19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eastAsia="zh-CN"/>
              </w:rPr>
              <w:t>能提供完善的质量保证及质量控制措施，能确保提供产品质量完全符合采购技术要求及各项性能要求的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71D0AC1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eastAsia="zh-CN"/>
              </w:rPr>
              <w:t>质量保证及质量控制措施</w:t>
            </w:r>
            <w:r>
              <w:rPr>
                <w:rFonts w:hint="eastAsia" w:ascii="宋体" w:hAnsi="宋体" w:eastAsia="宋体" w:cs="宋体"/>
                <w:color w:val="auto"/>
                <w:sz w:val="21"/>
                <w:szCs w:val="21"/>
                <w:highlight w:val="none"/>
              </w:rPr>
              <w:t>基本完整但有细节部分欠缺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措施保障能基本满足项目采购需求得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p>
          <w:p w14:paraId="2DA53A1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未提供，不得分。</w:t>
            </w:r>
          </w:p>
        </w:tc>
        <w:tc>
          <w:tcPr>
            <w:tcW w:w="650" w:type="dxa"/>
            <w:noWrap w:val="0"/>
            <w:vAlign w:val="center"/>
          </w:tcPr>
          <w:p w14:paraId="643F00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356" w:type="dxa"/>
            <w:tcBorders>
              <w:right w:val="double" w:color="auto" w:sz="4" w:space="0"/>
            </w:tcBorders>
            <w:noWrap w:val="0"/>
            <w:vAlign w:val="center"/>
          </w:tcPr>
          <w:p w14:paraId="297E2D19">
            <w:pPr>
              <w:keepNext w:val="0"/>
              <w:keepLines w:val="0"/>
              <w:pageBreakBefore w:val="0"/>
              <w:kinsoku/>
              <w:wordWrap/>
              <w:overflowPunct/>
              <w:topLinePunct w:val="0"/>
              <w:autoSpaceDE/>
              <w:autoSpaceDN/>
              <w:bidi w:val="0"/>
              <w:spacing w:line="360" w:lineRule="exact"/>
              <w:ind w:left="0" w:leftChars="0"/>
              <w:jc w:val="center"/>
              <w:rPr>
                <w:rFonts w:hint="eastAsia" w:ascii="宋体" w:hAnsi="宋体" w:eastAsia="宋体" w:cs="宋体"/>
                <w:color w:val="auto"/>
                <w:sz w:val="21"/>
                <w:szCs w:val="21"/>
                <w:highlight w:val="none"/>
              </w:rPr>
            </w:pPr>
          </w:p>
        </w:tc>
      </w:tr>
      <w:tr w14:paraId="36C0C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Merge w:val="continue"/>
            <w:tcBorders>
              <w:left w:val="double" w:color="auto" w:sz="4" w:space="0"/>
            </w:tcBorders>
            <w:noWrap w:val="0"/>
            <w:vAlign w:val="center"/>
          </w:tcPr>
          <w:p w14:paraId="23DBEB55">
            <w:pPr>
              <w:keepNext w:val="0"/>
              <w:keepLines w:val="0"/>
              <w:pageBreakBefore w:val="0"/>
              <w:widowControl/>
              <w:kinsoku/>
              <w:wordWrap/>
              <w:overflowPunct/>
              <w:topLinePunct w:val="0"/>
              <w:autoSpaceDE/>
              <w:autoSpaceDN/>
              <w:bidi w:val="0"/>
              <w:spacing w:line="360" w:lineRule="exact"/>
              <w:ind w:left="0" w:leftChars="0"/>
              <w:jc w:val="left"/>
              <w:rPr>
                <w:rFonts w:hint="eastAsia" w:ascii="宋体" w:hAnsi="宋体" w:eastAsia="宋体" w:cs="宋体"/>
                <w:color w:val="auto"/>
                <w:sz w:val="21"/>
                <w:szCs w:val="21"/>
                <w:highlight w:val="none"/>
              </w:rPr>
            </w:pPr>
          </w:p>
        </w:tc>
        <w:tc>
          <w:tcPr>
            <w:tcW w:w="7624" w:type="dxa"/>
            <w:noWrap w:val="0"/>
            <w:vAlign w:val="center"/>
          </w:tcPr>
          <w:p w14:paraId="067B538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lang w:val="en-US" w:eastAsia="zh-CN"/>
              </w:rPr>
              <w:t>0</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评标委员会根据供应商的应急方案进行评议</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p>
          <w:p w14:paraId="5DA5756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rPr>
              <w:t>故障解决方案详细说明，应急处理预案完善能保证采购人正常运行的得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6D19A1A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rPr>
              <w:t>解决方案可覆盖本次采购可预见问题，能实际解决采购人故障基本可保证在突发情况时采购人正常运行的得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543EB6A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rPr>
              <w:t>应急方案笼统未能实际解决问题，存在影响采购人正常运营的风险，有待完善改进的得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3585D65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未提供，不得分。</w:t>
            </w:r>
          </w:p>
        </w:tc>
        <w:tc>
          <w:tcPr>
            <w:tcW w:w="650" w:type="dxa"/>
            <w:noWrap w:val="0"/>
            <w:vAlign w:val="center"/>
          </w:tcPr>
          <w:p w14:paraId="7FA9C7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5</w:t>
            </w:r>
          </w:p>
        </w:tc>
        <w:tc>
          <w:tcPr>
            <w:tcW w:w="356" w:type="dxa"/>
            <w:tcBorders>
              <w:right w:val="double" w:color="auto" w:sz="4" w:space="0"/>
            </w:tcBorders>
            <w:noWrap w:val="0"/>
            <w:vAlign w:val="center"/>
          </w:tcPr>
          <w:p w14:paraId="19423448">
            <w:pPr>
              <w:keepNext w:val="0"/>
              <w:keepLines w:val="0"/>
              <w:pageBreakBefore w:val="0"/>
              <w:kinsoku/>
              <w:wordWrap/>
              <w:overflowPunct/>
              <w:topLinePunct w:val="0"/>
              <w:autoSpaceDE/>
              <w:autoSpaceDN/>
              <w:bidi w:val="0"/>
              <w:spacing w:line="360" w:lineRule="exact"/>
              <w:ind w:left="0" w:leftChars="0"/>
              <w:jc w:val="center"/>
              <w:rPr>
                <w:rFonts w:hint="eastAsia" w:ascii="宋体" w:hAnsi="宋体" w:eastAsia="宋体" w:cs="宋体"/>
                <w:color w:val="auto"/>
                <w:sz w:val="21"/>
                <w:szCs w:val="21"/>
                <w:highlight w:val="none"/>
              </w:rPr>
            </w:pPr>
          </w:p>
        </w:tc>
      </w:tr>
      <w:tr w14:paraId="0F3F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Merge w:val="continue"/>
            <w:tcBorders>
              <w:left w:val="double" w:color="auto" w:sz="4" w:space="0"/>
            </w:tcBorders>
            <w:noWrap w:val="0"/>
            <w:vAlign w:val="center"/>
          </w:tcPr>
          <w:p w14:paraId="18E5DBBA">
            <w:pPr>
              <w:keepNext w:val="0"/>
              <w:keepLines w:val="0"/>
              <w:pageBreakBefore w:val="0"/>
              <w:widowControl/>
              <w:kinsoku/>
              <w:wordWrap/>
              <w:overflowPunct/>
              <w:topLinePunct w:val="0"/>
              <w:autoSpaceDE/>
              <w:autoSpaceDN/>
              <w:bidi w:val="0"/>
              <w:spacing w:line="360" w:lineRule="exact"/>
              <w:ind w:left="0" w:leftChars="0"/>
              <w:jc w:val="left"/>
              <w:rPr>
                <w:rFonts w:hint="eastAsia" w:ascii="宋体" w:hAnsi="宋体" w:eastAsia="宋体" w:cs="宋体"/>
                <w:color w:val="auto"/>
                <w:sz w:val="21"/>
                <w:szCs w:val="21"/>
                <w:highlight w:val="none"/>
              </w:rPr>
            </w:pPr>
          </w:p>
        </w:tc>
        <w:tc>
          <w:tcPr>
            <w:tcW w:w="7624" w:type="dxa"/>
            <w:noWrap w:val="0"/>
            <w:vAlign w:val="center"/>
          </w:tcPr>
          <w:p w14:paraId="6AF8ACA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评委对投标文件中提供的</w:t>
            </w:r>
            <w:r>
              <w:rPr>
                <w:rFonts w:hint="eastAsia" w:ascii="宋体" w:hAnsi="宋体" w:eastAsia="宋体" w:cs="宋体"/>
                <w:b/>
                <w:bCs/>
                <w:color w:val="auto"/>
                <w:sz w:val="21"/>
                <w:szCs w:val="21"/>
                <w:highlight w:val="none"/>
                <w:lang w:eastAsia="zh-CN"/>
              </w:rPr>
              <w:t>售后服务方案</w:t>
            </w:r>
            <w:r>
              <w:rPr>
                <w:rFonts w:hint="eastAsia" w:ascii="宋体" w:hAnsi="宋体" w:eastAsia="宋体" w:cs="宋体"/>
                <w:b/>
                <w:bCs/>
                <w:color w:val="auto"/>
                <w:sz w:val="21"/>
                <w:szCs w:val="21"/>
                <w:highlight w:val="none"/>
              </w:rPr>
              <w:t>（包括但不限于服务响应时间、技术支持等）</w:t>
            </w:r>
            <w:r>
              <w:rPr>
                <w:rFonts w:hint="eastAsia" w:ascii="宋体" w:hAnsi="宋体" w:eastAsia="宋体" w:cs="宋体"/>
                <w:b/>
                <w:color w:val="auto"/>
                <w:sz w:val="21"/>
                <w:szCs w:val="21"/>
                <w:highlight w:val="none"/>
              </w:rPr>
              <w:t>及其他优惠措施</w:t>
            </w:r>
            <w:r>
              <w:rPr>
                <w:rFonts w:hint="eastAsia" w:ascii="宋体" w:hAnsi="宋体" w:eastAsia="宋体" w:cs="宋体"/>
                <w:b/>
                <w:color w:val="auto"/>
                <w:sz w:val="21"/>
                <w:szCs w:val="21"/>
                <w:highlight w:val="none"/>
                <w:lang w:eastAsia="zh-CN"/>
              </w:rPr>
              <w:t>：</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p>
          <w:p w14:paraId="1F67699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eastAsia="zh-CN"/>
              </w:rPr>
              <w:t>售后服务</w:t>
            </w:r>
            <w:r>
              <w:rPr>
                <w:rFonts w:hint="eastAsia" w:ascii="宋体" w:hAnsi="宋体" w:eastAsia="宋体" w:cs="宋体"/>
                <w:color w:val="auto"/>
                <w:sz w:val="21"/>
                <w:szCs w:val="21"/>
                <w:highlight w:val="none"/>
              </w:rPr>
              <w:t>方案完整合理、保修范围完全覆盖本项目内容、</w:t>
            </w:r>
            <w:r>
              <w:rPr>
                <w:rFonts w:hint="eastAsia" w:ascii="宋体" w:hAnsi="宋体" w:eastAsia="宋体" w:cs="宋体"/>
                <w:color w:val="auto"/>
                <w:sz w:val="21"/>
                <w:szCs w:val="21"/>
                <w:highlight w:val="none"/>
                <w:lang w:eastAsia="zh-CN"/>
              </w:rPr>
              <w:t>响应迅速</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44657A2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eastAsia="zh-CN"/>
              </w:rPr>
              <w:t>售后服务</w:t>
            </w:r>
            <w:r>
              <w:rPr>
                <w:rFonts w:hint="eastAsia" w:ascii="宋体" w:hAnsi="宋体" w:eastAsia="宋体" w:cs="宋体"/>
                <w:color w:val="auto"/>
                <w:sz w:val="21"/>
                <w:szCs w:val="21"/>
                <w:highlight w:val="none"/>
              </w:rPr>
              <w:t>方案基本完整但有细节部分欠缺、保修范围完整、</w:t>
            </w:r>
            <w:r>
              <w:rPr>
                <w:rFonts w:hint="eastAsia" w:ascii="宋体" w:hAnsi="宋体" w:eastAsia="宋体" w:cs="宋体"/>
                <w:color w:val="auto"/>
                <w:sz w:val="21"/>
                <w:szCs w:val="21"/>
                <w:highlight w:val="none"/>
                <w:lang w:eastAsia="zh-CN"/>
              </w:rPr>
              <w:t>响应及时性较差，</w:t>
            </w:r>
            <w:r>
              <w:rPr>
                <w:rFonts w:hint="eastAsia" w:ascii="宋体" w:hAnsi="宋体" w:eastAsia="宋体" w:cs="宋体"/>
                <w:color w:val="auto"/>
                <w:sz w:val="21"/>
                <w:szCs w:val="21"/>
                <w:highlight w:val="none"/>
              </w:rPr>
              <w:t>措施保障能基本满足项目采购需求得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15510A3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eastAsia="zh-CN"/>
              </w:rPr>
              <w:t>后服务</w:t>
            </w:r>
            <w:r>
              <w:rPr>
                <w:rFonts w:hint="eastAsia" w:ascii="宋体" w:hAnsi="宋体" w:eastAsia="宋体" w:cs="宋体"/>
                <w:color w:val="auto"/>
                <w:sz w:val="21"/>
                <w:szCs w:val="21"/>
                <w:highlight w:val="none"/>
              </w:rPr>
              <w:t>方案不完整、保修范围不全、措施保障有欠缺得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未提供，不得分。</w:t>
            </w:r>
          </w:p>
        </w:tc>
        <w:tc>
          <w:tcPr>
            <w:tcW w:w="650" w:type="dxa"/>
            <w:noWrap w:val="0"/>
            <w:vAlign w:val="center"/>
          </w:tcPr>
          <w:p w14:paraId="2E0A4984">
            <w:pPr>
              <w:keepNext w:val="0"/>
              <w:keepLines w:val="0"/>
              <w:pageBreakBefore w:val="0"/>
              <w:kinsoku/>
              <w:wordWrap/>
              <w:overflowPunct/>
              <w:topLinePunct w:val="0"/>
              <w:autoSpaceDE/>
              <w:autoSpaceDN/>
              <w:bidi w:val="0"/>
              <w:spacing w:line="360" w:lineRule="exact"/>
              <w:ind w:left="0" w:leftChars="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p>
        </w:tc>
        <w:tc>
          <w:tcPr>
            <w:tcW w:w="356" w:type="dxa"/>
            <w:tcBorders>
              <w:right w:val="double" w:color="auto" w:sz="4" w:space="0"/>
            </w:tcBorders>
            <w:noWrap w:val="0"/>
            <w:vAlign w:val="center"/>
          </w:tcPr>
          <w:p w14:paraId="43246914">
            <w:pPr>
              <w:keepNext w:val="0"/>
              <w:keepLines w:val="0"/>
              <w:pageBreakBefore w:val="0"/>
              <w:kinsoku/>
              <w:wordWrap/>
              <w:overflowPunct/>
              <w:topLinePunct w:val="0"/>
              <w:autoSpaceDE/>
              <w:autoSpaceDN/>
              <w:bidi w:val="0"/>
              <w:spacing w:line="360" w:lineRule="exact"/>
              <w:ind w:left="0" w:leftChars="0"/>
              <w:jc w:val="center"/>
              <w:rPr>
                <w:rFonts w:hint="eastAsia" w:ascii="宋体" w:hAnsi="宋体" w:eastAsia="宋体" w:cs="宋体"/>
                <w:color w:val="auto"/>
                <w:sz w:val="21"/>
                <w:szCs w:val="21"/>
                <w:highlight w:val="none"/>
              </w:rPr>
            </w:pPr>
          </w:p>
        </w:tc>
      </w:tr>
      <w:tr w14:paraId="03CD9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Merge w:val="continue"/>
            <w:tcBorders>
              <w:left w:val="double" w:color="auto" w:sz="4" w:space="0"/>
            </w:tcBorders>
            <w:noWrap w:val="0"/>
            <w:vAlign w:val="center"/>
          </w:tcPr>
          <w:p w14:paraId="18288A62">
            <w:pPr>
              <w:keepNext w:val="0"/>
              <w:keepLines w:val="0"/>
              <w:pageBreakBefore w:val="0"/>
              <w:widowControl/>
              <w:kinsoku/>
              <w:wordWrap/>
              <w:overflowPunct/>
              <w:topLinePunct w:val="0"/>
              <w:autoSpaceDE/>
              <w:autoSpaceDN/>
              <w:bidi w:val="0"/>
              <w:spacing w:line="360" w:lineRule="exact"/>
              <w:ind w:left="0" w:leftChars="0"/>
              <w:jc w:val="left"/>
              <w:rPr>
                <w:rFonts w:hint="eastAsia" w:ascii="宋体" w:hAnsi="宋体" w:eastAsia="宋体" w:cs="宋体"/>
                <w:color w:val="auto"/>
                <w:sz w:val="21"/>
                <w:szCs w:val="21"/>
                <w:highlight w:val="none"/>
              </w:rPr>
            </w:pPr>
          </w:p>
        </w:tc>
        <w:tc>
          <w:tcPr>
            <w:tcW w:w="7624" w:type="dxa"/>
            <w:noWrap w:val="0"/>
            <w:vAlign w:val="top"/>
          </w:tcPr>
          <w:p w14:paraId="08302CD6">
            <w:pPr>
              <w:numPr>
                <w:ilvl w:val="0"/>
                <w:numId w:val="0"/>
              </w:numPr>
              <w:spacing w:line="400" w:lineRule="exact"/>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评委对投标文件中提供的</w:t>
            </w:r>
            <w:r>
              <w:rPr>
                <w:rFonts w:hint="eastAsia" w:ascii="宋体" w:hAnsi="宋体" w:eastAsia="宋体" w:cs="宋体"/>
                <w:b/>
                <w:bCs/>
                <w:color w:val="auto"/>
                <w:kern w:val="0"/>
                <w:sz w:val="21"/>
                <w:szCs w:val="21"/>
                <w:highlight w:val="none"/>
              </w:rPr>
              <w:t>人员培训方案</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分）</w:t>
            </w:r>
          </w:p>
          <w:p w14:paraId="5B53F7F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rPr>
              <w:t>人员培训方案完善合理、</w:t>
            </w:r>
            <w:r>
              <w:rPr>
                <w:rFonts w:hint="eastAsia" w:ascii="宋体" w:hAnsi="宋体" w:eastAsia="宋体" w:cs="宋体"/>
                <w:color w:val="auto"/>
                <w:sz w:val="21"/>
                <w:szCs w:val="21"/>
                <w:highlight w:val="none"/>
                <w:lang w:eastAsia="zh-CN"/>
              </w:rPr>
              <w:t>培训内容科学完整，具有针对性，完全符合采购人使用需求</w:t>
            </w:r>
            <w:r>
              <w:rPr>
                <w:rFonts w:hint="eastAsia" w:ascii="宋体" w:hAnsi="宋体" w:eastAsia="宋体" w:cs="宋体"/>
                <w:color w:val="auto"/>
                <w:sz w:val="21"/>
                <w:szCs w:val="21"/>
                <w:highlight w:val="none"/>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1CF2F70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rPr>
              <w:t>人员培训方案内容较简单，有缺陷，不能完全满足采购人需求的得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399B149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未提供，不得分。</w:t>
            </w:r>
          </w:p>
        </w:tc>
        <w:tc>
          <w:tcPr>
            <w:tcW w:w="650" w:type="dxa"/>
            <w:noWrap w:val="0"/>
            <w:vAlign w:val="center"/>
          </w:tcPr>
          <w:p w14:paraId="6AE0367A">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356" w:type="dxa"/>
            <w:tcBorders>
              <w:right w:val="double" w:color="auto" w:sz="4" w:space="0"/>
            </w:tcBorders>
            <w:noWrap w:val="0"/>
            <w:vAlign w:val="center"/>
          </w:tcPr>
          <w:p w14:paraId="547BF5B9">
            <w:pPr>
              <w:keepNext w:val="0"/>
              <w:keepLines w:val="0"/>
              <w:pageBreakBefore w:val="0"/>
              <w:kinsoku/>
              <w:wordWrap/>
              <w:overflowPunct/>
              <w:topLinePunct w:val="0"/>
              <w:autoSpaceDE/>
              <w:autoSpaceDN/>
              <w:bidi w:val="0"/>
              <w:spacing w:line="360" w:lineRule="exact"/>
              <w:ind w:left="0" w:leftChars="0"/>
              <w:jc w:val="center"/>
              <w:rPr>
                <w:rFonts w:hint="eastAsia" w:ascii="宋体" w:hAnsi="宋体" w:eastAsia="宋体" w:cs="宋体"/>
                <w:color w:val="auto"/>
                <w:sz w:val="21"/>
                <w:szCs w:val="21"/>
                <w:highlight w:val="none"/>
              </w:rPr>
            </w:pPr>
          </w:p>
        </w:tc>
      </w:tr>
      <w:tr w14:paraId="270CE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tcBorders>
              <w:left w:val="double" w:color="auto" w:sz="4" w:space="0"/>
            </w:tcBorders>
            <w:noWrap w:val="0"/>
            <w:vAlign w:val="center"/>
          </w:tcPr>
          <w:p w14:paraId="22E9C60C">
            <w:pPr>
              <w:keepNext w:val="0"/>
              <w:keepLines w:val="0"/>
              <w:pageBreakBefore w:val="0"/>
              <w:widowControl/>
              <w:kinsoku/>
              <w:wordWrap/>
              <w:overflowPunct/>
              <w:topLinePunct w:val="0"/>
              <w:autoSpaceDE/>
              <w:autoSpaceDN/>
              <w:bidi w:val="0"/>
              <w:spacing w:line="360" w:lineRule="exact"/>
              <w:ind w:left="0" w:leftChars="0"/>
              <w:jc w:val="left"/>
              <w:rPr>
                <w:rFonts w:hint="eastAsia" w:ascii="宋体" w:hAnsi="宋体" w:eastAsia="宋体" w:cs="宋体"/>
                <w:color w:val="auto"/>
                <w:sz w:val="21"/>
                <w:szCs w:val="21"/>
                <w:highlight w:val="none"/>
              </w:rPr>
            </w:pPr>
          </w:p>
        </w:tc>
        <w:tc>
          <w:tcPr>
            <w:tcW w:w="7624" w:type="dxa"/>
            <w:noWrap w:val="0"/>
            <w:vAlign w:val="top"/>
          </w:tcPr>
          <w:p w14:paraId="6456EB2D">
            <w:pPr>
              <w:keepNext w:val="0"/>
              <w:keepLines w:val="0"/>
              <w:pageBreakBefore w:val="0"/>
              <w:widowControl w:val="0"/>
              <w:kinsoku/>
              <w:wordWrap/>
              <w:overflowPunct/>
              <w:topLinePunct w:val="0"/>
              <w:bidi w:val="0"/>
              <w:spacing w:line="3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节能环保加分：（1分）：</w:t>
            </w:r>
          </w:p>
          <w:p w14:paraId="0B14CD8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投标产品属于《节能产品政府采购品目清单》范围的且具有国家确定的认证机构出具的、处于有效期之内的节能产品认证证书的得0.5分；</w:t>
            </w:r>
          </w:p>
          <w:p w14:paraId="6281793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投标产品属于《环境标志产品政府采购品目清单》范围的且具有国家确定的认证机构出具的、处于有效期之内的环境标志产品认证证书的得0.5分。</w:t>
            </w:r>
          </w:p>
          <w:p w14:paraId="792A694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注：投标文件中必须同时提供以下资料：</w:t>
            </w:r>
          </w:p>
          <w:p w14:paraId="4FD348E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提供政府采购品目清单相关内容页（并对相关内容作圈记），采购品目清单详见《关于印发环境标志产品政府采购品目清单的通知》（财库〔2019〕18号）和《关于印发节能产品政府采购品目清单的通知》（财库〔2019〕19号）。</w:t>
            </w:r>
          </w:p>
          <w:p w14:paraId="0E1357E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color w:val="auto"/>
                <w:sz w:val="21"/>
                <w:szCs w:val="21"/>
                <w:highlight w:val="none"/>
                <w:lang w:val="en-US" w:eastAsia="zh-CN"/>
              </w:rPr>
              <w:t>（2）《市场监管总局关于发布参与实施政府采购节能产品、环境标志产品认证机构名录的公告》中的认证机构出具的、处于有效期之内的节能产品/环境标志产品认证证书复印件并加盖公章。</w:t>
            </w:r>
          </w:p>
        </w:tc>
        <w:tc>
          <w:tcPr>
            <w:tcW w:w="650" w:type="dxa"/>
            <w:noWrap w:val="0"/>
            <w:vAlign w:val="center"/>
          </w:tcPr>
          <w:p w14:paraId="5D5253C0">
            <w:pPr>
              <w:keepNext w:val="0"/>
              <w:keepLines w:val="0"/>
              <w:pageBreakBefore w:val="0"/>
              <w:kinsoku/>
              <w:wordWrap/>
              <w:overflowPunct/>
              <w:topLinePunct w:val="0"/>
              <w:autoSpaceDE/>
              <w:autoSpaceDN/>
              <w:bidi w:val="0"/>
              <w:spacing w:line="360" w:lineRule="exact"/>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356" w:type="dxa"/>
            <w:tcBorders>
              <w:right w:val="double" w:color="auto" w:sz="4" w:space="0"/>
            </w:tcBorders>
            <w:noWrap w:val="0"/>
            <w:vAlign w:val="center"/>
          </w:tcPr>
          <w:p w14:paraId="49921876">
            <w:pPr>
              <w:keepNext w:val="0"/>
              <w:keepLines w:val="0"/>
              <w:pageBreakBefore w:val="0"/>
              <w:kinsoku/>
              <w:wordWrap/>
              <w:overflowPunct/>
              <w:topLinePunct w:val="0"/>
              <w:autoSpaceDE/>
              <w:autoSpaceDN/>
              <w:bidi w:val="0"/>
              <w:spacing w:line="360" w:lineRule="exact"/>
              <w:ind w:left="0" w:leftChars="0"/>
              <w:jc w:val="center"/>
              <w:rPr>
                <w:rFonts w:hint="eastAsia" w:ascii="宋体" w:hAnsi="宋体" w:eastAsia="宋体" w:cs="宋体"/>
                <w:color w:val="auto"/>
                <w:sz w:val="21"/>
                <w:szCs w:val="21"/>
                <w:highlight w:val="none"/>
              </w:rPr>
            </w:pPr>
          </w:p>
        </w:tc>
      </w:tr>
      <w:tr w14:paraId="5208B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tcBorders>
              <w:left w:val="double" w:color="auto" w:sz="4" w:space="0"/>
            </w:tcBorders>
            <w:noWrap w:val="0"/>
            <w:vAlign w:val="center"/>
          </w:tcPr>
          <w:p w14:paraId="265E8F70">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eastAsia="zh-CN"/>
              </w:rPr>
              <w:t xml:space="preserve"> </w:t>
            </w:r>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价</w:t>
            </w:r>
          </w:p>
          <w:p w14:paraId="15795036">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格</w:t>
            </w:r>
          </w:p>
          <w:p w14:paraId="0482B7CE">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w:t>
            </w:r>
          </w:p>
          <w:p w14:paraId="79867B0D">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30</w:t>
            </w:r>
            <w:r>
              <w:rPr>
                <w:rFonts w:hint="eastAsia" w:ascii="宋体" w:hAnsi="宋体" w:eastAsia="宋体" w:cs="宋体"/>
                <w:b/>
                <w:bCs/>
                <w:color w:val="auto"/>
                <w:sz w:val="21"/>
                <w:szCs w:val="21"/>
                <w:highlight w:val="none"/>
              </w:rPr>
              <w:t>分</w:t>
            </w:r>
          </w:p>
        </w:tc>
        <w:tc>
          <w:tcPr>
            <w:tcW w:w="7624" w:type="dxa"/>
            <w:noWrap w:val="0"/>
            <w:vAlign w:val="center"/>
          </w:tcPr>
          <w:p w14:paraId="23AC163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参与评审的价格=评标价-小微企业价格扣除优惠值</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 xml:space="preserve">-本国产品价格扣除率 </w:t>
            </w:r>
          </w:p>
          <w:p w14:paraId="5F420BE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评标基准价=满足招标文件要求且“参与评审的价格”中最低的价格为评标基准价</w:t>
            </w:r>
          </w:p>
          <w:p w14:paraId="444AD44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基准价得分为满分</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分，其他供应商报价得分计算公式如下：</w:t>
            </w:r>
          </w:p>
          <w:p w14:paraId="151D60C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其他供应商报价得分=（评标基准价/参与评审的价格）×</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%×100</w:t>
            </w:r>
          </w:p>
          <w:p w14:paraId="560CC1D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（保留二位小数）</w:t>
            </w:r>
          </w:p>
        </w:tc>
        <w:tc>
          <w:tcPr>
            <w:tcW w:w="650" w:type="dxa"/>
            <w:noWrap w:val="0"/>
            <w:vAlign w:val="center"/>
          </w:tcPr>
          <w:p w14:paraId="2F925389">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30</w:t>
            </w:r>
          </w:p>
        </w:tc>
        <w:tc>
          <w:tcPr>
            <w:tcW w:w="356" w:type="dxa"/>
            <w:tcBorders>
              <w:right w:val="double" w:color="auto" w:sz="4" w:space="0"/>
            </w:tcBorders>
            <w:noWrap w:val="0"/>
            <w:vAlign w:val="center"/>
          </w:tcPr>
          <w:p w14:paraId="71178E18">
            <w:pPr>
              <w:keepNext w:val="0"/>
              <w:keepLines w:val="0"/>
              <w:pageBreakBefore w:val="0"/>
              <w:kinsoku/>
              <w:wordWrap/>
              <w:overflowPunct/>
              <w:topLinePunct w:val="0"/>
              <w:autoSpaceDE/>
              <w:autoSpaceDN/>
              <w:bidi w:val="0"/>
              <w:spacing w:line="360" w:lineRule="exact"/>
              <w:ind w:left="0" w:leftChars="0"/>
              <w:jc w:val="center"/>
              <w:rPr>
                <w:rFonts w:hint="eastAsia" w:ascii="宋体" w:hAnsi="宋体" w:eastAsia="宋体" w:cs="宋体"/>
                <w:color w:val="auto"/>
                <w:sz w:val="21"/>
                <w:szCs w:val="21"/>
                <w:highlight w:val="none"/>
              </w:rPr>
            </w:pPr>
          </w:p>
        </w:tc>
      </w:tr>
      <w:tr w14:paraId="7F9C1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348" w:type="dxa"/>
            <w:gridSpan w:val="2"/>
            <w:tcBorders>
              <w:left w:val="double" w:color="auto" w:sz="4" w:space="0"/>
              <w:bottom w:val="double" w:color="auto" w:sz="4" w:space="0"/>
            </w:tcBorders>
            <w:noWrap w:val="0"/>
            <w:vAlign w:val="center"/>
          </w:tcPr>
          <w:p w14:paraId="60FF39EE">
            <w:pPr>
              <w:keepNext w:val="0"/>
              <w:keepLines w:val="0"/>
              <w:pageBreakBefore w:val="0"/>
              <w:kinsoku/>
              <w:wordWrap/>
              <w:overflowPunct/>
              <w:topLinePunct w:val="0"/>
              <w:autoSpaceDE/>
              <w:autoSpaceDN/>
              <w:bidi w:val="0"/>
              <w:spacing w:line="360" w:lineRule="exact"/>
              <w:ind w:left="0" w:left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总分100分</w:t>
            </w:r>
          </w:p>
        </w:tc>
        <w:tc>
          <w:tcPr>
            <w:tcW w:w="650" w:type="dxa"/>
            <w:tcBorders>
              <w:bottom w:val="double" w:color="auto" w:sz="4" w:space="0"/>
            </w:tcBorders>
            <w:noWrap w:val="0"/>
            <w:vAlign w:val="center"/>
          </w:tcPr>
          <w:p w14:paraId="1177A406">
            <w:pPr>
              <w:keepNext w:val="0"/>
              <w:keepLines w:val="0"/>
              <w:pageBreakBefore w:val="0"/>
              <w:kinsoku/>
              <w:wordWrap/>
              <w:overflowPunct/>
              <w:topLinePunct w:val="0"/>
              <w:autoSpaceDE/>
              <w:autoSpaceDN/>
              <w:bidi w:val="0"/>
              <w:spacing w:line="36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=SUM(ABOVE)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rPr>
              <w:fldChar w:fldCharType="end"/>
            </w:r>
          </w:p>
        </w:tc>
        <w:tc>
          <w:tcPr>
            <w:tcW w:w="356" w:type="dxa"/>
            <w:tcBorders>
              <w:bottom w:val="double" w:color="auto" w:sz="4" w:space="0"/>
              <w:right w:val="double" w:color="auto" w:sz="4" w:space="0"/>
            </w:tcBorders>
            <w:noWrap w:val="0"/>
            <w:vAlign w:val="center"/>
          </w:tcPr>
          <w:p w14:paraId="08E79A56">
            <w:pPr>
              <w:keepNext w:val="0"/>
              <w:keepLines w:val="0"/>
              <w:pageBreakBefore w:val="0"/>
              <w:kinsoku/>
              <w:wordWrap/>
              <w:overflowPunct/>
              <w:topLinePunct w:val="0"/>
              <w:autoSpaceDE/>
              <w:autoSpaceDN/>
              <w:bidi w:val="0"/>
              <w:spacing w:line="360" w:lineRule="exact"/>
              <w:ind w:left="0" w:leftChars="0"/>
              <w:jc w:val="center"/>
              <w:rPr>
                <w:rFonts w:hint="eastAsia" w:ascii="宋体" w:hAnsi="宋体" w:eastAsia="宋体" w:cs="宋体"/>
                <w:color w:val="auto"/>
                <w:sz w:val="21"/>
                <w:szCs w:val="21"/>
                <w:highlight w:val="none"/>
              </w:rPr>
            </w:pPr>
          </w:p>
        </w:tc>
      </w:tr>
    </w:tbl>
    <w:p w14:paraId="6DDE166C">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outlineLvl w:val="0"/>
        <w:rPr>
          <w:rFonts w:hint="eastAsia" w:ascii="Arial" w:hAnsi="Arial" w:cs="宋体"/>
          <w:b/>
          <w:color w:val="auto"/>
          <w:sz w:val="28"/>
          <w:szCs w:val="28"/>
          <w:highlight w:val="none"/>
        </w:rPr>
      </w:pPr>
    </w:p>
    <w:p w14:paraId="76940579">
      <w:pPr>
        <w:snapToGrid w:val="0"/>
        <w:spacing w:before="120" w:beforeLines="50" w:line="360" w:lineRule="auto"/>
        <w:rPr>
          <w:rFonts w:ascii="Arial" w:hAnsi="Arial" w:cs="宋体"/>
          <w:b/>
          <w:color w:val="auto"/>
          <w:szCs w:val="21"/>
          <w:highlight w:val="none"/>
        </w:rPr>
      </w:pPr>
      <w:r>
        <w:rPr>
          <w:rFonts w:hint="eastAsia" w:ascii="Arial" w:hAnsi="Arial" w:cs="宋体"/>
          <w:b/>
          <w:color w:val="auto"/>
          <w:szCs w:val="21"/>
          <w:highlight w:val="none"/>
        </w:rPr>
        <w:t>备注：</w:t>
      </w:r>
      <w:r>
        <w:rPr>
          <w:rFonts w:hint="eastAsia" w:ascii="Arial" w:hAnsi="Arial" w:cs="宋体"/>
          <w:bCs/>
          <w:color w:val="auto"/>
          <w:szCs w:val="21"/>
          <w:highlight w:val="none"/>
        </w:rPr>
        <w:t>1、</w:t>
      </w:r>
      <w:r>
        <w:rPr>
          <w:rFonts w:hint="eastAsia" w:ascii="Arial" w:hAnsi="Arial" w:cs="宋体"/>
          <w:color w:val="auto"/>
          <w:szCs w:val="21"/>
          <w:highlight w:val="none"/>
        </w:rPr>
        <w:t>供应商编制投标文件（商务技术文件部分）时，建议按此目录（序号和内容）提供评标标准相应的商务技术资料。 2、评委在上表设定的分值范围内进行评分（四舍五入保留两位小数），平均分值计算四舍五入保留两位小数。</w:t>
      </w:r>
    </w:p>
    <w:p w14:paraId="7DCB91B5">
      <w:pPr>
        <w:numPr>
          <w:ilvl w:val="0"/>
          <w:numId w:val="13"/>
        </w:numPr>
        <w:snapToGrid w:val="0"/>
        <w:spacing w:before="120" w:beforeLines="50" w:line="360" w:lineRule="auto"/>
        <w:ind w:firstLine="0"/>
        <w:rPr>
          <w:rFonts w:ascii="Arial" w:hAnsi="Arial" w:cs="宋体"/>
          <w:b/>
          <w:color w:val="auto"/>
          <w:szCs w:val="28"/>
          <w:highlight w:val="none"/>
        </w:rPr>
      </w:pPr>
      <w:r>
        <w:rPr>
          <w:rFonts w:hint="eastAsia" w:ascii="Arial" w:hAnsi="Arial" w:cs="宋体"/>
          <w:b/>
          <w:color w:val="auto"/>
          <w:sz w:val="32"/>
          <w:highlight w:val="none"/>
        </w:rPr>
        <w:br w:type="page"/>
      </w:r>
      <w:r>
        <w:rPr>
          <w:rFonts w:hint="eastAsia" w:ascii="Arial" w:hAnsi="Arial" w:cs="宋体"/>
          <w:b/>
          <w:color w:val="auto"/>
          <w:highlight w:val="none"/>
        </w:rPr>
        <w:t>评标方法</w:t>
      </w:r>
    </w:p>
    <w:p w14:paraId="798B4E5C">
      <w:pPr>
        <w:snapToGrid w:val="0"/>
        <w:spacing w:line="360" w:lineRule="auto"/>
        <w:ind w:firstLine="413" w:firstLineChars="196"/>
        <w:rPr>
          <w:rFonts w:ascii="Arial" w:hAnsi="Arial" w:cs="宋体"/>
          <w:color w:val="auto"/>
          <w:kern w:val="0"/>
          <w:highlight w:val="none"/>
        </w:rPr>
      </w:pPr>
      <w:r>
        <w:rPr>
          <w:rFonts w:hint="eastAsia" w:ascii="Arial" w:hAnsi="Arial" w:cs="宋体"/>
          <w:b/>
          <w:color w:val="auto"/>
          <w:kern w:val="0"/>
          <w:highlight w:val="none"/>
        </w:rPr>
        <w:t>1、本项目采用综合评分法。</w:t>
      </w:r>
      <w:r>
        <w:rPr>
          <w:rFonts w:hint="eastAsia" w:ascii="Arial" w:hAnsi="Arial" w:cs="宋体"/>
          <w:color w:val="auto"/>
          <w:kern w:val="0"/>
          <w:highlight w:val="none"/>
        </w:rPr>
        <w:t>综合评分法，是指投标文件满足采购文件全部实质性要求，且按照评审因素的量化指标评审得分最高的供应商为中标候选人的评标方法。</w:t>
      </w:r>
    </w:p>
    <w:p w14:paraId="32CAE079">
      <w:pPr>
        <w:numPr>
          <w:ilvl w:val="0"/>
          <w:numId w:val="13"/>
        </w:numPr>
        <w:snapToGrid w:val="0"/>
        <w:spacing w:before="120" w:beforeLines="50" w:line="360" w:lineRule="auto"/>
        <w:ind w:firstLine="0"/>
        <w:rPr>
          <w:rFonts w:ascii="Arial" w:hAnsi="Arial" w:cs="宋体"/>
          <w:b/>
          <w:color w:val="auto"/>
          <w:highlight w:val="none"/>
        </w:rPr>
      </w:pPr>
      <w:r>
        <w:rPr>
          <w:rFonts w:hint="eastAsia" w:ascii="Arial" w:hAnsi="Arial" w:cs="宋体"/>
          <w:b/>
          <w:color w:val="auto"/>
          <w:highlight w:val="none"/>
        </w:rPr>
        <w:t>评标标准</w:t>
      </w:r>
    </w:p>
    <w:p w14:paraId="66937678">
      <w:pPr>
        <w:snapToGrid w:val="0"/>
        <w:spacing w:line="360" w:lineRule="auto"/>
        <w:ind w:firstLine="413" w:firstLineChars="196"/>
        <w:rPr>
          <w:rFonts w:ascii="Arial" w:hAnsi="Arial" w:cs="宋体"/>
          <w:b/>
          <w:color w:val="auto"/>
          <w:highlight w:val="none"/>
        </w:rPr>
      </w:pPr>
      <w:r>
        <w:rPr>
          <w:rFonts w:hint="eastAsia" w:ascii="Arial" w:hAnsi="Arial" w:cs="宋体"/>
          <w:b/>
          <w:color w:val="auto"/>
          <w:highlight w:val="none"/>
        </w:rPr>
        <w:t>2、评标标准：</w:t>
      </w:r>
      <w:r>
        <w:rPr>
          <w:rFonts w:hint="eastAsia" w:ascii="Arial" w:hAnsi="Arial" w:cs="宋体"/>
          <w:color w:val="auto"/>
          <w:kern w:val="0"/>
          <w:highlight w:val="none"/>
        </w:rPr>
        <w:t>见评标办法前附表。</w:t>
      </w:r>
    </w:p>
    <w:p w14:paraId="3D0BFD18">
      <w:pPr>
        <w:numPr>
          <w:ilvl w:val="0"/>
          <w:numId w:val="13"/>
        </w:numPr>
        <w:snapToGrid w:val="0"/>
        <w:spacing w:before="120" w:beforeLines="50" w:line="360" w:lineRule="auto"/>
        <w:ind w:firstLine="0"/>
        <w:rPr>
          <w:rFonts w:ascii="Arial" w:hAnsi="Arial" w:cs="宋体"/>
          <w:b/>
          <w:color w:val="auto"/>
          <w:highlight w:val="none"/>
        </w:rPr>
      </w:pPr>
      <w:bookmarkStart w:id="472" w:name="_Toc7008"/>
      <w:r>
        <w:rPr>
          <w:rFonts w:hint="eastAsia" w:ascii="Arial" w:hAnsi="Arial" w:cs="宋体"/>
          <w:b/>
          <w:color w:val="auto"/>
          <w:highlight w:val="none"/>
        </w:rPr>
        <w:t>评标程序</w:t>
      </w:r>
      <w:bookmarkEnd w:id="472"/>
    </w:p>
    <w:p w14:paraId="5FA12E70">
      <w:pPr>
        <w:numPr>
          <w:ilvl w:val="0"/>
          <w:numId w:val="1"/>
        </w:numPr>
        <w:snapToGrid w:val="0"/>
        <w:spacing w:line="360" w:lineRule="auto"/>
        <w:rPr>
          <w:rFonts w:ascii="Arial" w:hAnsi="Arial" w:cs="宋体"/>
          <w:b/>
          <w:color w:val="auto"/>
          <w:kern w:val="0"/>
          <w:highlight w:val="none"/>
        </w:rPr>
      </w:pPr>
      <w:r>
        <w:rPr>
          <w:rFonts w:hint="eastAsia" w:ascii="Arial" w:hAnsi="Arial" w:cs="宋体"/>
          <w:b/>
          <w:color w:val="auto"/>
          <w:kern w:val="0"/>
          <w:highlight w:val="none"/>
        </w:rPr>
        <w:t>符合性审查。</w:t>
      </w:r>
      <w:r>
        <w:rPr>
          <w:rFonts w:hint="eastAsia" w:ascii="Arial" w:hAnsi="Arial" w:cs="宋体"/>
          <w:bCs/>
          <w:color w:val="auto"/>
          <w:kern w:val="0"/>
          <w:highlight w:val="none"/>
        </w:rPr>
        <w:t>评标委员会应当对符合资格的供应商的投标文件进行符合性审查，以确定其是否满足采购文件的实质性要求。不满足采购文件的实质性要求的，投标无效。</w:t>
      </w:r>
    </w:p>
    <w:p w14:paraId="0BA6F399">
      <w:pPr>
        <w:numPr>
          <w:ilvl w:val="0"/>
          <w:numId w:val="1"/>
        </w:numPr>
        <w:snapToGrid w:val="0"/>
        <w:spacing w:line="360" w:lineRule="auto"/>
        <w:rPr>
          <w:rFonts w:ascii="Arial" w:hAnsi="Arial" w:cs="宋体"/>
          <w:b/>
          <w:color w:val="auto"/>
          <w:kern w:val="0"/>
          <w:highlight w:val="none"/>
        </w:rPr>
      </w:pPr>
      <w:r>
        <w:rPr>
          <w:rFonts w:hint="eastAsia" w:ascii="Arial" w:hAnsi="Arial" w:cs="宋体"/>
          <w:b/>
          <w:color w:val="auto"/>
          <w:kern w:val="0"/>
          <w:highlight w:val="none"/>
        </w:rPr>
        <w:t>比较与评价。</w:t>
      </w:r>
      <w:r>
        <w:rPr>
          <w:rFonts w:hint="eastAsia" w:ascii="Arial" w:hAnsi="Arial" w:cs="宋体"/>
          <w:bCs/>
          <w:color w:val="auto"/>
          <w:kern w:val="0"/>
          <w:highlight w:val="none"/>
        </w:rPr>
        <w:t>评标委员会应当按照采购文件中规定的评标方法和标准，对符合性审查合格的投标文件进行商务和技术评估，综合比较与评价。</w:t>
      </w:r>
    </w:p>
    <w:p w14:paraId="2E65EF86">
      <w:pPr>
        <w:numPr>
          <w:ilvl w:val="0"/>
          <w:numId w:val="1"/>
        </w:numPr>
        <w:snapToGrid w:val="0"/>
        <w:spacing w:line="360" w:lineRule="auto"/>
        <w:rPr>
          <w:rFonts w:ascii="Arial" w:hAnsi="Arial" w:cs="宋体"/>
          <w:b/>
          <w:color w:val="auto"/>
          <w:kern w:val="0"/>
          <w:highlight w:val="none"/>
        </w:rPr>
      </w:pPr>
      <w:r>
        <w:rPr>
          <w:rFonts w:hint="eastAsia" w:ascii="Arial" w:hAnsi="Arial" w:cs="宋体"/>
          <w:b/>
          <w:color w:val="auto"/>
          <w:kern w:val="0"/>
          <w:highlight w:val="none"/>
        </w:rPr>
        <w:t>汇总商务技术得分。</w:t>
      </w:r>
      <w:r>
        <w:rPr>
          <w:rFonts w:hint="eastAsia" w:ascii="Arial" w:hAnsi="Arial" w:cs="宋体"/>
          <w:bCs/>
          <w:color w:val="auto"/>
          <w:kern w:val="0"/>
          <w:highlight w:val="none"/>
        </w:rPr>
        <w:t>评标委员会各成员应当独立对每个供应商的商务和技术文件进行评价，并汇总商务技术得分情况。</w:t>
      </w:r>
      <w:r>
        <w:rPr>
          <w:rFonts w:hint="eastAsia" w:ascii="Arial" w:hAnsi="Arial"/>
          <w:color w:val="auto"/>
          <w:szCs w:val="21"/>
          <w:highlight w:val="none"/>
        </w:rPr>
        <w:t>对明显畸高、畸低的评分（评审小组成员个人主观总评分偏离所有评审小组成员主观总评分平均分30%以上的），评标委员会主任评委应提醒相关评标委员会成员进行复核或书面说明理由，评标委员会成员拒绝说明的，由现场监督员据实记录；评标委员会成员的评审、修改记录应保留原件，随项目其他资料一并存档。评标委员会对需要共同认定的事项存在争议的，按照少数服从多数的原则做出结论。持不同意见的评标委员会成员应当在评审报告上签署不同意见并说明理由，否则视为同意。</w:t>
      </w:r>
    </w:p>
    <w:p w14:paraId="0ABE449A">
      <w:pPr>
        <w:numPr>
          <w:ilvl w:val="0"/>
          <w:numId w:val="1"/>
        </w:numPr>
        <w:snapToGrid w:val="0"/>
        <w:spacing w:line="0" w:lineRule="atLeast"/>
        <w:ind w:left="431" w:hanging="431"/>
        <w:rPr>
          <w:rFonts w:ascii="Arial" w:hAnsi="Arial" w:cs="宋体"/>
          <w:b/>
          <w:color w:val="auto"/>
          <w:kern w:val="0"/>
          <w:highlight w:val="none"/>
        </w:rPr>
      </w:pPr>
      <w:r>
        <w:rPr>
          <w:rFonts w:hint="eastAsia" w:ascii="Arial" w:hAnsi="Arial" w:cs="宋体"/>
          <w:b/>
          <w:color w:val="auto"/>
          <w:kern w:val="0"/>
          <w:highlight w:val="none"/>
        </w:rPr>
        <w:t>报价评审。</w:t>
      </w:r>
    </w:p>
    <w:p w14:paraId="0118B5BB">
      <w:pPr>
        <w:pStyle w:val="190"/>
        <w:keepNext w:val="0"/>
        <w:keepLines w:val="0"/>
        <w:pageBreakBefore w:val="0"/>
        <w:widowControl w:val="0"/>
        <w:numPr>
          <w:ilvl w:val="0"/>
          <w:numId w:val="0"/>
        </w:numPr>
        <w:kinsoku/>
        <w:wordWrap/>
        <w:overflowPunct/>
        <w:topLinePunct w:val="0"/>
        <w:autoSpaceDE/>
        <w:autoSpaceDN/>
        <w:bidi w:val="0"/>
        <w:adjustRightInd/>
        <w:snapToGrid w:val="0"/>
        <w:spacing w:before="0" w:line="0" w:lineRule="atLeast"/>
        <w:ind w:left="403" w:leftChars="0"/>
        <w:textAlignment w:val="auto"/>
        <w:rPr>
          <w:rFonts w:hint="eastAsia" w:ascii="Arial" w:hAnsi="Arial" w:eastAsia="宋体" w:cs="Times New Roman"/>
          <w:color w:val="auto"/>
          <w:kern w:val="2"/>
          <w:sz w:val="21"/>
          <w:szCs w:val="21"/>
          <w:highlight w:val="none"/>
          <w:lang w:val="en-US" w:eastAsia="zh-CN" w:bidi="ar-SA"/>
        </w:rPr>
      </w:pPr>
      <w:r>
        <w:rPr>
          <w:rFonts w:hint="eastAsia" w:ascii="Arial" w:hAnsi="Arial" w:eastAsia="宋体" w:cs="Times New Roman"/>
          <w:color w:val="auto"/>
          <w:kern w:val="2"/>
          <w:sz w:val="21"/>
          <w:szCs w:val="21"/>
          <w:highlight w:val="none"/>
          <w:lang w:val="en-US" w:eastAsia="zh-CN" w:bidi="ar-SA"/>
        </w:rPr>
        <w:t>4.1投标文件报价出现前后不一致的，按照下列规定修正：</w:t>
      </w:r>
    </w:p>
    <w:p w14:paraId="0B68C993">
      <w:pPr>
        <w:pStyle w:val="190"/>
        <w:keepNext w:val="0"/>
        <w:keepLines w:val="0"/>
        <w:pageBreakBefore w:val="0"/>
        <w:widowControl w:val="0"/>
        <w:numPr>
          <w:ilvl w:val="0"/>
          <w:numId w:val="0"/>
        </w:numPr>
        <w:kinsoku/>
        <w:wordWrap/>
        <w:overflowPunct/>
        <w:topLinePunct w:val="0"/>
        <w:autoSpaceDE/>
        <w:autoSpaceDN/>
        <w:bidi w:val="0"/>
        <w:adjustRightInd/>
        <w:snapToGrid w:val="0"/>
        <w:spacing w:before="0" w:line="0" w:lineRule="atLeast"/>
        <w:ind w:left="403" w:leftChars="0"/>
        <w:textAlignment w:val="auto"/>
        <w:rPr>
          <w:rFonts w:hint="eastAsia" w:ascii="Arial" w:hAnsi="Arial" w:eastAsia="宋体" w:cs="Times New Roman"/>
          <w:color w:val="auto"/>
          <w:kern w:val="2"/>
          <w:sz w:val="21"/>
          <w:szCs w:val="21"/>
          <w:highlight w:val="none"/>
          <w:lang w:val="en-US" w:eastAsia="zh-CN" w:bidi="ar-SA"/>
        </w:rPr>
      </w:pPr>
      <w:r>
        <w:rPr>
          <w:rFonts w:hint="eastAsia" w:ascii="Arial" w:hAnsi="Arial" w:eastAsia="宋体" w:cs="Times New Roman"/>
          <w:color w:val="auto"/>
          <w:kern w:val="2"/>
          <w:sz w:val="21"/>
          <w:szCs w:val="21"/>
          <w:highlight w:val="none"/>
          <w:lang w:val="en-US" w:eastAsia="zh-CN" w:bidi="ar-SA"/>
        </w:rPr>
        <w:t>4.1.1投标文件中开标一览表（报价表）内容与投标文件中相应内容不一致的，以开标一览表（报价表）为准；</w:t>
      </w:r>
    </w:p>
    <w:p w14:paraId="7129BED2">
      <w:pPr>
        <w:pStyle w:val="190"/>
        <w:keepNext w:val="0"/>
        <w:keepLines w:val="0"/>
        <w:pageBreakBefore w:val="0"/>
        <w:widowControl w:val="0"/>
        <w:numPr>
          <w:ilvl w:val="0"/>
          <w:numId w:val="0"/>
        </w:numPr>
        <w:kinsoku/>
        <w:wordWrap/>
        <w:overflowPunct/>
        <w:topLinePunct w:val="0"/>
        <w:autoSpaceDE/>
        <w:autoSpaceDN/>
        <w:bidi w:val="0"/>
        <w:adjustRightInd/>
        <w:snapToGrid w:val="0"/>
        <w:spacing w:before="0" w:line="0" w:lineRule="atLeast"/>
        <w:ind w:left="403" w:leftChars="0"/>
        <w:textAlignment w:val="auto"/>
        <w:rPr>
          <w:rFonts w:hint="eastAsia" w:ascii="Arial" w:hAnsi="Arial" w:eastAsia="宋体" w:cs="Times New Roman"/>
          <w:color w:val="auto"/>
          <w:kern w:val="2"/>
          <w:sz w:val="21"/>
          <w:szCs w:val="21"/>
          <w:highlight w:val="none"/>
          <w:lang w:val="en-US" w:eastAsia="zh-CN" w:bidi="ar-SA"/>
        </w:rPr>
      </w:pPr>
      <w:r>
        <w:rPr>
          <w:rFonts w:hint="eastAsia" w:ascii="Arial" w:hAnsi="Arial" w:eastAsia="宋体" w:cs="Times New Roman"/>
          <w:color w:val="auto"/>
          <w:kern w:val="2"/>
          <w:sz w:val="21"/>
          <w:szCs w:val="21"/>
          <w:highlight w:val="none"/>
          <w:lang w:val="en-US" w:eastAsia="zh-CN" w:bidi="ar-SA"/>
        </w:rPr>
        <w:t>4.1.2大写金额和小写金额不一致的，以大写金额为准；</w:t>
      </w:r>
    </w:p>
    <w:p w14:paraId="3A1F4F39">
      <w:pPr>
        <w:pStyle w:val="190"/>
        <w:keepNext w:val="0"/>
        <w:keepLines w:val="0"/>
        <w:pageBreakBefore w:val="0"/>
        <w:widowControl w:val="0"/>
        <w:numPr>
          <w:ilvl w:val="0"/>
          <w:numId w:val="0"/>
        </w:numPr>
        <w:kinsoku/>
        <w:wordWrap/>
        <w:overflowPunct/>
        <w:topLinePunct w:val="0"/>
        <w:autoSpaceDE/>
        <w:autoSpaceDN/>
        <w:bidi w:val="0"/>
        <w:adjustRightInd/>
        <w:snapToGrid w:val="0"/>
        <w:spacing w:before="0" w:line="0" w:lineRule="atLeast"/>
        <w:ind w:left="403" w:leftChars="0"/>
        <w:textAlignment w:val="auto"/>
        <w:rPr>
          <w:rFonts w:hint="eastAsia" w:ascii="Arial" w:hAnsi="Arial" w:eastAsia="宋体" w:cs="Times New Roman"/>
          <w:color w:val="auto"/>
          <w:kern w:val="2"/>
          <w:sz w:val="21"/>
          <w:szCs w:val="21"/>
          <w:highlight w:val="none"/>
          <w:lang w:val="en-US" w:eastAsia="zh-CN" w:bidi="ar-SA"/>
        </w:rPr>
      </w:pPr>
      <w:r>
        <w:rPr>
          <w:rFonts w:hint="eastAsia" w:ascii="Arial" w:hAnsi="Arial" w:eastAsia="宋体" w:cs="Times New Roman"/>
          <w:color w:val="auto"/>
          <w:kern w:val="2"/>
          <w:sz w:val="21"/>
          <w:szCs w:val="21"/>
          <w:highlight w:val="none"/>
          <w:lang w:val="en-US" w:eastAsia="zh-CN" w:bidi="ar-SA"/>
        </w:rPr>
        <w:t>4.1.3单价金额小数点或者百分比有明显错位的，以开标一览表的总价为准，并修改单价；</w:t>
      </w:r>
    </w:p>
    <w:p w14:paraId="0E339815">
      <w:pPr>
        <w:pStyle w:val="190"/>
        <w:keepNext w:val="0"/>
        <w:keepLines w:val="0"/>
        <w:pageBreakBefore w:val="0"/>
        <w:widowControl w:val="0"/>
        <w:numPr>
          <w:ilvl w:val="0"/>
          <w:numId w:val="0"/>
        </w:numPr>
        <w:kinsoku/>
        <w:wordWrap/>
        <w:overflowPunct/>
        <w:topLinePunct w:val="0"/>
        <w:autoSpaceDE/>
        <w:autoSpaceDN/>
        <w:bidi w:val="0"/>
        <w:adjustRightInd/>
        <w:snapToGrid w:val="0"/>
        <w:spacing w:before="0" w:line="0" w:lineRule="atLeast"/>
        <w:ind w:left="403" w:leftChars="0"/>
        <w:textAlignment w:val="auto"/>
        <w:rPr>
          <w:rFonts w:hint="eastAsia" w:ascii="Arial" w:hAnsi="Arial" w:eastAsia="宋体" w:cs="Times New Roman"/>
          <w:color w:val="auto"/>
          <w:kern w:val="2"/>
          <w:sz w:val="21"/>
          <w:szCs w:val="21"/>
          <w:highlight w:val="none"/>
          <w:lang w:val="en-US" w:eastAsia="zh-CN" w:bidi="ar-SA"/>
        </w:rPr>
      </w:pPr>
      <w:r>
        <w:rPr>
          <w:rFonts w:hint="eastAsia" w:ascii="Arial" w:hAnsi="Arial" w:eastAsia="宋体" w:cs="Times New Roman"/>
          <w:color w:val="auto"/>
          <w:kern w:val="2"/>
          <w:sz w:val="21"/>
          <w:szCs w:val="21"/>
          <w:highlight w:val="none"/>
          <w:lang w:val="en-US" w:eastAsia="zh-CN" w:bidi="ar-SA"/>
        </w:rPr>
        <w:t>4.1.4总价金额与按单价汇总金额不一致的，以单价金额计算结果为准。</w:t>
      </w:r>
    </w:p>
    <w:p w14:paraId="4D88A2E4">
      <w:pPr>
        <w:pStyle w:val="190"/>
        <w:keepNext w:val="0"/>
        <w:keepLines w:val="0"/>
        <w:pageBreakBefore w:val="0"/>
        <w:widowControl w:val="0"/>
        <w:numPr>
          <w:ilvl w:val="0"/>
          <w:numId w:val="0"/>
        </w:numPr>
        <w:kinsoku/>
        <w:wordWrap/>
        <w:overflowPunct/>
        <w:topLinePunct w:val="0"/>
        <w:autoSpaceDE/>
        <w:autoSpaceDN/>
        <w:bidi w:val="0"/>
        <w:adjustRightInd/>
        <w:snapToGrid w:val="0"/>
        <w:spacing w:before="0" w:line="0" w:lineRule="atLeast"/>
        <w:ind w:left="403" w:leftChars="0"/>
        <w:textAlignment w:val="auto"/>
        <w:rPr>
          <w:rFonts w:hint="eastAsia" w:ascii="Arial" w:hAnsi="Arial" w:eastAsia="宋体" w:cs="Times New Roman"/>
          <w:color w:val="auto"/>
          <w:kern w:val="2"/>
          <w:sz w:val="21"/>
          <w:szCs w:val="21"/>
          <w:highlight w:val="none"/>
          <w:lang w:val="en-US" w:eastAsia="zh-CN" w:bidi="ar-SA"/>
        </w:rPr>
      </w:pPr>
      <w:r>
        <w:rPr>
          <w:rFonts w:hint="eastAsia" w:ascii="Arial" w:hAnsi="Arial" w:eastAsia="宋体" w:cs="Times New Roman"/>
          <w:color w:val="auto"/>
          <w:kern w:val="2"/>
          <w:sz w:val="21"/>
          <w:szCs w:val="21"/>
          <w:highlight w:val="none"/>
          <w:lang w:val="en-US" w:eastAsia="zh-CN" w:bidi="ar-SA"/>
        </w:rPr>
        <w:t>4.1.5同时出现两种以上不一致的，按照4.1规定的顺序修正。修正后的报价按照财政部第87号令《政府采购货物和服务招标投标管理办法》第五十一条第二款的规定经供应商确认后产生约束力。</w:t>
      </w:r>
    </w:p>
    <w:p w14:paraId="4EF0051D">
      <w:pPr>
        <w:pStyle w:val="190"/>
        <w:keepNext w:val="0"/>
        <w:keepLines w:val="0"/>
        <w:pageBreakBefore w:val="0"/>
        <w:widowControl w:val="0"/>
        <w:numPr>
          <w:ilvl w:val="0"/>
          <w:numId w:val="0"/>
        </w:numPr>
        <w:kinsoku/>
        <w:wordWrap/>
        <w:overflowPunct/>
        <w:topLinePunct w:val="0"/>
        <w:autoSpaceDE/>
        <w:autoSpaceDN/>
        <w:bidi w:val="0"/>
        <w:adjustRightInd/>
        <w:snapToGrid w:val="0"/>
        <w:spacing w:before="0" w:line="0" w:lineRule="atLeast"/>
        <w:ind w:left="403" w:leftChars="0"/>
        <w:textAlignment w:val="auto"/>
        <w:rPr>
          <w:rFonts w:hint="eastAsia" w:ascii="Arial" w:hAnsi="Arial" w:eastAsia="宋体" w:cs="Times New Roman"/>
          <w:color w:val="auto"/>
          <w:kern w:val="2"/>
          <w:sz w:val="21"/>
          <w:szCs w:val="21"/>
          <w:highlight w:val="none"/>
          <w:lang w:val="en-US" w:eastAsia="zh-CN" w:bidi="ar-SA"/>
        </w:rPr>
      </w:pPr>
      <w:r>
        <w:rPr>
          <w:rFonts w:hint="eastAsia" w:ascii="Arial" w:hAnsi="Arial" w:eastAsia="宋体" w:cs="Times New Roman"/>
          <w:color w:val="auto"/>
          <w:kern w:val="2"/>
          <w:sz w:val="21"/>
          <w:szCs w:val="21"/>
          <w:highlight w:val="none"/>
          <w:lang w:val="en-US" w:eastAsia="zh-CN" w:bidi="ar-SA"/>
        </w:rPr>
        <w:t>4.1.6浙江政府采购云平台填写的投标报价与浙江政府采购云平台上传的电子投标文件中的投标报价不一致的，以上传的电子投标文件中的投标报价为准。</w:t>
      </w:r>
    </w:p>
    <w:p w14:paraId="2EDBF74D">
      <w:pPr>
        <w:pStyle w:val="190"/>
        <w:widowControl w:val="0"/>
        <w:numPr>
          <w:ilvl w:val="0"/>
          <w:numId w:val="0"/>
        </w:numPr>
        <w:snapToGrid w:val="0"/>
        <w:spacing w:before="0" w:beforeAutospacing="0" w:after="0" w:afterAutospacing="0"/>
        <w:ind w:left="400" w:leftChars="0"/>
        <w:rPr>
          <w:rFonts w:hint="eastAsia" w:ascii="Arial" w:hAnsi="Arial"/>
          <w:b/>
          <w:bCs/>
          <w:color w:val="auto"/>
          <w:sz w:val="21"/>
          <w:szCs w:val="21"/>
          <w:highlight w:val="none"/>
          <w:lang w:val="en-US" w:eastAsia="zh-CN"/>
        </w:rPr>
      </w:pPr>
      <w:r>
        <w:rPr>
          <w:rFonts w:hint="eastAsia" w:ascii="Arial" w:hAnsi="Arial"/>
          <w:b/>
          <w:bCs/>
          <w:color w:val="auto"/>
          <w:sz w:val="21"/>
          <w:szCs w:val="21"/>
          <w:highlight w:val="none"/>
          <w:lang w:val="en-US" w:eastAsia="zh-CN"/>
        </w:rPr>
        <w:t>4.2政府采购异常低价审查</w:t>
      </w:r>
    </w:p>
    <w:p w14:paraId="134BB7A0">
      <w:pPr>
        <w:pStyle w:val="190"/>
        <w:widowControl w:val="0"/>
        <w:numPr>
          <w:ilvl w:val="0"/>
          <w:numId w:val="0"/>
        </w:numPr>
        <w:snapToGrid w:val="0"/>
        <w:spacing w:before="0" w:beforeAutospacing="0" w:after="0" w:afterAutospacing="0"/>
        <w:ind w:left="400" w:leftChars="0"/>
        <w:rPr>
          <w:rFonts w:hint="eastAsia" w:ascii="Arial" w:hAnsi="Arial"/>
          <w:b w:val="0"/>
          <w:bCs w:val="0"/>
          <w:color w:val="auto"/>
          <w:sz w:val="21"/>
          <w:szCs w:val="21"/>
          <w:highlight w:val="none"/>
          <w:lang w:val="en-US" w:eastAsia="zh-CN"/>
        </w:rPr>
      </w:pPr>
      <w:r>
        <w:rPr>
          <w:rFonts w:hint="eastAsia" w:ascii="Arial" w:hAnsi="Arial"/>
          <w:b w:val="0"/>
          <w:bCs w:val="0"/>
          <w:color w:val="auto"/>
          <w:sz w:val="21"/>
          <w:szCs w:val="21"/>
          <w:highlight w:val="none"/>
          <w:lang w:val="en-US" w:eastAsia="zh-CN"/>
        </w:rPr>
        <w:t>（一）政府采购评审中出现下列情形之一的，评审委员会应当启动异常低价投标（响应）审查程序：</w:t>
      </w:r>
    </w:p>
    <w:p w14:paraId="38F84B11">
      <w:pPr>
        <w:pStyle w:val="190"/>
        <w:widowControl w:val="0"/>
        <w:numPr>
          <w:ilvl w:val="0"/>
          <w:numId w:val="0"/>
        </w:numPr>
        <w:snapToGrid w:val="0"/>
        <w:spacing w:before="0" w:beforeAutospacing="0" w:after="0" w:afterAutospacing="0"/>
        <w:ind w:left="400" w:leftChars="0"/>
        <w:rPr>
          <w:rFonts w:hint="eastAsia" w:ascii="Arial" w:hAnsi="Arial"/>
          <w:b w:val="0"/>
          <w:bCs w:val="0"/>
          <w:color w:val="auto"/>
          <w:sz w:val="21"/>
          <w:szCs w:val="21"/>
          <w:highlight w:val="none"/>
          <w:lang w:val="en-US" w:eastAsia="zh-CN"/>
        </w:rPr>
      </w:pPr>
      <w:r>
        <w:rPr>
          <w:rFonts w:hint="eastAsia" w:ascii="Arial" w:hAnsi="Arial"/>
          <w:b w:val="0"/>
          <w:bCs w:val="0"/>
          <w:color w:val="auto"/>
          <w:sz w:val="21"/>
          <w:szCs w:val="21"/>
          <w:highlight w:val="none"/>
          <w:lang w:val="en-US" w:eastAsia="zh-CN"/>
        </w:rPr>
        <w:t>1.投标（响应）报价低于全部通过符合性审查供应商投标（响应）报价平均值50%的，即投标（响应）报价&lt;全部通过符合性审查供应商投标（响应）报价平均值×50%；</w:t>
      </w:r>
    </w:p>
    <w:p w14:paraId="72D11627">
      <w:pPr>
        <w:pStyle w:val="190"/>
        <w:widowControl w:val="0"/>
        <w:numPr>
          <w:ilvl w:val="0"/>
          <w:numId w:val="0"/>
        </w:numPr>
        <w:snapToGrid w:val="0"/>
        <w:spacing w:before="0" w:beforeAutospacing="0" w:after="0" w:afterAutospacing="0"/>
        <w:ind w:left="400" w:leftChars="0"/>
        <w:rPr>
          <w:rFonts w:hint="eastAsia" w:ascii="Arial" w:hAnsi="Arial"/>
          <w:b w:val="0"/>
          <w:bCs w:val="0"/>
          <w:color w:val="auto"/>
          <w:sz w:val="21"/>
          <w:szCs w:val="21"/>
          <w:highlight w:val="none"/>
          <w:lang w:val="en-US" w:eastAsia="zh-CN"/>
        </w:rPr>
      </w:pPr>
      <w:r>
        <w:rPr>
          <w:rFonts w:hint="eastAsia" w:ascii="Arial" w:hAnsi="Arial"/>
          <w:b w:val="0"/>
          <w:bCs w:val="0"/>
          <w:color w:val="auto"/>
          <w:sz w:val="21"/>
          <w:szCs w:val="21"/>
          <w:highlight w:val="none"/>
          <w:lang w:val="en-US" w:eastAsia="zh-CN"/>
        </w:rPr>
        <w:t>2.投标（响应）报价低于通过符合性审查的次低报价供应商投标（响应）报价50%的，即投标（响应）报价&lt;通过符合性审查的次低报价供应商投标（响应）报价×50%；</w:t>
      </w:r>
    </w:p>
    <w:p w14:paraId="41567A3A">
      <w:pPr>
        <w:pStyle w:val="190"/>
        <w:widowControl w:val="0"/>
        <w:numPr>
          <w:ilvl w:val="0"/>
          <w:numId w:val="0"/>
        </w:numPr>
        <w:snapToGrid w:val="0"/>
        <w:spacing w:before="0" w:beforeAutospacing="0" w:after="0" w:afterAutospacing="0"/>
        <w:ind w:left="400" w:leftChars="0"/>
        <w:rPr>
          <w:rFonts w:hint="eastAsia" w:ascii="Arial" w:hAnsi="Arial"/>
          <w:b w:val="0"/>
          <w:bCs w:val="0"/>
          <w:color w:val="auto"/>
          <w:sz w:val="21"/>
          <w:szCs w:val="21"/>
          <w:highlight w:val="none"/>
          <w:lang w:val="en-US" w:eastAsia="zh-CN"/>
        </w:rPr>
      </w:pPr>
      <w:r>
        <w:rPr>
          <w:rFonts w:hint="eastAsia" w:ascii="Arial" w:hAnsi="Arial"/>
          <w:b w:val="0"/>
          <w:bCs w:val="0"/>
          <w:color w:val="auto"/>
          <w:sz w:val="21"/>
          <w:szCs w:val="21"/>
          <w:highlight w:val="none"/>
          <w:lang w:val="en-US" w:eastAsia="zh-CN"/>
        </w:rPr>
        <w:t>3.投标（响应）报价低于采购项目最高限价45%的，即投标（响应）报价&lt;采购项目最高限价×45%；</w:t>
      </w:r>
    </w:p>
    <w:p w14:paraId="5F07A5B3">
      <w:pPr>
        <w:pStyle w:val="190"/>
        <w:widowControl w:val="0"/>
        <w:numPr>
          <w:ilvl w:val="0"/>
          <w:numId w:val="0"/>
        </w:numPr>
        <w:snapToGrid w:val="0"/>
        <w:spacing w:before="0" w:beforeAutospacing="0" w:after="0" w:afterAutospacing="0"/>
        <w:ind w:left="400" w:leftChars="0"/>
        <w:rPr>
          <w:rFonts w:hint="eastAsia" w:ascii="Arial" w:hAnsi="Arial"/>
          <w:b w:val="0"/>
          <w:bCs w:val="0"/>
          <w:color w:val="auto"/>
          <w:sz w:val="21"/>
          <w:szCs w:val="21"/>
          <w:highlight w:val="none"/>
          <w:lang w:val="en-US" w:eastAsia="zh-CN"/>
        </w:rPr>
      </w:pPr>
      <w:r>
        <w:rPr>
          <w:rFonts w:hint="eastAsia" w:ascii="Arial" w:hAnsi="Arial"/>
          <w:b w:val="0"/>
          <w:bCs w:val="0"/>
          <w:color w:val="auto"/>
          <w:sz w:val="21"/>
          <w:szCs w:val="21"/>
          <w:highlight w:val="none"/>
          <w:lang w:val="en-US" w:eastAsia="zh-CN"/>
        </w:rPr>
        <w:t>4.评审委员会基于专业判断，认为供应商报价过低，有可能影响产品质量或者不能诚信履约的其他情形。</w:t>
      </w:r>
    </w:p>
    <w:p w14:paraId="167D8A9D">
      <w:pPr>
        <w:pStyle w:val="190"/>
        <w:widowControl w:val="0"/>
        <w:numPr>
          <w:ilvl w:val="0"/>
          <w:numId w:val="0"/>
        </w:numPr>
        <w:snapToGrid w:val="0"/>
        <w:spacing w:before="0" w:beforeAutospacing="0" w:after="0" w:afterAutospacing="0"/>
        <w:ind w:left="400" w:leftChars="0"/>
        <w:rPr>
          <w:rFonts w:hint="eastAsia" w:ascii="Arial" w:hAnsi="Arial"/>
          <w:b w:val="0"/>
          <w:bCs w:val="0"/>
          <w:color w:val="auto"/>
          <w:sz w:val="21"/>
          <w:szCs w:val="21"/>
          <w:highlight w:val="none"/>
          <w:lang w:val="en-US" w:eastAsia="zh-CN"/>
        </w:rPr>
      </w:pPr>
      <w:r>
        <w:rPr>
          <w:rFonts w:hint="eastAsia" w:ascii="Arial" w:hAnsi="Arial"/>
          <w:b w:val="0"/>
          <w:bCs w:val="0"/>
          <w:color w:val="auto"/>
          <w:sz w:val="21"/>
          <w:szCs w:val="21"/>
          <w:highlight w:val="none"/>
          <w:lang w:val="en-US" w:eastAsia="zh-CN"/>
        </w:rPr>
        <w:t>采购人可以结合具体项目实际情况，提高上述第1项至第3项中启动异常低价投标（响应）审查的数值标准，但是最高不得超过65%。相关法律法规对供应商报价有规定的，从其规定。</w:t>
      </w:r>
    </w:p>
    <w:p w14:paraId="0166FCFB">
      <w:pPr>
        <w:pStyle w:val="190"/>
        <w:widowControl w:val="0"/>
        <w:numPr>
          <w:ilvl w:val="0"/>
          <w:numId w:val="0"/>
        </w:numPr>
        <w:snapToGrid w:val="0"/>
        <w:spacing w:before="0" w:beforeAutospacing="0" w:after="0" w:afterAutospacing="0"/>
        <w:ind w:left="400" w:leftChars="0"/>
        <w:rPr>
          <w:rFonts w:hint="eastAsia" w:ascii="Arial" w:hAnsi="Arial"/>
          <w:b w:val="0"/>
          <w:bCs w:val="0"/>
          <w:color w:val="auto"/>
          <w:sz w:val="21"/>
          <w:szCs w:val="21"/>
          <w:highlight w:val="none"/>
          <w:lang w:val="en-US" w:eastAsia="zh-CN"/>
        </w:rPr>
      </w:pPr>
      <w:r>
        <w:rPr>
          <w:rFonts w:hint="eastAsia" w:ascii="Arial" w:hAnsi="Arial"/>
          <w:b w:val="0"/>
          <w:bCs w:val="0"/>
          <w:color w:val="auto"/>
          <w:sz w:val="21"/>
          <w:szCs w:val="21"/>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8D324A0">
      <w:pPr>
        <w:pStyle w:val="190"/>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ind w:leftChars="200" w:firstLine="420" w:firstLineChars="200"/>
        <w:textAlignment w:val="auto"/>
        <w:rPr>
          <w:rFonts w:hint="eastAsia" w:ascii="Arial" w:hAnsi="Arial"/>
          <w:b w:val="0"/>
          <w:bCs w:val="0"/>
          <w:color w:val="auto"/>
          <w:sz w:val="21"/>
          <w:szCs w:val="21"/>
          <w:highlight w:val="none"/>
          <w:lang w:val="en-US" w:eastAsia="zh-CN"/>
        </w:rPr>
      </w:pPr>
      <w:r>
        <w:rPr>
          <w:rFonts w:hint="eastAsia" w:ascii="Arial" w:hAnsi="Arial"/>
          <w:b w:val="0"/>
          <w:bCs w:val="0"/>
          <w:color w:val="auto"/>
          <w:sz w:val="21"/>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异常低价投标（响应）审查的启动原因、审查意见和审查结果应当在评审报告中记录，并随供应商提供的相关书面说明及证明材料，以及评审委员会有关互联网浏览、查询历史一并归档。</w:t>
      </w:r>
    </w:p>
    <w:p w14:paraId="02427EC8">
      <w:pPr>
        <w:numPr>
          <w:ilvl w:val="0"/>
          <w:numId w:val="1"/>
        </w:numPr>
        <w:snapToGrid w:val="0"/>
        <w:spacing w:line="360" w:lineRule="auto"/>
        <w:rPr>
          <w:rFonts w:ascii="Arial" w:hAnsi="Arial" w:cs="宋体"/>
          <w:b/>
          <w:color w:val="auto"/>
          <w:kern w:val="0"/>
          <w:highlight w:val="none"/>
        </w:rPr>
      </w:pPr>
      <w:r>
        <w:rPr>
          <w:rFonts w:hint="eastAsia" w:ascii="Arial" w:hAnsi="Arial" w:cs="宋体"/>
          <w:b/>
          <w:color w:val="auto"/>
          <w:kern w:val="0"/>
          <w:highlight w:val="none"/>
        </w:rPr>
        <w:t>排序与推荐。</w:t>
      </w:r>
      <w:r>
        <w:rPr>
          <w:rFonts w:hint="eastAsia" w:ascii="Arial" w:hAnsi="Arial" w:cs="宋体"/>
          <w:bCs/>
          <w:color w:val="auto"/>
          <w:kern w:val="0"/>
          <w:highlight w:val="none"/>
        </w:rPr>
        <w:t>采用综合评分法的，评标结果按评审后得分由高到低顺序推荐</w:t>
      </w:r>
      <w:r>
        <w:rPr>
          <w:rFonts w:hint="eastAsia" w:ascii="Arial" w:hAnsi="Arial" w:cs="宋体"/>
          <w:bCs/>
          <w:color w:val="auto"/>
          <w:kern w:val="0"/>
          <w:highlight w:val="none"/>
          <w:lang w:val="en-US" w:eastAsia="zh-CN"/>
        </w:rPr>
        <w:t>一名</w:t>
      </w:r>
      <w:r>
        <w:rPr>
          <w:rFonts w:hint="eastAsia" w:ascii="Arial" w:hAnsi="Arial" w:cs="宋体"/>
          <w:bCs/>
          <w:color w:val="auto"/>
          <w:kern w:val="0"/>
          <w:highlight w:val="none"/>
        </w:rPr>
        <w:t>中标候选人。得分相同的，按投标报价由低到高顺序排列。得分且投标报价相同的并列。投标文件满足采购文件全部实质性要求，且按照评审因素的量化指标评审得分最高的供应商为排名第一的中标候选人</w:t>
      </w:r>
      <w:r>
        <w:rPr>
          <w:rFonts w:hint="eastAsia" w:ascii="Arial" w:hAnsi="Arial"/>
          <w:color w:val="auto"/>
          <w:szCs w:val="21"/>
          <w:highlight w:val="none"/>
        </w:rPr>
        <w:t>。</w:t>
      </w:r>
    </w:p>
    <w:p w14:paraId="529D1687">
      <w:pPr>
        <w:snapToGrid w:val="0"/>
        <w:spacing w:line="360" w:lineRule="auto"/>
        <w:ind w:firstLine="420" w:firstLineChars="200"/>
        <w:rPr>
          <w:rFonts w:ascii="Arial" w:hAnsi="Arial" w:cs="宋体"/>
          <w:color w:val="auto"/>
          <w:kern w:val="0"/>
          <w:highlight w:val="none"/>
        </w:rPr>
      </w:pPr>
      <w:r>
        <w:rPr>
          <w:rFonts w:hint="eastAsia" w:ascii="Arial" w:hAnsi="Arial" w:cs="宋体"/>
          <w:bCs/>
          <w:color w:val="auto"/>
          <w:kern w:val="0"/>
          <w:highlight w:val="none"/>
        </w:rPr>
        <w:t>多家供应商提供相同品牌产品（单一产品采购项目中的该产品或者非单一产品采购项目的核心产品）且通过资格审查、符合性审查的不同供应商参加同一合同项下投标的，按一家供应商计算，评审后得分最高的同品牌供应商获得中标人推荐资格；评审得</w:t>
      </w:r>
      <w:r>
        <w:rPr>
          <w:rFonts w:hint="eastAsia" w:ascii="Arial" w:hAnsi="Arial" w:cs="宋体"/>
          <w:color w:val="auto"/>
          <w:kern w:val="0"/>
          <w:highlight w:val="none"/>
        </w:rPr>
        <w:t>分相同的，采取随机抽取方式确定，其他同品牌供应商不作为中标候选人。</w:t>
      </w:r>
    </w:p>
    <w:p w14:paraId="4B2B6BB1">
      <w:pPr>
        <w:numPr>
          <w:ilvl w:val="0"/>
          <w:numId w:val="1"/>
        </w:numPr>
        <w:snapToGrid w:val="0"/>
        <w:spacing w:line="360" w:lineRule="auto"/>
        <w:rPr>
          <w:rFonts w:ascii="Arial" w:hAnsi="Arial" w:cs="宋体"/>
          <w:b/>
          <w:color w:val="auto"/>
          <w:kern w:val="0"/>
          <w:highlight w:val="none"/>
        </w:rPr>
      </w:pPr>
      <w:r>
        <w:rPr>
          <w:rFonts w:hint="eastAsia" w:ascii="Arial" w:hAnsi="Arial" w:cs="宋体"/>
          <w:b/>
          <w:color w:val="auto"/>
          <w:kern w:val="0"/>
          <w:highlight w:val="none"/>
        </w:rPr>
        <w:t>编写评标报告。</w:t>
      </w:r>
      <w:r>
        <w:rPr>
          <w:rFonts w:hint="eastAsia" w:ascii="Arial" w:hAnsi="Arial" w:cs="宋体"/>
          <w:bCs/>
          <w:color w:val="auto"/>
          <w:kern w:val="0"/>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35C144E">
      <w:pPr>
        <w:numPr>
          <w:ilvl w:val="0"/>
          <w:numId w:val="13"/>
        </w:numPr>
        <w:snapToGrid w:val="0"/>
        <w:spacing w:before="120" w:beforeLines="50" w:line="360" w:lineRule="auto"/>
        <w:ind w:firstLine="0"/>
        <w:rPr>
          <w:rFonts w:ascii="Arial" w:hAnsi="Arial" w:cs="宋体"/>
          <w:b/>
          <w:color w:val="auto"/>
          <w:highlight w:val="none"/>
        </w:rPr>
      </w:pPr>
      <w:r>
        <w:rPr>
          <w:rFonts w:hint="eastAsia" w:ascii="Arial" w:hAnsi="Arial" w:cs="宋体"/>
          <w:b/>
          <w:color w:val="auto"/>
          <w:highlight w:val="none"/>
        </w:rPr>
        <w:t>评标中的其他事项</w:t>
      </w:r>
    </w:p>
    <w:p w14:paraId="7B00462C">
      <w:pPr>
        <w:pStyle w:val="190"/>
        <w:widowControl w:val="0"/>
        <w:numPr>
          <w:ilvl w:val="0"/>
          <w:numId w:val="14"/>
        </w:numPr>
        <w:snapToGrid w:val="0"/>
        <w:spacing w:before="0" w:beforeAutospacing="0" w:after="0" w:afterAutospacing="0"/>
        <w:ind w:firstLineChars="0"/>
        <w:rPr>
          <w:rFonts w:ascii="Arial" w:hAnsi="Arial" w:cs="宋体"/>
          <w:b/>
          <w:color w:val="auto"/>
          <w:sz w:val="21"/>
          <w:szCs w:val="24"/>
          <w:highlight w:val="none"/>
        </w:rPr>
      </w:pPr>
      <w:r>
        <w:rPr>
          <w:rFonts w:hint="eastAsia" w:ascii="Arial" w:hAnsi="Arial" w:cs="宋体"/>
          <w:b/>
          <w:color w:val="auto"/>
          <w:sz w:val="21"/>
          <w:szCs w:val="24"/>
          <w:highlight w:val="none"/>
        </w:rPr>
        <w:t>供应商澄清、说明或者补正。</w:t>
      </w:r>
      <w:r>
        <w:rPr>
          <w:rFonts w:hint="eastAsia" w:ascii="Arial" w:hAnsi="Arial" w:cs="宋体"/>
          <w:bCs/>
          <w:color w:val="auto"/>
          <w:sz w:val="21"/>
          <w:szCs w:val="24"/>
          <w:highlight w:val="none"/>
        </w:rPr>
        <w:t>对于投标文件中含义不明确、同类问题表述不一致或者有明显文字和计算错误的内容需要供应商作出必要的澄清、说明或者补正的，评标委员会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投标文件的范围或者改变投标文件的实质性内容。</w:t>
      </w:r>
    </w:p>
    <w:p w14:paraId="2B733F18">
      <w:pPr>
        <w:pStyle w:val="190"/>
        <w:widowControl w:val="0"/>
        <w:numPr>
          <w:ilvl w:val="0"/>
          <w:numId w:val="14"/>
        </w:numPr>
        <w:snapToGrid w:val="0"/>
        <w:spacing w:before="0" w:beforeAutospacing="0" w:after="0" w:afterAutospacing="0"/>
        <w:ind w:firstLineChars="0"/>
        <w:rPr>
          <w:rFonts w:ascii="Arial" w:hAnsi="Arial" w:cs="宋体"/>
          <w:b/>
          <w:color w:val="auto"/>
          <w:sz w:val="21"/>
          <w:szCs w:val="24"/>
          <w:highlight w:val="none"/>
        </w:rPr>
      </w:pPr>
      <w:r>
        <w:rPr>
          <w:rFonts w:hint="eastAsia" w:ascii="Arial" w:hAnsi="Arial" w:cs="宋体"/>
          <w:b/>
          <w:color w:val="auto"/>
          <w:sz w:val="21"/>
          <w:szCs w:val="24"/>
          <w:highlight w:val="none"/>
        </w:rPr>
        <w:t>投标无效。有下列情形之一的，投标无效：</w:t>
      </w:r>
    </w:p>
    <w:p w14:paraId="02F0EE77">
      <w:pPr>
        <w:numPr>
          <w:ilvl w:val="0"/>
          <w:numId w:val="15"/>
        </w:numPr>
        <w:snapToGrid w:val="0"/>
        <w:spacing w:line="360" w:lineRule="auto"/>
        <w:rPr>
          <w:rFonts w:ascii="Arial" w:hAnsi="Arial" w:cs="宋体"/>
          <w:b w:val="0"/>
          <w:bCs w:val="0"/>
          <w:color w:val="auto"/>
          <w:kern w:val="0"/>
          <w:highlight w:val="none"/>
        </w:rPr>
      </w:pPr>
      <w:r>
        <w:rPr>
          <w:rFonts w:hint="eastAsia" w:ascii="Arial" w:hAnsi="Arial" w:cs="宋体"/>
          <w:b w:val="0"/>
          <w:bCs w:val="0"/>
          <w:color w:val="auto"/>
          <w:kern w:val="0"/>
          <w:highlight w:val="none"/>
        </w:rPr>
        <w:t>供应商不具备采购文件中规定的资格要求的（供应商未提供有效的资格证明文件的，视为供应商不具备采购文件中规定的资格要求）；</w:t>
      </w:r>
    </w:p>
    <w:p w14:paraId="70399AFE">
      <w:pPr>
        <w:numPr>
          <w:ilvl w:val="0"/>
          <w:numId w:val="15"/>
        </w:numPr>
        <w:snapToGrid w:val="0"/>
        <w:spacing w:line="360" w:lineRule="auto"/>
        <w:rPr>
          <w:rFonts w:ascii="Arial" w:hAnsi="Arial" w:cs="宋体"/>
          <w:b w:val="0"/>
          <w:bCs w:val="0"/>
          <w:color w:val="auto"/>
          <w:kern w:val="0"/>
          <w:highlight w:val="none"/>
        </w:rPr>
      </w:pPr>
      <w:r>
        <w:rPr>
          <w:rFonts w:hint="eastAsia" w:ascii="Arial" w:hAnsi="Arial" w:cs="宋体"/>
          <w:b w:val="0"/>
          <w:bCs w:val="0"/>
          <w:color w:val="auto"/>
          <w:kern w:val="0"/>
          <w:highlight w:val="none"/>
        </w:rPr>
        <w:t>投标文件未按照采购文件要求签署、盖章的；</w:t>
      </w:r>
    </w:p>
    <w:p w14:paraId="75462C84">
      <w:pPr>
        <w:numPr>
          <w:ilvl w:val="0"/>
          <w:numId w:val="15"/>
        </w:numPr>
        <w:snapToGrid w:val="0"/>
        <w:spacing w:line="360" w:lineRule="auto"/>
        <w:rPr>
          <w:rFonts w:ascii="Arial" w:hAnsi="Arial" w:cs="宋体"/>
          <w:b w:val="0"/>
          <w:bCs w:val="0"/>
          <w:color w:val="auto"/>
          <w:kern w:val="0"/>
          <w:highlight w:val="none"/>
        </w:rPr>
      </w:pPr>
      <w:r>
        <w:rPr>
          <w:rFonts w:hint="eastAsia" w:ascii="Arial" w:hAnsi="Arial" w:cs="宋体"/>
          <w:b w:val="0"/>
          <w:bCs w:val="0"/>
          <w:color w:val="auto"/>
          <w:kern w:val="0"/>
          <w:highlight w:val="none"/>
        </w:rPr>
        <w:t>采购人拟采购的产品属于政府强制采购的节能产品品目清单范围的，供应商相应的投标产品未获得国家确定的认证机构出具的、处于有效期之内的节能产品认证证书的；</w:t>
      </w:r>
    </w:p>
    <w:p w14:paraId="27A35235">
      <w:pPr>
        <w:numPr>
          <w:ilvl w:val="0"/>
          <w:numId w:val="15"/>
        </w:numPr>
        <w:snapToGrid w:val="0"/>
        <w:spacing w:line="360" w:lineRule="auto"/>
        <w:rPr>
          <w:rFonts w:ascii="Arial" w:hAnsi="Arial" w:cs="宋体"/>
          <w:b w:val="0"/>
          <w:bCs w:val="0"/>
          <w:color w:val="auto"/>
          <w:kern w:val="0"/>
          <w:highlight w:val="none"/>
        </w:rPr>
      </w:pPr>
      <w:r>
        <w:rPr>
          <w:rFonts w:hint="eastAsia" w:ascii="Arial" w:hAnsi="Arial"/>
          <w:b w:val="0"/>
          <w:bCs w:val="0"/>
          <w:color w:val="auto"/>
          <w:szCs w:val="21"/>
          <w:highlight w:val="none"/>
        </w:rPr>
        <w:t>未提供或未如实提供投标货物或服务的技术参数或要求，或者投标文件标明的响应或偏离与事实不符的；</w:t>
      </w:r>
    </w:p>
    <w:p w14:paraId="59990EAC">
      <w:pPr>
        <w:numPr>
          <w:ilvl w:val="0"/>
          <w:numId w:val="15"/>
        </w:numPr>
        <w:snapToGrid w:val="0"/>
        <w:spacing w:line="360" w:lineRule="auto"/>
        <w:rPr>
          <w:rFonts w:ascii="Arial" w:hAnsi="Arial" w:cs="宋体"/>
          <w:b w:val="0"/>
          <w:bCs w:val="0"/>
          <w:color w:val="auto"/>
          <w:kern w:val="0"/>
          <w:highlight w:val="none"/>
        </w:rPr>
      </w:pPr>
      <w:r>
        <w:rPr>
          <w:rFonts w:hint="eastAsia" w:ascii="Arial" w:hAnsi="Arial"/>
          <w:b w:val="0"/>
          <w:bCs w:val="0"/>
          <w:color w:val="auto"/>
          <w:szCs w:val="21"/>
          <w:highlight w:val="none"/>
        </w:rPr>
        <w:t>投标方案不明确，存在一个或一个以上备选（替代）投标方案的；</w:t>
      </w:r>
    </w:p>
    <w:p w14:paraId="2E928CA0">
      <w:pPr>
        <w:numPr>
          <w:ilvl w:val="0"/>
          <w:numId w:val="15"/>
        </w:numPr>
        <w:snapToGrid w:val="0"/>
        <w:spacing w:line="360" w:lineRule="auto"/>
        <w:rPr>
          <w:rFonts w:ascii="Arial" w:hAnsi="Arial" w:cs="宋体"/>
          <w:b w:val="0"/>
          <w:bCs w:val="0"/>
          <w:color w:val="auto"/>
          <w:kern w:val="0"/>
          <w:highlight w:val="none"/>
        </w:rPr>
      </w:pPr>
      <w:r>
        <w:rPr>
          <w:rFonts w:hint="eastAsia" w:ascii="Arial" w:hAnsi="Arial" w:cs="宋体"/>
          <w:b w:val="0"/>
          <w:bCs w:val="0"/>
          <w:color w:val="auto"/>
          <w:szCs w:val="21"/>
          <w:highlight w:val="none"/>
        </w:rPr>
        <w:t>明显不符合</w:t>
      </w:r>
      <w:r>
        <w:rPr>
          <w:rFonts w:hint="eastAsia" w:ascii="Arial" w:hAnsi="Arial"/>
          <w:b w:val="0"/>
          <w:bCs w:val="0"/>
          <w:color w:val="auto"/>
          <w:szCs w:val="21"/>
          <w:highlight w:val="none"/>
        </w:rPr>
        <w:t>采购文件要求或者与采购文件中标注“★”的条款发生任何负偏离的；</w:t>
      </w:r>
    </w:p>
    <w:p w14:paraId="6C7FE993">
      <w:pPr>
        <w:numPr>
          <w:ilvl w:val="0"/>
          <w:numId w:val="15"/>
        </w:numPr>
        <w:snapToGrid w:val="0"/>
        <w:spacing w:line="360" w:lineRule="auto"/>
        <w:rPr>
          <w:rFonts w:ascii="Arial" w:hAnsi="Arial" w:cs="宋体"/>
          <w:b w:val="0"/>
          <w:bCs w:val="0"/>
          <w:color w:val="auto"/>
          <w:szCs w:val="21"/>
          <w:highlight w:val="none"/>
        </w:rPr>
      </w:pPr>
      <w:r>
        <w:rPr>
          <w:rFonts w:hint="eastAsia" w:ascii="Arial" w:hAnsi="Arial" w:cs="宋体"/>
          <w:b w:val="0"/>
          <w:bCs w:val="0"/>
          <w:color w:val="auto"/>
          <w:szCs w:val="21"/>
          <w:highlight w:val="none"/>
        </w:rPr>
        <w:t>投标文件中存在采购人不能接受的附加条件的；</w:t>
      </w:r>
    </w:p>
    <w:p w14:paraId="0B43293A">
      <w:pPr>
        <w:numPr>
          <w:ilvl w:val="0"/>
          <w:numId w:val="15"/>
        </w:numPr>
        <w:snapToGrid w:val="0"/>
        <w:spacing w:line="360" w:lineRule="auto"/>
        <w:rPr>
          <w:rFonts w:ascii="Arial" w:hAnsi="Arial" w:cs="宋体"/>
          <w:b w:val="0"/>
          <w:bCs w:val="0"/>
          <w:color w:val="auto"/>
          <w:szCs w:val="21"/>
          <w:highlight w:val="none"/>
        </w:rPr>
      </w:pPr>
      <w:r>
        <w:rPr>
          <w:rFonts w:hint="eastAsia" w:ascii="Arial" w:hAnsi="Arial"/>
          <w:b w:val="0"/>
          <w:bCs w:val="0"/>
          <w:color w:val="auto"/>
          <w:szCs w:val="21"/>
          <w:highlight w:val="none"/>
        </w:rPr>
        <w:t>未按照采购文件规定在投标文件中提供法定代表人签署本人姓名（或印盖本人姓名章）或签署人未提供有效的法定代表人授权委托书且授权委托书填写项目齐全的；</w:t>
      </w:r>
    </w:p>
    <w:p w14:paraId="49153ADF">
      <w:pPr>
        <w:numPr>
          <w:ilvl w:val="0"/>
          <w:numId w:val="15"/>
        </w:numPr>
        <w:snapToGrid w:val="0"/>
        <w:spacing w:line="360" w:lineRule="auto"/>
        <w:rPr>
          <w:rFonts w:ascii="Arial" w:hAnsi="Arial" w:cs="宋体"/>
          <w:b w:val="0"/>
          <w:bCs w:val="0"/>
          <w:color w:val="auto"/>
          <w:kern w:val="0"/>
          <w:highlight w:val="none"/>
        </w:rPr>
      </w:pPr>
      <w:r>
        <w:rPr>
          <w:rFonts w:hint="eastAsia" w:ascii="Arial" w:hAnsi="Arial"/>
          <w:b w:val="0"/>
          <w:bCs w:val="0"/>
          <w:color w:val="auto"/>
          <w:szCs w:val="21"/>
          <w:highlight w:val="none"/>
        </w:rPr>
        <w:t>投标文件的实质性内容未使用中文表述、表述不明确、存在前后矛盾、使用计量单位不符合采购文件要求（经评标委员会认定并允许其当场更正的笔误除外）的；</w:t>
      </w:r>
    </w:p>
    <w:p w14:paraId="301B23AE">
      <w:pPr>
        <w:numPr>
          <w:ilvl w:val="0"/>
          <w:numId w:val="15"/>
        </w:numPr>
        <w:snapToGrid w:val="0"/>
        <w:spacing w:line="360" w:lineRule="auto"/>
        <w:rPr>
          <w:rFonts w:ascii="Arial" w:hAnsi="Arial" w:cs="宋体"/>
          <w:b w:val="0"/>
          <w:bCs w:val="0"/>
          <w:color w:val="auto"/>
          <w:kern w:val="0"/>
          <w:highlight w:val="none"/>
        </w:rPr>
      </w:pPr>
      <w:r>
        <w:rPr>
          <w:rFonts w:hint="eastAsia" w:ascii="Arial" w:hAnsi="Arial" w:cs="宋体"/>
          <w:b w:val="0"/>
          <w:bCs w:val="0"/>
          <w:color w:val="auto"/>
          <w:kern w:val="0"/>
          <w:highlight w:val="none"/>
        </w:rPr>
        <w:t>投标文件中承诺的投标有效期少于采购文件中载明的投标有效期的；</w:t>
      </w:r>
    </w:p>
    <w:p w14:paraId="1269FB7F">
      <w:pPr>
        <w:numPr>
          <w:ilvl w:val="0"/>
          <w:numId w:val="15"/>
        </w:numPr>
        <w:snapToGrid w:val="0"/>
        <w:spacing w:line="360" w:lineRule="auto"/>
        <w:rPr>
          <w:rFonts w:ascii="Arial" w:hAnsi="Arial" w:cs="宋体"/>
          <w:b w:val="0"/>
          <w:bCs w:val="0"/>
          <w:color w:val="auto"/>
          <w:kern w:val="0"/>
          <w:highlight w:val="none"/>
        </w:rPr>
      </w:pPr>
      <w:r>
        <w:rPr>
          <w:rFonts w:hint="eastAsia" w:ascii="Arial" w:hAnsi="Arial" w:cs="宋体"/>
          <w:b w:val="0"/>
          <w:bCs w:val="0"/>
          <w:color w:val="auto"/>
          <w:kern w:val="0"/>
          <w:highlight w:val="none"/>
        </w:rPr>
        <w:t>投标报价超过采购文件中规定的预算金额或者最高限价的；</w:t>
      </w:r>
    </w:p>
    <w:p w14:paraId="54F0BEB5">
      <w:pPr>
        <w:numPr>
          <w:ilvl w:val="0"/>
          <w:numId w:val="15"/>
        </w:numPr>
        <w:snapToGrid w:val="0"/>
        <w:spacing w:line="360" w:lineRule="auto"/>
        <w:rPr>
          <w:rFonts w:ascii="Arial" w:hAnsi="Arial" w:cs="宋体"/>
          <w:b w:val="0"/>
          <w:bCs w:val="0"/>
          <w:color w:val="auto"/>
          <w:kern w:val="0"/>
          <w:highlight w:val="none"/>
        </w:rPr>
      </w:pPr>
      <w:r>
        <w:rPr>
          <w:rFonts w:hint="eastAsia" w:ascii="Arial" w:hAnsi="Arial"/>
          <w:b w:val="0"/>
          <w:bCs w:val="0"/>
          <w:color w:val="auto"/>
          <w:szCs w:val="21"/>
          <w:highlight w:val="none"/>
        </w:rPr>
        <w:t>投标报价具有选择性的；</w:t>
      </w:r>
    </w:p>
    <w:p w14:paraId="7CDC68A3">
      <w:pPr>
        <w:numPr>
          <w:ilvl w:val="0"/>
          <w:numId w:val="15"/>
        </w:numPr>
        <w:snapToGrid w:val="0"/>
        <w:spacing w:line="360" w:lineRule="auto"/>
        <w:rPr>
          <w:rFonts w:ascii="Arial" w:hAnsi="Arial" w:cs="宋体"/>
          <w:b w:val="0"/>
          <w:bCs w:val="0"/>
          <w:color w:val="auto"/>
          <w:kern w:val="0"/>
          <w:highlight w:val="none"/>
        </w:rPr>
      </w:pPr>
      <w:r>
        <w:rPr>
          <w:rFonts w:hint="eastAsia" w:ascii="Arial" w:hAnsi="Arial" w:cs="宋体"/>
          <w:b w:val="0"/>
          <w:bCs w:val="0"/>
          <w:color w:val="auto"/>
          <w:szCs w:val="21"/>
          <w:highlight w:val="none"/>
        </w:rPr>
        <w:t>经评标委员会评审，</w:t>
      </w:r>
      <w:r>
        <w:rPr>
          <w:rFonts w:hint="eastAsia" w:ascii="Arial" w:hAnsi="Arial"/>
          <w:b w:val="0"/>
          <w:bCs w:val="0"/>
          <w:color w:val="auto"/>
          <w:szCs w:val="21"/>
          <w:highlight w:val="none"/>
        </w:rPr>
        <w:t>投标分项报价表中所列内容与技术方案存在重大偏离的或</w:t>
      </w:r>
      <w:r>
        <w:rPr>
          <w:rFonts w:hint="eastAsia" w:ascii="Arial" w:hAnsi="Arial" w:cs="宋体"/>
          <w:b w:val="0"/>
          <w:bCs w:val="0"/>
          <w:color w:val="auto"/>
          <w:szCs w:val="21"/>
          <w:highlight w:val="none"/>
        </w:rPr>
        <w:t>投标报价中出现重大缺项、漏项的；</w:t>
      </w:r>
    </w:p>
    <w:p w14:paraId="07699BA8">
      <w:pPr>
        <w:numPr>
          <w:ilvl w:val="0"/>
          <w:numId w:val="15"/>
        </w:numPr>
        <w:snapToGrid w:val="0"/>
        <w:spacing w:line="360" w:lineRule="auto"/>
        <w:rPr>
          <w:rFonts w:ascii="Arial" w:hAnsi="Arial" w:cs="宋体"/>
          <w:b w:val="0"/>
          <w:bCs w:val="0"/>
          <w:color w:val="auto"/>
          <w:kern w:val="0"/>
          <w:highlight w:val="none"/>
        </w:rPr>
      </w:pPr>
      <w:r>
        <w:rPr>
          <w:rFonts w:hint="eastAsia" w:ascii="Arial" w:hAnsi="Arial" w:cs="宋体"/>
          <w:b w:val="0"/>
          <w:bCs w:val="0"/>
          <w:color w:val="auto"/>
          <w:kern w:val="0"/>
          <w:highlight w:val="none"/>
        </w:rPr>
        <w:t>投标报价明显低于其他通过符合性审查供应商的投标报价，有可能影响产品质量或者不能诚信履约的，未能按要求提供书面说明或者提交相关证明材料，不能证明其报价合理性的；</w:t>
      </w:r>
    </w:p>
    <w:p w14:paraId="73E57009">
      <w:pPr>
        <w:numPr>
          <w:ilvl w:val="0"/>
          <w:numId w:val="15"/>
        </w:numPr>
        <w:snapToGrid w:val="0"/>
        <w:spacing w:line="360" w:lineRule="auto"/>
        <w:rPr>
          <w:rFonts w:ascii="Arial" w:hAnsi="Arial" w:cs="宋体"/>
          <w:b w:val="0"/>
          <w:bCs w:val="0"/>
          <w:color w:val="auto"/>
          <w:kern w:val="0"/>
          <w:highlight w:val="none"/>
        </w:rPr>
      </w:pPr>
      <w:r>
        <w:rPr>
          <w:rFonts w:hint="eastAsia" w:ascii="Arial" w:hAnsi="Arial" w:cs="宋体"/>
          <w:b w:val="0"/>
          <w:bCs w:val="0"/>
          <w:color w:val="auto"/>
          <w:kern w:val="0"/>
          <w:highlight w:val="none"/>
        </w:rPr>
        <w:t>供应商对根据修正原则修正后的投标报价不确认的；</w:t>
      </w:r>
    </w:p>
    <w:p w14:paraId="3FFB29FB">
      <w:pPr>
        <w:numPr>
          <w:ilvl w:val="0"/>
          <w:numId w:val="15"/>
        </w:numPr>
        <w:snapToGrid w:val="0"/>
        <w:spacing w:line="360" w:lineRule="auto"/>
        <w:rPr>
          <w:rFonts w:ascii="Arial" w:hAnsi="Arial" w:cs="宋体"/>
          <w:b w:val="0"/>
          <w:bCs w:val="0"/>
          <w:color w:val="auto"/>
          <w:kern w:val="0"/>
          <w:highlight w:val="none"/>
        </w:rPr>
      </w:pPr>
      <w:r>
        <w:rPr>
          <w:rFonts w:hint="eastAsia" w:ascii="Arial" w:hAnsi="Arial" w:cs="宋体"/>
          <w:b w:val="0"/>
          <w:bCs w:val="0"/>
          <w:color w:val="auto"/>
          <w:kern w:val="0"/>
          <w:highlight w:val="none"/>
        </w:rPr>
        <w:t>供应商提供虚假材料投标的；</w:t>
      </w:r>
    </w:p>
    <w:p w14:paraId="423771FB">
      <w:pPr>
        <w:numPr>
          <w:ilvl w:val="0"/>
          <w:numId w:val="15"/>
        </w:numPr>
        <w:snapToGrid w:val="0"/>
        <w:spacing w:line="360" w:lineRule="auto"/>
        <w:rPr>
          <w:rFonts w:ascii="Arial" w:hAnsi="Arial" w:cs="宋体"/>
          <w:b w:val="0"/>
          <w:bCs w:val="0"/>
          <w:color w:val="auto"/>
          <w:kern w:val="0"/>
          <w:highlight w:val="none"/>
        </w:rPr>
      </w:pPr>
      <w:r>
        <w:rPr>
          <w:rFonts w:hint="eastAsia" w:ascii="Arial" w:hAnsi="Arial" w:cs="宋体"/>
          <w:b w:val="0"/>
          <w:bCs w:val="0"/>
          <w:color w:val="auto"/>
          <w:kern w:val="0"/>
          <w:highlight w:val="none"/>
        </w:rPr>
        <w:t>供应商有恶意串通、妨碍其他供应商的竞争行为、损害采购人或者其他供应商的合法权益情形的；</w:t>
      </w:r>
    </w:p>
    <w:p w14:paraId="7F8B73CA">
      <w:pPr>
        <w:numPr>
          <w:ilvl w:val="0"/>
          <w:numId w:val="15"/>
        </w:numPr>
        <w:snapToGrid w:val="0"/>
        <w:spacing w:line="360" w:lineRule="auto"/>
        <w:rPr>
          <w:rFonts w:ascii="Arial" w:hAnsi="Arial" w:cs="宋体"/>
          <w:b w:val="0"/>
          <w:bCs w:val="0"/>
          <w:color w:val="auto"/>
          <w:kern w:val="0"/>
          <w:highlight w:val="none"/>
        </w:rPr>
      </w:pPr>
      <w:r>
        <w:rPr>
          <w:rFonts w:hint="eastAsia" w:ascii="Arial" w:hAnsi="Arial" w:cs="宋体"/>
          <w:b w:val="0"/>
          <w:bCs w:val="0"/>
          <w:color w:val="auto"/>
          <w:kern w:val="0"/>
          <w:highlight w:val="none"/>
        </w:rPr>
        <w:t>供应商仅提交</w:t>
      </w:r>
      <w:r>
        <w:rPr>
          <w:rFonts w:hint="eastAsia" w:ascii="Arial" w:hAnsi="Arial" w:cs="宋体"/>
          <w:b w:val="0"/>
          <w:bCs w:val="0"/>
          <w:color w:val="auto"/>
          <w:szCs w:val="21"/>
          <w:highlight w:val="none"/>
        </w:rPr>
        <w:t>电子</w:t>
      </w:r>
      <w:r>
        <w:rPr>
          <w:rFonts w:hint="eastAsia" w:ascii="Arial" w:hAnsi="Arial" w:cs="宋体"/>
          <w:b w:val="0"/>
          <w:bCs w:val="0"/>
          <w:color w:val="auto"/>
          <w:kern w:val="0"/>
          <w:highlight w:val="none"/>
        </w:rPr>
        <w:t>备份投标文件，未在电子交易平台传输递交投标文件的；</w:t>
      </w:r>
    </w:p>
    <w:p w14:paraId="293B0048">
      <w:pPr>
        <w:numPr>
          <w:ilvl w:val="0"/>
          <w:numId w:val="15"/>
        </w:numPr>
        <w:snapToGrid w:val="0"/>
        <w:spacing w:line="360" w:lineRule="auto"/>
        <w:rPr>
          <w:rFonts w:ascii="Arial" w:hAnsi="Arial" w:cs="宋体"/>
          <w:b w:val="0"/>
          <w:bCs w:val="0"/>
          <w:color w:val="auto"/>
          <w:kern w:val="0"/>
          <w:highlight w:val="none"/>
        </w:rPr>
      </w:pPr>
      <w:r>
        <w:rPr>
          <w:rFonts w:hint="eastAsia" w:ascii="Arial" w:hAnsi="Arial"/>
          <w:b w:val="0"/>
          <w:bCs w:val="0"/>
          <w:color w:val="auto"/>
          <w:szCs w:val="21"/>
          <w:highlight w:val="none"/>
        </w:rPr>
        <w:t>投标文件的关键内容字迹模糊、无法辨认的，或者投标文件中经修正的内容字迹模糊难以辨认或者修改处未按规定签署、盖章的；</w:t>
      </w:r>
    </w:p>
    <w:p w14:paraId="48EAF8CE">
      <w:pPr>
        <w:numPr>
          <w:ilvl w:val="0"/>
          <w:numId w:val="15"/>
        </w:numPr>
        <w:snapToGrid w:val="0"/>
        <w:spacing w:line="360" w:lineRule="auto"/>
        <w:rPr>
          <w:rFonts w:ascii="Arial" w:hAnsi="Arial" w:cs="宋体"/>
          <w:b w:val="0"/>
          <w:bCs w:val="0"/>
          <w:color w:val="auto"/>
          <w:szCs w:val="21"/>
          <w:highlight w:val="none"/>
        </w:rPr>
      </w:pPr>
      <w:r>
        <w:rPr>
          <w:rFonts w:hint="eastAsia" w:ascii="Arial" w:hAnsi="Arial"/>
          <w:b w:val="0"/>
          <w:bCs w:val="0"/>
          <w:color w:val="auto"/>
          <w:szCs w:val="21"/>
          <w:highlight w:val="none"/>
        </w:rPr>
        <w:t>采购需求（技术）响应情况分值扣至0分（或以下）的；</w:t>
      </w:r>
    </w:p>
    <w:p w14:paraId="183E9F79">
      <w:pPr>
        <w:numPr>
          <w:ilvl w:val="0"/>
          <w:numId w:val="15"/>
        </w:numPr>
        <w:snapToGrid w:val="0"/>
        <w:spacing w:line="360" w:lineRule="auto"/>
        <w:rPr>
          <w:rFonts w:ascii="Arial" w:hAnsi="Arial" w:cs="宋体"/>
          <w:b w:val="0"/>
          <w:bCs w:val="0"/>
          <w:color w:val="auto"/>
          <w:kern w:val="0"/>
          <w:highlight w:val="none"/>
        </w:rPr>
      </w:pPr>
      <w:r>
        <w:rPr>
          <w:rFonts w:hint="eastAsia" w:ascii="Arial" w:hAnsi="Arial" w:cs="宋体"/>
          <w:b w:val="0"/>
          <w:bCs w:val="0"/>
          <w:color w:val="auto"/>
          <w:kern w:val="0"/>
          <w:highlight w:val="none"/>
        </w:rPr>
        <w:t>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5BA6BAB6">
      <w:pPr>
        <w:numPr>
          <w:ilvl w:val="0"/>
          <w:numId w:val="15"/>
        </w:numPr>
        <w:snapToGrid w:val="0"/>
        <w:spacing w:line="360" w:lineRule="auto"/>
        <w:rPr>
          <w:rFonts w:ascii="Arial" w:hAnsi="Arial" w:cs="宋体"/>
          <w:b w:val="0"/>
          <w:bCs w:val="0"/>
          <w:color w:val="auto"/>
          <w:kern w:val="0"/>
          <w:highlight w:val="none"/>
        </w:rPr>
      </w:pPr>
      <w:r>
        <w:rPr>
          <w:rFonts w:hint="eastAsia" w:ascii="Arial" w:hAnsi="Arial" w:cs="宋体"/>
          <w:b w:val="0"/>
          <w:bCs w:val="0"/>
          <w:color w:val="auto"/>
          <w:kern w:val="0"/>
          <w:highlight w:val="none"/>
        </w:rPr>
        <w:t>法律、法规、规章（适用本市的）及省级以上规范性文件（适用本市的）规定的其他无效情形。</w:t>
      </w:r>
    </w:p>
    <w:p w14:paraId="787E3347">
      <w:pPr>
        <w:pStyle w:val="15"/>
        <w:numPr>
          <w:ilvl w:val="0"/>
          <w:numId w:val="16"/>
        </w:numPr>
        <w:snapToGrid w:val="0"/>
        <w:spacing w:line="360" w:lineRule="auto"/>
        <w:ind w:firstLine="398" w:firstLineChars="196"/>
        <w:rPr>
          <w:rFonts w:ascii="Arial" w:hAnsi="Arial" w:cs="宋体"/>
          <w:b/>
          <w:color w:val="auto"/>
          <w:sz w:val="21"/>
          <w:highlight w:val="none"/>
        </w:rPr>
      </w:pPr>
      <w:r>
        <w:rPr>
          <w:rFonts w:hint="eastAsia" w:ascii="Arial" w:hAnsi="Arial" w:cs="宋体"/>
          <w:b/>
          <w:color w:val="auto"/>
          <w:sz w:val="21"/>
          <w:highlight w:val="none"/>
        </w:rPr>
        <w:t>废标。</w:t>
      </w:r>
    </w:p>
    <w:p w14:paraId="542D7E73">
      <w:pPr>
        <w:pStyle w:val="15"/>
        <w:snapToGrid w:val="0"/>
        <w:spacing w:line="360" w:lineRule="auto"/>
        <w:ind w:firstLine="420"/>
        <w:rPr>
          <w:rFonts w:ascii="Arial" w:hAnsi="Arial" w:cs="宋体"/>
          <w:color w:val="auto"/>
          <w:sz w:val="21"/>
          <w:highlight w:val="none"/>
        </w:rPr>
      </w:pPr>
      <w:r>
        <w:rPr>
          <w:rFonts w:hint="eastAsia" w:ascii="Arial" w:hAnsi="Arial" w:cs="宋体"/>
          <w:color w:val="auto"/>
          <w:sz w:val="21"/>
          <w:highlight w:val="none"/>
        </w:rPr>
        <w:t>根据《中华人民共和国政府采购法》第三十六条之规定，在采购中，出现下列情形之一的，应予废标：</w:t>
      </w:r>
    </w:p>
    <w:p w14:paraId="619B228D">
      <w:pPr>
        <w:pStyle w:val="15"/>
        <w:numPr>
          <w:ilvl w:val="0"/>
          <w:numId w:val="17"/>
        </w:numPr>
        <w:snapToGrid w:val="0"/>
        <w:spacing w:line="360" w:lineRule="auto"/>
        <w:rPr>
          <w:rFonts w:ascii="Arial" w:hAnsi="Arial" w:cs="宋体"/>
          <w:color w:val="auto"/>
          <w:sz w:val="21"/>
          <w:highlight w:val="none"/>
        </w:rPr>
      </w:pPr>
      <w:r>
        <w:rPr>
          <w:rFonts w:hint="eastAsia" w:ascii="Arial" w:hAnsi="Arial" w:cs="宋体"/>
          <w:color w:val="auto"/>
          <w:sz w:val="21"/>
          <w:highlight w:val="none"/>
        </w:rPr>
        <w:t>符合专业条件的供应商或者对采购文件作实质响应的供应商不足3家的；</w:t>
      </w:r>
    </w:p>
    <w:p w14:paraId="742C92D9">
      <w:pPr>
        <w:pStyle w:val="15"/>
        <w:numPr>
          <w:ilvl w:val="0"/>
          <w:numId w:val="17"/>
        </w:numPr>
        <w:snapToGrid w:val="0"/>
        <w:spacing w:line="360" w:lineRule="auto"/>
        <w:rPr>
          <w:rFonts w:ascii="Arial" w:hAnsi="Arial" w:cs="宋体"/>
          <w:color w:val="auto"/>
          <w:sz w:val="21"/>
          <w:highlight w:val="none"/>
        </w:rPr>
      </w:pPr>
      <w:r>
        <w:rPr>
          <w:rFonts w:hint="eastAsia" w:ascii="Arial" w:hAnsi="Arial" w:cs="宋体"/>
          <w:color w:val="auto"/>
          <w:sz w:val="21"/>
          <w:highlight w:val="none"/>
        </w:rPr>
        <w:t>出现影响采购公正的违法、违规行为的；</w:t>
      </w:r>
    </w:p>
    <w:p w14:paraId="467F18B0">
      <w:pPr>
        <w:pStyle w:val="15"/>
        <w:numPr>
          <w:ilvl w:val="0"/>
          <w:numId w:val="17"/>
        </w:numPr>
        <w:snapToGrid w:val="0"/>
        <w:spacing w:line="360" w:lineRule="auto"/>
        <w:rPr>
          <w:rFonts w:ascii="Arial" w:hAnsi="Arial" w:cs="宋体"/>
          <w:color w:val="auto"/>
          <w:sz w:val="21"/>
          <w:highlight w:val="none"/>
        </w:rPr>
      </w:pPr>
      <w:r>
        <w:rPr>
          <w:rFonts w:hint="eastAsia" w:ascii="Arial" w:hAnsi="Arial" w:cs="宋体"/>
          <w:color w:val="auto"/>
          <w:sz w:val="21"/>
          <w:highlight w:val="none"/>
        </w:rPr>
        <w:t>供应商的报价均超过了采购预算，采购人不能支付的；</w:t>
      </w:r>
    </w:p>
    <w:p w14:paraId="440BF021">
      <w:pPr>
        <w:pStyle w:val="15"/>
        <w:numPr>
          <w:ilvl w:val="0"/>
          <w:numId w:val="17"/>
        </w:numPr>
        <w:snapToGrid w:val="0"/>
        <w:spacing w:line="360" w:lineRule="auto"/>
        <w:rPr>
          <w:rFonts w:ascii="Arial" w:hAnsi="Arial" w:cs="宋体"/>
          <w:color w:val="auto"/>
          <w:sz w:val="21"/>
          <w:highlight w:val="none"/>
        </w:rPr>
      </w:pPr>
      <w:r>
        <w:rPr>
          <w:rFonts w:hint="eastAsia" w:ascii="Arial" w:hAnsi="Arial" w:cs="宋体"/>
          <w:color w:val="auto"/>
          <w:sz w:val="21"/>
          <w:highlight w:val="none"/>
        </w:rPr>
        <w:t>因重大变故，采购任务取消的。</w:t>
      </w:r>
    </w:p>
    <w:p w14:paraId="1BF2BB5A">
      <w:pPr>
        <w:pStyle w:val="15"/>
        <w:snapToGrid w:val="0"/>
        <w:spacing w:line="360" w:lineRule="auto"/>
        <w:ind w:firstLine="420"/>
        <w:rPr>
          <w:rFonts w:ascii="Arial" w:hAnsi="Arial" w:cs="宋体"/>
          <w:color w:val="auto"/>
          <w:sz w:val="21"/>
          <w:highlight w:val="none"/>
        </w:rPr>
      </w:pPr>
      <w:r>
        <w:rPr>
          <w:rFonts w:hint="eastAsia" w:ascii="Arial" w:hAnsi="Arial" w:cs="宋体"/>
          <w:color w:val="auto"/>
          <w:sz w:val="21"/>
          <w:highlight w:val="none"/>
        </w:rPr>
        <w:t>废标后，采购代理机构应当将废标理由通知所有供应商。</w:t>
      </w:r>
    </w:p>
    <w:p w14:paraId="6469E41B">
      <w:pPr>
        <w:pStyle w:val="15"/>
        <w:numPr>
          <w:ilvl w:val="0"/>
          <w:numId w:val="16"/>
        </w:numPr>
        <w:snapToGrid w:val="0"/>
        <w:spacing w:line="360" w:lineRule="auto"/>
        <w:ind w:firstLine="398" w:firstLineChars="196"/>
        <w:rPr>
          <w:rFonts w:ascii="Arial" w:hAnsi="Arial" w:cs="宋体"/>
          <w:b/>
          <w:color w:val="auto"/>
          <w:sz w:val="21"/>
          <w:highlight w:val="none"/>
        </w:rPr>
      </w:pPr>
      <w:r>
        <w:rPr>
          <w:rFonts w:hint="eastAsia" w:ascii="Arial" w:hAnsi="Arial" w:cs="宋体"/>
          <w:b/>
          <w:color w:val="auto"/>
          <w:sz w:val="21"/>
          <w:highlight w:val="none"/>
        </w:rPr>
        <w:t>修改采购文件，重新组织采购活动。</w:t>
      </w:r>
      <w:r>
        <w:rPr>
          <w:rFonts w:hint="eastAsia" w:ascii="Arial" w:hAnsi="Arial" w:cs="宋体"/>
          <w:bCs/>
          <w:color w:val="auto"/>
          <w:sz w:val="21"/>
          <w:highlight w:val="none"/>
        </w:rPr>
        <w:t>评标委员会发现采购文件存在歧义、重大缺陷导致评标工作无法进行，或者采购文件内容违反国家有关强制性规定的，将停止评标工作，并与采购人、采购代理机构沟通并作书面记录。采购人、采购代理机构确认后，将修改采购文件，重新组织采购活动。</w:t>
      </w:r>
    </w:p>
    <w:p w14:paraId="051012E1">
      <w:pPr>
        <w:pStyle w:val="15"/>
        <w:numPr>
          <w:ilvl w:val="0"/>
          <w:numId w:val="16"/>
        </w:numPr>
        <w:snapToGrid w:val="0"/>
        <w:spacing w:line="360" w:lineRule="auto"/>
        <w:ind w:firstLine="398" w:firstLineChars="196"/>
        <w:rPr>
          <w:rFonts w:ascii="Arial" w:hAnsi="Arial" w:cs="宋体"/>
          <w:b/>
          <w:color w:val="auto"/>
          <w:sz w:val="21"/>
          <w:highlight w:val="none"/>
        </w:rPr>
      </w:pPr>
      <w:r>
        <w:rPr>
          <w:rFonts w:hint="eastAsia" w:ascii="Arial" w:hAnsi="Arial" w:cs="宋体"/>
          <w:b/>
          <w:color w:val="auto"/>
          <w:sz w:val="21"/>
          <w:highlight w:val="none"/>
        </w:rPr>
        <w:t>重新开展采购。</w:t>
      </w:r>
      <w:r>
        <w:rPr>
          <w:rFonts w:hint="eastAsia" w:ascii="Arial" w:hAnsi="Arial" w:cs="宋体"/>
          <w:bCs/>
          <w:color w:val="auto"/>
          <w:sz w:val="21"/>
          <w:highlight w:val="none"/>
        </w:rPr>
        <w:t>有政府采购法第七十一条、第七十二条规定的违法行为之一，影响或者可能影响中标结果的，依照下列规定处理：</w:t>
      </w:r>
    </w:p>
    <w:p w14:paraId="24CB0FDC">
      <w:pPr>
        <w:pStyle w:val="15"/>
        <w:numPr>
          <w:ilvl w:val="0"/>
          <w:numId w:val="18"/>
        </w:numPr>
        <w:snapToGrid w:val="0"/>
        <w:spacing w:line="360" w:lineRule="auto"/>
        <w:rPr>
          <w:rFonts w:ascii="Arial" w:hAnsi="Arial" w:cs="宋体"/>
          <w:color w:val="auto"/>
          <w:sz w:val="21"/>
          <w:highlight w:val="none"/>
        </w:rPr>
      </w:pPr>
      <w:r>
        <w:rPr>
          <w:rFonts w:hint="eastAsia" w:ascii="Arial" w:hAnsi="Arial" w:cs="宋体"/>
          <w:color w:val="auto"/>
          <w:sz w:val="21"/>
          <w:highlight w:val="none"/>
        </w:rPr>
        <w:t>未确定中标人的，终止本次政府采购活动，重新开展政府采购活动。</w:t>
      </w:r>
    </w:p>
    <w:p w14:paraId="536EF911">
      <w:pPr>
        <w:pStyle w:val="15"/>
        <w:numPr>
          <w:ilvl w:val="0"/>
          <w:numId w:val="18"/>
        </w:numPr>
        <w:snapToGrid w:val="0"/>
        <w:spacing w:line="360" w:lineRule="auto"/>
        <w:rPr>
          <w:rFonts w:ascii="Arial" w:hAnsi="Arial" w:cs="宋体"/>
          <w:color w:val="auto"/>
          <w:sz w:val="21"/>
          <w:highlight w:val="none"/>
        </w:rPr>
      </w:pPr>
      <w:r>
        <w:rPr>
          <w:rFonts w:hint="eastAsia" w:ascii="Arial" w:hAnsi="Arial" w:cs="宋体"/>
          <w:color w:val="auto"/>
          <w:sz w:val="21"/>
          <w:highlight w:val="none"/>
        </w:rPr>
        <w:t>已确定中标人但尚未签订政府采购合同的，中标结果无效，从合格的中标候选人中另行确定中标人；没有合格的中标候选人的，重新开展政府采购活动。</w:t>
      </w:r>
    </w:p>
    <w:p w14:paraId="5661136B">
      <w:pPr>
        <w:pStyle w:val="15"/>
        <w:numPr>
          <w:ilvl w:val="0"/>
          <w:numId w:val="18"/>
        </w:numPr>
        <w:snapToGrid w:val="0"/>
        <w:spacing w:line="360" w:lineRule="auto"/>
        <w:rPr>
          <w:rFonts w:ascii="Arial" w:hAnsi="Arial" w:cs="宋体"/>
          <w:color w:val="auto"/>
          <w:sz w:val="21"/>
          <w:highlight w:val="none"/>
        </w:rPr>
      </w:pPr>
      <w:r>
        <w:rPr>
          <w:rFonts w:hint="eastAsia" w:ascii="Arial" w:hAnsi="Arial" w:cs="宋体"/>
          <w:color w:val="auto"/>
          <w:sz w:val="21"/>
          <w:highlight w:val="none"/>
        </w:rPr>
        <w:t>政府采购合同已签订但尚未履行的，撤销合同，从合格的中标候选人中另行确定中标人；没有合格的中标候选人的，重新开展政府采购活动。</w:t>
      </w:r>
    </w:p>
    <w:p w14:paraId="532738C2">
      <w:pPr>
        <w:pStyle w:val="15"/>
        <w:numPr>
          <w:ilvl w:val="0"/>
          <w:numId w:val="18"/>
        </w:numPr>
        <w:snapToGrid w:val="0"/>
        <w:spacing w:line="360" w:lineRule="auto"/>
        <w:rPr>
          <w:rFonts w:ascii="Arial" w:hAnsi="Arial" w:cs="宋体"/>
          <w:color w:val="auto"/>
          <w:sz w:val="21"/>
          <w:highlight w:val="none"/>
        </w:rPr>
      </w:pPr>
      <w:r>
        <w:rPr>
          <w:rFonts w:hint="eastAsia" w:ascii="Arial" w:hAnsi="Arial" w:cs="宋体"/>
          <w:color w:val="auto"/>
          <w:sz w:val="21"/>
          <w:highlight w:val="none"/>
        </w:rPr>
        <w:t>政府采购合同已经履行，给采购人、供应商造成损失的，由责任人承担赔偿责任。</w:t>
      </w:r>
    </w:p>
    <w:p w14:paraId="7BD6F3C9">
      <w:pPr>
        <w:pStyle w:val="15"/>
        <w:numPr>
          <w:ilvl w:val="0"/>
          <w:numId w:val="18"/>
        </w:numPr>
        <w:snapToGrid w:val="0"/>
        <w:spacing w:line="360" w:lineRule="auto"/>
        <w:rPr>
          <w:rFonts w:ascii="Arial" w:hAnsi="Arial" w:cs="宋体"/>
          <w:color w:val="auto"/>
          <w:highlight w:val="none"/>
        </w:rPr>
      </w:pPr>
      <w:r>
        <w:rPr>
          <w:rFonts w:hint="eastAsia" w:ascii="Arial" w:hAnsi="Arial" w:cs="宋体"/>
          <w:color w:val="auto"/>
          <w:sz w:val="21"/>
          <w:highlight w:val="none"/>
        </w:rPr>
        <w:t>政府采购当事人有其他违反政府采购法或者政府采购法实施条例等法律法规规定的行为，经改正后仍然影响或者可能影响中标结果或者依法被认定为中标无效的，依照7.1-7.4规定处理。</w:t>
      </w:r>
    </w:p>
    <w:p w14:paraId="161EEDCE">
      <w:pPr>
        <w:pStyle w:val="21"/>
        <w:spacing w:before="120" w:after="120"/>
        <w:rPr>
          <w:rFonts w:ascii="Times New Roman"/>
          <w:color w:val="auto"/>
          <w:szCs w:val="21"/>
          <w:highlight w:val="none"/>
        </w:rPr>
      </w:pPr>
      <w:r>
        <w:rPr>
          <w:rFonts w:hint="eastAsia" w:ascii="Arial" w:hAnsi="Arial" w:cs="宋体"/>
          <w:b/>
          <w:color w:val="auto"/>
          <w:sz w:val="36"/>
          <w:szCs w:val="36"/>
          <w:highlight w:val="none"/>
        </w:rPr>
        <w:br w:type="page"/>
      </w:r>
    </w:p>
    <w:p w14:paraId="5646ECDC">
      <w:pPr>
        <w:spacing w:line="360" w:lineRule="auto"/>
        <w:jc w:val="center"/>
        <w:outlineLvl w:val="0"/>
        <w:rPr>
          <w:rFonts w:ascii="Arial" w:hAnsi="Arial" w:cs="宋体"/>
          <w:b/>
          <w:color w:val="auto"/>
          <w:sz w:val="36"/>
          <w:szCs w:val="36"/>
          <w:highlight w:val="none"/>
        </w:rPr>
      </w:pPr>
      <w:bookmarkStart w:id="473" w:name="_Toc11037"/>
      <w:bookmarkStart w:id="474" w:name="_Toc9759"/>
      <w:bookmarkStart w:id="475" w:name="_Toc10263"/>
      <w:bookmarkStart w:id="476" w:name="_Toc17707964"/>
      <w:bookmarkStart w:id="477" w:name="_Toc460857945"/>
      <w:bookmarkStart w:id="478" w:name="_Toc460857947"/>
      <w:r>
        <w:rPr>
          <w:rFonts w:hint="eastAsia" w:ascii="Arial" w:hAnsi="Arial" w:cs="宋体"/>
          <w:b/>
          <w:color w:val="auto"/>
          <w:sz w:val="36"/>
          <w:szCs w:val="36"/>
          <w:highlight w:val="none"/>
        </w:rPr>
        <w:t>第五章 拟签订的合同文本</w:t>
      </w:r>
      <w:bookmarkEnd w:id="473"/>
      <w:bookmarkEnd w:id="474"/>
      <w:bookmarkEnd w:id="475"/>
    </w:p>
    <w:p w14:paraId="7B2EEDA9">
      <w:pPr>
        <w:rPr>
          <w:rFonts w:ascii="Arial" w:hAnsi="Arial" w:cs="宋体"/>
          <w:color w:val="auto"/>
          <w:sz w:val="24"/>
          <w:highlight w:val="none"/>
        </w:rPr>
      </w:pPr>
    </w:p>
    <w:p w14:paraId="75F9E898">
      <w:pPr>
        <w:rPr>
          <w:rFonts w:ascii="Arial" w:hAnsi="Arial" w:cs="宋体"/>
          <w:color w:val="auto"/>
          <w:sz w:val="24"/>
          <w:highlight w:val="none"/>
        </w:rPr>
      </w:pPr>
    </w:p>
    <w:p w14:paraId="73E23153">
      <w:pPr>
        <w:rPr>
          <w:rFonts w:ascii="Arial" w:hAnsi="Arial" w:cs="宋体"/>
          <w:color w:val="auto"/>
          <w:sz w:val="24"/>
          <w:highlight w:val="none"/>
        </w:rPr>
      </w:pPr>
    </w:p>
    <w:p w14:paraId="06B10F37">
      <w:pPr>
        <w:rPr>
          <w:rFonts w:ascii="Arial" w:hAnsi="Arial" w:cs="宋体"/>
          <w:color w:val="auto"/>
          <w:sz w:val="24"/>
          <w:highlight w:val="none"/>
        </w:rPr>
      </w:pPr>
    </w:p>
    <w:p w14:paraId="3250B9A7">
      <w:pPr>
        <w:rPr>
          <w:rFonts w:ascii="宋体" w:hAnsi="宋体" w:cs="宋体"/>
          <w:color w:val="auto"/>
          <w:sz w:val="24"/>
          <w:highlight w:val="none"/>
        </w:rPr>
      </w:pPr>
    </w:p>
    <w:p w14:paraId="04129C9E">
      <w:pPr>
        <w:rPr>
          <w:rFonts w:ascii="宋体" w:hAnsi="宋体" w:cs="宋体"/>
          <w:color w:val="auto"/>
          <w:sz w:val="22"/>
          <w:szCs w:val="18"/>
          <w:highlight w:val="none"/>
          <w:u w:val="single"/>
        </w:rPr>
      </w:pPr>
      <w:r>
        <w:rPr>
          <w:rFonts w:hint="eastAsia" w:ascii="宋体" w:hAnsi="宋体" w:cs="宋体"/>
          <w:color w:val="auto"/>
          <w:sz w:val="22"/>
          <w:szCs w:val="18"/>
          <w:highlight w:val="none"/>
        </w:rPr>
        <w:t>合同编号：</w:t>
      </w:r>
      <w:r>
        <w:rPr>
          <w:rFonts w:hint="eastAsia" w:ascii="宋体" w:hAnsi="宋体" w:cs="宋体"/>
          <w:color w:val="auto"/>
          <w:sz w:val="22"/>
          <w:szCs w:val="18"/>
          <w:highlight w:val="none"/>
          <w:u w:val="single"/>
        </w:rPr>
        <w:t xml:space="preserve">           </w:t>
      </w:r>
    </w:p>
    <w:p w14:paraId="090E2889">
      <w:pPr>
        <w:spacing w:line="360" w:lineRule="auto"/>
        <w:jc w:val="center"/>
        <w:rPr>
          <w:rFonts w:ascii="宋体" w:hAnsi="宋体" w:cs="宋体"/>
          <w:b/>
          <w:color w:val="auto"/>
          <w:sz w:val="24"/>
          <w:highlight w:val="none"/>
        </w:rPr>
      </w:pPr>
    </w:p>
    <w:p w14:paraId="2EBC7DA3">
      <w:pPr>
        <w:spacing w:line="360" w:lineRule="auto"/>
        <w:rPr>
          <w:rFonts w:ascii="宋体" w:hAnsi="宋体" w:cs="宋体"/>
          <w:b/>
          <w:color w:val="auto"/>
          <w:sz w:val="22"/>
          <w:szCs w:val="18"/>
          <w:highlight w:val="none"/>
        </w:rPr>
      </w:pPr>
    </w:p>
    <w:p w14:paraId="4F47D9C8">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政府采购合同参考范本</w:t>
      </w:r>
    </w:p>
    <w:p w14:paraId="6325ADB2">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（货物类）</w:t>
      </w:r>
    </w:p>
    <w:p w14:paraId="5EFC4F40">
      <w:pPr>
        <w:pStyle w:val="192"/>
        <w:snapToGrid/>
        <w:spacing w:after="0"/>
        <w:ind w:left="0" w:leftChars="0" w:firstLine="440"/>
        <w:jc w:val="center"/>
        <w:rPr>
          <w:rFonts w:ascii="宋体" w:hAnsi="宋体" w:cs="宋体"/>
          <w:color w:val="auto"/>
          <w:sz w:val="22"/>
          <w:szCs w:val="22"/>
          <w:highlight w:val="none"/>
        </w:rPr>
      </w:pPr>
    </w:p>
    <w:p w14:paraId="1DF3CB88">
      <w:pPr>
        <w:pStyle w:val="192"/>
        <w:snapToGrid/>
        <w:spacing w:after="0"/>
        <w:ind w:left="0" w:leftChars="0" w:firstLine="3317" w:firstLineChars="1180"/>
        <w:rPr>
          <w:rFonts w:ascii="宋体" w:hAnsi="宋体" w:cs="宋体"/>
          <w:b/>
          <w:color w:val="auto"/>
          <w:sz w:val="28"/>
          <w:szCs w:val="22"/>
          <w:highlight w:val="none"/>
        </w:rPr>
      </w:pPr>
      <w:r>
        <w:rPr>
          <w:rFonts w:hint="eastAsia" w:ascii="宋体" w:hAnsi="宋体" w:cs="宋体"/>
          <w:b/>
          <w:color w:val="auto"/>
          <w:sz w:val="28"/>
          <w:szCs w:val="22"/>
          <w:highlight w:val="none"/>
        </w:rPr>
        <w:t>第一部分 合同书</w:t>
      </w:r>
    </w:p>
    <w:p w14:paraId="6F851B0D">
      <w:pPr>
        <w:spacing w:line="360" w:lineRule="auto"/>
        <w:ind w:firstLine="1120" w:firstLineChars="400"/>
        <w:rPr>
          <w:rFonts w:ascii="宋体" w:hAnsi="宋体" w:cs="宋体"/>
          <w:color w:val="auto"/>
          <w:sz w:val="28"/>
          <w:szCs w:val="18"/>
          <w:highlight w:val="none"/>
        </w:rPr>
      </w:pPr>
    </w:p>
    <w:p w14:paraId="41EE573F">
      <w:pPr>
        <w:spacing w:line="360" w:lineRule="auto"/>
        <w:ind w:firstLine="1120" w:firstLineChars="400"/>
        <w:rPr>
          <w:rFonts w:ascii="宋体" w:hAnsi="宋体" w:cs="宋体"/>
          <w:color w:val="auto"/>
          <w:sz w:val="28"/>
          <w:szCs w:val="18"/>
          <w:highlight w:val="none"/>
        </w:rPr>
      </w:pPr>
    </w:p>
    <w:p w14:paraId="2F61EAAF">
      <w:pPr>
        <w:spacing w:line="360" w:lineRule="auto"/>
        <w:rPr>
          <w:rFonts w:hint="eastAsia" w:ascii="宋体" w:hAnsi="宋体" w:cs="宋体"/>
          <w:color w:val="auto"/>
          <w:sz w:val="28"/>
          <w:szCs w:val="18"/>
          <w:highlight w:val="none"/>
          <w:u w:val="single"/>
          <w:lang w:eastAsia="zh-CN"/>
        </w:rPr>
      </w:pPr>
      <w:r>
        <w:rPr>
          <w:rFonts w:hint="eastAsia" w:ascii="宋体" w:hAnsi="宋体" w:cs="宋体"/>
          <w:color w:val="auto"/>
          <w:sz w:val="28"/>
          <w:szCs w:val="18"/>
          <w:highlight w:val="none"/>
        </w:rPr>
        <w:t>项目名称：</w:t>
      </w:r>
      <w:r>
        <w:rPr>
          <w:rFonts w:hint="eastAsia" w:ascii="宋体" w:hAnsi="宋体" w:cs="宋体"/>
          <w:color w:val="auto"/>
          <w:sz w:val="28"/>
          <w:szCs w:val="18"/>
          <w:highlight w:val="none"/>
          <w:u w:val="single"/>
          <w:lang w:eastAsia="zh-CN"/>
        </w:rPr>
        <w:t>大碶派出所迁建工程-办案区智能化项目（重发）</w:t>
      </w:r>
    </w:p>
    <w:p w14:paraId="7B8F2F99">
      <w:pPr>
        <w:spacing w:line="360" w:lineRule="auto"/>
        <w:rPr>
          <w:rFonts w:ascii="宋体" w:hAnsi="宋体" w:cs="宋体"/>
          <w:color w:val="auto"/>
          <w:sz w:val="28"/>
          <w:szCs w:val="18"/>
          <w:highlight w:val="none"/>
          <w:u w:val="single"/>
        </w:rPr>
      </w:pPr>
      <w:r>
        <w:rPr>
          <w:rFonts w:hint="eastAsia" w:ascii="宋体" w:hAnsi="宋体" w:cs="宋体"/>
          <w:color w:val="auto"/>
          <w:sz w:val="28"/>
          <w:szCs w:val="18"/>
          <w:highlight w:val="none"/>
        </w:rPr>
        <w:t>甲方：</w:t>
      </w:r>
      <w:r>
        <w:rPr>
          <w:rFonts w:hint="eastAsia" w:ascii="宋体" w:hAnsi="宋体" w:cs="宋体"/>
          <w:color w:val="auto"/>
          <w:sz w:val="28"/>
          <w:szCs w:val="18"/>
          <w:highlight w:val="none"/>
          <w:u w:val="single"/>
        </w:rPr>
        <w:t xml:space="preserve">     </w:t>
      </w:r>
      <w:r>
        <w:rPr>
          <w:rFonts w:hint="eastAsia" w:ascii="宋体" w:hAnsi="宋体" w:cs="宋体"/>
          <w:color w:val="auto"/>
          <w:sz w:val="28"/>
          <w:szCs w:val="18"/>
          <w:highlight w:val="none"/>
          <w:u w:val="single"/>
          <w:lang w:eastAsia="zh-CN"/>
        </w:rPr>
        <w:t>宁波市公安局北仑区分局 </w:t>
      </w:r>
      <w:r>
        <w:rPr>
          <w:rFonts w:hint="eastAsia" w:ascii="宋体" w:hAnsi="宋体" w:cs="宋体"/>
          <w:color w:val="auto"/>
          <w:sz w:val="28"/>
          <w:szCs w:val="18"/>
          <w:highlight w:val="none"/>
          <w:u w:val="single"/>
        </w:rPr>
        <w:t xml:space="preserve"> </w:t>
      </w:r>
      <w:r>
        <w:rPr>
          <w:rFonts w:hint="eastAsia" w:ascii="宋体" w:hAnsi="宋体" w:cs="宋体"/>
          <w:color w:val="auto"/>
          <w:sz w:val="28"/>
          <w:szCs w:val="18"/>
          <w:highlight w:val="none"/>
          <w:u w:val="single"/>
          <w:lang w:val="en-US" w:eastAsia="zh-CN"/>
        </w:rPr>
        <w:t xml:space="preserve">       </w:t>
      </w:r>
      <w:r>
        <w:rPr>
          <w:rFonts w:hint="eastAsia" w:ascii="宋体" w:hAnsi="宋体" w:cs="宋体"/>
          <w:color w:val="auto"/>
          <w:sz w:val="28"/>
          <w:szCs w:val="18"/>
          <w:highlight w:val="none"/>
          <w:u w:val="single"/>
        </w:rPr>
        <w:t xml:space="preserve"> </w:t>
      </w:r>
    </w:p>
    <w:p w14:paraId="7A247E36">
      <w:pPr>
        <w:spacing w:line="360" w:lineRule="auto"/>
        <w:rPr>
          <w:rFonts w:ascii="宋体" w:hAnsi="宋体" w:cs="宋体"/>
          <w:color w:val="auto"/>
          <w:sz w:val="28"/>
          <w:szCs w:val="18"/>
          <w:highlight w:val="none"/>
        </w:rPr>
      </w:pPr>
    </w:p>
    <w:p w14:paraId="1A8C5286">
      <w:pPr>
        <w:spacing w:line="360" w:lineRule="auto"/>
        <w:rPr>
          <w:rFonts w:ascii="宋体" w:hAnsi="宋体" w:cs="宋体"/>
          <w:color w:val="auto"/>
          <w:sz w:val="28"/>
          <w:szCs w:val="18"/>
          <w:highlight w:val="none"/>
          <w:u w:val="single"/>
        </w:rPr>
      </w:pPr>
      <w:r>
        <w:rPr>
          <w:rFonts w:hint="eastAsia" w:ascii="宋体" w:hAnsi="宋体" w:cs="宋体"/>
          <w:color w:val="auto"/>
          <w:sz w:val="28"/>
          <w:szCs w:val="18"/>
          <w:highlight w:val="none"/>
        </w:rPr>
        <w:t>乙方：</w:t>
      </w:r>
      <w:r>
        <w:rPr>
          <w:rFonts w:hint="eastAsia" w:ascii="宋体" w:hAnsi="宋体" w:cs="宋体"/>
          <w:color w:val="auto"/>
          <w:sz w:val="28"/>
          <w:szCs w:val="18"/>
          <w:highlight w:val="none"/>
          <w:u w:val="single"/>
        </w:rPr>
        <w:t xml:space="preserve">                                   </w:t>
      </w:r>
    </w:p>
    <w:p w14:paraId="338B179B">
      <w:pPr>
        <w:spacing w:line="360" w:lineRule="auto"/>
        <w:rPr>
          <w:rFonts w:ascii="宋体" w:hAnsi="宋体" w:cs="宋体"/>
          <w:color w:val="auto"/>
          <w:sz w:val="28"/>
          <w:szCs w:val="18"/>
          <w:highlight w:val="none"/>
        </w:rPr>
      </w:pPr>
    </w:p>
    <w:p w14:paraId="25778305">
      <w:pPr>
        <w:spacing w:line="360" w:lineRule="auto"/>
        <w:rPr>
          <w:rFonts w:ascii="宋体" w:hAnsi="宋体" w:cs="宋体"/>
          <w:color w:val="auto"/>
          <w:sz w:val="28"/>
          <w:szCs w:val="18"/>
          <w:highlight w:val="none"/>
          <w:u w:val="single"/>
        </w:rPr>
      </w:pPr>
      <w:r>
        <w:rPr>
          <w:rFonts w:hint="eastAsia" w:ascii="宋体" w:hAnsi="宋体" w:cs="宋体"/>
          <w:color w:val="auto"/>
          <w:sz w:val="28"/>
          <w:szCs w:val="18"/>
          <w:highlight w:val="none"/>
        </w:rPr>
        <w:t>签订地：</w:t>
      </w:r>
      <w:r>
        <w:rPr>
          <w:rFonts w:hint="eastAsia" w:ascii="宋体" w:hAnsi="宋体" w:cs="宋体"/>
          <w:color w:val="auto"/>
          <w:sz w:val="28"/>
          <w:szCs w:val="18"/>
          <w:highlight w:val="none"/>
          <w:u w:val="single"/>
        </w:rPr>
        <w:t xml:space="preserve"> </w:t>
      </w:r>
      <w:r>
        <w:rPr>
          <w:rFonts w:ascii="宋体" w:hAnsi="宋体" w:cs="宋体"/>
          <w:color w:val="auto"/>
          <w:sz w:val="28"/>
          <w:szCs w:val="18"/>
          <w:highlight w:val="none"/>
          <w:u w:val="single"/>
        </w:rPr>
        <w:t xml:space="preserve">        </w:t>
      </w:r>
      <w:r>
        <w:rPr>
          <w:rFonts w:hint="eastAsia" w:ascii="宋体" w:hAnsi="宋体" w:cs="宋体"/>
          <w:color w:val="auto"/>
          <w:sz w:val="28"/>
          <w:szCs w:val="18"/>
          <w:highlight w:val="none"/>
          <w:u w:val="single"/>
        </w:rPr>
        <w:t xml:space="preserve">          </w:t>
      </w:r>
      <w:r>
        <w:rPr>
          <w:rFonts w:ascii="宋体" w:hAnsi="宋体" w:cs="宋体"/>
          <w:color w:val="auto"/>
          <w:sz w:val="28"/>
          <w:szCs w:val="18"/>
          <w:highlight w:val="none"/>
          <w:u w:val="single"/>
        </w:rPr>
        <w:t xml:space="preserve">              </w:t>
      </w:r>
    </w:p>
    <w:p w14:paraId="3F0DCCF0">
      <w:pPr>
        <w:spacing w:line="360" w:lineRule="auto"/>
        <w:ind w:firstLine="1120" w:firstLineChars="400"/>
        <w:rPr>
          <w:rFonts w:ascii="宋体" w:hAnsi="宋体" w:cs="宋体"/>
          <w:color w:val="auto"/>
          <w:sz w:val="28"/>
          <w:szCs w:val="18"/>
          <w:highlight w:val="none"/>
        </w:rPr>
      </w:pPr>
    </w:p>
    <w:p w14:paraId="29E5AC43">
      <w:pPr>
        <w:spacing w:line="360" w:lineRule="auto"/>
        <w:rPr>
          <w:rFonts w:ascii="宋体" w:hAnsi="宋体" w:cs="宋体"/>
          <w:color w:val="auto"/>
          <w:sz w:val="28"/>
          <w:szCs w:val="18"/>
          <w:highlight w:val="none"/>
        </w:rPr>
      </w:pPr>
      <w:r>
        <w:rPr>
          <w:rFonts w:hint="eastAsia" w:ascii="宋体" w:hAnsi="宋体" w:cs="宋体"/>
          <w:color w:val="auto"/>
          <w:sz w:val="28"/>
          <w:szCs w:val="18"/>
          <w:highlight w:val="none"/>
        </w:rPr>
        <w:t>签订日期：</w:t>
      </w:r>
      <w:r>
        <w:rPr>
          <w:rFonts w:hint="eastAsia" w:ascii="宋体" w:hAnsi="宋体" w:cs="宋体"/>
          <w:color w:val="auto"/>
          <w:sz w:val="28"/>
          <w:szCs w:val="18"/>
          <w:highlight w:val="none"/>
          <w:u w:val="single"/>
        </w:rPr>
        <w:t xml:space="preserve">           </w:t>
      </w:r>
      <w:r>
        <w:rPr>
          <w:rFonts w:hint="eastAsia" w:ascii="宋体" w:hAnsi="宋体" w:cs="宋体"/>
          <w:color w:val="auto"/>
          <w:sz w:val="28"/>
          <w:szCs w:val="18"/>
          <w:highlight w:val="none"/>
        </w:rPr>
        <w:t>年</w:t>
      </w:r>
      <w:r>
        <w:rPr>
          <w:rFonts w:hint="eastAsia" w:ascii="宋体" w:hAnsi="宋体" w:cs="宋体"/>
          <w:color w:val="auto"/>
          <w:sz w:val="28"/>
          <w:szCs w:val="18"/>
          <w:highlight w:val="none"/>
          <w:u w:val="single"/>
        </w:rPr>
        <w:t xml:space="preserve">         </w:t>
      </w:r>
      <w:r>
        <w:rPr>
          <w:rFonts w:hint="eastAsia" w:ascii="宋体" w:hAnsi="宋体" w:cs="宋体"/>
          <w:color w:val="auto"/>
          <w:sz w:val="28"/>
          <w:szCs w:val="18"/>
          <w:highlight w:val="none"/>
        </w:rPr>
        <w:t>月</w:t>
      </w:r>
      <w:r>
        <w:rPr>
          <w:rFonts w:hint="eastAsia" w:ascii="宋体" w:hAnsi="宋体" w:cs="宋体"/>
          <w:color w:val="auto"/>
          <w:sz w:val="28"/>
          <w:szCs w:val="18"/>
          <w:highlight w:val="none"/>
          <w:u w:val="single"/>
        </w:rPr>
        <w:t xml:space="preserve">         </w:t>
      </w:r>
      <w:r>
        <w:rPr>
          <w:rFonts w:hint="eastAsia" w:ascii="宋体" w:hAnsi="宋体" w:cs="宋体"/>
          <w:color w:val="auto"/>
          <w:sz w:val="28"/>
          <w:szCs w:val="18"/>
          <w:highlight w:val="none"/>
        </w:rPr>
        <w:t>日</w:t>
      </w:r>
    </w:p>
    <w:p w14:paraId="6EA5A588">
      <w:pPr>
        <w:pStyle w:val="69"/>
        <w:numPr>
          <w:ilvl w:val="0"/>
          <w:numId w:val="0"/>
        </w:numPr>
        <w:ind w:left="840"/>
        <w:rPr>
          <w:color w:val="auto"/>
          <w:highlight w:val="none"/>
        </w:rPr>
      </w:pPr>
    </w:p>
    <w:p w14:paraId="29668E16">
      <w:pPr>
        <w:spacing w:line="360" w:lineRule="auto"/>
        <w:ind w:firstLine="480" w:firstLineChars="200"/>
        <w:rPr>
          <w:rFonts w:ascii="宋体" w:hAnsi="宋体" w:cs="宋体"/>
          <w:color w:val="auto"/>
          <w:sz w:val="24"/>
          <w:highlight w:val="none"/>
          <w:u w:val="single"/>
          <w:lang w:val="zh-CN"/>
        </w:rPr>
        <w:sectPr>
          <w:headerReference r:id="rId8" w:type="first"/>
          <w:footerReference r:id="rId10" w:type="first"/>
          <w:headerReference r:id="rId7" w:type="default"/>
          <w:footerReference r:id="rId9" w:type="default"/>
          <w:pgSz w:w="11906" w:h="16838"/>
          <w:pgMar w:top="1276" w:right="1418" w:bottom="1247" w:left="1418" w:header="851" w:footer="992" w:gutter="0"/>
          <w:cols w:space="720" w:num="1"/>
          <w:titlePg/>
          <w:docGrid w:linePitch="312" w:charSpace="0"/>
        </w:sectPr>
      </w:pPr>
    </w:p>
    <w:p w14:paraId="5C06D024">
      <w:pPr>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u w:val="single"/>
          <w:lang w:val="zh-CN"/>
        </w:rPr>
        <w:t xml:space="preserve"> </w:t>
      </w:r>
      <w:r>
        <w:rPr>
          <w:rFonts w:hint="eastAsia" w:ascii="宋体" w:hAnsi="宋体" w:cs="宋体"/>
          <w:color w:val="auto"/>
          <w:sz w:val="22"/>
          <w:szCs w:val="18"/>
          <w:highlight w:val="none"/>
          <w:u w:val="single"/>
        </w:rPr>
        <w:t xml:space="preserve">   </w:t>
      </w:r>
      <w:r>
        <w:rPr>
          <w:rFonts w:hint="eastAsia" w:ascii="宋体" w:hAnsi="宋体" w:cs="宋体"/>
          <w:color w:val="auto"/>
          <w:sz w:val="22"/>
          <w:szCs w:val="18"/>
          <w:highlight w:val="none"/>
          <w:u w:val="single"/>
          <w:lang w:val="zh-CN"/>
        </w:rPr>
        <w:t xml:space="preserve"> </w:t>
      </w:r>
      <w:r>
        <w:rPr>
          <w:rFonts w:hint="eastAsia" w:ascii="宋体" w:hAnsi="宋体" w:cs="宋体"/>
          <w:color w:val="auto"/>
          <w:sz w:val="22"/>
          <w:szCs w:val="18"/>
          <w:highlight w:val="none"/>
          <w:lang w:val="zh-CN"/>
        </w:rPr>
        <w:t>年</w:t>
      </w:r>
      <w:r>
        <w:rPr>
          <w:rFonts w:hint="eastAsia" w:ascii="宋体" w:hAnsi="宋体" w:cs="宋体"/>
          <w:color w:val="auto"/>
          <w:sz w:val="22"/>
          <w:szCs w:val="18"/>
          <w:highlight w:val="none"/>
          <w:u w:val="single"/>
          <w:lang w:val="zh-CN"/>
        </w:rPr>
        <w:t xml:space="preserve">    </w:t>
      </w:r>
      <w:r>
        <w:rPr>
          <w:rFonts w:hint="eastAsia" w:ascii="宋体" w:hAnsi="宋体" w:cs="宋体"/>
          <w:color w:val="auto"/>
          <w:sz w:val="22"/>
          <w:szCs w:val="18"/>
          <w:highlight w:val="none"/>
          <w:lang w:val="zh-CN"/>
        </w:rPr>
        <w:t>月</w:t>
      </w:r>
      <w:r>
        <w:rPr>
          <w:rFonts w:hint="eastAsia" w:ascii="宋体" w:hAnsi="宋体" w:cs="宋体"/>
          <w:color w:val="auto"/>
          <w:sz w:val="22"/>
          <w:szCs w:val="18"/>
          <w:highlight w:val="none"/>
          <w:u w:val="single"/>
          <w:lang w:val="zh-CN"/>
        </w:rPr>
        <w:t xml:space="preserve">    </w:t>
      </w:r>
      <w:r>
        <w:rPr>
          <w:rFonts w:hint="eastAsia" w:ascii="宋体" w:hAnsi="宋体" w:cs="宋体"/>
          <w:color w:val="auto"/>
          <w:sz w:val="22"/>
          <w:szCs w:val="18"/>
          <w:highlight w:val="none"/>
          <w:lang w:val="zh-CN"/>
        </w:rPr>
        <w:t>日</w:t>
      </w:r>
      <w:r>
        <w:rPr>
          <w:rFonts w:hint="eastAsia" w:ascii="宋体" w:hAnsi="宋体" w:cs="宋体"/>
          <w:color w:val="auto"/>
          <w:sz w:val="22"/>
          <w:szCs w:val="18"/>
          <w:highlight w:val="none"/>
        </w:rPr>
        <w:t>，</w:t>
      </w:r>
      <w:r>
        <w:rPr>
          <w:rFonts w:hint="eastAsia" w:ascii="宋体" w:hAnsi="宋体" w:cs="宋体"/>
          <w:color w:val="auto"/>
          <w:sz w:val="22"/>
          <w:szCs w:val="18"/>
          <w:highlight w:val="none"/>
          <w:u w:val="single"/>
          <w:lang w:eastAsia="zh-CN"/>
        </w:rPr>
        <w:t>宁波市公安局北仑区分局 </w:t>
      </w:r>
      <w:r>
        <w:rPr>
          <w:rFonts w:hint="eastAsia" w:ascii="宋体" w:hAnsi="宋体" w:cs="宋体"/>
          <w:color w:val="auto"/>
          <w:sz w:val="22"/>
          <w:szCs w:val="18"/>
          <w:highlight w:val="none"/>
        </w:rPr>
        <w:t>以</w:t>
      </w:r>
      <w:r>
        <w:rPr>
          <w:rFonts w:hint="eastAsia" w:ascii="宋体" w:hAnsi="宋体" w:cs="宋体"/>
          <w:color w:val="auto"/>
          <w:sz w:val="22"/>
          <w:szCs w:val="18"/>
          <w:highlight w:val="none"/>
          <w:u w:val="single"/>
        </w:rPr>
        <w:t xml:space="preserve"> 公开招标 </w:t>
      </w:r>
      <w:r>
        <w:rPr>
          <w:rFonts w:hint="eastAsia" w:ascii="宋体" w:hAnsi="宋体" w:cs="宋体"/>
          <w:color w:val="auto"/>
          <w:sz w:val="22"/>
          <w:szCs w:val="18"/>
          <w:highlight w:val="none"/>
        </w:rPr>
        <w:t>对</w:t>
      </w:r>
      <w:r>
        <w:rPr>
          <w:rFonts w:hint="eastAsia" w:ascii="宋体" w:hAnsi="宋体" w:cs="宋体"/>
          <w:color w:val="auto"/>
          <w:sz w:val="22"/>
          <w:szCs w:val="18"/>
          <w:highlight w:val="none"/>
          <w:u w:val="single"/>
        </w:rPr>
        <w:t xml:space="preserve"> </w:t>
      </w:r>
      <w:r>
        <w:rPr>
          <w:rFonts w:hint="eastAsia" w:ascii="宋体" w:hAnsi="宋体" w:cs="宋体"/>
          <w:color w:val="auto"/>
          <w:sz w:val="22"/>
          <w:szCs w:val="18"/>
          <w:highlight w:val="none"/>
          <w:u w:val="single"/>
          <w:lang w:eastAsia="zh-CN"/>
        </w:rPr>
        <w:t>大碶派出所迁建工程-办案区智能化项目（重发）</w:t>
      </w:r>
      <w:r>
        <w:rPr>
          <w:rFonts w:hint="eastAsia" w:ascii="宋体" w:hAnsi="宋体" w:cs="宋体"/>
          <w:color w:val="auto"/>
          <w:sz w:val="22"/>
          <w:szCs w:val="18"/>
          <w:highlight w:val="none"/>
          <w:u w:val="single"/>
        </w:rPr>
        <w:t>（项目编号：        ）</w:t>
      </w:r>
      <w:r>
        <w:rPr>
          <w:rFonts w:hint="eastAsia" w:ascii="宋体" w:hAnsi="宋体" w:cs="宋体"/>
          <w:color w:val="auto"/>
          <w:sz w:val="22"/>
          <w:szCs w:val="18"/>
          <w:highlight w:val="none"/>
        </w:rPr>
        <w:t>进行了采购。经</w:t>
      </w:r>
      <w:r>
        <w:rPr>
          <w:rFonts w:hint="eastAsia" w:ascii="宋体" w:hAnsi="宋体" w:cs="宋体"/>
          <w:color w:val="auto"/>
          <w:sz w:val="22"/>
          <w:szCs w:val="18"/>
          <w:highlight w:val="none"/>
          <w:u w:val="single"/>
        </w:rPr>
        <w:t>评标委员会</w:t>
      </w:r>
      <w:r>
        <w:rPr>
          <w:rFonts w:hint="eastAsia" w:ascii="宋体" w:hAnsi="宋体" w:cs="宋体"/>
          <w:color w:val="auto"/>
          <w:sz w:val="22"/>
          <w:szCs w:val="18"/>
          <w:highlight w:val="none"/>
        </w:rPr>
        <w:t>评定，</w:t>
      </w:r>
      <w:r>
        <w:rPr>
          <w:rFonts w:hint="eastAsia" w:ascii="宋体" w:hAnsi="宋体" w:cs="宋体"/>
          <w:color w:val="auto"/>
          <w:sz w:val="22"/>
          <w:szCs w:val="18"/>
          <w:highlight w:val="none"/>
          <w:u w:val="single"/>
        </w:rPr>
        <w:t xml:space="preserve">  </w:t>
      </w:r>
      <w:r>
        <w:rPr>
          <w:rFonts w:ascii="宋体" w:hAnsi="宋体" w:cs="宋体"/>
          <w:color w:val="auto"/>
          <w:sz w:val="22"/>
          <w:szCs w:val="18"/>
          <w:highlight w:val="none"/>
          <w:u w:val="single"/>
        </w:rPr>
        <w:t xml:space="preserve">    </w:t>
      </w:r>
      <w:r>
        <w:rPr>
          <w:rFonts w:hint="eastAsia" w:ascii="宋体" w:hAnsi="宋体" w:cs="宋体"/>
          <w:color w:val="auto"/>
          <w:sz w:val="22"/>
          <w:szCs w:val="18"/>
          <w:highlight w:val="none"/>
          <w:u w:val="single"/>
        </w:rPr>
        <w:t xml:space="preserve"> （中标或者成交供应商名称）</w:t>
      </w:r>
      <w:r>
        <w:rPr>
          <w:rFonts w:hint="eastAsia" w:ascii="宋体" w:hAnsi="宋体" w:cs="宋体"/>
          <w:color w:val="auto"/>
          <w:sz w:val="22"/>
          <w:szCs w:val="18"/>
          <w:highlight w:val="none"/>
        </w:rPr>
        <w:t>为该项目中标或者成交供应商。现于中标或者成交通知书发出之日起30日内，按照招标文件等确定的事项签订本合同。</w:t>
      </w:r>
    </w:p>
    <w:p w14:paraId="577BBFA7">
      <w:pPr>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lang w:val="zh-CN"/>
        </w:rPr>
        <w:t>根据《中华人民共和国民法典》《中华人民共和国政府采购法》等相关法律法规之规定，按照平等、自愿、公平、诚实信用和绿色的原则，经</w:t>
      </w:r>
      <w:r>
        <w:rPr>
          <w:rFonts w:hint="eastAsia" w:ascii="宋体" w:hAnsi="宋体" w:cs="宋体"/>
          <w:color w:val="auto"/>
          <w:sz w:val="22"/>
          <w:szCs w:val="18"/>
          <w:highlight w:val="none"/>
          <w:u w:val="single"/>
        </w:rPr>
        <w:t xml:space="preserve"> </w:t>
      </w:r>
      <w:r>
        <w:rPr>
          <w:rFonts w:hint="eastAsia" w:ascii="宋体" w:hAnsi="宋体" w:cs="宋体"/>
          <w:color w:val="auto"/>
          <w:sz w:val="22"/>
          <w:szCs w:val="18"/>
          <w:highlight w:val="none"/>
          <w:u w:val="single"/>
          <w:lang w:eastAsia="zh-CN"/>
        </w:rPr>
        <w:t>宁波市公安局北仑区分局 </w:t>
      </w:r>
      <w:r>
        <w:rPr>
          <w:rFonts w:hint="eastAsia" w:ascii="宋体" w:hAnsi="宋体" w:cs="宋体"/>
          <w:color w:val="auto"/>
          <w:sz w:val="22"/>
          <w:szCs w:val="18"/>
          <w:highlight w:val="none"/>
          <w:u w:val="single"/>
        </w:rPr>
        <w:t xml:space="preserve"> </w:t>
      </w:r>
      <w:r>
        <w:rPr>
          <w:rFonts w:hint="eastAsia" w:ascii="宋体" w:hAnsi="宋体" w:cs="宋体"/>
          <w:color w:val="auto"/>
          <w:sz w:val="22"/>
          <w:szCs w:val="18"/>
          <w:highlight w:val="none"/>
          <w:lang w:val="zh-CN"/>
        </w:rPr>
        <w:t>(以下简称：甲方)和</w:t>
      </w:r>
      <w:r>
        <w:rPr>
          <w:rFonts w:hint="eastAsia" w:ascii="宋体" w:hAnsi="宋体" w:cs="宋体"/>
          <w:color w:val="auto"/>
          <w:sz w:val="22"/>
          <w:szCs w:val="18"/>
          <w:highlight w:val="none"/>
          <w:u w:val="single"/>
        </w:rPr>
        <w:t xml:space="preserve">  </w:t>
      </w:r>
      <w:r>
        <w:rPr>
          <w:rFonts w:ascii="宋体" w:hAnsi="宋体" w:cs="宋体"/>
          <w:color w:val="auto"/>
          <w:sz w:val="22"/>
          <w:szCs w:val="18"/>
          <w:highlight w:val="none"/>
          <w:u w:val="single"/>
        </w:rPr>
        <w:t xml:space="preserve">   </w:t>
      </w:r>
      <w:r>
        <w:rPr>
          <w:rFonts w:hint="eastAsia" w:ascii="宋体" w:hAnsi="宋体" w:cs="宋体"/>
          <w:color w:val="auto"/>
          <w:sz w:val="22"/>
          <w:szCs w:val="18"/>
          <w:highlight w:val="none"/>
          <w:u w:val="single"/>
        </w:rPr>
        <w:t xml:space="preserve"> （中标或者成交供应商名称）   </w:t>
      </w:r>
      <w:r>
        <w:rPr>
          <w:rFonts w:hint="eastAsia" w:ascii="宋体" w:hAnsi="宋体" w:cs="宋体"/>
          <w:color w:val="auto"/>
          <w:sz w:val="22"/>
          <w:szCs w:val="18"/>
          <w:highlight w:val="none"/>
          <w:lang w:val="zh-CN"/>
        </w:rPr>
        <w:t>(以下简称：乙方)协商一致，约定以下合同</w:t>
      </w:r>
      <w:r>
        <w:rPr>
          <w:rFonts w:hint="eastAsia" w:ascii="宋体" w:hAnsi="宋体" w:cs="宋体"/>
          <w:color w:val="auto"/>
          <w:sz w:val="22"/>
          <w:szCs w:val="18"/>
          <w:highlight w:val="none"/>
        </w:rPr>
        <w:t>条款，以兹共同遵守、全面履行。</w:t>
      </w:r>
    </w:p>
    <w:p w14:paraId="291AE2CD">
      <w:pPr>
        <w:spacing w:line="360" w:lineRule="auto"/>
        <w:ind w:firstLine="442" w:firstLineChars="200"/>
        <w:rPr>
          <w:rFonts w:ascii="宋体" w:hAnsi="宋体" w:cs="宋体"/>
          <w:b/>
          <w:color w:val="auto"/>
          <w:sz w:val="22"/>
          <w:szCs w:val="18"/>
          <w:highlight w:val="none"/>
        </w:rPr>
      </w:pPr>
      <w:bookmarkStart w:id="479" w:name="_Toc2232"/>
      <w:bookmarkStart w:id="480" w:name="_Toc24059"/>
      <w:bookmarkStart w:id="481" w:name="_Toc3029"/>
      <w:r>
        <w:rPr>
          <w:rFonts w:hint="eastAsia" w:ascii="宋体" w:hAnsi="宋体" w:cs="宋体"/>
          <w:b/>
          <w:color w:val="auto"/>
          <w:sz w:val="22"/>
          <w:szCs w:val="18"/>
          <w:highlight w:val="none"/>
        </w:rPr>
        <w:t>1.1 合同组成部分</w:t>
      </w:r>
      <w:bookmarkEnd w:id="479"/>
      <w:bookmarkEnd w:id="480"/>
      <w:bookmarkEnd w:id="481"/>
    </w:p>
    <w:p w14:paraId="39ED02B3">
      <w:pPr>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下列文件为本合同的组成部分，并构成一个整体，需综合解释、相互补充。如果下列文件内容出现不一致的情形，那么在保证按照招标文件确定的事项的前提下，组成本合同的多个文件的优先适用顺序如下：</w:t>
      </w:r>
    </w:p>
    <w:p w14:paraId="10667D9C">
      <w:pPr>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1.1.1 本合同及其补充合同、变更协议；</w:t>
      </w:r>
    </w:p>
    <w:p w14:paraId="47C6F411">
      <w:pPr>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1.1.2 中标或者成交通知书；</w:t>
      </w:r>
    </w:p>
    <w:p w14:paraId="6FCCC008">
      <w:pPr>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1.1.3 投标或者响应文件（含澄清或者说明文件）；</w:t>
      </w:r>
    </w:p>
    <w:p w14:paraId="67352957">
      <w:pPr>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1.1.4 招标文件（含澄清或者修改文件）；</w:t>
      </w:r>
    </w:p>
    <w:p w14:paraId="3DCCDEC2">
      <w:pPr>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1.1.5 其他相关招标文件。</w:t>
      </w:r>
    </w:p>
    <w:p w14:paraId="5AF787C7">
      <w:pPr>
        <w:spacing w:line="360" w:lineRule="auto"/>
        <w:ind w:firstLine="442" w:firstLineChars="200"/>
        <w:rPr>
          <w:rFonts w:ascii="宋体" w:hAnsi="宋体" w:cs="宋体"/>
          <w:b/>
          <w:color w:val="auto"/>
          <w:sz w:val="22"/>
          <w:szCs w:val="18"/>
          <w:highlight w:val="none"/>
        </w:rPr>
      </w:pPr>
      <w:bookmarkStart w:id="482" w:name="_Toc24300"/>
      <w:bookmarkStart w:id="483" w:name="_Toc27126"/>
      <w:bookmarkStart w:id="484" w:name="_Toc21295"/>
      <w:r>
        <w:rPr>
          <w:rFonts w:hint="eastAsia" w:ascii="宋体" w:hAnsi="宋体" w:cs="宋体"/>
          <w:b/>
          <w:color w:val="auto"/>
          <w:sz w:val="22"/>
          <w:szCs w:val="18"/>
          <w:highlight w:val="none"/>
        </w:rPr>
        <w:t>1.2 货物</w:t>
      </w:r>
      <w:bookmarkEnd w:id="482"/>
      <w:bookmarkEnd w:id="483"/>
      <w:bookmarkEnd w:id="484"/>
    </w:p>
    <w:p w14:paraId="3B533396">
      <w:pPr>
        <w:spacing w:line="360" w:lineRule="auto"/>
        <w:ind w:firstLine="440" w:firstLineChars="200"/>
        <w:rPr>
          <w:rFonts w:ascii="宋体" w:hAnsi="宋体" w:cs="宋体"/>
          <w:color w:val="auto"/>
          <w:sz w:val="22"/>
          <w:szCs w:val="18"/>
          <w:highlight w:val="none"/>
          <w:u w:val="single"/>
        </w:rPr>
      </w:pPr>
      <w:r>
        <w:rPr>
          <w:rFonts w:hint="eastAsia" w:ascii="宋体" w:hAnsi="宋体" w:cs="宋体"/>
          <w:color w:val="auto"/>
          <w:sz w:val="22"/>
          <w:szCs w:val="18"/>
          <w:highlight w:val="none"/>
        </w:rPr>
        <w:t>1.2.1 货物名称、品牌、规格型号：</w:t>
      </w:r>
      <w:r>
        <w:rPr>
          <w:rFonts w:hint="eastAsia" w:ascii="宋体" w:hAnsi="宋体" w:cs="宋体"/>
          <w:color w:val="auto"/>
          <w:sz w:val="22"/>
          <w:szCs w:val="18"/>
          <w:highlight w:val="none"/>
          <w:u w:val="single"/>
        </w:rPr>
        <w:t xml:space="preserve">      </w:t>
      </w:r>
      <w:r>
        <w:rPr>
          <w:rFonts w:hint="eastAsia" w:ascii="宋体" w:hAnsi="宋体" w:cs="宋体"/>
          <w:color w:val="auto"/>
          <w:sz w:val="22"/>
          <w:szCs w:val="18"/>
          <w:highlight w:val="none"/>
        </w:rPr>
        <w:t>；</w:t>
      </w:r>
    </w:p>
    <w:p w14:paraId="7E97BAC1">
      <w:pPr>
        <w:spacing w:line="360" w:lineRule="auto"/>
        <w:ind w:firstLine="440" w:firstLineChars="200"/>
        <w:rPr>
          <w:rFonts w:ascii="宋体" w:hAnsi="宋体" w:cs="宋体"/>
          <w:color w:val="auto"/>
          <w:sz w:val="22"/>
          <w:szCs w:val="18"/>
          <w:highlight w:val="none"/>
          <w:u w:val="single"/>
        </w:rPr>
      </w:pPr>
      <w:r>
        <w:rPr>
          <w:rFonts w:hint="eastAsia" w:ascii="宋体" w:hAnsi="宋体" w:cs="宋体"/>
          <w:color w:val="auto"/>
          <w:sz w:val="22"/>
          <w:szCs w:val="18"/>
          <w:highlight w:val="none"/>
        </w:rPr>
        <w:t>1.2.2 货物数量：</w:t>
      </w:r>
      <w:r>
        <w:rPr>
          <w:rFonts w:hint="eastAsia" w:ascii="宋体" w:hAnsi="宋体" w:cs="宋体"/>
          <w:color w:val="auto"/>
          <w:sz w:val="22"/>
          <w:szCs w:val="18"/>
          <w:highlight w:val="none"/>
          <w:u w:val="single"/>
        </w:rPr>
        <w:t xml:space="preserve">      </w:t>
      </w:r>
      <w:r>
        <w:rPr>
          <w:rFonts w:hint="eastAsia" w:ascii="宋体" w:hAnsi="宋体" w:cs="宋体"/>
          <w:color w:val="auto"/>
          <w:sz w:val="22"/>
          <w:szCs w:val="18"/>
          <w:highlight w:val="none"/>
        </w:rPr>
        <w:t>；</w:t>
      </w:r>
    </w:p>
    <w:p w14:paraId="796CE5C1">
      <w:pPr>
        <w:spacing w:line="360" w:lineRule="auto"/>
        <w:ind w:firstLine="440" w:firstLineChars="200"/>
        <w:rPr>
          <w:rFonts w:hint="eastAsia" w:ascii="宋体" w:hAnsi="宋体" w:cs="宋体"/>
          <w:color w:val="auto"/>
          <w:sz w:val="22"/>
          <w:szCs w:val="18"/>
          <w:highlight w:val="none"/>
          <w:u w:val="single"/>
        </w:rPr>
      </w:pPr>
      <w:r>
        <w:rPr>
          <w:rFonts w:hint="eastAsia" w:ascii="宋体" w:hAnsi="宋体" w:cs="宋体"/>
          <w:color w:val="auto"/>
          <w:sz w:val="22"/>
          <w:szCs w:val="18"/>
          <w:highlight w:val="none"/>
        </w:rPr>
        <w:t>1.2.3 货物质量：</w:t>
      </w:r>
      <w:r>
        <w:rPr>
          <w:rFonts w:hint="eastAsia" w:ascii="宋体" w:hAnsi="宋体" w:cs="宋体"/>
          <w:color w:val="auto"/>
          <w:sz w:val="22"/>
          <w:szCs w:val="18"/>
          <w:highlight w:val="none"/>
          <w:u w:val="single"/>
        </w:rPr>
        <w:t xml:space="preserve"> </w:t>
      </w:r>
      <w:r>
        <w:rPr>
          <w:rFonts w:ascii="宋体" w:hAnsi="宋体" w:cs="宋体"/>
          <w:color w:val="auto"/>
          <w:sz w:val="22"/>
          <w:szCs w:val="18"/>
          <w:highlight w:val="none"/>
          <w:u w:val="single"/>
        </w:rPr>
        <w:t xml:space="preserve"> </w:t>
      </w:r>
      <w:r>
        <w:rPr>
          <w:rFonts w:hint="eastAsia" w:ascii="宋体" w:hAnsi="宋体" w:cs="宋体"/>
          <w:color w:val="auto"/>
          <w:sz w:val="22"/>
          <w:szCs w:val="18"/>
          <w:highlight w:val="none"/>
          <w:u w:val="single"/>
        </w:rPr>
        <w:t xml:space="preserve">    ；</w:t>
      </w:r>
    </w:p>
    <w:tbl>
      <w:tblPr>
        <w:tblStyle w:val="44"/>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295"/>
        <w:gridCol w:w="844"/>
        <w:gridCol w:w="1195"/>
        <w:gridCol w:w="3451"/>
        <w:gridCol w:w="1132"/>
      </w:tblGrid>
      <w:tr w14:paraId="755D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21CCE4B6">
            <w:pPr>
              <w:pStyle w:val="1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95" w:type="dxa"/>
            <w:tcBorders>
              <w:top w:val="single" w:color="auto" w:sz="4" w:space="0"/>
              <w:left w:val="single" w:color="auto" w:sz="4" w:space="0"/>
              <w:bottom w:val="single" w:color="auto" w:sz="4" w:space="0"/>
              <w:right w:val="single" w:color="auto" w:sz="4" w:space="0"/>
            </w:tcBorders>
            <w:noWrap w:val="0"/>
            <w:vAlign w:val="center"/>
          </w:tcPr>
          <w:p w14:paraId="4C7E1F82">
            <w:pPr>
              <w:pStyle w:val="1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27BDB56D">
            <w:pPr>
              <w:pStyle w:val="1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195" w:type="dxa"/>
            <w:tcBorders>
              <w:top w:val="single" w:color="auto" w:sz="4" w:space="0"/>
              <w:left w:val="single" w:color="auto" w:sz="4" w:space="0"/>
              <w:bottom w:val="single" w:color="auto" w:sz="4" w:space="0"/>
              <w:right w:val="single" w:color="auto" w:sz="4" w:space="0"/>
            </w:tcBorders>
            <w:noWrap w:val="0"/>
            <w:vAlign w:val="center"/>
          </w:tcPr>
          <w:p w14:paraId="27ED27B2">
            <w:pPr>
              <w:pStyle w:val="1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品牌名称</w:t>
            </w:r>
          </w:p>
        </w:tc>
        <w:tc>
          <w:tcPr>
            <w:tcW w:w="3451" w:type="dxa"/>
            <w:tcBorders>
              <w:top w:val="single" w:color="auto" w:sz="4" w:space="0"/>
              <w:left w:val="single" w:color="auto" w:sz="4" w:space="0"/>
              <w:bottom w:val="single" w:color="auto" w:sz="4" w:space="0"/>
              <w:right w:val="single" w:color="auto" w:sz="4" w:space="0"/>
            </w:tcBorders>
            <w:noWrap w:val="0"/>
            <w:vAlign w:val="center"/>
          </w:tcPr>
          <w:p w14:paraId="0F89C0FC">
            <w:pPr>
              <w:pStyle w:val="11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规格型号/技术要求/质量要求</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79209773">
            <w:pPr>
              <w:pStyle w:val="11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原产地</w:t>
            </w:r>
          </w:p>
        </w:tc>
      </w:tr>
      <w:tr w14:paraId="4F7CF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1DAB50F0">
            <w:pPr>
              <w:pStyle w:val="117"/>
              <w:spacing w:line="360" w:lineRule="auto"/>
              <w:ind w:firstLine="200"/>
              <w:jc w:val="center"/>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14:paraId="165A00A6">
            <w:pPr>
              <w:pStyle w:val="117"/>
              <w:spacing w:line="360" w:lineRule="auto"/>
              <w:ind w:firstLine="200"/>
              <w:jc w:val="center"/>
              <w:rPr>
                <w:rFonts w:hint="eastAsia" w:ascii="宋体" w:hAnsi="宋体" w:eastAsia="宋体" w:cs="宋体"/>
                <w:color w:val="auto"/>
                <w:sz w:val="24"/>
                <w:szCs w:val="24"/>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14:paraId="2B961872">
            <w:pPr>
              <w:pStyle w:val="117"/>
              <w:spacing w:line="360" w:lineRule="auto"/>
              <w:ind w:firstLine="200"/>
              <w:jc w:val="center"/>
              <w:rPr>
                <w:rFonts w:hint="eastAsia" w:ascii="宋体" w:hAnsi="宋体" w:eastAsia="宋体" w:cs="宋体"/>
                <w:color w:val="auto"/>
                <w:sz w:val="24"/>
                <w:szCs w:val="24"/>
                <w:highlight w:val="none"/>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43D27347">
            <w:pPr>
              <w:pStyle w:val="117"/>
              <w:spacing w:line="360" w:lineRule="auto"/>
              <w:ind w:firstLine="200"/>
              <w:jc w:val="center"/>
              <w:rPr>
                <w:rFonts w:hint="eastAsia" w:ascii="宋体" w:hAnsi="宋体" w:eastAsia="宋体" w:cs="宋体"/>
                <w:color w:val="auto"/>
                <w:sz w:val="24"/>
                <w:szCs w:val="24"/>
                <w:highlight w:val="none"/>
              </w:rPr>
            </w:pPr>
          </w:p>
        </w:tc>
        <w:tc>
          <w:tcPr>
            <w:tcW w:w="3451" w:type="dxa"/>
            <w:tcBorders>
              <w:top w:val="single" w:color="auto" w:sz="4" w:space="0"/>
              <w:left w:val="single" w:color="auto" w:sz="4" w:space="0"/>
              <w:bottom w:val="single" w:color="auto" w:sz="4" w:space="0"/>
              <w:right w:val="single" w:color="auto" w:sz="4" w:space="0"/>
            </w:tcBorders>
            <w:noWrap w:val="0"/>
            <w:vAlign w:val="center"/>
          </w:tcPr>
          <w:p w14:paraId="4535F04C">
            <w:pPr>
              <w:pStyle w:val="117"/>
              <w:spacing w:line="360" w:lineRule="auto"/>
              <w:ind w:firstLine="200"/>
              <w:jc w:val="center"/>
              <w:rPr>
                <w:rFonts w:hint="eastAsia" w:ascii="宋体" w:hAnsi="宋体" w:eastAsia="宋体" w:cs="宋体"/>
                <w:color w:val="auto"/>
                <w:sz w:val="24"/>
                <w:szCs w:val="24"/>
                <w:highlight w:val="none"/>
              </w:rPr>
            </w:pPr>
          </w:p>
        </w:tc>
        <w:tc>
          <w:tcPr>
            <w:tcW w:w="1132" w:type="dxa"/>
            <w:tcBorders>
              <w:top w:val="single" w:color="auto" w:sz="4" w:space="0"/>
              <w:left w:val="single" w:color="auto" w:sz="4" w:space="0"/>
              <w:bottom w:val="single" w:color="auto" w:sz="4" w:space="0"/>
              <w:right w:val="single" w:color="auto" w:sz="4" w:space="0"/>
            </w:tcBorders>
            <w:noWrap w:val="0"/>
            <w:vAlign w:val="center"/>
          </w:tcPr>
          <w:p w14:paraId="25980917">
            <w:pPr>
              <w:pStyle w:val="117"/>
              <w:spacing w:line="360" w:lineRule="auto"/>
              <w:ind w:firstLine="200"/>
              <w:jc w:val="center"/>
              <w:rPr>
                <w:rFonts w:hint="eastAsia" w:ascii="宋体" w:hAnsi="宋体" w:eastAsia="宋体" w:cs="宋体"/>
                <w:color w:val="auto"/>
                <w:sz w:val="24"/>
                <w:szCs w:val="24"/>
                <w:highlight w:val="none"/>
              </w:rPr>
            </w:pPr>
          </w:p>
        </w:tc>
      </w:tr>
      <w:tr w14:paraId="2725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14FFE320">
            <w:pPr>
              <w:pStyle w:val="117"/>
              <w:spacing w:line="360" w:lineRule="auto"/>
              <w:ind w:firstLine="200"/>
              <w:jc w:val="center"/>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14:paraId="5421D681">
            <w:pPr>
              <w:pStyle w:val="117"/>
              <w:spacing w:line="360" w:lineRule="auto"/>
              <w:ind w:firstLine="200"/>
              <w:jc w:val="center"/>
              <w:rPr>
                <w:rFonts w:hint="eastAsia" w:ascii="宋体" w:hAnsi="宋体" w:eastAsia="宋体" w:cs="宋体"/>
                <w:color w:val="auto"/>
                <w:sz w:val="24"/>
                <w:szCs w:val="24"/>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14:paraId="2B899742">
            <w:pPr>
              <w:pStyle w:val="117"/>
              <w:spacing w:line="360" w:lineRule="auto"/>
              <w:ind w:firstLine="200"/>
              <w:jc w:val="center"/>
              <w:rPr>
                <w:rFonts w:hint="eastAsia" w:ascii="宋体" w:hAnsi="宋体" w:eastAsia="宋体" w:cs="宋体"/>
                <w:color w:val="auto"/>
                <w:sz w:val="24"/>
                <w:szCs w:val="24"/>
                <w:highlight w:val="none"/>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69909A1D">
            <w:pPr>
              <w:pStyle w:val="117"/>
              <w:spacing w:line="360" w:lineRule="auto"/>
              <w:ind w:firstLine="200"/>
              <w:jc w:val="center"/>
              <w:rPr>
                <w:rFonts w:hint="eastAsia" w:ascii="宋体" w:hAnsi="宋体" w:eastAsia="宋体" w:cs="宋体"/>
                <w:color w:val="auto"/>
                <w:sz w:val="24"/>
                <w:szCs w:val="24"/>
                <w:highlight w:val="none"/>
              </w:rPr>
            </w:pPr>
          </w:p>
        </w:tc>
        <w:tc>
          <w:tcPr>
            <w:tcW w:w="3451" w:type="dxa"/>
            <w:tcBorders>
              <w:top w:val="single" w:color="auto" w:sz="4" w:space="0"/>
              <w:left w:val="single" w:color="auto" w:sz="4" w:space="0"/>
              <w:bottom w:val="single" w:color="auto" w:sz="4" w:space="0"/>
              <w:right w:val="single" w:color="auto" w:sz="4" w:space="0"/>
            </w:tcBorders>
            <w:noWrap w:val="0"/>
            <w:vAlign w:val="center"/>
          </w:tcPr>
          <w:p w14:paraId="07A37C4A">
            <w:pPr>
              <w:pStyle w:val="117"/>
              <w:spacing w:line="360" w:lineRule="auto"/>
              <w:ind w:firstLine="200"/>
              <w:jc w:val="center"/>
              <w:rPr>
                <w:rFonts w:hint="eastAsia" w:ascii="宋体" w:hAnsi="宋体" w:eastAsia="宋体" w:cs="宋体"/>
                <w:color w:val="auto"/>
                <w:sz w:val="24"/>
                <w:szCs w:val="24"/>
                <w:highlight w:val="none"/>
              </w:rPr>
            </w:pPr>
          </w:p>
        </w:tc>
        <w:tc>
          <w:tcPr>
            <w:tcW w:w="1132" w:type="dxa"/>
            <w:tcBorders>
              <w:top w:val="single" w:color="auto" w:sz="4" w:space="0"/>
              <w:left w:val="single" w:color="auto" w:sz="4" w:space="0"/>
              <w:bottom w:val="single" w:color="auto" w:sz="4" w:space="0"/>
              <w:right w:val="single" w:color="auto" w:sz="4" w:space="0"/>
            </w:tcBorders>
            <w:noWrap w:val="0"/>
            <w:vAlign w:val="center"/>
          </w:tcPr>
          <w:p w14:paraId="70875C1D">
            <w:pPr>
              <w:pStyle w:val="117"/>
              <w:spacing w:line="360" w:lineRule="auto"/>
              <w:ind w:firstLine="200"/>
              <w:jc w:val="center"/>
              <w:rPr>
                <w:rFonts w:hint="eastAsia" w:ascii="宋体" w:hAnsi="宋体" w:eastAsia="宋体" w:cs="宋体"/>
                <w:color w:val="auto"/>
                <w:sz w:val="24"/>
                <w:szCs w:val="24"/>
                <w:highlight w:val="none"/>
              </w:rPr>
            </w:pPr>
          </w:p>
        </w:tc>
      </w:tr>
      <w:tr w14:paraId="3421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173560C4">
            <w:pPr>
              <w:pStyle w:val="117"/>
              <w:spacing w:line="360" w:lineRule="auto"/>
              <w:ind w:firstLine="200"/>
              <w:jc w:val="center"/>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14:paraId="6DDFAA01">
            <w:pPr>
              <w:pStyle w:val="117"/>
              <w:spacing w:line="360" w:lineRule="auto"/>
              <w:ind w:firstLine="200"/>
              <w:jc w:val="center"/>
              <w:rPr>
                <w:rFonts w:hint="eastAsia" w:ascii="宋体" w:hAnsi="宋体" w:eastAsia="宋体" w:cs="宋体"/>
                <w:color w:val="auto"/>
                <w:sz w:val="24"/>
                <w:szCs w:val="24"/>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14:paraId="6BB9A64C">
            <w:pPr>
              <w:pStyle w:val="117"/>
              <w:spacing w:line="360" w:lineRule="auto"/>
              <w:ind w:firstLine="200"/>
              <w:jc w:val="center"/>
              <w:rPr>
                <w:rFonts w:hint="eastAsia" w:ascii="宋体" w:hAnsi="宋体" w:eastAsia="宋体" w:cs="宋体"/>
                <w:color w:val="auto"/>
                <w:sz w:val="24"/>
                <w:szCs w:val="24"/>
                <w:highlight w:val="none"/>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583E8447">
            <w:pPr>
              <w:pStyle w:val="117"/>
              <w:spacing w:line="360" w:lineRule="auto"/>
              <w:ind w:firstLine="200"/>
              <w:jc w:val="center"/>
              <w:rPr>
                <w:rFonts w:hint="eastAsia" w:ascii="宋体" w:hAnsi="宋体" w:eastAsia="宋体" w:cs="宋体"/>
                <w:color w:val="auto"/>
                <w:sz w:val="24"/>
                <w:szCs w:val="24"/>
                <w:highlight w:val="none"/>
              </w:rPr>
            </w:pPr>
          </w:p>
        </w:tc>
        <w:tc>
          <w:tcPr>
            <w:tcW w:w="3451" w:type="dxa"/>
            <w:tcBorders>
              <w:top w:val="single" w:color="auto" w:sz="4" w:space="0"/>
              <w:left w:val="single" w:color="auto" w:sz="4" w:space="0"/>
              <w:bottom w:val="single" w:color="auto" w:sz="4" w:space="0"/>
              <w:right w:val="single" w:color="auto" w:sz="4" w:space="0"/>
            </w:tcBorders>
            <w:noWrap w:val="0"/>
            <w:vAlign w:val="center"/>
          </w:tcPr>
          <w:p w14:paraId="0CBCA492">
            <w:pPr>
              <w:pStyle w:val="117"/>
              <w:spacing w:line="360" w:lineRule="auto"/>
              <w:ind w:firstLine="200"/>
              <w:jc w:val="center"/>
              <w:rPr>
                <w:rFonts w:hint="eastAsia" w:ascii="宋体" w:hAnsi="宋体" w:eastAsia="宋体" w:cs="宋体"/>
                <w:color w:val="auto"/>
                <w:sz w:val="24"/>
                <w:szCs w:val="24"/>
                <w:highlight w:val="none"/>
              </w:rPr>
            </w:pPr>
          </w:p>
        </w:tc>
        <w:tc>
          <w:tcPr>
            <w:tcW w:w="1132" w:type="dxa"/>
            <w:tcBorders>
              <w:top w:val="single" w:color="auto" w:sz="4" w:space="0"/>
              <w:left w:val="single" w:color="auto" w:sz="4" w:space="0"/>
              <w:bottom w:val="single" w:color="auto" w:sz="4" w:space="0"/>
              <w:right w:val="single" w:color="auto" w:sz="4" w:space="0"/>
            </w:tcBorders>
            <w:noWrap w:val="0"/>
            <w:vAlign w:val="center"/>
          </w:tcPr>
          <w:p w14:paraId="5D454D2B">
            <w:pPr>
              <w:pStyle w:val="117"/>
              <w:spacing w:line="360" w:lineRule="auto"/>
              <w:ind w:firstLine="200"/>
              <w:jc w:val="center"/>
              <w:rPr>
                <w:rFonts w:hint="eastAsia" w:ascii="宋体" w:hAnsi="宋体" w:eastAsia="宋体" w:cs="宋体"/>
                <w:color w:val="auto"/>
                <w:sz w:val="24"/>
                <w:szCs w:val="24"/>
                <w:highlight w:val="none"/>
              </w:rPr>
            </w:pPr>
          </w:p>
        </w:tc>
      </w:tr>
      <w:tr w14:paraId="01BA2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7851733E">
            <w:pPr>
              <w:pStyle w:val="117"/>
              <w:spacing w:line="360" w:lineRule="auto"/>
              <w:ind w:firstLine="200"/>
              <w:jc w:val="center"/>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14:paraId="0765086B">
            <w:pPr>
              <w:pStyle w:val="117"/>
              <w:spacing w:line="360" w:lineRule="auto"/>
              <w:ind w:firstLine="200"/>
              <w:jc w:val="center"/>
              <w:rPr>
                <w:rFonts w:hint="eastAsia" w:ascii="宋体" w:hAnsi="宋体" w:eastAsia="宋体" w:cs="宋体"/>
                <w:color w:val="auto"/>
                <w:sz w:val="24"/>
                <w:szCs w:val="24"/>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14:paraId="3342418B">
            <w:pPr>
              <w:pStyle w:val="117"/>
              <w:spacing w:line="360" w:lineRule="auto"/>
              <w:ind w:firstLine="200"/>
              <w:jc w:val="center"/>
              <w:rPr>
                <w:rFonts w:hint="eastAsia" w:ascii="宋体" w:hAnsi="宋体" w:eastAsia="宋体" w:cs="宋体"/>
                <w:color w:val="auto"/>
                <w:sz w:val="24"/>
                <w:szCs w:val="24"/>
                <w:highlight w:val="none"/>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34BEE963">
            <w:pPr>
              <w:pStyle w:val="117"/>
              <w:spacing w:line="360" w:lineRule="auto"/>
              <w:ind w:firstLine="200"/>
              <w:jc w:val="center"/>
              <w:rPr>
                <w:rFonts w:hint="eastAsia" w:ascii="宋体" w:hAnsi="宋体" w:eastAsia="宋体" w:cs="宋体"/>
                <w:color w:val="auto"/>
                <w:sz w:val="24"/>
                <w:szCs w:val="24"/>
                <w:highlight w:val="none"/>
              </w:rPr>
            </w:pPr>
          </w:p>
        </w:tc>
        <w:tc>
          <w:tcPr>
            <w:tcW w:w="3451" w:type="dxa"/>
            <w:tcBorders>
              <w:top w:val="single" w:color="auto" w:sz="4" w:space="0"/>
              <w:left w:val="single" w:color="auto" w:sz="4" w:space="0"/>
              <w:bottom w:val="single" w:color="auto" w:sz="4" w:space="0"/>
              <w:right w:val="single" w:color="auto" w:sz="4" w:space="0"/>
            </w:tcBorders>
            <w:noWrap w:val="0"/>
            <w:vAlign w:val="center"/>
          </w:tcPr>
          <w:p w14:paraId="636ED69B">
            <w:pPr>
              <w:pStyle w:val="117"/>
              <w:spacing w:line="360" w:lineRule="auto"/>
              <w:ind w:firstLine="200"/>
              <w:jc w:val="center"/>
              <w:rPr>
                <w:rFonts w:hint="eastAsia" w:ascii="宋体" w:hAnsi="宋体" w:eastAsia="宋体" w:cs="宋体"/>
                <w:color w:val="auto"/>
                <w:sz w:val="24"/>
                <w:szCs w:val="24"/>
                <w:highlight w:val="none"/>
              </w:rPr>
            </w:pPr>
          </w:p>
        </w:tc>
        <w:tc>
          <w:tcPr>
            <w:tcW w:w="1132" w:type="dxa"/>
            <w:tcBorders>
              <w:top w:val="single" w:color="auto" w:sz="4" w:space="0"/>
              <w:left w:val="single" w:color="auto" w:sz="4" w:space="0"/>
              <w:bottom w:val="single" w:color="auto" w:sz="4" w:space="0"/>
              <w:right w:val="single" w:color="auto" w:sz="4" w:space="0"/>
            </w:tcBorders>
            <w:noWrap w:val="0"/>
            <w:vAlign w:val="center"/>
          </w:tcPr>
          <w:p w14:paraId="6439ECE3">
            <w:pPr>
              <w:pStyle w:val="117"/>
              <w:spacing w:line="360" w:lineRule="auto"/>
              <w:ind w:firstLine="200"/>
              <w:jc w:val="center"/>
              <w:rPr>
                <w:rFonts w:hint="eastAsia" w:ascii="宋体" w:hAnsi="宋体" w:eastAsia="宋体" w:cs="宋体"/>
                <w:color w:val="auto"/>
                <w:sz w:val="24"/>
                <w:szCs w:val="24"/>
                <w:highlight w:val="none"/>
              </w:rPr>
            </w:pPr>
          </w:p>
        </w:tc>
      </w:tr>
    </w:tbl>
    <w:p w14:paraId="53A6FFAC">
      <w:pPr>
        <w:spacing w:line="360" w:lineRule="auto"/>
        <w:ind w:firstLine="442" w:firstLineChars="200"/>
        <w:rPr>
          <w:rFonts w:ascii="宋体" w:hAnsi="宋体" w:cs="宋体"/>
          <w:b/>
          <w:color w:val="auto"/>
          <w:sz w:val="22"/>
          <w:szCs w:val="18"/>
          <w:highlight w:val="none"/>
        </w:rPr>
      </w:pPr>
      <w:bookmarkStart w:id="485" w:name="_Toc21631"/>
      <w:bookmarkStart w:id="486" w:name="_Toc23292"/>
      <w:bookmarkStart w:id="487" w:name="_Toc21551"/>
      <w:r>
        <w:rPr>
          <w:rFonts w:hint="eastAsia" w:ascii="宋体" w:hAnsi="宋体" w:cs="宋体"/>
          <w:b/>
          <w:color w:val="auto"/>
          <w:sz w:val="22"/>
          <w:szCs w:val="18"/>
          <w:highlight w:val="none"/>
        </w:rPr>
        <w:t>1.3 价款</w:t>
      </w:r>
      <w:bookmarkEnd w:id="485"/>
      <w:bookmarkEnd w:id="486"/>
      <w:bookmarkEnd w:id="487"/>
    </w:p>
    <w:p w14:paraId="73C7199A">
      <w:pPr>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本合同（含税）为：￥</w:t>
      </w:r>
      <w:r>
        <w:rPr>
          <w:rFonts w:hint="eastAsia" w:ascii="宋体" w:hAnsi="宋体" w:cs="宋体"/>
          <w:color w:val="auto"/>
          <w:sz w:val="22"/>
          <w:szCs w:val="18"/>
          <w:highlight w:val="none"/>
          <w:u w:val="single"/>
        </w:rPr>
        <w:t xml:space="preserve">           </w:t>
      </w:r>
      <w:r>
        <w:rPr>
          <w:rFonts w:hint="eastAsia" w:ascii="宋体" w:hAnsi="宋体" w:cs="宋体"/>
          <w:color w:val="auto"/>
          <w:sz w:val="22"/>
          <w:szCs w:val="18"/>
          <w:highlight w:val="none"/>
        </w:rPr>
        <w:t>元</w:t>
      </w:r>
      <w:bookmarkStart w:id="488" w:name="_Toc1814"/>
      <w:bookmarkStart w:id="489" w:name="_Toc10340"/>
      <w:bookmarkStart w:id="490" w:name="_Toc22618"/>
      <w:r>
        <w:rPr>
          <w:rFonts w:hint="eastAsia" w:ascii="宋体" w:hAnsi="宋体" w:cs="宋体"/>
          <w:color w:val="auto"/>
          <w:sz w:val="22"/>
          <w:szCs w:val="18"/>
          <w:highlight w:val="none"/>
        </w:rPr>
        <w:t>（含公路运输）。</w:t>
      </w:r>
    </w:p>
    <w:p w14:paraId="29C63448">
      <w:pPr>
        <w:pStyle w:val="194"/>
        <w:spacing w:before="0" w:beforeAutospacing="0" w:after="0" w:afterAutospacing="0" w:line="360" w:lineRule="auto"/>
        <w:ind w:firstLine="480"/>
        <w:rPr>
          <w:b/>
          <w:color w:val="auto"/>
          <w:sz w:val="22"/>
          <w:szCs w:val="22"/>
          <w:highlight w:val="none"/>
        </w:rPr>
      </w:pPr>
      <w:r>
        <w:rPr>
          <w:rFonts w:hint="eastAsia"/>
          <w:b/>
          <w:color w:val="auto"/>
          <w:sz w:val="22"/>
          <w:szCs w:val="22"/>
          <w:highlight w:val="none"/>
        </w:rPr>
        <w:t>1.4履约保证金</w:t>
      </w:r>
    </w:p>
    <w:p w14:paraId="2B06A556">
      <w:pPr>
        <w:pStyle w:val="194"/>
        <w:spacing w:before="0" w:beforeAutospacing="0" w:after="0" w:afterAutospacing="0" w:line="360" w:lineRule="auto"/>
        <w:ind w:firstLine="480"/>
        <w:rPr>
          <w:color w:val="auto"/>
          <w:sz w:val="22"/>
          <w:szCs w:val="22"/>
          <w:highlight w:val="none"/>
        </w:rPr>
      </w:pPr>
      <w:r>
        <w:rPr>
          <w:rFonts w:hint="eastAsia"/>
          <w:color w:val="auto"/>
          <w:sz w:val="22"/>
          <w:szCs w:val="22"/>
          <w:highlight w:val="none"/>
        </w:rPr>
        <w:t>乙方</w:t>
      </w:r>
      <w:r>
        <w:rPr>
          <w:rFonts w:hint="eastAsia"/>
          <w:color w:val="auto"/>
          <w:sz w:val="22"/>
          <w:szCs w:val="22"/>
          <w:highlight w:val="none"/>
          <w:u w:val="single"/>
        </w:rPr>
        <w:t xml:space="preserve">  否  </w:t>
      </w:r>
      <w:r>
        <w:rPr>
          <w:rFonts w:hint="eastAsia"/>
          <w:color w:val="auto"/>
          <w:sz w:val="22"/>
          <w:szCs w:val="22"/>
          <w:highlight w:val="none"/>
        </w:rPr>
        <w:t>（是</w:t>
      </w:r>
      <w:r>
        <w:rPr>
          <w:rFonts w:hint="eastAsia" w:ascii="仿宋" w:hAnsi="仿宋" w:eastAsia="仿宋" w:cs="仿宋"/>
          <w:color w:val="auto"/>
          <w:sz w:val="22"/>
          <w:szCs w:val="22"/>
          <w:highlight w:val="none"/>
        </w:rPr>
        <w:t>/</w:t>
      </w:r>
      <w:r>
        <w:rPr>
          <w:rFonts w:hint="eastAsia"/>
          <w:color w:val="auto"/>
          <w:sz w:val="22"/>
          <w:szCs w:val="22"/>
          <w:highlight w:val="none"/>
        </w:rPr>
        <w:t>否）需要支付履约保证金。若需要支付履约保证金的，则：</w:t>
      </w:r>
    </w:p>
    <w:p w14:paraId="7C1458A1">
      <w:pPr>
        <w:spacing w:line="360" w:lineRule="auto"/>
        <w:ind w:firstLine="440" w:firstLineChars="200"/>
        <w:rPr>
          <w:rFonts w:ascii="宋体" w:hAnsi="宋体" w:cs="宋体"/>
          <w:color w:val="auto"/>
          <w:kern w:val="0"/>
          <w:sz w:val="22"/>
          <w:szCs w:val="18"/>
          <w:highlight w:val="none"/>
        </w:rPr>
      </w:pPr>
      <w:r>
        <w:rPr>
          <w:rFonts w:hint="eastAsia" w:ascii="宋体" w:hAnsi="宋体" w:cs="宋体"/>
          <w:color w:val="auto"/>
          <w:kern w:val="0"/>
          <w:sz w:val="22"/>
          <w:szCs w:val="18"/>
          <w:highlight w:val="none"/>
        </w:rPr>
        <w:t>1.4.1履约保证金的比例为合同金额的</w:t>
      </w:r>
      <w:r>
        <w:rPr>
          <w:rFonts w:hint="eastAsia" w:ascii="宋体" w:hAnsi="宋体" w:cs="宋体"/>
          <w:color w:val="auto"/>
          <w:kern w:val="0"/>
          <w:sz w:val="22"/>
          <w:szCs w:val="18"/>
          <w:highlight w:val="none"/>
          <w:u w:val="single"/>
        </w:rPr>
        <w:t xml:space="preserve">    </w:t>
      </w:r>
      <w:r>
        <w:rPr>
          <w:rFonts w:hint="eastAsia" w:ascii="宋体" w:hAnsi="宋体" w:cs="宋体"/>
          <w:color w:val="auto"/>
          <w:kern w:val="0"/>
          <w:sz w:val="22"/>
          <w:szCs w:val="18"/>
          <w:highlight w:val="none"/>
        </w:rPr>
        <w:t>%；</w:t>
      </w:r>
    </w:p>
    <w:p w14:paraId="622FE5FC">
      <w:pPr>
        <w:spacing w:line="360" w:lineRule="auto"/>
        <w:ind w:firstLine="440" w:firstLineChars="200"/>
        <w:rPr>
          <w:rFonts w:ascii="宋体" w:hAnsi="宋体" w:cs="宋体"/>
          <w:color w:val="auto"/>
          <w:kern w:val="0"/>
          <w:sz w:val="22"/>
          <w:szCs w:val="18"/>
          <w:highlight w:val="none"/>
        </w:rPr>
      </w:pPr>
      <w:r>
        <w:rPr>
          <w:rFonts w:hint="eastAsia" w:ascii="宋体" w:hAnsi="宋体" w:cs="宋体"/>
          <w:color w:val="auto"/>
          <w:kern w:val="0"/>
          <w:sz w:val="22"/>
          <w:szCs w:val="18"/>
          <w:highlight w:val="none"/>
        </w:rPr>
        <w:t>1.4.2履约保证金支付方式详见</w:t>
      </w:r>
      <w:r>
        <w:rPr>
          <w:rFonts w:hint="eastAsia" w:ascii="宋体" w:hAnsi="宋体" w:cs="宋体"/>
          <w:color w:val="auto"/>
          <w:kern w:val="0"/>
          <w:sz w:val="22"/>
          <w:szCs w:val="18"/>
          <w:highlight w:val="none"/>
          <w:u w:val="single"/>
        </w:rPr>
        <w:t xml:space="preserve">    </w:t>
      </w:r>
      <w:r>
        <w:rPr>
          <w:rFonts w:hint="eastAsia" w:ascii="宋体" w:hAnsi="宋体" w:cs="宋体"/>
          <w:b/>
          <w:iCs/>
          <w:color w:val="auto"/>
          <w:sz w:val="22"/>
          <w:szCs w:val="18"/>
          <w:highlight w:val="none"/>
          <w:u w:val="single"/>
        </w:rPr>
        <w:t>合同专用条款</w:t>
      </w:r>
      <w:r>
        <w:rPr>
          <w:rFonts w:hint="eastAsia" w:ascii="宋体" w:hAnsi="宋体" w:cs="宋体"/>
          <w:color w:val="auto"/>
          <w:kern w:val="0"/>
          <w:sz w:val="22"/>
          <w:szCs w:val="18"/>
          <w:highlight w:val="none"/>
          <w:u w:val="single"/>
        </w:rPr>
        <w:t xml:space="preserve">           </w:t>
      </w:r>
      <w:r>
        <w:rPr>
          <w:rFonts w:hint="eastAsia" w:ascii="宋体" w:hAnsi="宋体" w:cs="宋体"/>
          <w:color w:val="auto"/>
          <w:kern w:val="0"/>
          <w:sz w:val="22"/>
          <w:szCs w:val="18"/>
          <w:highlight w:val="none"/>
        </w:rPr>
        <w:t>；</w:t>
      </w:r>
    </w:p>
    <w:p w14:paraId="6A912ABF">
      <w:pPr>
        <w:tabs>
          <w:tab w:val="left" w:pos="0"/>
          <w:tab w:val="left" w:pos="578"/>
        </w:tabs>
        <w:spacing w:line="360" w:lineRule="auto"/>
        <w:ind w:firstLine="440" w:firstLineChars="200"/>
        <w:rPr>
          <w:color w:val="auto"/>
          <w:sz w:val="20"/>
          <w:highlight w:val="none"/>
        </w:rPr>
      </w:pPr>
      <w:r>
        <w:rPr>
          <w:rFonts w:hint="eastAsia" w:ascii="宋体" w:hAnsi="宋体" w:cs="宋体"/>
          <w:color w:val="auto"/>
          <w:kern w:val="0"/>
          <w:sz w:val="22"/>
          <w:szCs w:val="22"/>
          <w:highlight w:val="none"/>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44B2D4CB">
      <w:pPr>
        <w:spacing w:line="360" w:lineRule="auto"/>
        <w:ind w:firstLine="440" w:firstLineChars="200"/>
        <w:rPr>
          <w:color w:val="auto"/>
          <w:sz w:val="20"/>
          <w:szCs w:val="18"/>
          <w:highlight w:val="none"/>
        </w:rPr>
      </w:pPr>
      <w:r>
        <w:rPr>
          <w:rFonts w:hint="eastAsia" w:ascii="宋体" w:hAnsi="宋体" w:cs="宋体"/>
          <w:color w:val="auto"/>
          <w:kern w:val="0"/>
          <w:sz w:val="22"/>
          <w:szCs w:val="18"/>
          <w:highlight w:val="none"/>
        </w:rPr>
        <w:t>1.4.4 甲方在项目验收结束后及时退还履约保证金。甲方在项目通过验收之日起</w:t>
      </w:r>
      <w:r>
        <w:rPr>
          <w:rFonts w:hint="eastAsia" w:ascii="宋体" w:hAnsi="宋体" w:cs="宋体"/>
          <w:color w:val="auto"/>
          <w:kern w:val="0"/>
          <w:sz w:val="22"/>
          <w:szCs w:val="18"/>
          <w:highlight w:val="none"/>
          <w:u w:val="single"/>
        </w:rPr>
        <w:t xml:space="preserve">      </w:t>
      </w:r>
      <w:r>
        <w:rPr>
          <w:rFonts w:hint="eastAsia" w:ascii="宋体" w:hAnsi="宋体" w:cs="宋体"/>
          <w:color w:val="auto"/>
          <w:kern w:val="0"/>
          <w:sz w:val="22"/>
          <w:szCs w:val="18"/>
          <w:highlight w:val="none"/>
        </w:rPr>
        <w:t>个工作日内将履约保证金退还乙方，逾期退还的，乙方可要求甲方支付违约金，违约金按每迟延退还一日的应退还而未退还金额的</w:t>
      </w:r>
      <w:r>
        <w:rPr>
          <w:rFonts w:hint="eastAsia" w:ascii="宋体" w:hAnsi="宋体" w:cs="宋体"/>
          <w:color w:val="auto"/>
          <w:kern w:val="0"/>
          <w:sz w:val="22"/>
          <w:szCs w:val="18"/>
          <w:highlight w:val="none"/>
          <w:u w:val="single"/>
        </w:rPr>
        <w:t xml:space="preserve">  0.05（可根据情况修改）</w:t>
      </w:r>
      <w:r>
        <w:rPr>
          <w:rFonts w:hint="eastAsia" w:ascii="宋体" w:hAnsi="宋体" w:cs="宋体"/>
          <w:color w:val="auto"/>
          <w:sz w:val="22"/>
          <w:szCs w:val="18"/>
          <w:highlight w:val="none"/>
          <w:u w:val="single"/>
        </w:rPr>
        <w:t xml:space="preserve"> </w:t>
      </w:r>
      <w:r>
        <w:rPr>
          <w:rFonts w:hint="eastAsia" w:ascii="宋体" w:hAnsi="宋体" w:cs="宋体"/>
          <w:color w:val="auto"/>
          <w:kern w:val="0"/>
          <w:sz w:val="22"/>
          <w:szCs w:val="18"/>
          <w:highlight w:val="none"/>
          <w:u w:val="single"/>
        </w:rPr>
        <w:t xml:space="preserve">  </w:t>
      </w:r>
      <w:r>
        <w:rPr>
          <w:rFonts w:hint="eastAsia" w:ascii="宋体" w:hAnsi="宋体" w:cs="宋体"/>
          <w:color w:val="auto"/>
          <w:kern w:val="0"/>
          <w:sz w:val="22"/>
          <w:szCs w:val="18"/>
          <w:highlight w:val="none"/>
        </w:rPr>
        <w:t>%计算，最高限额为本合同履约保证金的</w:t>
      </w:r>
      <w:r>
        <w:rPr>
          <w:rFonts w:hint="eastAsia" w:ascii="宋体" w:hAnsi="宋体" w:cs="宋体"/>
          <w:color w:val="auto"/>
          <w:kern w:val="0"/>
          <w:sz w:val="22"/>
          <w:szCs w:val="18"/>
          <w:highlight w:val="none"/>
          <w:u w:val="single"/>
        </w:rPr>
        <w:t xml:space="preserve">  20  </w:t>
      </w:r>
      <w:r>
        <w:rPr>
          <w:rFonts w:hint="eastAsia" w:ascii="宋体" w:hAnsi="宋体" w:cs="宋体"/>
          <w:color w:val="auto"/>
          <w:kern w:val="0"/>
          <w:sz w:val="22"/>
          <w:szCs w:val="18"/>
          <w:highlight w:val="none"/>
        </w:rPr>
        <w:t>%。</w:t>
      </w:r>
    </w:p>
    <w:p w14:paraId="44114CF0">
      <w:pPr>
        <w:spacing w:line="360" w:lineRule="auto"/>
        <w:ind w:firstLine="442" w:firstLineChars="200"/>
        <w:rPr>
          <w:rFonts w:ascii="宋体" w:hAnsi="宋体" w:cs="宋体"/>
          <w:b/>
          <w:color w:val="auto"/>
          <w:sz w:val="22"/>
          <w:szCs w:val="18"/>
          <w:highlight w:val="none"/>
        </w:rPr>
      </w:pPr>
      <w:r>
        <w:rPr>
          <w:rFonts w:hint="eastAsia" w:ascii="宋体" w:hAnsi="宋体" w:cs="宋体"/>
          <w:b/>
          <w:color w:val="auto"/>
          <w:sz w:val="22"/>
          <w:szCs w:val="18"/>
          <w:highlight w:val="none"/>
        </w:rPr>
        <w:t>1.5</w:t>
      </w:r>
      <w:bookmarkEnd w:id="488"/>
      <w:bookmarkEnd w:id="489"/>
      <w:bookmarkEnd w:id="490"/>
      <w:r>
        <w:rPr>
          <w:rFonts w:hint="eastAsia" w:ascii="宋体" w:hAnsi="宋体" w:cs="宋体"/>
          <w:b/>
          <w:color w:val="auto"/>
          <w:sz w:val="22"/>
          <w:szCs w:val="18"/>
          <w:highlight w:val="none"/>
        </w:rPr>
        <w:t>预付款</w:t>
      </w:r>
    </w:p>
    <w:p w14:paraId="2DC6C35D">
      <w:pPr>
        <w:pStyle w:val="194"/>
        <w:spacing w:before="0" w:beforeAutospacing="0" w:after="0" w:afterAutospacing="0" w:line="360" w:lineRule="auto"/>
        <w:ind w:firstLine="480"/>
        <w:rPr>
          <w:color w:val="auto"/>
          <w:sz w:val="22"/>
          <w:szCs w:val="22"/>
          <w:highlight w:val="none"/>
        </w:rPr>
      </w:pPr>
      <w:r>
        <w:rPr>
          <w:rFonts w:hint="eastAsia"/>
          <w:color w:val="auto"/>
          <w:sz w:val="22"/>
          <w:szCs w:val="22"/>
          <w:highlight w:val="none"/>
        </w:rPr>
        <w:t>甲方</w:t>
      </w:r>
      <w:r>
        <w:rPr>
          <w:rFonts w:hint="eastAsia"/>
          <w:color w:val="auto"/>
          <w:sz w:val="22"/>
          <w:szCs w:val="22"/>
          <w:highlight w:val="none"/>
          <w:u w:val="single"/>
        </w:rPr>
        <w:t xml:space="preserve">  是 </w:t>
      </w:r>
      <w:r>
        <w:rPr>
          <w:rFonts w:hint="eastAsia"/>
          <w:color w:val="auto"/>
          <w:sz w:val="22"/>
          <w:szCs w:val="22"/>
          <w:highlight w:val="none"/>
        </w:rPr>
        <w:t>（是</w:t>
      </w:r>
      <w:r>
        <w:rPr>
          <w:rFonts w:hint="eastAsia" w:ascii="仿宋" w:hAnsi="仿宋" w:eastAsia="仿宋" w:cs="仿宋"/>
          <w:color w:val="auto"/>
          <w:sz w:val="22"/>
          <w:szCs w:val="22"/>
          <w:highlight w:val="none"/>
        </w:rPr>
        <w:t>/</w:t>
      </w:r>
      <w:r>
        <w:rPr>
          <w:rFonts w:hint="eastAsia"/>
          <w:color w:val="auto"/>
          <w:sz w:val="22"/>
          <w:szCs w:val="22"/>
          <w:highlight w:val="none"/>
        </w:rPr>
        <w:t>否）需要支付预付款。若需要支付预付款的，则：</w:t>
      </w:r>
    </w:p>
    <w:p w14:paraId="7514557C">
      <w:pPr>
        <w:spacing w:line="360" w:lineRule="auto"/>
        <w:ind w:firstLine="440" w:firstLineChars="200"/>
        <w:rPr>
          <w:rFonts w:ascii="宋体" w:hAnsi="宋体" w:cs="宋体"/>
          <w:color w:val="auto"/>
          <w:kern w:val="0"/>
          <w:sz w:val="22"/>
          <w:szCs w:val="18"/>
          <w:highlight w:val="none"/>
        </w:rPr>
      </w:pPr>
      <w:r>
        <w:rPr>
          <w:rFonts w:hint="eastAsia" w:ascii="宋体" w:hAnsi="宋体" w:cs="宋体"/>
          <w:color w:val="auto"/>
          <w:kern w:val="0"/>
          <w:sz w:val="22"/>
          <w:szCs w:val="18"/>
          <w:highlight w:val="none"/>
        </w:rPr>
        <w:t>1.5.1预付款比例、支付方式、时间详见</w:t>
      </w:r>
      <w:r>
        <w:rPr>
          <w:rFonts w:hint="eastAsia" w:ascii="宋体" w:hAnsi="宋体" w:cs="宋体"/>
          <w:color w:val="auto"/>
          <w:kern w:val="0"/>
          <w:sz w:val="22"/>
          <w:szCs w:val="18"/>
          <w:highlight w:val="none"/>
          <w:u w:val="single"/>
        </w:rPr>
        <w:t xml:space="preserve">    </w:t>
      </w:r>
      <w:r>
        <w:rPr>
          <w:rFonts w:hint="eastAsia" w:ascii="宋体" w:hAnsi="宋体" w:cs="宋体"/>
          <w:b/>
          <w:color w:val="auto"/>
          <w:sz w:val="22"/>
          <w:szCs w:val="18"/>
          <w:highlight w:val="none"/>
          <w:u w:val="single"/>
        </w:rPr>
        <w:t>合同专用条款</w:t>
      </w:r>
      <w:r>
        <w:rPr>
          <w:rFonts w:hint="eastAsia" w:ascii="宋体" w:hAnsi="宋体" w:cs="宋体"/>
          <w:color w:val="auto"/>
          <w:kern w:val="0"/>
          <w:sz w:val="22"/>
          <w:szCs w:val="18"/>
          <w:highlight w:val="none"/>
          <w:u w:val="single"/>
        </w:rPr>
        <w:t xml:space="preserve">           </w:t>
      </w:r>
      <w:r>
        <w:rPr>
          <w:rFonts w:hint="eastAsia" w:ascii="宋体" w:hAnsi="宋体" w:cs="宋体"/>
          <w:color w:val="auto"/>
          <w:kern w:val="0"/>
          <w:sz w:val="22"/>
          <w:szCs w:val="18"/>
          <w:highlight w:val="none"/>
        </w:rPr>
        <w:t>；</w:t>
      </w:r>
    </w:p>
    <w:p w14:paraId="5F66CA09">
      <w:pPr>
        <w:pStyle w:val="194"/>
        <w:spacing w:before="0" w:beforeAutospacing="0" w:after="0" w:afterAutospacing="0" w:line="360" w:lineRule="auto"/>
        <w:ind w:firstLine="480"/>
        <w:rPr>
          <w:color w:val="auto"/>
          <w:sz w:val="22"/>
          <w:szCs w:val="22"/>
          <w:highlight w:val="none"/>
        </w:rPr>
      </w:pPr>
      <w:r>
        <w:rPr>
          <w:rFonts w:hint="eastAsia"/>
          <w:color w:val="auto"/>
          <w:sz w:val="22"/>
          <w:szCs w:val="22"/>
          <w:highlight w:val="none"/>
        </w:rPr>
        <w:t>1.5.2预付款的扣回方式详见</w:t>
      </w:r>
      <w:r>
        <w:rPr>
          <w:rFonts w:hint="eastAsia"/>
          <w:color w:val="auto"/>
          <w:sz w:val="22"/>
          <w:szCs w:val="22"/>
          <w:highlight w:val="none"/>
          <w:u w:val="single"/>
        </w:rPr>
        <w:t xml:space="preserve">    </w:t>
      </w:r>
      <w:r>
        <w:rPr>
          <w:rFonts w:hint="eastAsia"/>
          <w:b/>
          <w:color w:val="auto"/>
          <w:sz w:val="22"/>
          <w:szCs w:val="22"/>
          <w:highlight w:val="none"/>
          <w:u w:val="single"/>
        </w:rPr>
        <w:t>合同专用条款</w:t>
      </w:r>
      <w:r>
        <w:rPr>
          <w:rFonts w:hint="eastAsia"/>
          <w:color w:val="auto"/>
          <w:sz w:val="22"/>
          <w:szCs w:val="22"/>
          <w:highlight w:val="none"/>
          <w:u w:val="single"/>
        </w:rPr>
        <w:t xml:space="preserve">           </w:t>
      </w:r>
      <w:r>
        <w:rPr>
          <w:rFonts w:hint="eastAsia"/>
          <w:color w:val="auto"/>
          <w:sz w:val="22"/>
          <w:szCs w:val="22"/>
          <w:highlight w:val="none"/>
        </w:rPr>
        <w:t>；</w:t>
      </w:r>
    </w:p>
    <w:p w14:paraId="63D49696">
      <w:pPr>
        <w:pStyle w:val="194"/>
        <w:spacing w:before="0" w:beforeAutospacing="0" w:after="0" w:afterAutospacing="0" w:line="360" w:lineRule="auto"/>
        <w:ind w:firstLine="480"/>
        <w:rPr>
          <w:color w:val="auto"/>
          <w:sz w:val="22"/>
          <w:szCs w:val="22"/>
          <w:highlight w:val="none"/>
          <w:u w:val="single"/>
        </w:rPr>
      </w:pPr>
      <w:r>
        <w:rPr>
          <w:rFonts w:hint="eastAsia"/>
          <w:color w:val="auto"/>
          <w:sz w:val="22"/>
          <w:szCs w:val="22"/>
          <w:highlight w:val="none"/>
        </w:rPr>
        <w:t>1.5.3预付款的担保措施详见</w:t>
      </w:r>
      <w:r>
        <w:rPr>
          <w:rFonts w:hint="eastAsia"/>
          <w:color w:val="auto"/>
          <w:sz w:val="22"/>
          <w:szCs w:val="22"/>
          <w:highlight w:val="none"/>
          <w:u w:val="single"/>
        </w:rPr>
        <w:t xml:space="preserve">    </w:t>
      </w:r>
      <w:r>
        <w:rPr>
          <w:rFonts w:hint="eastAsia"/>
          <w:b/>
          <w:color w:val="auto"/>
          <w:sz w:val="22"/>
          <w:szCs w:val="22"/>
          <w:highlight w:val="none"/>
          <w:u w:val="single"/>
        </w:rPr>
        <w:t>合同专用条款</w:t>
      </w:r>
      <w:r>
        <w:rPr>
          <w:rFonts w:hint="eastAsia"/>
          <w:color w:val="auto"/>
          <w:sz w:val="22"/>
          <w:szCs w:val="22"/>
          <w:highlight w:val="none"/>
          <w:u w:val="single"/>
        </w:rPr>
        <w:t xml:space="preserve">          </w:t>
      </w:r>
      <w:r>
        <w:rPr>
          <w:rFonts w:hint="eastAsia"/>
          <w:color w:val="auto"/>
          <w:sz w:val="22"/>
          <w:szCs w:val="22"/>
          <w:highlight w:val="none"/>
        </w:rPr>
        <w:t>。</w:t>
      </w:r>
    </w:p>
    <w:p w14:paraId="01255F52">
      <w:pPr>
        <w:pStyle w:val="194"/>
        <w:spacing w:before="0" w:beforeAutospacing="0" w:after="0" w:afterAutospacing="0" w:line="360" w:lineRule="auto"/>
        <w:ind w:firstLine="480"/>
        <w:rPr>
          <w:b/>
          <w:bCs/>
          <w:color w:val="auto"/>
          <w:sz w:val="22"/>
          <w:szCs w:val="22"/>
          <w:highlight w:val="none"/>
        </w:rPr>
      </w:pPr>
      <w:r>
        <w:rPr>
          <w:rFonts w:hint="eastAsia"/>
          <w:b/>
          <w:bCs/>
          <w:color w:val="auto"/>
          <w:sz w:val="22"/>
          <w:szCs w:val="22"/>
          <w:highlight w:val="none"/>
        </w:rPr>
        <w:t>1.6资金支付</w:t>
      </w:r>
    </w:p>
    <w:p w14:paraId="35B51705">
      <w:pPr>
        <w:pStyle w:val="194"/>
        <w:spacing w:before="0" w:beforeAutospacing="0" w:after="0" w:afterAutospacing="0" w:line="360" w:lineRule="auto"/>
        <w:ind w:firstLine="480"/>
        <w:rPr>
          <w:color w:val="auto"/>
          <w:sz w:val="22"/>
          <w:szCs w:val="22"/>
          <w:highlight w:val="none"/>
        </w:rPr>
      </w:pPr>
      <w:r>
        <w:rPr>
          <w:rFonts w:hint="eastAsia"/>
          <w:color w:val="auto"/>
          <w:sz w:val="22"/>
          <w:szCs w:val="22"/>
          <w:highlight w:val="none"/>
        </w:rPr>
        <w:t>1.6.1甲方应严格履行合同，及时组织验收。</w:t>
      </w:r>
    </w:p>
    <w:p w14:paraId="2629C942">
      <w:pPr>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1.6.2资金支付的方式、时间和条件详见</w:t>
      </w:r>
      <w:r>
        <w:rPr>
          <w:rFonts w:hint="eastAsia" w:ascii="宋体" w:hAnsi="宋体" w:cs="宋体"/>
          <w:b/>
          <w:color w:val="auto"/>
          <w:sz w:val="22"/>
          <w:szCs w:val="18"/>
          <w:highlight w:val="none"/>
          <w:u w:val="single"/>
        </w:rPr>
        <w:t>合同专用条款</w:t>
      </w:r>
      <w:r>
        <w:rPr>
          <w:rFonts w:hint="eastAsia" w:ascii="宋体" w:hAnsi="宋体" w:cs="宋体"/>
          <w:color w:val="auto"/>
          <w:sz w:val="22"/>
          <w:szCs w:val="18"/>
          <w:highlight w:val="none"/>
        </w:rPr>
        <w:t>。</w:t>
      </w:r>
    </w:p>
    <w:p w14:paraId="3B6DD607">
      <w:pPr>
        <w:spacing w:line="360" w:lineRule="auto"/>
        <w:ind w:firstLine="442" w:firstLineChars="200"/>
        <w:rPr>
          <w:rFonts w:ascii="宋体" w:hAnsi="宋体" w:cs="宋体"/>
          <w:b/>
          <w:color w:val="auto"/>
          <w:sz w:val="22"/>
          <w:szCs w:val="18"/>
          <w:highlight w:val="none"/>
        </w:rPr>
      </w:pPr>
      <w:bookmarkStart w:id="491" w:name="_Toc2846"/>
      <w:bookmarkStart w:id="492" w:name="_Toc19304"/>
      <w:bookmarkStart w:id="493" w:name="_Toc32071"/>
      <w:r>
        <w:rPr>
          <w:rFonts w:hint="eastAsia" w:ascii="宋体" w:hAnsi="宋体" w:cs="宋体"/>
          <w:b/>
          <w:color w:val="auto"/>
          <w:sz w:val="22"/>
          <w:szCs w:val="18"/>
          <w:highlight w:val="none"/>
        </w:rPr>
        <w:t>1.7货物交付期限、地点和方式</w:t>
      </w:r>
      <w:bookmarkEnd w:id="491"/>
      <w:bookmarkEnd w:id="492"/>
      <w:bookmarkEnd w:id="493"/>
    </w:p>
    <w:p w14:paraId="431EE877">
      <w:pPr>
        <w:spacing w:line="360" w:lineRule="auto"/>
        <w:ind w:firstLine="440" w:firstLineChars="200"/>
        <w:rPr>
          <w:rFonts w:ascii="宋体" w:hAnsi="宋体" w:cs="宋体"/>
          <w:color w:val="auto"/>
          <w:sz w:val="22"/>
          <w:szCs w:val="18"/>
          <w:highlight w:val="none"/>
          <w:u w:val="single"/>
        </w:rPr>
      </w:pPr>
      <w:r>
        <w:rPr>
          <w:rFonts w:hint="eastAsia" w:ascii="宋体" w:hAnsi="宋体" w:cs="宋体"/>
          <w:color w:val="auto"/>
          <w:sz w:val="22"/>
          <w:szCs w:val="18"/>
          <w:highlight w:val="none"/>
        </w:rPr>
        <w:t>1.7.1 交付期限：详见</w:t>
      </w:r>
      <w:r>
        <w:rPr>
          <w:rFonts w:hint="eastAsia" w:ascii="宋体" w:hAnsi="宋体" w:cs="宋体"/>
          <w:b/>
          <w:color w:val="auto"/>
          <w:sz w:val="22"/>
          <w:szCs w:val="18"/>
          <w:highlight w:val="none"/>
          <w:u w:val="single"/>
        </w:rPr>
        <w:t>合同专用条款</w:t>
      </w:r>
      <w:r>
        <w:rPr>
          <w:rFonts w:hint="eastAsia" w:ascii="宋体" w:hAnsi="宋体" w:cs="宋体"/>
          <w:color w:val="auto"/>
          <w:sz w:val="22"/>
          <w:szCs w:val="18"/>
          <w:highlight w:val="none"/>
        </w:rPr>
        <w:t>；</w:t>
      </w:r>
    </w:p>
    <w:p w14:paraId="270F6EC0">
      <w:pPr>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1.7.2 交付地点：</w:t>
      </w:r>
      <w:r>
        <w:rPr>
          <w:rFonts w:hint="eastAsia" w:ascii="宋体" w:hAnsi="宋体" w:cs="宋体"/>
          <w:b/>
          <w:color w:val="auto"/>
          <w:sz w:val="22"/>
          <w:szCs w:val="18"/>
          <w:highlight w:val="none"/>
          <w:u w:val="single"/>
        </w:rPr>
        <w:t>合同专用条款</w:t>
      </w:r>
      <w:r>
        <w:rPr>
          <w:rFonts w:hint="eastAsia" w:ascii="宋体" w:hAnsi="宋体" w:cs="宋体"/>
          <w:color w:val="auto"/>
          <w:sz w:val="22"/>
          <w:szCs w:val="18"/>
          <w:highlight w:val="none"/>
        </w:rPr>
        <w:t>；</w:t>
      </w:r>
    </w:p>
    <w:p w14:paraId="5FFBED60">
      <w:pPr>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1.7.3 交付方式：</w:t>
      </w:r>
      <w:r>
        <w:rPr>
          <w:rFonts w:hint="eastAsia" w:ascii="宋体" w:hAnsi="宋体" w:cs="宋体"/>
          <w:b/>
          <w:color w:val="auto"/>
          <w:sz w:val="22"/>
          <w:szCs w:val="18"/>
          <w:highlight w:val="none"/>
          <w:u w:val="single"/>
        </w:rPr>
        <w:t>合同专用条款</w:t>
      </w:r>
      <w:r>
        <w:rPr>
          <w:rFonts w:hint="eastAsia" w:ascii="宋体" w:hAnsi="宋体" w:cs="宋体"/>
          <w:color w:val="auto"/>
          <w:sz w:val="22"/>
          <w:szCs w:val="18"/>
          <w:highlight w:val="none"/>
        </w:rPr>
        <w:t>。</w:t>
      </w:r>
    </w:p>
    <w:p w14:paraId="2917FEA2">
      <w:pPr>
        <w:spacing w:line="360" w:lineRule="auto"/>
        <w:ind w:firstLine="442" w:firstLineChars="200"/>
        <w:rPr>
          <w:rFonts w:ascii="宋体" w:hAnsi="宋体" w:cs="宋体"/>
          <w:b/>
          <w:color w:val="auto"/>
          <w:sz w:val="22"/>
          <w:szCs w:val="18"/>
          <w:highlight w:val="none"/>
        </w:rPr>
      </w:pPr>
      <w:bookmarkStart w:id="494" w:name="_Toc21423"/>
      <w:bookmarkStart w:id="495" w:name="_Toc27250"/>
      <w:bookmarkStart w:id="496" w:name="_Toc19554"/>
      <w:r>
        <w:rPr>
          <w:rFonts w:hint="eastAsia" w:ascii="宋体" w:hAnsi="宋体" w:cs="宋体"/>
          <w:b/>
          <w:color w:val="auto"/>
          <w:sz w:val="22"/>
          <w:szCs w:val="18"/>
          <w:highlight w:val="none"/>
        </w:rPr>
        <w:t>1.8违约责任</w:t>
      </w:r>
      <w:bookmarkEnd w:id="494"/>
      <w:bookmarkEnd w:id="495"/>
      <w:bookmarkEnd w:id="496"/>
    </w:p>
    <w:p w14:paraId="72F48A0C">
      <w:pPr>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1.8.1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color w:val="auto"/>
          <w:sz w:val="22"/>
          <w:szCs w:val="18"/>
          <w:highlight w:val="none"/>
          <w:u w:val="single"/>
        </w:rPr>
        <w:t xml:space="preserve">  0.05</w:t>
      </w:r>
      <w:r>
        <w:rPr>
          <w:rFonts w:hint="eastAsia" w:ascii="宋体" w:hAnsi="宋体" w:cs="宋体"/>
          <w:color w:val="auto"/>
          <w:kern w:val="0"/>
          <w:sz w:val="22"/>
          <w:szCs w:val="18"/>
          <w:highlight w:val="none"/>
          <w:u w:val="single"/>
        </w:rPr>
        <w:t>（可根据情况修改）</w:t>
      </w:r>
      <w:r>
        <w:rPr>
          <w:rFonts w:hint="eastAsia" w:ascii="宋体" w:hAnsi="宋体" w:cs="宋体"/>
          <w:color w:val="auto"/>
          <w:sz w:val="22"/>
          <w:szCs w:val="18"/>
          <w:highlight w:val="none"/>
          <w:u w:val="single"/>
        </w:rPr>
        <w:t xml:space="preserve"> </w:t>
      </w:r>
      <w:r>
        <w:rPr>
          <w:rFonts w:hint="eastAsia" w:ascii="宋体" w:hAnsi="宋体" w:cs="宋体"/>
          <w:color w:val="auto"/>
          <w:sz w:val="22"/>
          <w:szCs w:val="18"/>
          <w:highlight w:val="none"/>
        </w:rPr>
        <w:t>%计算，最高限额为本合同总价的</w:t>
      </w:r>
      <w:r>
        <w:rPr>
          <w:rFonts w:hint="eastAsia" w:ascii="宋体" w:hAnsi="宋体" w:cs="宋体"/>
          <w:color w:val="auto"/>
          <w:sz w:val="22"/>
          <w:szCs w:val="18"/>
          <w:highlight w:val="none"/>
          <w:u w:val="single"/>
        </w:rPr>
        <w:t xml:space="preserve"> 20 </w:t>
      </w:r>
      <w:r>
        <w:rPr>
          <w:rFonts w:hint="eastAsia" w:ascii="宋体" w:hAnsi="宋体" w:cs="宋体"/>
          <w:color w:val="auto"/>
          <w:sz w:val="22"/>
          <w:szCs w:val="18"/>
          <w:highlight w:val="none"/>
        </w:rPr>
        <w:t>%；迟延交付货物的违约金计算数额达到前述最高限额之日起，甲方有权在要求乙方支付违约金的同时，书面通知乙方解除本合同；</w:t>
      </w:r>
    </w:p>
    <w:p w14:paraId="6E3894EB">
      <w:pPr>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1.8.2 本合同有效期内，甲、乙双方任何一方均不能擅自解除或终止本合同，一方确有客观原因需要解除或终止本合同得，应提前三个月以书面形式向另一方进行说明解除或终止合同得原因，并应向另一方支付壹万元违约金，方能解除或终止合同，如果通过诉讼或仲裁追究违约方的违约责任，则违约方应承担守约方为此而支出的诉讼或仲裁费、保全费、保全担保费、律师费、审计评估费、鉴定费和公证费等全部费用。</w:t>
      </w:r>
    </w:p>
    <w:p w14:paraId="53F69CD8">
      <w:pPr>
        <w:spacing w:line="360" w:lineRule="auto"/>
        <w:ind w:firstLine="440" w:firstLineChars="200"/>
        <w:rPr>
          <w:rFonts w:ascii="宋体" w:hAnsi="宋体" w:cs="宋体"/>
          <w:color w:val="auto"/>
          <w:sz w:val="20"/>
          <w:szCs w:val="18"/>
          <w:highlight w:val="none"/>
        </w:rPr>
      </w:pPr>
      <w:r>
        <w:rPr>
          <w:rFonts w:hint="eastAsia" w:ascii="宋体" w:hAnsi="宋体" w:cs="宋体"/>
          <w:color w:val="auto"/>
          <w:sz w:val="22"/>
          <w:szCs w:val="18"/>
          <w:highlight w:val="none"/>
        </w:rPr>
        <w:t>1.8.3违约责任</w:t>
      </w:r>
      <w:r>
        <w:rPr>
          <w:rFonts w:hint="eastAsia" w:ascii="宋体" w:hAnsi="宋体" w:cs="宋体"/>
          <w:b/>
          <w:color w:val="auto"/>
          <w:sz w:val="22"/>
          <w:szCs w:val="18"/>
          <w:highlight w:val="none"/>
          <w:u w:val="single"/>
        </w:rPr>
        <w:t>合同专用条款</w:t>
      </w:r>
      <w:r>
        <w:rPr>
          <w:rFonts w:hint="eastAsia" w:ascii="宋体" w:hAnsi="宋体" w:cs="宋体"/>
          <w:color w:val="auto"/>
          <w:sz w:val="22"/>
          <w:szCs w:val="18"/>
          <w:highlight w:val="none"/>
        </w:rPr>
        <w:t>另有约定的，从其约定。</w:t>
      </w:r>
    </w:p>
    <w:p w14:paraId="0311182D">
      <w:pPr>
        <w:spacing w:line="360" w:lineRule="auto"/>
        <w:ind w:firstLine="442" w:firstLineChars="200"/>
        <w:rPr>
          <w:rFonts w:ascii="宋体" w:hAnsi="宋体" w:cs="宋体"/>
          <w:b/>
          <w:color w:val="auto"/>
          <w:sz w:val="22"/>
          <w:szCs w:val="18"/>
          <w:highlight w:val="none"/>
        </w:rPr>
      </w:pPr>
      <w:bookmarkStart w:id="497" w:name="_Toc15583"/>
      <w:bookmarkStart w:id="498" w:name="_Toc28375"/>
      <w:bookmarkStart w:id="499" w:name="_Toc16021"/>
      <w:r>
        <w:rPr>
          <w:rFonts w:hint="eastAsia" w:ascii="宋体" w:hAnsi="宋体" w:cs="宋体"/>
          <w:b/>
          <w:color w:val="auto"/>
          <w:sz w:val="22"/>
          <w:szCs w:val="18"/>
          <w:highlight w:val="none"/>
        </w:rPr>
        <w:t>1.9合同争议的解决</w:t>
      </w:r>
      <w:bookmarkEnd w:id="497"/>
      <w:bookmarkEnd w:id="498"/>
      <w:bookmarkEnd w:id="499"/>
    </w:p>
    <w:p w14:paraId="635866A8">
      <w:pPr>
        <w:spacing w:line="360" w:lineRule="auto"/>
        <w:ind w:firstLine="220" w:firstLineChars="100"/>
        <w:rPr>
          <w:rFonts w:ascii="宋体" w:hAnsi="宋体" w:cs="宋体"/>
          <w:color w:val="auto"/>
          <w:sz w:val="22"/>
          <w:szCs w:val="18"/>
          <w:highlight w:val="none"/>
        </w:rPr>
      </w:pPr>
      <w:r>
        <w:rPr>
          <w:rFonts w:hint="eastAsia" w:ascii="宋体" w:hAnsi="宋体" w:cs="宋体"/>
          <w:color w:val="auto"/>
          <w:sz w:val="22"/>
          <w:szCs w:val="18"/>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color w:val="auto"/>
          <w:sz w:val="22"/>
          <w:szCs w:val="18"/>
          <w:highlight w:val="none"/>
          <w:u w:val="single"/>
        </w:rPr>
        <w:t xml:space="preserve"> 1.9.2 </w:t>
      </w:r>
      <w:r>
        <w:rPr>
          <w:rFonts w:hint="eastAsia" w:ascii="宋体" w:hAnsi="宋体" w:cs="宋体"/>
          <w:color w:val="auto"/>
          <w:sz w:val="22"/>
          <w:szCs w:val="18"/>
          <w:highlight w:val="none"/>
        </w:rPr>
        <w:t>条款规定的方式解决：</w:t>
      </w:r>
    </w:p>
    <w:p w14:paraId="39C71496">
      <w:pPr>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1.9.1 将争议提交</w:t>
      </w:r>
      <w:r>
        <w:rPr>
          <w:rFonts w:hint="eastAsia" w:ascii="宋体" w:hAnsi="宋体" w:cs="宋体"/>
          <w:b/>
          <w:color w:val="auto"/>
          <w:sz w:val="22"/>
          <w:szCs w:val="18"/>
          <w:highlight w:val="none"/>
          <w:u w:val="single"/>
        </w:rPr>
        <w:t>合同专用条款</w:t>
      </w:r>
      <w:r>
        <w:rPr>
          <w:rFonts w:hint="eastAsia" w:ascii="宋体" w:hAnsi="宋体" w:cs="宋体"/>
          <w:color w:val="auto"/>
          <w:sz w:val="22"/>
          <w:szCs w:val="18"/>
          <w:highlight w:val="none"/>
        </w:rPr>
        <w:t>仲裁委员会依申请仲裁时其现行有效的仲裁规则裁决；</w:t>
      </w:r>
    </w:p>
    <w:p w14:paraId="4A1A600E">
      <w:pPr>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1.9.2 向</w:t>
      </w:r>
      <w:r>
        <w:rPr>
          <w:rFonts w:hint="eastAsia" w:ascii="宋体" w:hAnsi="宋体" w:cs="宋体"/>
          <w:b/>
          <w:color w:val="auto"/>
          <w:sz w:val="22"/>
          <w:szCs w:val="18"/>
          <w:highlight w:val="none"/>
          <w:u w:val="single"/>
        </w:rPr>
        <w:t>合同专用条款</w:t>
      </w:r>
      <w:r>
        <w:rPr>
          <w:rFonts w:hint="eastAsia" w:ascii="宋体" w:hAnsi="宋体" w:cs="宋体"/>
          <w:color w:val="auto"/>
          <w:sz w:val="22"/>
          <w:szCs w:val="18"/>
          <w:highlight w:val="none"/>
        </w:rPr>
        <w:t>人民法院起诉。</w:t>
      </w:r>
    </w:p>
    <w:p w14:paraId="218A8AAA">
      <w:pPr>
        <w:spacing w:line="360" w:lineRule="auto"/>
        <w:ind w:firstLine="442" w:firstLineChars="200"/>
        <w:rPr>
          <w:rFonts w:ascii="宋体" w:hAnsi="宋体" w:cs="宋体"/>
          <w:b/>
          <w:color w:val="auto"/>
          <w:sz w:val="22"/>
          <w:szCs w:val="18"/>
          <w:highlight w:val="none"/>
        </w:rPr>
      </w:pPr>
      <w:bookmarkStart w:id="500" w:name="_Toc15322"/>
      <w:bookmarkStart w:id="501" w:name="_Toc11173"/>
      <w:bookmarkStart w:id="502" w:name="_Toc7245"/>
      <w:r>
        <w:rPr>
          <w:rFonts w:hint="eastAsia" w:ascii="宋体" w:hAnsi="宋体" w:cs="宋体"/>
          <w:b/>
          <w:color w:val="auto"/>
          <w:sz w:val="22"/>
          <w:szCs w:val="18"/>
          <w:highlight w:val="none"/>
        </w:rPr>
        <w:t>2.0 合同生效</w:t>
      </w:r>
      <w:bookmarkEnd w:id="500"/>
      <w:bookmarkEnd w:id="501"/>
      <w:bookmarkEnd w:id="502"/>
    </w:p>
    <w:p w14:paraId="239B28C0">
      <w:pPr>
        <w:spacing w:line="360" w:lineRule="auto"/>
        <w:ind w:firstLine="440" w:firstLineChars="200"/>
        <w:rPr>
          <w:rFonts w:ascii="宋体" w:hAnsi="宋体" w:cs="宋体"/>
          <w:b/>
          <w:color w:val="auto"/>
          <w:sz w:val="22"/>
          <w:szCs w:val="18"/>
          <w:highlight w:val="none"/>
        </w:rPr>
      </w:pPr>
      <w:r>
        <w:rPr>
          <w:rFonts w:hint="eastAsia" w:ascii="宋体" w:hAnsi="宋体" w:cs="宋体"/>
          <w:color w:val="auto"/>
          <w:sz w:val="22"/>
          <w:szCs w:val="18"/>
          <w:highlight w:val="none"/>
        </w:rPr>
        <w:t>本合同自双方当事人盖章签字时生效。</w:t>
      </w:r>
    </w:p>
    <w:p w14:paraId="0F1F2351">
      <w:pPr>
        <w:autoSpaceDE w:val="0"/>
        <w:autoSpaceDN w:val="0"/>
        <w:spacing w:line="360" w:lineRule="auto"/>
        <w:rPr>
          <w:rFonts w:ascii="宋体" w:hAnsi="宋体" w:cs="宋体"/>
          <w:color w:val="auto"/>
          <w:sz w:val="22"/>
          <w:szCs w:val="18"/>
          <w:highlight w:val="none"/>
          <w:lang w:val="zh-CN"/>
        </w:rPr>
      </w:pPr>
    </w:p>
    <w:p w14:paraId="4EBFE1F0">
      <w:pPr>
        <w:pStyle w:val="14"/>
        <w:spacing w:line="360" w:lineRule="auto"/>
        <w:rPr>
          <w:rFonts w:cs="宋体"/>
          <w:b/>
          <w:color w:val="auto"/>
          <w:sz w:val="18"/>
          <w:szCs w:val="18"/>
          <w:highlight w:val="none"/>
        </w:rPr>
      </w:pPr>
    </w:p>
    <w:p w14:paraId="7F7B1606">
      <w:pPr>
        <w:pStyle w:val="42"/>
        <w:spacing w:line="360" w:lineRule="auto"/>
        <w:ind w:firstLine="220"/>
        <w:rPr>
          <w:color w:val="auto"/>
          <w:sz w:val="22"/>
          <w:szCs w:val="18"/>
          <w:highlight w:val="none"/>
        </w:rPr>
      </w:pPr>
    </w:p>
    <w:p w14:paraId="31233303">
      <w:pPr>
        <w:autoSpaceDE w:val="0"/>
        <w:autoSpaceDN w:val="0"/>
        <w:spacing w:line="360" w:lineRule="auto"/>
        <w:rPr>
          <w:rFonts w:ascii="宋体" w:hAnsi="宋体" w:cs="宋体"/>
          <w:color w:val="auto"/>
          <w:sz w:val="22"/>
          <w:szCs w:val="18"/>
          <w:highlight w:val="none"/>
          <w:lang w:val="zh-CN"/>
        </w:rPr>
      </w:pPr>
      <w:r>
        <w:rPr>
          <w:rFonts w:hint="eastAsia" w:ascii="宋体" w:hAnsi="宋体" w:cs="宋体"/>
          <w:b/>
          <w:color w:val="auto"/>
          <w:sz w:val="22"/>
          <w:szCs w:val="18"/>
          <w:highlight w:val="none"/>
          <w:lang w:val="zh-CN"/>
        </w:rPr>
        <w:t>甲方</w:t>
      </w:r>
      <w:r>
        <w:rPr>
          <w:rFonts w:hint="eastAsia" w:ascii="宋体" w:hAnsi="宋体" w:cs="宋体"/>
          <w:color w:val="auto"/>
          <w:sz w:val="22"/>
          <w:szCs w:val="18"/>
          <w:highlight w:val="none"/>
          <w:lang w:val="zh-CN"/>
        </w:rPr>
        <w:t xml:space="preserve">：                             </w:t>
      </w:r>
      <w:r>
        <w:rPr>
          <w:rFonts w:hint="eastAsia" w:ascii="宋体" w:hAnsi="宋体" w:cs="宋体"/>
          <w:b/>
          <w:color w:val="auto"/>
          <w:sz w:val="22"/>
          <w:szCs w:val="18"/>
          <w:highlight w:val="none"/>
          <w:lang w:val="zh-CN"/>
        </w:rPr>
        <w:t xml:space="preserve">      乙方</w:t>
      </w:r>
      <w:r>
        <w:rPr>
          <w:rFonts w:hint="eastAsia" w:ascii="宋体" w:hAnsi="宋体" w:cs="宋体"/>
          <w:color w:val="auto"/>
          <w:sz w:val="22"/>
          <w:szCs w:val="18"/>
          <w:highlight w:val="none"/>
          <w:lang w:val="zh-CN"/>
        </w:rPr>
        <w:t>：</w:t>
      </w:r>
    </w:p>
    <w:p w14:paraId="6024A082">
      <w:pPr>
        <w:autoSpaceDE w:val="0"/>
        <w:autoSpaceDN w:val="0"/>
        <w:spacing w:line="360" w:lineRule="auto"/>
        <w:rPr>
          <w:rFonts w:ascii="宋体" w:hAnsi="宋体" w:cs="宋体"/>
          <w:color w:val="auto"/>
          <w:sz w:val="22"/>
          <w:szCs w:val="18"/>
          <w:highlight w:val="none"/>
          <w:lang w:val="zh-CN"/>
        </w:rPr>
      </w:pPr>
      <w:r>
        <w:rPr>
          <w:rFonts w:hint="eastAsia" w:ascii="宋体" w:hAnsi="宋体" w:cs="宋体"/>
          <w:color w:val="auto"/>
          <w:sz w:val="22"/>
          <w:szCs w:val="18"/>
          <w:highlight w:val="none"/>
          <w:lang w:val="zh-CN"/>
        </w:rPr>
        <w:t>统一社会信用代码：                        统一社会信用代码或身份证号码：</w:t>
      </w:r>
    </w:p>
    <w:p w14:paraId="4932202C">
      <w:pPr>
        <w:autoSpaceDE w:val="0"/>
        <w:autoSpaceDN w:val="0"/>
        <w:spacing w:line="360" w:lineRule="auto"/>
        <w:rPr>
          <w:rFonts w:ascii="宋体" w:hAnsi="宋体" w:cs="宋体"/>
          <w:color w:val="auto"/>
          <w:sz w:val="22"/>
          <w:szCs w:val="18"/>
          <w:highlight w:val="none"/>
          <w:lang w:val="zh-CN"/>
        </w:rPr>
      </w:pPr>
    </w:p>
    <w:p w14:paraId="6FB7A0F5">
      <w:pPr>
        <w:autoSpaceDE w:val="0"/>
        <w:autoSpaceDN w:val="0"/>
        <w:spacing w:line="360" w:lineRule="auto"/>
        <w:rPr>
          <w:rFonts w:ascii="宋体" w:hAnsi="宋体" w:cs="宋体"/>
          <w:color w:val="auto"/>
          <w:sz w:val="22"/>
          <w:szCs w:val="18"/>
          <w:highlight w:val="none"/>
          <w:lang w:val="zh-CN"/>
        </w:rPr>
      </w:pPr>
      <w:r>
        <w:rPr>
          <w:rFonts w:hint="eastAsia" w:ascii="宋体" w:hAnsi="宋体" w:cs="宋体"/>
          <w:color w:val="auto"/>
          <w:sz w:val="22"/>
          <w:szCs w:val="18"/>
          <w:highlight w:val="none"/>
          <w:lang w:val="zh-CN"/>
        </w:rPr>
        <w:t>住所：                                   住所：</w:t>
      </w:r>
    </w:p>
    <w:p w14:paraId="432C2365">
      <w:pPr>
        <w:autoSpaceDE w:val="0"/>
        <w:autoSpaceDN w:val="0"/>
        <w:spacing w:line="360" w:lineRule="auto"/>
        <w:rPr>
          <w:rFonts w:ascii="宋体" w:hAnsi="宋体" w:cs="宋体"/>
          <w:color w:val="auto"/>
          <w:sz w:val="22"/>
          <w:szCs w:val="18"/>
          <w:highlight w:val="none"/>
          <w:lang w:val="zh-CN"/>
        </w:rPr>
      </w:pPr>
      <w:r>
        <w:rPr>
          <w:rFonts w:hint="eastAsia" w:ascii="宋体" w:hAnsi="宋体" w:cs="宋体"/>
          <w:color w:val="auto"/>
          <w:sz w:val="22"/>
          <w:szCs w:val="18"/>
          <w:highlight w:val="none"/>
          <w:lang w:val="zh-CN"/>
        </w:rPr>
        <w:t>法定代表人或                             法定代表人</w:t>
      </w:r>
    </w:p>
    <w:p w14:paraId="08DF3B00">
      <w:pPr>
        <w:autoSpaceDE w:val="0"/>
        <w:autoSpaceDN w:val="0"/>
        <w:spacing w:line="360" w:lineRule="auto"/>
        <w:rPr>
          <w:rFonts w:ascii="宋体" w:hAnsi="宋体" w:cs="宋体"/>
          <w:color w:val="auto"/>
          <w:sz w:val="22"/>
          <w:szCs w:val="18"/>
          <w:highlight w:val="none"/>
          <w:lang w:val="zh-CN"/>
        </w:rPr>
      </w:pPr>
      <w:r>
        <w:rPr>
          <w:rFonts w:hint="eastAsia" w:ascii="宋体" w:hAnsi="宋体" w:cs="宋体"/>
          <w:color w:val="auto"/>
          <w:sz w:val="22"/>
          <w:szCs w:val="18"/>
          <w:highlight w:val="none"/>
          <w:lang w:val="zh-CN"/>
        </w:rPr>
        <w:t xml:space="preserve">授权代表（签字）：                        或授权代表（签字）: </w:t>
      </w:r>
    </w:p>
    <w:p w14:paraId="00557CA3">
      <w:pPr>
        <w:autoSpaceDE w:val="0"/>
        <w:autoSpaceDN w:val="0"/>
        <w:spacing w:line="360" w:lineRule="auto"/>
        <w:rPr>
          <w:rFonts w:ascii="宋体" w:hAnsi="宋体" w:cs="宋体"/>
          <w:color w:val="auto"/>
          <w:sz w:val="22"/>
          <w:szCs w:val="18"/>
          <w:highlight w:val="none"/>
          <w:lang w:val="zh-CN"/>
        </w:rPr>
      </w:pPr>
      <w:r>
        <w:rPr>
          <w:rFonts w:hint="eastAsia" w:ascii="宋体" w:hAnsi="宋体" w:cs="宋体"/>
          <w:color w:val="auto"/>
          <w:sz w:val="22"/>
          <w:szCs w:val="18"/>
          <w:highlight w:val="none"/>
          <w:lang w:val="zh-CN"/>
        </w:rPr>
        <w:t>联系人：                                 联系人：</w:t>
      </w:r>
    </w:p>
    <w:p w14:paraId="5D7977DD">
      <w:pPr>
        <w:autoSpaceDE w:val="0"/>
        <w:autoSpaceDN w:val="0"/>
        <w:spacing w:line="360" w:lineRule="auto"/>
        <w:rPr>
          <w:rFonts w:ascii="宋体" w:hAnsi="宋体" w:cs="宋体"/>
          <w:color w:val="auto"/>
          <w:sz w:val="22"/>
          <w:szCs w:val="18"/>
          <w:highlight w:val="none"/>
          <w:lang w:val="zh-CN"/>
        </w:rPr>
      </w:pPr>
      <w:r>
        <w:rPr>
          <w:rFonts w:hint="eastAsia" w:ascii="宋体" w:hAnsi="宋体" w:cs="宋体"/>
          <w:color w:val="auto"/>
          <w:sz w:val="22"/>
          <w:szCs w:val="18"/>
          <w:highlight w:val="none"/>
          <w:lang w:val="zh-CN"/>
        </w:rPr>
        <w:t>约定送达地址：                           约定送达地址：</w:t>
      </w:r>
    </w:p>
    <w:p w14:paraId="6C6204B3">
      <w:pPr>
        <w:autoSpaceDE w:val="0"/>
        <w:autoSpaceDN w:val="0"/>
        <w:spacing w:line="360" w:lineRule="auto"/>
        <w:rPr>
          <w:rFonts w:ascii="宋体" w:hAnsi="宋体" w:cs="宋体"/>
          <w:color w:val="auto"/>
          <w:sz w:val="22"/>
          <w:szCs w:val="18"/>
          <w:highlight w:val="none"/>
          <w:lang w:val="zh-CN"/>
        </w:rPr>
      </w:pPr>
      <w:r>
        <w:rPr>
          <w:rFonts w:hint="eastAsia" w:ascii="宋体" w:hAnsi="宋体" w:cs="宋体"/>
          <w:color w:val="auto"/>
          <w:sz w:val="22"/>
          <w:szCs w:val="18"/>
          <w:highlight w:val="none"/>
          <w:lang w:val="zh-CN"/>
        </w:rPr>
        <w:t>邮政编码：                               邮政编码：</w:t>
      </w:r>
    </w:p>
    <w:p w14:paraId="1501D9B1">
      <w:pPr>
        <w:autoSpaceDE w:val="0"/>
        <w:autoSpaceDN w:val="0"/>
        <w:spacing w:line="360" w:lineRule="auto"/>
        <w:rPr>
          <w:rFonts w:ascii="宋体" w:hAnsi="宋体" w:cs="宋体"/>
          <w:color w:val="auto"/>
          <w:sz w:val="22"/>
          <w:szCs w:val="18"/>
          <w:highlight w:val="none"/>
          <w:lang w:val="zh-CN"/>
        </w:rPr>
      </w:pPr>
      <w:r>
        <w:rPr>
          <w:rFonts w:hint="eastAsia" w:ascii="宋体" w:hAnsi="宋体" w:cs="宋体"/>
          <w:color w:val="auto"/>
          <w:sz w:val="22"/>
          <w:szCs w:val="18"/>
          <w:highlight w:val="none"/>
          <w:lang w:val="zh-CN"/>
        </w:rPr>
        <w:t xml:space="preserve">电话:                                    电话: </w:t>
      </w:r>
    </w:p>
    <w:p w14:paraId="5DF60E24">
      <w:pPr>
        <w:autoSpaceDE w:val="0"/>
        <w:autoSpaceDN w:val="0"/>
        <w:spacing w:line="360" w:lineRule="auto"/>
        <w:rPr>
          <w:rFonts w:ascii="宋体" w:hAnsi="宋体" w:cs="宋体"/>
          <w:color w:val="auto"/>
          <w:sz w:val="22"/>
          <w:szCs w:val="18"/>
          <w:highlight w:val="none"/>
          <w:lang w:val="zh-CN"/>
        </w:rPr>
      </w:pPr>
      <w:r>
        <w:rPr>
          <w:rFonts w:hint="eastAsia" w:ascii="宋体" w:hAnsi="宋体" w:cs="宋体"/>
          <w:color w:val="auto"/>
          <w:sz w:val="22"/>
          <w:szCs w:val="18"/>
          <w:highlight w:val="none"/>
          <w:lang w:val="zh-CN"/>
        </w:rPr>
        <w:t>传真:                                    传真:</w:t>
      </w:r>
    </w:p>
    <w:p w14:paraId="04CEFDE5">
      <w:pPr>
        <w:autoSpaceDE w:val="0"/>
        <w:autoSpaceDN w:val="0"/>
        <w:spacing w:line="360" w:lineRule="auto"/>
        <w:rPr>
          <w:rFonts w:ascii="宋体" w:hAnsi="宋体" w:cs="宋体"/>
          <w:color w:val="auto"/>
          <w:sz w:val="22"/>
          <w:szCs w:val="18"/>
          <w:highlight w:val="none"/>
        </w:rPr>
      </w:pPr>
      <w:r>
        <w:rPr>
          <w:rFonts w:hint="eastAsia" w:ascii="宋体" w:hAnsi="宋体" w:cs="宋体"/>
          <w:color w:val="auto"/>
          <w:sz w:val="22"/>
          <w:szCs w:val="18"/>
          <w:highlight w:val="none"/>
          <w:lang w:val="zh-CN"/>
        </w:rPr>
        <w:t>电子邮箱：                               电子邮箱：</w:t>
      </w:r>
    </w:p>
    <w:p w14:paraId="6030AD42">
      <w:pPr>
        <w:autoSpaceDE w:val="0"/>
        <w:autoSpaceDN w:val="0"/>
        <w:spacing w:line="360" w:lineRule="auto"/>
        <w:rPr>
          <w:rFonts w:ascii="宋体" w:hAnsi="宋体" w:cs="宋体"/>
          <w:color w:val="auto"/>
          <w:sz w:val="22"/>
          <w:szCs w:val="18"/>
          <w:highlight w:val="none"/>
        </w:rPr>
      </w:pPr>
      <w:r>
        <w:rPr>
          <w:rFonts w:hint="eastAsia" w:ascii="宋体" w:hAnsi="宋体" w:cs="宋体"/>
          <w:color w:val="auto"/>
          <w:sz w:val="22"/>
          <w:szCs w:val="18"/>
          <w:highlight w:val="none"/>
        </w:rPr>
        <w:t xml:space="preserve">开户银行：                               开户银行： </w:t>
      </w:r>
    </w:p>
    <w:p w14:paraId="055A4F9B">
      <w:pPr>
        <w:autoSpaceDE w:val="0"/>
        <w:autoSpaceDN w:val="0"/>
        <w:spacing w:line="360" w:lineRule="auto"/>
        <w:rPr>
          <w:rFonts w:ascii="宋体" w:hAnsi="宋体" w:cs="宋体"/>
          <w:color w:val="auto"/>
          <w:sz w:val="22"/>
          <w:szCs w:val="18"/>
          <w:highlight w:val="none"/>
        </w:rPr>
      </w:pPr>
      <w:r>
        <w:rPr>
          <w:rFonts w:hint="eastAsia" w:ascii="宋体" w:hAnsi="宋体" w:cs="宋体"/>
          <w:color w:val="auto"/>
          <w:sz w:val="22"/>
          <w:szCs w:val="18"/>
          <w:highlight w:val="none"/>
        </w:rPr>
        <w:t xml:space="preserve">开户名称：                               开户名称： </w:t>
      </w:r>
    </w:p>
    <w:p w14:paraId="7760827B">
      <w:pPr>
        <w:autoSpaceDE w:val="0"/>
        <w:autoSpaceDN w:val="0"/>
        <w:spacing w:line="360" w:lineRule="auto"/>
        <w:rPr>
          <w:rFonts w:ascii="宋体" w:hAnsi="宋体" w:cs="宋体"/>
          <w:color w:val="auto"/>
          <w:sz w:val="22"/>
          <w:szCs w:val="18"/>
          <w:highlight w:val="none"/>
        </w:rPr>
      </w:pPr>
      <w:r>
        <w:rPr>
          <w:rFonts w:hint="eastAsia" w:ascii="宋体" w:hAnsi="宋体" w:cs="宋体"/>
          <w:color w:val="auto"/>
          <w:sz w:val="22"/>
          <w:szCs w:val="18"/>
          <w:highlight w:val="none"/>
        </w:rPr>
        <w:t>开户账号：</w:t>
      </w:r>
      <w:r>
        <w:rPr>
          <w:rFonts w:hint="eastAsia" w:ascii="宋体" w:hAnsi="宋体" w:cs="宋体"/>
          <w:color w:val="auto"/>
          <w:sz w:val="22"/>
          <w:szCs w:val="18"/>
          <w:highlight w:val="none"/>
          <w:lang w:val="zh-CN"/>
        </w:rPr>
        <w:t xml:space="preserve">                               </w:t>
      </w:r>
      <w:r>
        <w:rPr>
          <w:rFonts w:hint="eastAsia" w:ascii="宋体" w:hAnsi="宋体" w:cs="宋体"/>
          <w:color w:val="auto"/>
          <w:sz w:val="22"/>
          <w:szCs w:val="18"/>
          <w:highlight w:val="none"/>
        </w:rPr>
        <w:t>开户账号：</w:t>
      </w:r>
    </w:p>
    <w:p w14:paraId="2CB60B6D">
      <w:pPr>
        <w:numPr>
          <w:ilvl w:val="0"/>
          <w:numId w:val="19"/>
        </w:numPr>
        <w:jc w:val="center"/>
        <w:rPr>
          <w:rFonts w:ascii="宋体" w:hAnsi="宋体" w:cs="宋体"/>
          <w:b/>
          <w:color w:val="auto"/>
          <w:sz w:val="28"/>
          <w:szCs w:val="22"/>
          <w:highlight w:val="none"/>
        </w:rPr>
      </w:pPr>
      <w:r>
        <w:rPr>
          <w:rFonts w:hint="eastAsia" w:ascii="宋体" w:hAnsi="宋体" w:cs="宋体"/>
          <w:color w:val="auto"/>
          <w:sz w:val="22"/>
          <w:szCs w:val="18"/>
          <w:highlight w:val="none"/>
        </w:rPr>
        <w:br w:type="page"/>
      </w:r>
      <w:r>
        <w:rPr>
          <w:rFonts w:hint="eastAsia" w:ascii="宋体" w:hAnsi="宋体" w:cs="宋体"/>
          <w:b/>
          <w:color w:val="auto"/>
          <w:sz w:val="28"/>
          <w:szCs w:val="22"/>
          <w:highlight w:val="none"/>
        </w:rPr>
        <w:t xml:space="preserve"> 合同一般条款</w:t>
      </w:r>
    </w:p>
    <w:p w14:paraId="1BDE2BE3">
      <w:pPr>
        <w:pStyle w:val="14"/>
        <w:rPr>
          <w:color w:val="auto"/>
          <w:sz w:val="18"/>
          <w:szCs w:val="18"/>
          <w:highlight w:val="none"/>
        </w:rPr>
      </w:pPr>
    </w:p>
    <w:p w14:paraId="6F6CA96A">
      <w:pPr>
        <w:spacing w:line="360" w:lineRule="auto"/>
        <w:ind w:firstLine="442" w:firstLineChars="200"/>
        <w:rPr>
          <w:rFonts w:ascii="宋体" w:hAnsi="宋体" w:cs="宋体"/>
          <w:b/>
          <w:color w:val="auto"/>
          <w:sz w:val="22"/>
          <w:szCs w:val="18"/>
          <w:highlight w:val="none"/>
        </w:rPr>
      </w:pPr>
      <w:bookmarkStart w:id="503" w:name="_Ref467379094"/>
      <w:bookmarkStart w:id="504" w:name="_Ref467379214"/>
      <w:bookmarkStart w:id="505" w:name="_Ref467379225"/>
      <w:bookmarkStart w:id="506" w:name="_Ref467379205"/>
      <w:bookmarkStart w:id="507" w:name="_Toc16917"/>
      <w:bookmarkStart w:id="508" w:name="_Toc487900349"/>
      <w:bookmarkStart w:id="509" w:name="_Toc279701240"/>
      <w:bookmarkStart w:id="510" w:name="_Toc28763"/>
      <w:bookmarkStart w:id="511" w:name="_Ref467379195"/>
      <w:bookmarkStart w:id="512" w:name="_Ref467378463"/>
      <w:bookmarkStart w:id="513" w:name="_Ref467379109"/>
      <w:bookmarkStart w:id="514" w:name="_Ref467378499"/>
      <w:bookmarkStart w:id="515" w:name="_Ref467378404"/>
      <w:bookmarkStart w:id="516" w:name="_Toc19614"/>
      <w:bookmarkStart w:id="517" w:name="_Ref467379101"/>
      <w:bookmarkStart w:id="518" w:name="_Toc259093669"/>
      <w:r>
        <w:rPr>
          <w:rFonts w:hint="eastAsia" w:ascii="宋体" w:hAnsi="宋体" w:cs="宋体"/>
          <w:b/>
          <w:color w:val="auto"/>
          <w:sz w:val="22"/>
          <w:szCs w:val="18"/>
          <w:highlight w:val="none"/>
        </w:rPr>
        <w:t>2.1 定义</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0FDE09EF">
      <w:pPr>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本合同中的下列词语应按以下内容进行解释：</w:t>
      </w:r>
    </w:p>
    <w:p w14:paraId="08DF4D79">
      <w:pPr>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2.1.1 “合同”系指采购人和中标或成交供应商签订的载明双方当事人所达成的协议，并包括所有的附件、附录和构成合同的其他文件。</w:t>
      </w:r>
    </w:p>
    <w:p w14:paraId="42B45E6E">
      <w:pPr>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2.1.2 “合同价”系指根据合同约定，中标或成交供应商在完全履行合同义务后，采购人应支付给中标或成交供应商的价格。</w:t>
      </w:r>
    </w:p>
    <w:p w14:paraId="1C634F72">
      <w:pPr>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2.1.3 “货物”系指中标或成交供应商根据合同约定应向采购人交付的一切各种形态和种类的物品，包括原材料、燃料、设备、机械、仪表、备件、计算机软件、产品等，并包括工具、手册等其他相关资料。</w:t>
      </w:r>
    </w:p>
    <w:p w14:paraId="38424F94">
      <w:pPr>
        <w:spacing w:line="360" w:lineRule="auto"/>
        <w:ind w:firstLine="440" w:firstLineChars="200"/>
        <w:rPr>
          <w:rFonts w:ascii="宋体" w:hAnsi="宋体" w:cs="宋体"/>
          <w:color w:val="auto"/>
          <w:sz w:val="22"/>
          <w:szCs w:val="18"/>
          <w:highlight w:val="none"/>
        </w:rPr>
      </w:pPr>
      <w:bookmarkStart w:id="519" w:name="_Ref467378840"/>
      <w:r>
        <w:rPr>
          <w:rFonts w:hint="eastAsia" w:ascii="宋体" w:hAnsi="宋体" w:cs="宋体"/>
          <w:color w:val="auto"/>
          <w:sz w:val="22"/>
          <w:szCs w:val="18"/>
          <w:highlight w:val="none"/>
        </w:rPr>
        <w:t>2.1.4 “甲方”系指与中标或成交供应商签署合同的采购人</w:t>
      </w:r>
      <w:bookmarkEnd w:id="519"/>
      <w:r>
        <w:rPr>
          <w:rFonts w:hint="eastAsia" w:ascii="宋体" w:hAnsi="宋体" w:cs="宋体"/>
          <w:color w:val="auto"/>
          <w:sz w:val="22"/>
          <w:szCs w:val="18"/>
          <w:highlight w:val="none"/>
        </w:rPr>
        <w:t>；采购人委托采购代理机构代表其与乙方签订合同的，采购人的授权委托书作为合同附件。</w:t>
      </w:r>
    </w:p>
    <w:p w14:paraId="2BC76DD3">
      <w:pPr>
        <w:spacing w:line="360" w:lineRule="auto"/>
        <w:ind w:firstLine="440" w:firstLineChars="200"/>
        <w:rPr>
          <w:rFonts w:ascii="宋体" w:hAnsi="宋体" w:cs="宋体"/>
          <w:color w:val="auto"/>
          <w:sz w:val="22"/>
          <w:szCs w:val="18"/>
          <w:highlight w:val="none"/>
        </w:rPr>
      </w:pPr>
      <w:bookmarkStart w:id="520" w:name="_Ref467379400"/>
      <w:r>
        <w:rPr>
          <w:rFonts w:hint="eastAsia" w:ascii="宋体" w:hAnsi="宋体" w:cs="宋体"/>
          <w:color w:val="auto"/>
          <w:sz w:val="22"/>
          <w:szCs w:val="18"/>
          <w:highlight w:val="none"/>
        </w:rPr>
        <w:t>2.1.5 “乙方”系指根据合同约定交付货物的中标或成交供应商</w:t>
      </w:r>
      <w:bookmarkEnd w:id="520"/>
      <w:r>
        <w:rPr>
          <w:rFonts w:hint="eastAsia" w:ascii="宋体" w:hAnsi="宋体" w:cs="宋体"/>
          <w:color w:val="auto"/>
          <w:sz w:val="22"/>
          <w:szCs w:val="18"/>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BE3061F">
      <w:pPr>
        <w:spacing w:line="360" w:lineRule="auto"/>
        <w:ind w:firstLine="440" w:firstLineChars="200"/>
        <w:rPr>
          <w:rFonts w:ascii="宋体" w:hAnsi="宋体" w:cs="宋体"/>
          <w:color w:val="auto"/>
          <w:sz w:val="22"/>
          <w:szCs w:val="18"/>
          <w:highlight w:val="none"/>
        </w:rPr>
      </w:pPr>
      <w:bookmarkStart w:id="521" w:name="_Ref467379436"/>
      <w:r>
        <w:rPr>
          <w:rFonts w:hint="eastAsia" w:ascii="宋体" w:hAnsi="宋体" w:cs="宋体"/>
          <w:color w:val="auto"/>
          <w:sz w:val="22"/>
          <w:szCs w:val="18"/>
          <w:highlight w:val="none"/>
        </w:rPr>
        <w:t>2.1.6“现场”系指合同约定货物将要运至或者安装的地点。</w:t>
      </w:r>
      <w:bookmarkEnd w:id="521"/>
    </w:p>
    <w:p w14:paraId="490F2839">
      <w:pPr>
        <w:spacing w:line="360" w:lineRule="auto"/>
        <w:ind w:firstLine="442" w:firstLineChars="200"/>
        <w:rPr>
          <w:rFonts w:ascii="宋体" w:hAnsi="宋体" w:cs="宋体"/>
          <w:b/>
          <w:color w:val="auto"/>
          <w:sz w:val="22"/>
          <w:szCs w:val="18"/>
          <w:highlight w:val="none"/>
        </w:rPr>
      </w:pPr>
      <w:bookmarkStart w:id="522" w:name="_Toc259093670"/>
      <w:bookmarkStart w:id="523" w:name="_Toc27635"/>
      <w:bookmarkStart w:id="524" w:name="_Toc279701241"/>
      <w:bookmarkStart w:id="525" w:name="_Toc13336"/>
      <w:bookmarkStart w:id="526" w:name="_Toc487900350"/>
      <w:bookmarkStart w:id="527" w:name="_Toc32504"/>
      <w:r>
        <w:rPr>
          <w:rFonts w:hint="eastAsia" w:ascii="宋体" w:hAnsi="宋体" w:cs="宋体"/>
          <w:b/>
          <w:color w:val="auto"/>
          <w:sz w:val="22"/>
          <w:szCs w:val="18"/>
          <w:highlight w:val="none"/>
        </w:rPr>
        <w:t>2.2 技术规范</w:t>
      </w:r>
      <w:bookmarkEnd w:id="522"/>
      <w:bookmarkEnd w:id="523"/>
      <w:bookmarkEnd w:id="524"/>
      <w:bookmarkEnd w:id="525"/>
      <w:bookmarkEnd w:id="526"/>
      <w:bookmarkEnd w:id="527"/>
    </w:p>
    <w:p w14:paraId="6117F41B">
      <w:pPr>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货物所应遵守的技术规范应与招标文件规定的技术规范和技术规范附件(如果有的话)及其技术规范偏差表(如果被甲方接受的话)相一致；如果招标文件中没有技术规范的相应说明，那么应以国家有关部门最新颁布的相应标准和规范为准。</w:t>
      </w:r>
    </w:p>
    <w:p w14:paraId="2ABDFA26">
      <w:pPr>
        <w:spacing w:line="360" w:lineRule="auto"/>
        <w:ind w:firstLine="442" w:firstLineChars="200"/>
        <w:rPr>
          <w:rFonts w:ascii="宋体" w:hAnsi="宋体" w:cs="宋体"/>
          <w:b/>
          <w:color w:val="auto"/>
          <w:sz w:val="22"/>
          <w:szCs w:val="18"/>
          <w:highlight w:val="none"/>
        </w:rPr>
      </w:pPr>
      <w:bookmarkStart w:id="528" w:name="_Toc259093671"/>
      <w:bookmarkStart w:id="529" w:name="_Toc487900351"/>
      <w:bookmarkStart w:id="530" w:name="_Toc27853"/>
      <w:bookmarkStart w:id="531" w:name="_Toc31634"/>
      <w:bookmarkStart w:id="532" w:name="_Toc279701242"/>
      <w:bookmarkStart w:id="533" w:name="_Toc9829"/>
      <w:r>
        <w:rPr>
          <w:rFonts w:hint="eastAsia" w:ascii="宋体" w:hAnsi="宋体" w:cs="宋体"/>
          <w:b/>
          <w:color w:val="auto"/>
          <w:sz w:val="22"/>
          <w:szCs w:val="18"/>
          <w:highlight w:val="none"/>
        </w:rPr>
        <w:t>2.3 知识产权</w:t>
      </w:r>
      <w:bookmarkEnd w:id="528"/>
      <w:bookmarkEnd w:id="529"/>
      <w:bookmarkEnd w:id="530"/>
      <w:bookmarkEnd w:id="531"/>
      <w:bookmarkEnd w:id="532"/>
      <w:bookmarkEnd w:id="533"/>
    </w:p>
    <w:p w14:paraId="7E66A687">
      <w:pPr>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color w:val="auto"/>
          <w:sz w:val="22"/>
          <w:szCs w:val="18"/>
          <w:highlight w:val="none"/>
        </w:rPr>
        <w:t>乙方还应及时澄清相关信息，使甲方声誉免受损害，甲方保留追责的权利。</w:t>
      </w:r>
    </w:p>
    <w:p w14:paraId="369404A3">
      <w:pPr>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2.3.2具有知识产权的计算机软件等货物的知识产权归属，详见</w:t>
      </w:r>
      <w:r>
        <w:rPr>
          <w:rFonts w:hint="eastAsia" w:ascii="宋体" w:hAnsi="宋体" w:cs="宋体"/>
          <w:b/>
          <w:color w:val="auto"/>
          <w:sz w:val="22"/>
          <w:szCs w:val="18"/>
          <w:highlight w:val="none"/>
          <w:u w:val="single"/>
        </w:rPr>
        <w:t>合同专用条款</w:t>
      </w:r>
      <w:r>
        <w:rPr>
          <w:rFonts w:hint="eastAsia" w:ascii="宋体" w:hAnsi="宋体" w:cs="宋体"/>
          <w:color w:val="auto"/>
          <w:sz w:val="22"/>
          <w:szCs w:val="18"/>
          <w:highlight w:val="none"/>
        </w:rPr>
        <w:t>。</w:t>
      </w:r>
    </w:p>
    <w:p w14:paraId="46FA67A8">
      <w:pPr>
        <w:spacing w:line="360" w:lineRule="auto"/>
        <w:ind w:firstLine="442" w:firstLineChars="200"/>
        <w:rPr>
          <w:rFonts w:ascii="宋体" w:hAnsi="宋体" w:cs="宋体"/>
          <w:b/>
          <w:color w:val="auto"/>
          <w:sz w:val="22"/>
          <w:szCs w:val="18"/>
          <w:highlight w:val="none"/>
        </w:rPr>
      </w:pPr>
      <w:bookmarkStart w:id="534" w:name="_Toc4194"/>
      <w:bookmarkStart w:id="535" w:name="_Toc11932"/>
      <w:bookmarkStart w:id="536" w:name="_Toc29149"/>
      <w:r>
        <w:rPr>
          <w:rFonts w:hint="eastAsia" w:ascii="宋体" w:hAnsi="宋体" w:cs="宋体"/>
          <w:b/>
          <w:color w:val="auto"/>
          <w:sz w:val="22"/>
          <w:szCs w:val="18"/>
          <w:highlight w:val="none"/>
        </w:rPr>
        <w:t>2.4 包装和装运</w:t>
      </w:r>
      <w:bookmarkEnd w:id="534"/>
      <w:bookmarkEnd w:id="535"/>
      <w:bookmarkEnd w:id="536"/>
    </w:p>
    <w:p w14:paraId="0C61C8B4">
      <w:pPr>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2.4.1除</w:t>
      </w:r>
      <w:r>
        <w:rPr>
          <w:rFonts w:hint="eastAsia" w:ascii="宋体" w:hAnsi="宋体" w:cs="宋体"/>
          <w:b/>
          <w:color w:val="auto"/>
          <w:sz w:val="22"/>
          <w:szCs w:val="18"/>
          <w:highlight w:val="none"/>
          <w:u w:val="single"/>
        </w:rPr>
        <w:t>合同专用条款</w:t>
      </w:r>
      <w:r>
        <w:rPr>
          <w:rFonts w:hint="eastAsia" w:ascii="宋体" w:hAnsi="宋体" w:cs="宋体"/>
          <w:color w:val="auto"/>
          <w:sz w:val="22"/>
          <w:szCs w:val="18"/>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6D0DDF68">
      <w:pPr>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 xml:space="preserve">2.4.2乙方提供产品及相关快递服务的具体包装要求应符合《商品包装政府采购需求标准（试行）》《快递包装政府采购需求标准（试行）》，并作为履约验收的内容，必要时甲方可以要求乙方在履约验收环节出具检测报告。 </w:t>
      </w:r>
    </w:p>
    <w:p w14:paraId="22A39770">
      <w:pPr>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2.4.3 装运货物的要求和通知，详见</w:t>
      </w:r>
      <w:r>
        <w:rPr>
          <w:rFonts w:hint="eastAsia" w:ascii="宋体" w:hAnsi="宋体" w:cs="宋体"/>
          <w:b/>
          <w:color w:val="auto"/>
          <w:sz w:val="22"/>
          <w:szCs w:val="18"/>
          <w:highlight w:val="none"/>
          <w:u w:val="single"/>
        </w:rPr>
        <w:t>合同专用条款</w:t>
      </w:r>
      <w:r>
        <w:rPr>
          <w:rFonts w:hint="eastAsia" w:ascii="宋体" w:hAnsi="宋体" w:cs="宋体"/>
          <w:color w:val="auto"/>
          <w:sz w:val="22"/>
          <w:szCs w:val="18"/>
          <w:highlight w:val="none"/>
        </w:rPr>
        <w:t>。</w:t>
      </w:r>
    </w:p>
    <w:p w14:paraId="51A47704">
      <w:pPr>
        <w:spacing w:line="360" w:lineRule="auto"/>
        <w:ind w:firstLine="442" w:firstLineChars="200"/>
        <w:rPr>
          <w:rFonts w:ascii="宋体" w:hAnsi="宋体" w:cs="宋体"/>
          <w:b/>
          <w:color w:val="auto"/>
          <w:sz w:val="22"/>
          <w:szCs w:val="18"/>
          <w:highlight w:val="none"/>
        </w:rPr>
      </w:pPr>
      <w:bookmarkStart w:id="537" w:name="_Toc279701245"/>
      <w:bookmarkStart w:id="538" w:name="_Ref467379527"/>
      <w:bookmarkStart w:id="539" w:name="_Toc259093674"/>
      <w:bookmarkStart w:id="540" w:name="_Toc487900354"/>
      <w:bookmarkStart w:id="541" w:name="_Ref467379542"/>
      <w:bookmarkStart w:id="542" w:name="_Ref467378591"/>
      <w:bookmarkStart w:id="543" w:name="_Ref467379536"/>
      <w:bookmarkStart w:id="544" w:name="_Ref467378541"/>
      <w:bookmarkStart w:id="545" w:name="_Toc19074"/>
      <w:bookmarkStart w:id="546" w:name="_Toc26182"/>
      <w:bookmarkStart w:id="547" w:name="_Toc30272"/>
      <w:r>
        <w:rPr>
          <w:rFonts w:hint="eastAsia" w:ascii="宋体" w:hAnsi="宋体" w:cs="宋体"/>
          <w:b/>
          <w:color w:val="auto"/>
          <w:sz w:val="22"/>
          <w:szCs w:val="18"/>
          <w:highlight w:val="none"/>
        </w:rPr>
        <w:t>2.</w:t>
      </w:r>
      <w:bookmarkEnd w:id="537"/>
      <w:bookmarkEnd w:id="538"/>
      <w:bookmarkEnd w:id="539"/>
      <w:bookmarkEnd w:id="540"/>
      <w:bookmarkEnd w:id="541"/>
      <w:bookmarkEnd w:id="542"/>
      <w:bookmarkEnd w:id="543"/>
      <w:bookmarkEnd w:id="544"/>
      <w:r>
        <w:rPr>
          <w:rFonts w:hint="eastAsia" w:ascii="宋体" w:hAnsi="宋体" w:cs="宋体"/>
          <w:b/>
          <w:color w:val="auto"/>
          <w:sz w:val="22"/>
          <w:szCs w:val="18"/>
          <w:highlight w:val="none"/>
        </w:rPr>
        <w:t>5 履约检查和问题反馈</w:t>
      </w:r>
      <w:bookmarkEnd w:id="545"/>
      <w:bookmarkEnd w:id="546"/>
      <w:bookmarkEnd w:id="547"/>
    </w:p>
    <w:p w14:paraId="6855B4BA">
      <w:pPr>
        <w:spacing w:line="360" w:lineRule="auto"/>
        <w:ind w:firstLine="440" w:firstLineChars="200"/>
        <w:rPr>
          <w:rFonts w:ascii="宋体" w:hAnsi="宋体" w:cs="宋体"/>
          <w:color w:val="auto"/>
          <w:sz w:val="22"/>
          <w:szCs w:val="18"/>
          <w:highlight w:val="none"/>
        </w:rPr>
      </w:pPr>
      <w:bookmarkStart w:id="548" w:name="_Ref467379657"/>
      <w:r>
        <w:rPr>
          <w:rFonts w:hint="eastAsia" w:ascii="宋体" w:hAnsi="宋体" w:cs="宋体"/>
          <w:color w:val="auto"/>
          <w:sz w:val="22"/>
          <w:szCs w:val="18"/>
          <w:highlight w:val="none"/>
        </w:rPr>
        <w:t>2.5.1</w:t>
      </w:r>
      <w:bookmarkEnd w:id="548"/>
      <w:bookmarkStart w:id="549" w:name="_Toc186431854"/>
      <w:bookmarkStart w:id="550" w:name="_Toc279701247"/>
      <w:bookmarkStart w:id="551" w:name="_Ref467379793"/>
      <w:bookmarkStart w:id="552" w:name="_Toc259093676"/>
      <w:bookmarkStart w:id="553" w:name="_Ref467379807"/>
      <w:bookmarkStart w:id="554" w:name="_Toc487900357"/>
      <w:r>
        <w:rPr>
          <w:rFonts w:hint="eastAsia" w:ascii="宋体" w:hAnsi="宋体" w:cs="宋体"/>
          <w:color w:val="auto"/>
          <w:sz w:val="22"/>
          <w:szCs w:val="18"/>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14:paraId="78349DB8">
      <w:pPr>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2.5.2 合同履行期间，甲方有权将履行过程中出现的问题反馈给乙方，双方当事人应以书面形式约定需要完善和改进的内容</w:t>
      </w:r>
      <w:bookmarkEnd w:id="549"/>
      <w:bookmarkStart w:id="555" w:name="_Toc186431855"/>
      <w:r>
        <w:rPr>
          <w:rFonts w:hint="eastAsia" w:ascii="宋体" w:hAnsi="宋体" w:cs="宋体"/>
          <w:color w:val="auto"/>
          <w:sz w:val="22"/>
          <w:szCs w:val="18"/>
          <w:highlight w:val="none"/>
        </w:rPr>
        <w:t>。</w:t>
      </w:r>
    </w:p>
    <w:bookmarkEnd w:id="550"/>
    <w:bookmarkEnd w:id="551"/>
    <w:bookmarkEnd w:id="552"/>
    <w:bookmarkEnd w:id="553"/>
    <w:bookmarkEnd w:id="554"/>
    <w:bookmarkEnd w:id="555"/>
    <w:p w14:paraId="2BCC2ED6">
      <w:pPr>
        <w:spacing w:line="360" w:lineRule="auto"/>
        <w:ind w:firstLine="442" w:firstLineChars="200"/>
        <w:rPr>
          <w:rFonts w:ascii="宋体" w:hAnsi="宋体" w:cs="宋体"/>
          <w:b/>
          <w:color w:val="auto"/>
          <w:sz w:val="22"/>
          <w:szCs w:val="18"/>
          <w:highlight w:val="none"/>
        </w:rPr>
      </w:pPr>
      <w:bookmarkStart w:id="556" w:name="_Ref467379852"/>
      <w:bookmarkStart w:id="557" w:name="_Toc487900358"/>
      <w:bookmarkStart w:id="558" w:name="_Ref467379923"/>
      <w:bookmarkStart w:id="559" w:name="_Ref467379863"/>
      <w:bookmarkStart w:id="560" w:name="_Toc279701248"/>
      <w:bookmarkStart w:id="561" w:name="_Toc259093677"/>
      <w:bookmarkStart w:id="562" w:name="_Toc16110"/>
      <w:bookmarkStart w:id="563" w:name="_Toc774"/>
      <w:bookmarkStart w:id="564" w:name="_Toc3225"/>
      <w:r>
        <w:rPr>
          <w:rFonts w:hint="eastAsia" w:ascii="宋体" w:hAnsi="宋体" w:cs="宋体"/>
          <w:b/>
          <w:color w:val="auto"/>
          <w:sz w:val="22"/>
          <w:szCs w:val="18"/>
          <w:highlight w:val="none"/>
        </w:rPr>
        <w:t>2.6 技术资料</w:t>
      </w:r>
      <w:bookmarkEnd w:id="556"/>
      <w:bookmarkEnd w:id="557"/>
      <w:bookmarkEnd w:id="558"/>
      <w:bookmarkEnd w:id="559"/>
      <w:bookmarkEnd w:id="560"/>
      <w:bookmarkEnd w:id="561"/>
      <w:r>
        <w:rPr>
          <w:rFonts w:hint="eastAsia" w:ascii="宋体" w:hAnsi="宋体" w:cs="宋体"/>
          <w:b/>
          <w:color w:val="auto"/>
          <w:sz w:val="22"/>
          <w:szCs w:val="18"/>
          <w:highlight w:val="none"/>
        </w:rPr>
        <w:t>和保密义务</w:t>
      </w:r>
      <w:bookmarkEnd w:id="562"/>
      <w:bookmarkEnd w:id="563"/>
      <w:bookmarkEnd w:id="564"/>
    </w:p>
    <w:p w14:paraId="281A7EC6">
      <w:pPr>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2.6.1 乙方有权依据合同约定和项目需要，向甲方了解有关情况，调阅有关资料等，甲方应予积极配合；</w:t>
      </w:r>
    </w:p>
    <w:p w14:paraId="5FCAB2AD">
      <w:pPr>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2.6.2 乙方有义务妥善保管和保护由甲方提供的前款信息和资料等；</w:t>
      </w:r>
    </w:p>
    <w:p w14:paraId="2211147C">
      <w:pPr>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67D7EE3">
      <w:pPr>
        <w:spacing w:line="360" w:lineRule="auto"/>
        <w:ind w:firstLine="442" w:firstLineChars="200"/>
        <w:rPr>
          <w:rFonts w:ascii="宋体" w:hAnsi="宋体" w:cs="宋体"/>
          <w:b/>
          <w:color w:val="auto"/>
          <w:sz w:val="22"/>
          <w:szCs w:val="18"/>
          <w:highlight w:val="none"/>
        </w:rPr>
      </w:pPr>
      <w:bookmarkStart w:id="565" w:name="_Toc7860"/>
      <w:r>
        <w:rPr>
          <w:rFonts w:hint="eastAsia" w:ascii="宋体" w:hAnsi="宋体" w:cs="宋体"/>
          <w:b/>
          <w:color w:val="auto"/>
          <w:sz w:val="22"/>
          <w:szCs w:val="18"/>
          <w:highlight w:val="none"/>
        </w:rPr>
        <w:t>2.7 质量保证</w:t>
      </w:r>
      <w:bookmarkEnd w:id="565"/>
    </w:p>
    <w:p w14:paraId="65DDDA20">
      <w:pPr>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2.7.1 乙方应建立和完善履行合同的内部质量保证体系，并提供相关内部规章制度给甲方，以便甲方进行监督检查；</w:t>
      </w:r>
    </w:p>
    <w:p w14:paraId="405EB930">
      <w:pPr>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2.7.2 乙方应保证履行合同的人员数量和素质、软件和硬件设备的配置、场地、环境和设施等满足全面履行合同的要求，并应接受甲方的监督检查。</w:t>
      </w:r>
    </w:p>
    <w:p w14:paraId="24AB859E">
      <w:pPr>
        <w:spacing w:line="360" w:lineRule="auto"/>
        <w:ind w:firstLine="442" w:firstLineChars="200"/>
        <w:rPr>
          <w:rFonts w:ascii="宋体" w:hAnsi="宋体" w:cs="宋体"/>
          <w:b/>
          <w:color w:val="auto"/>
          <w:sz w:val="22"/>
          <w:szCs w:val="18"/>
          <w:highlight w:val="none"/>
        </w:rPr>
      </w:pPr>
      <w:bookmarkStart w:id="566" w:name="_Toc17244"/>
      <w:bookmarkStart w:id="567" w:name="_Toc259093681"/>
      <w:bookmarkStart w:id="568" w:name="_Toc487900362"/>
      <w:bookmarkStart w:id="569" w:name="_Toc279701252"/>
      <w:r>
        <w:rPr>
          <w:rFonts w:hint="eastAsia" w:ascii="宋体" w:hAnsi="宋体" w:cs="宋体"/>
          <w:b/>
          <w:color w:val="auto"/>
          <w:sz w:val="22"/>
          <w:szCs w:val="18"/>
          <w:highlight w:val="none"/>
        </w:rPr>
        <w:t>2.8 货物的风险负担</w:t>
      </w:r>
      <w:bookmarkEnd w:id="566"/>
    </w:p>
    <w:p w14:paraId="28E8718B">
      <w:pPr>
        <w:spacing w:line="360" w:lineRule="auto"/>
        <w:ind w:firstLine="440" w:firstLineChars="200"/>
        <w:rPr>
          <w:rFonts w:ascii="宋体" w:hAnsi="宋体" w:cs="宋体"/>
          <w:b/>
          <w:color w:val="auto"/>
          <w:sz w:val="22"/>
          <w:szCs w:val="18"/>
          <w:highlight w:val="none"/>
        </w:rPr>
      </w:pPr>
      <w:r>
        <w:rPr>
          <w:rFonts w:hint="eastAsia" w:ascii="宋体" w:hAnsi="宋体" w:cs="宋体"/>
          <w:color w:val="auto"/>
          <w:sz w:val="22"/>
          <w:szCs w:val="18"/>
          <w:highlight w:val="none"/>
        </w:rPr>
        <w:t>货物或者在途货物或者交付给第一承运人后的货物毁损、灭失的风险负担详见</w:t>
      </w:r>
      <w:r>
        <w:rPr>
          <w:rFonts w:hint="eastAsia" w:ascii="宋体" w:hAnsi="宋体" w:cs="宋体"/>
          <w:b/>
          <w:color w:val="auto"/>
          <w:sz w:val="22"/>
          <w:szCs w:val="18"/>
          <w:highlight w:val="none"/>
          <w:u w:val="single"/>
        </w:rPr>
        <w:t>合同专用条款</w:t>
      </w:r>
      <w:r>
        <w:rPr>
          <w:rFonts w:hint="eastAsia" w:ascii="宋体" w:hAnsi="宋体" w:cs="宋体"/>
          <w:color w:val="auto"/>
          <w:sz w:val="22"/>
          <w:szCs w:val="18"/>
          <w:highlight w:val="none"/>
        </w:rPr>
        <w:t>。</w:t>
      </w:r>
    </w:p>
    <w:p w14:paraId="3B3F3ECE">
      <w:pPr>
        <w:spacing w:line="360" w:lineRule="auto"/>
        <w:ind w:firstLine="442" w:firstLineChars="200"/>
        <w:rPr>
          <w:rFonts w:ascii="宋体" w:hAnsi="宋体" w:cs="宋体"/>
          <w:b/>
          <w:color w:val="auto"/>
          <w:sz w:val="22"/>
          <w:szCs w:val="18"/>
          <w:highlight w:val="none"/>
        </w:rPr>
      </w:pPr>
      <w:bookmarkStart w:id="570" w:name="_Toc14055"/>
      <w:r>
        <w:rPr>
          <w:rFonts w:hint="eastAsia" w:ascii="宋体" w:hAnsi="宋体" w:cs="宋体"/>
          <w:b/>
          <w:color w:val="auto"/>
          <w:sz w:val="22"/>
          <w:szCs w:val="18"/>
          <w:highlight w:val="none"/>
        </w:rPr>
        <w:t>2.9 延迟交货</w:t>
      </w:r>
      <w:bookmarkEnd w:id="567"/>
      <w:bookmarkEnd w:id="568"/>
      <w:bookmarkEnd w:id="569"/>
      <w:bookmarkEnd w:id="570"/>
    </w:p>
    <w:p w14:paraId="5481F60B">
      <w:pPr>
        <w:spacing w:line="360" w:lineRule="auto"/>
        <w:ind w:firstLine="440" w:firstLineChars="200"/>
        <w:rPr>
          <w:rFonts w:ascii="宋体" w:hAnsi="宋体" w:cs="宋体"/>
          <w:color w:val="auto"/>
          <w:sz w:val="22"/>
          <w:szCs w:val="18"/>
          <w:highlight w:val="none"/>
        </w:rPr>
      </w:pPr>
      <w:r>
        <w:rPr>
          <w:rFonts w:hint="eastAsia" w:ascii="宋体" w:hAnsi="宋体"/>
          <w:color w:val="auto"/>
          <w:sz w:val="22"/>
          <w:szCs w:val="18"/>
          <w:highlight w:val="none"/>
        </w:rPr>
        <w:t>甲乙双方签订合同后，乙方应按照合同约定履行合同义务，除不可抗力外，乙方不得延迟交货。</w:t>
      </w:r>
      <w:r>
        <w:rPr>
          <w:rFonts w:hint="eastAsia" w:ascii="宋体" w:hAnsi="宋体" w:cs="宋体"/>
          <w:color w:val="auto"/>
          <w:sz w:val="22"/>
          <w:szCs w:val="18"/>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71878843">
      <w:pPr>
        <w:spacing w:line="360" w:lineRule="auto"/>
        <w:ind w:firstLine="442" w:firstLineChars="200"/>
        <w:rPr>
          <w:rFonts w:ascii="宋体" w:hAnsi="宋体" w:cs="宋体"/>
          <w:b/>
          <w:color w:val="auto"/>
          <w:sz w:val="22"/>
          <w:szCs w:val="18"/>
          <w:highlight w:val="none"/>
        </w:rPr>
      </w:pPr>
      <w:bookmarkStart w:id="571" w:name="_Toc7502"/>
      <w:bookmarkStart w:id="572" w:name="_Ref467378121"/>
      <w:bookmarkStart w:id="573" w:name="_Toc259093683"/>
      <w:bookmarkStart w:id="574" w:name="_Toc487900364"/>
      <w:bookmarkStart w:id="575" w:name="_Toc279701254"/>
      <w:r>
        <w:rPr>
          <w:rFonts w:hint="eastAsia" w:ascii="宋体" w:hAnsi="宋体" w:cs="宋体"/>
          <w:b/>
          <w:color w:val="auto"/>
          <w:sz w:val="22"/>
          <w:szCs w:val="18"/>
          <w:highlight w:val="none"/>
        </w:rPr>
        <w:t>2.10 合同变更</w:t>
      </w:r>
      <w:bookmarkEnd w:id="571"/>
    </w:p>
    <w:p w14:paraId="69B3A100">
      <w:pPr>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合同继续履行将损害国家利益和社会公共利益的，双方当事人应当以书面形式变更合同。有过错的一方应当承担赔偿责任，双方当事人都有过错的，各自承担相应的责任。</w:t>
      </w:r>
      <w:bookmarkStart w:id="576" w:name="_Toc279701259"/>
      <w:bookmarkStart w:id="577" w:name="_Toc259093688"/>
      <w:bookmarkStart w:id="578" w:name="_Toc487900369"/>
    </w:p>
    <w:p w14:paraId="3691509D">
      <w:pPr>
        <w:spacing w:line="360" w:lineRule="auto"/>
        <w:ind w:firstLine="442" w:firstLineChars="200"/>
        <w:rPr>
          <w:rFonts w:ascii="宋体" w:hAnsi="宋体" w:cs="宋体"/>
          <w:b/>
          <w:color w:val="auto"/>
          <w:sz w:val="22"/>
          <w:szCs w:val="18"/>
          <w:highlight w:val="none"/>
        </w:rPr>
      </w:pPr>
      <w:bookmarkStart w:id="579" w:name="_Toc15237"/>
      <w:bookmarkStart w:id="580" w:name="_Toc22955"/>
      <w:bookmarkStart w:id="581" w:name="_Toc10366"/>
      <w:r>
        <w:rPr>
          <w:rFonts w:hint="eastAsia" w:ascii="宋体" w:hAnsi="宋体" w:cs="宋体"/>
          <w:b/>
          <w:color w:val="auto"/>
          <w:sz w:val="22"/>
          <w:szCs w:val="18"/>
          <w:highlight w:val="none"/>
        </w:rPr>
        <w:t>2.11 合同转让</w:t>
      </w:r>
      <w:bookmarkEnd w:id="576"/>
      <w:bookmarkEnd w:id="577"/>
      <w:bookmarkEnd w:id="578"/>
      <w:r>
        <w:rPr>
          <w:rFonts w:hint="eastAsia" w:ascii="宋体" w:hAnsi="宋体" w:cs="宋体"/>
          <w:b/>
          <w:color w:val="auto"/>
          <w:sz w:val="22"/>
          <w:szCs w:val="18"/>
          <w:highlight w:val="none"/>
        </w:rPr>
        <w:t>和分包</w:t>
      </w:r>
      <w:bookmarkEnd w:id="579"/>
      <w:bookmarkEnd w:id="580"/>
      <w:bookmarkEnd w:id="581"/>
    </w:p>
    <w:p w14:paraId="64AB2DCA">
      <w:pPr>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2.11.1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29F7258">
      <w:pPr>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2.11.2乙方采取分包方式履行合同的，甲方可直接向分包供应商支付款项。</w:t>
      </w:r>
    </w:p>
    <w:p w14:paraId="28F83EE5">
      <w:pPr>
        <w:spacing w:line="360" w:lineRule="auto"/>
        <w:ind w:firstLine="442" w:firstLineChars="200"/>
        <w:rPr>
          <w:rFonts w:ascii="宋体" w:hAnsi="宋体" w:cs="宋体"/>
          <w:b/>
          <w:color w:val="auto"/>
          <w:sz w:val="22"/>
          <w:szCs w:val="18"/>
          <w:highlight w:val="none"/>
        </w:rPr>
      </w:pPr>
      <w:bookmarkStart w:id="582" w:name="_Toc14066"/>
      <w:bookmarkStart w:id="583" w:name="_Toc13566"/>
      <w:bookmarkStart w:id="584" w:name="_Toc16508"/>
      <w:r>
        <w:rPr>
          <w:rFonts w:hint="eastAsia" w:ascii="宋体" w:hAnsi="宋体" w:cs="宋体"/>
          <w:b/>
          <w:color w:val="auto"/>
          <w:sz w:val="22"/>
          <w:szCs w:val="18"/>
          <w:highlight w:val="none"/>
        </w:rPr>
        <w:t>2.12 不可抗力</w:t>
      </w:r>
      <w:bookmarkEnd w:id="582"/>
      <w:bookmarkEnd w:id="583"/>
      <w:bookmarkEnd w:id="584"/>
    </w:p>
    <w:p w14:paraId="443C3CE3">
      <w:pPr>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2.12.1如果任何一方遭遇法律规定的不可抗力，致使合同履行受阻时，履行合同的期限应予延长，延长的期限应相当于不可抗力所影响的时间；</w:t>
      </w:r>
    </w:p>
    <w:p w14:paraId="6633ED10">
      <w:pPr>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2.12.2 因不可抗力致使不能实现合同目的的，当事人可以解除合同；</w:t>
      </w:r>
    </w:p>
    <w:p w14:paraId="24F80EFB">
      <w:pPr>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2.12.3 因不可抗力致使合同有变更必要的，双方当事人应在</w:t>
      </w:r>
      <w:r>
        <w:rPr>
          <w:rFonts w:hint="eastAsia" w:ascii="宋体" w:hAnsi="宋体" w:cs="宋体"/>
          <w:b/>
          <w:color w:val="auto"/>
          <w:sz w:val="22"/>
          <w:szCs w:val="18"/>
          <w:highlight w:val="none"/>
          <w:u w:val="single"/>
        </w:rPr>
        <w:t>合同专用条款</w:t>
      </w:r>
      <w:r>
        <w:rPr>
          <w:rFonts w:hint="eastAsia" w:ascii="宋体" w:hAnsi="宋体" w:cs="宋体"/>
          <w:color w:val="auto"/>
          <w:sz w:val="22"/>
          <w:szCs w:val="18"/>
          <w:highlight w:val="none"/>
        </w:rPr>
        <w:t>约定时间内以书面形式变更合同；</w:t>
      </w:r>
    </w:p>
    <w:p w14:paraId="3417C32C">
      <w:pPr>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2.12.4受不可抗力影响的一方在不可抗力发生后，应在</w:t>
      </w:r>
      <w:r>
        <w:rPr>
          <w:rFonts w:hint="eastAsia" w:ascii="宋体" w:hAnsi="宋体" w:cs="宋体"/>
          <w:b/>
          <w:color w:val="auto"/>
          <w:sz w:val="22"/>
          <w:szCs w:val="18"/>
          <w:highlight w:val="none"/>
          <w:u w:val="single"/>
        </w:rPr>
        <w:t>合同专用条款</w:t>
      </w:r>
      <w:r>
        <w:rPr>
          <w:rFonts w:hint="eastAsia" w:ascii="宋体" w:hAnsi="宋体" w:cs="宋体"/>
          <w:color w:val="auto"/>
          <w:sz w:val="22"/>
          <w:szCs w:val="18"/>
          <w:highlight w:val="none"/>
        </w:rPr>
        <w:t>约定时间内以书面形式通知对方当事人，并在</w:t>
      </w:r>
      <w:r>
        <w:rPr>
          <w:rFonts w:hint="eastAsia" w:ascii="宋体" w:hAnsi="宋体" w:cs="宋体"/>
          <w:b/>
          <w:color w:val="auto"/>
          <w:sz w:val="22"/>
          <w:szCs w:val="18"/>
          <w:highlight w:val="none"/>
          <w:u w:val="single"/>
        </w:rPr>
        <w:t>合同专用条款</w:t>
      </w:r>
      <w:r>
        <w:rPr>
          <w:rFonts w:hint="eastAsia" w:ascii="宋体" w:hAnsi="宋体" w:cs="宋体"/>
          <w:color w:val="auto"/>
          <w:sz w:val="22"/>
          <w:szCs w:val="18"/>
          <w:highlight w:val="none"/>
        </w:rPr>
        <w:t>约定时间内，将有关部门出具的证明文件送达对方当事人。</w:t>
      </w:r>
    </w:p>
    <w:p w14:paraId="4053D0DB">
      <w:pPr>
        <w:spacing w:line="360" w:lineRule="auto"/>
        <w:ind w:firstLine="442" w:firstLineChars="200"/>
        <w:rPr>
          <w:rFonts w:ascii="宋体" w:hAnsi="宋体" w:cs="宋体"/>
          <w:b/>
          <w:color w:val="auto"/>
          <w:sz w:val="22"/>
          <w:szCs w:val="18"/>
          <w:highlight w:val="none"/>
        </w:rPr>
      </w:pPr>
      <w:bookmarkStart w:id="585" w:name="_Toc6969"/>
      <w:bookmarkStart w:id="586" w:name="_Toc279701255"/>
      <w:bookmarkStart w:id="587" w:name="_Toc487900365"/>
      <w:bookmarkStart w:id="588" w:name="_Toc689"/>
      <w:bookmarkStart w:id="589" w:name="_Toc259093684"/>
      <w:bookmarkStart w:id="590" w:name="_Toc30676"/>
      <w:r>
        <w:rPr>
          <w:rFonts w:hint="eastAsia" w:ascii="宋体" w:hAnsi="宋体" w:cs="宋体"/>
          <w:b/>
          <w:color w:val="auto"/>
          <w:sz w:val="22"/>
          <w:szCs w:val="18"/>
          <w:highlight w:val="none"/>
        </w:rPr>
        <w:t>2.13 税费</w:t>
      </w:r>
      <w:bookmarkEnd w:id="585"/>
      <w:bookmarkEnd w:id="586"/>
      <w:bookmarkEnd w:id="587"/>
      <w:bookmarkEnd w:id="588"/>
      <w:bookmarkEnd w:id="589"/>
      <w:bookmarkEnd w:id="590"/>
    </w:p>
    <w:p w14:paraId="528DEE82">
      <w:pPr>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与合同有关的一切税费，均按照中华人民共和国法律的相关规定。</w:t>
      </w:r>
    </w:p>
    <w:p w14:paraId="716F4652">
      <w:pPr>
        <w:spacing w:line="360" w:lineRule="auto"/>
        <w:ind w:firstLine="442" w:firstLineChars="200"/>
        <w:rPr>
          <w:rFonts w:ascii="宋体" w:hAnsi="宋体" w:cs="宋体"/>
          <w:b/>
          <w:color w:val="auto"/>
          <w:sz w:val="22"/>
          <w:szCs w:val="18"/>
          <w:highlight w:val="none"/>
        </w:rPr>
      </w:pPr>
      <w:bookmarkStart w:id="591" w:name="_Toc487900368"/>
      <w:bookmarkStart w:id="592" w:name="_Toc16959"/>
      <w:bookmarkStart w:id="593" w:name="_Toc7102"/>
      <w:bookmarkStart w:id="594" w:name="_Toc259093687"/>
      <w:bookmarkStart w:id="595" w:name="_Toc8298"/>
      <w:bookmarkStart w:id="596" w:name="_Toc279701258"/>
      <w:r>
        <w:rPr>
          <w:rFonts w:hint="eastAsia" w:ascii="宋体" w:hAnsi="宋体" w:cs="宋体"/>
          <w:b/>
          <w:color w:val="auto"/>
          <w:sz w:val="22"/>
          <w:szCs w:val="18"/>
          <w:highlight w:val="none"/>
        </w:rPr>
        <w:t>2.14乙方破产</w:t>
      </w:r>
      <w:bookmarkEnd w:id="591"/>
      <w:bookmarkEnd w:id="592"/>
      <w:bookmarkEnd w:id="593"/>
      <w:bookmarkEnd w:id="594"/>
      <w:bookmarkEnd w:id="595"/>
      <w:bookmarkEnd w:id="596"/>
    </w:p>
    <w:p w14:paraId="51AF8702">
      <w:pPr>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591DDC7">
      <w:pPr>
        <w:spacing w:line="360" w:lineRule="auto"/>
        <w:ind w:firstLine="442" w:firstLineChars="200"/>
        <w:rPr>
          <w:rFonts w:ascii="宋体" w:hAnsi="宋体" w:cs="宋体"/>
          <w:b/>
          <w:color w:val="auto"/>
          <w:sz w:val="22"/>
          <w:szCs w:val="18"/>
          <w:highlight w:val="none"/>
        </w:rPr>
      </w:pPr>
      <w:bookmarkStart w:id="597" w:name="_Toc15387"/>
      <w:bookmarkStart w:id="598" w:name="_Toc6134"/>
      <w:bookmarkStart w:id="599" w:name="_Toc29333"/>
      <w:r>
        <w:rPr>
          <w:rFonts w:hint="eastAsia" w:ascii="宋体" w:hAnsi="宋体" w:cs="宋体"/>
          <w:b/>
          <w:color w:val="auto"/>
          <w:sz w:val="22"/>
          <w:szCs w:val="18"/>
          <w:highlight w:val="none"/>
        </w:rPr>
        <w:t>2.15 合同中止、终止</w:t>
      </w:r>
      <w:bookmarkEnd w:id="597"/>
      <w:bookmarkEnd w:id="598"/>
      <w:bookmarkEnd w:id="599"/>
    </w:p>
    <w:p w14:paraId="1291BD41">
      <w:pPr>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2.15.1 双方当事人不得擅自中止或者终止合同；</w:t>
      </w:r>
    </w:p>
    <w:p w14:paraId="6637D99F">
      <w:pPr>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2.15.2合同继续履行将损害国家利益和社会公共利益的，双方当事人应当中止或者终止合同。有过错的一方应当承担赔偿责任，双方当事人都有过错的，各自承担相应的责任。</w:t>
      </w:r>
    </w:p>
    <w:p w14:paraId="3E422F62">
      <w:pPr>
        <w:spacing w:line="360" w:lineRule="auto"/>
        <w:ind w:firstLine="442" w:firstLineChars="200"/>
        <w:rPr>
          <w:rFonts w:ascii="宋体" w:hAnsi="宋体" w:cs="宋体"/>
          <w:b/>
          <w:color w:val="auto"/>
          <w:sz w:val="22"/>
          <w:szCs w:val="18"/>
          <w:highlight w:val="none"/>
        </w:rPr>
      </w:pPr>
      <w:bookmarkStart w:id="600" w:name="_Toc14563"/>
      <w:bookmarkStart w:id="601" w:name="_Toc1125"/>
      <w:bookmarkStart w:id="602" w:name="_Toc6596"/>
      <w:r>
        <w:rPr>
          <w:rFonts w:hint="eastAsia" w:ascii="宋体" w:hAnsi="宋体" w:cs="宋体"/>
          <w:b/>
          <w:color w:val="auto"/>
          <w:sz w:val="22"/>
          <w:szCs w:val="18"/>
          <w:highlight w:val="none"/>
        </w:rPr>
        <w:t>2.16检验和验收</w:t>
      </w:r>
      <w:bookmarkEnd w:id="600"/>
      <w:bookmarkEnd w:id="601"/>
      <w:bookmarkEnd w:id="602"/>
    </w:p>
    <w:p w14:paraId="4977E11A">
      <w:pPr>
        <w:tabs>
          <w:tab w:val="left" w:pos="360"/>
          <w:tab w:val="left" w:pos="540"/>
          <w:tab w:val="left" w:pos="1080"/>
        </w:tabs>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2.16.1货物交付前，乙方应对货物的质量、数量等方面进行详细、全面的检验，并向甲方出具证明货物符合合同约定的文件；货物交付时，甲方在</w:t>
      </w:r>
      <w:r>
        <w:rPr>
          <w:rFonts w:hint="eastAsia" w:ascii="宋体" w:hAnsi="宋体" w:cs="宋体"/>
          <w:b/>
          <w:color w:val="auto"/>
          <w:sz w:val="22"/>
          <w:szCs w:val="18"/>
          <w:highlight w:val="none"/>
          <w:u w:val="single"/>
        </w:rPr>
        <w:t>合同专用条款</w:t>
      </w:r>
      <w:r>
        <w:rPr>
          <w:rFonts w:hint="eastAsia" w:ascii="宋体" w:hAnsi="宋体" w:cs="宋体"/>
          <w:color w:val="auto"/>
          <w:sz w:val="22"/>
          <w:szCs w:val="18"/>
          <w:highlight w:val="none"/>
        </w:rPr>
        <w:t>约定时间内组织验收，并可依法邀请相关方参加，验收应出具验收书。</w:t>
      </w:r>
    </w:p>
    <w:p w14:paraId="29034E22">
      <w:pPr>
        <w:tabs>
          <w:tab w:val="left" w:pos="360"/>
          <w:tab w:val="left" w:pos="540"/>
          <w:tab w:val="left" w:pos="1080"/>
        </w:tabs>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2.16.2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760461D2">
      <w:pPr>
        <w:tabs>
          <w:tab w:val="left" w:pos="360"/>
          <w:tab w:val="left" w:pos="540"/>
          <w:tab w:val="left" w:pos="1080"/>
        </w:tabs>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2.16.3 检验和验收标准、程序等具体内容以及前述验收书的效力详见</w:t>
      </w:r>
      <w:r>
        <w:rPr>
          <w:rFonts w:hint="eastAsia" w:ascii="宋体" w:hAnsi="宋体" w:cs="宋体"/>
          <w:b/>
          <w:color w:val="auto"/>
          <w:sz w:val="22"/>
          <w:szCs w:val="18"/>
          <w:highlight w:val="none"/>
          <w:u w:val="single"/>
        </w:rPr>
        <w:t>合同专用条款</w:t>
      </w:r>
      <w:r>
        <w:rPr>
          <w:rFonts w:hint="eastAsia" w:ascii="宋体" w:hAnsi="宋体" w:cs="宋体"/>
          <w:color w:val="auto"/>
          <w:sz w:val="22"/>
          <w:szCs w:val="18"/>
          <w:highlight w:val="none"/>
        </w:rPr>
        <w:t>。</w:t>
      </w:r>
    </w:p>
    <w:bookmarkEnd w:id="572"/>
    <w:bookmarkEnd w:id="573"/>
    <w:bookmarkEnd w:id="574"/>
    <w:bookmarkEnd w:id="575"/>
    <w:p w14:paraId="1E3ACFC2">
      <w:pPr>
        <w:spacing w:line="360" w:lineRule="auto"/>
        <w:ind w:firstLine="442" w:firstLineChars="200"/>
        <w:rPr>
          <w:rFonts w:ascii="宋体" w:hAnsi="宋体" w:cs="宋体"/>
          <w:b/>
          <w:color w:val="auto"/>
          <w:sz w:val="22"/>
          <w:szCs w:val="18"/>
          <w:highlight w:val="none"/>
        </w:rPr>
      </w:pPr>
      <w:bookmarkStart w:id="603" w:name="_Toc487900371"/>
      <w:bookmarkStart w:id="604" w:name="_Toc279701261"/>
      <w:bookmarkStart w:id="605" w:name="_Toc259093690"/>
      <w:bookmarkStart w:id="606" w:name="_Toc19604"/>
      <w:bookmarkStart w:id="607" w:name="_Toc11284"/>
      <w:bookmarkStart w:id="608" w:name="_Toc25182"/>
      <w:r>
        <w:rPr>
          <w:rFonts w:hint="eastAsia" w:ascii="宋体" w:hAnsi="宋体" w:cs="宋体"/>
          <w:b/>
          <w:color w:val="auto"/>
          <w:sz w:val="22"/>
          <w:szCs w:val="18"/>
          <w:highlight w:val="none"/>
        </w:rPr>
        <w:t>2.17 通知</w:t>
      </w:r>
      <w:bookmarkEnd w:id="603"/>
      <w:bookmarkEnd w:id="604"/>
      <w:bookmarkEnd w:id="605"/>
      <w:r>
        <w:rPr>
          <w:rFonts w:hint="eastAsia" w:ascii="宋体" w:hAnsi="宋体" w:cs="宋体"/>
          <w:b/>
          <w:color w:val="auto"/>
          <w:sz w:val="22"/>
          <w:szCs w:val="18"/>
          <w:highlight w:val="none"/>
        </w:rPr>
        <w:t>和送达</w:t>
      </w:r>
      <w:bookmarkEnd w:id="606"/>
      <w:bookmarkEnd w:id="607"/>
      <w:bookmarkEnd w:id="608"/>
    </w:p>
    <w:p w14:paraId="5A6E5949">
      <w:pPr>
        <w:spacing w:line="360" w:lineRule="auto"/>
        <w:ind w:firstLine="440" w:firstLineChars="200"/>
        <w:rPr>
          <w:rFonts w:ascii="宋体" w:hAnsi="宋体" w:cs="宋体"/>
          <w:color w:val="auto"/>
          <w:sz w:val="22"/>
          <w:szCs w:val="18"/>
          <w:highlight w:val="none"/>
        </w:rPr>
      </w:pPr>
      <w:bookmarkStart w:id="609" w:name="_Toc3135"/>
      <w:bookmarkStart w:id="610" w:name="_Toc6698"/>
      <w:bookmarkStart w:id="611" w:name="_Toc259093691"/>
      <w:bookmarkStart w:id="612" w:name="_Toc279701262"/>
      <w:bookmarkStart w:id="613" w:name="_Toc487900372"/>
      <w:r>
        <w:rPr>
          <w:rFonts w:hint="eastAsia" w:ascii="宋体" w:hAnsi="宋体" w:cs="宋体"/>
          <w:color w:val="auto"/>
          <w:sz w:val="22"/>
          <w:szCs w:val="18"/>
          <w:highlight w:val="none"/>
        </w:rPr>
        <w:t>2.17.1任何一方因履行合同而以合同第一部分尾部所列明的传真或电子邮件发出的所有通知、文件、材料，均视为已向对方当事人送达；任何一方变更上述送达方式或者地址的，应于</w:t>
      </w:r>
      <w:r>
        <w:rPr>
          <w:rFonts w:hint="eastAsia" w:ascii="宋体" w:hAnsi="宋体" w:cs="宋体"/>
          <w:color w:val="auto"/>
          <w:sz w:val="22"/>
          <w:szCs w:val="18"/>
          <w:highlight w:val="none"/>
          <w:u w:val="single"/>
        </w:rPr>
        <w:t>3</w:t>
      </w:r>
      <w:r>
        <w:rPr>
          <w:rFonts w:hint="eastAsia" w:ascii="宋体" w:hAnsi="宋体" w:cs="宋体"/>
          <w:color w:val="auto"/>
          <w:sz w:val="22"/>
          <w:szCs w:val="18"/>
          <w:highlight w:val="none"/>
        </w:rPr>
        <w:t>个工作日内书面通知对方当事人，在对方当事人收到有关变更通知之前，变更前的约定送达方式或者地址仍视为有效。</w:t>
      </w:r>
      <w:bookmarkEnd w:id="609"/>
      <w:bookmarkEnd w:id="610"/>
    </w:p>
    <w:p w14:paraId="7D1FCBA5">
      <w:pPr>
        <w:spacing w:line="360" w:lineRule="auto"/>
        <w:ind w:firstLine="440" w:firstLineChars="200"/>
        <w:rPr>
          <w:rFonts w:ascii="宋体" w:hAnsi="宋体" w:cs="宋体"/>
          <w:color w:val="auto"/>
          <w:sz w:val="22"/>
          <w:szCs w:val="18"/>
          <w:highlight w:val="none"/>
        </w:rPr>
      </w:pPr>
      <w:bookmarkStart w:id="614" w:name="_Toc23128"/>
      <w:bookmarkStart w:id="615" w:name="_Toc23294"/>
      <w:r>
        <w:rPr>
          <w:rFonts w:hint="eastAsia" w:ascii="宋体" w:hAnsi="宋体" w:cs="宋体"/>
          <w:color w:val="auto"/>
          <w:sz w:val="22"/>
          <w:szCs w:val="18"/>
          <w:highlight w:val="none"/>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614"/>
      <w:bookmarkEnd w:id="615"/>
    </w:p>
    <w:p w14:paraId="602EA4D0">
      <w:pPr>
        <w:spacing w:line="360" w:lineRule="auto"/>
        <w:ind w:firstLine="442" w:firstLineChars="200"/>
        <w:rPr>
          <w:rFonts w:ascii="宋体" w:hAnsi="宋体" w:cs="宋体"/>
          <w:b/>
          <w:color w:val="auto"/>
          <w:sz w:val="22"/>
          <w:szCs w:val="18"/>
          <w:highlight w:val="none"/>
        </w:rPr>
      </w:pPr>
      <w:bookmarkStart w:id="616" w:name="_Toc18540"/>
      <w:bookmarkStart w:id="617" w:name="_Toc4355"/>
      <w:bookmarkStart w:id="618" w:name="_Toc30599"/>
      <w:r>
        <w:rPr>
          <w:rFonts w:hint="eastAsia" w:ascii="宋体" w:hAnsi="宋体" w:cs="宋体"/>
          <w:b/>
          <w:color w:val="auto"/>
          <w:sz w:val="22"/>
          <w:szCs w:val="18"/>
          <w:highlight w:val="none"/>
        </w:rPr>
        <w:t>2.18 计量单位</w:t>
      </w:r>
      <w:bookmarkEnd w:id="611"/>
      <w:bookmarkEnd w:id="612"/>
      <w:bookmarkEnd w:id="613"/>
      <w:bookmarkEnd w:id="616"/>
      <w:bookmarkEnd w:id="617"/>
      <w:bookmarkEnd w:id="618"/>
    </w:p>
    <w:p w14:paraId="54A56520">
      <w:pPr>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除技术规范中另有规定外,合同的计量单位均使用国家法定计量单位。</w:t>
      </w:r>
    </w:p>
    <w:p w14:paraId="7427AEBA">
      <w:pPr>
        <w:spacing w:line="360" w:lineRule="auto"/>
        <w:ind w:firstLine="442" w:firstLineChars="200"/>
        <w:rPr>
          <w:rFonts w:ascii="宋体" w:hAnsi="宋体" w:cs="宋体"/>
          <w:b/>
          <w:color w:val="auto"/>
          <w:sz w:val="22"/>
          <w:szCs w:val="18"/>
          <w:highlight w:val="none"/>
        </w:rPr>
      </w:pPr>
      <w:bookmarkStart w:id="619" w:name="_Toc279701263"/>
      <w:bookmarkStart w:id="620" w:name="_Toc487900373"/>
      <w:bookmarkStart w:id="621" w:name="_Toc18567"/>
      <w:bookmarkStart w:id="622" w:name="_Toc259093692"/>
      <w:bookmarkStart w:id="623" w:name="_Toc12773"/>
      <w:bookmarkStart w:id="624" w:name="_Toc10330"/>
      <w:r>
        <w:rPr>
          <w:rFonts w:hint="eastAsia" w:ascii="宋体" w:hAnsi="宋体" w:cs="宋体"/>
          <w:b/>
          <w:color w:val="auto"/>
          <w:sz w:val="22"/>
          <w:szCs w:val="18"/>
          <w:highlight w:val="none"/>
        </w:rPr>
        <w:t>2.19 合同使用的文字和适用的法律</w:t>
      </w:r>
      <w:bookmarkEnd w:id="619"/>
      <w:bookmarkEnd w:id="620"/>
      <w:bookmarkEnd w:id="621"/>
      <w:bookmarkEnd w:id="622"/>
      <w:bookmarkEnd w:id="623"/>
      <w:bookmarkEnd w:id="624"/>
    </w:p>
    <w:p w14:paraId="08844337">
      <w:pPr>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2.19.1 合同使用汉语书就、变更和解释；</w:t>
      </w:r>
    </w:p>
    <w:p w14:paraId="765802B9">
      <w:pPr>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2.19.2 合同适用中华人民共和国法律。</w:t>
      </w:r>
    </w:p>
    <w:p w14:paraId="6EF07B21">
      <w:pPr>
        <w:spacing w:line="360" w:lineRule="auto"/>
        <w:ind w:firstLine="442" w:firstLineChars="200"/>
        <w:rPr>
          <w:rFonts w:ascii="宋体" w:hAnsi="宋体" w:cs="宋体"/>
          <w:b/>
          <w:color w:val="auto"/>
          <w:sz w:val="22"/>
          <w:szCs w:val="18"/>
          <w:highlight w:val="none"/>
        </w:rPr>
      </w:pPr>
      <w:bookmarkStart w:id="625" w:name="_Toc19890"/>
      <w:bookmarkStart w:id="626" w:name="_Toc6885"/>
      <w:bookmarkStart w:id="627" w:name="_Toc14001"/>
      <w:r>
        <w:rPr>
          <w:rFonts w:hint="eastAsia" w:ascii="宋体" w:hAnsi="宋体" w:cs="宋体"/>
          <w:b/>
          <w:color w:val="auto"/>
          <w:sz w:val="22"/>
          <w:szCs w:val="18"/>
          <w:highlight w:val="none"/>
        </w:rPr>
        <w:t>2.20 合同份数</w:t>
      </w:r>
      <w:bookmarkEnd w:id="625"/>
      <w:bookmarkEnd w:id="626"/>
      <w:bookmarkEnd w:id="627"/>
    </w:p>
    <w:p w14:paraId="73C9677E">
      <w:pPr>
        <w:spacing w:line="360" w:lineRule="auto"/>
        <w:ind w:firstLine="440" w:firstLineChars="200"/>
        <w:rPr>
          <w:rFonts w:ascii="宋体" w:hAnsi="宋体" w:cs="宋体"/>
          <w:color w:val="auto"/>
          <w:sz w:val="22"/>
          <w:szCs w:val="18"/>
          <w:highlight w:val="none"/>
        </w:rPr>
      </w:pPr>
      <w:r>
        <w:rPr>
          <w:rFonts w:hint="eastAsia" w:ascii="宋体" w:hAnsi="宋体" w:cs="宋体"/>
          <w:color w:val="auto"/>
          <w:sz w:val="22"/>
          <w:szCs w:val="18"/>
          <w:highlight w:val="none"/>
        </w:rPr>
        <w:t>合同份数按</w:t>
      </w:r>
      <w:r>
        <w:rPr>
          <w:rFonts w:hint="eastAsia" w:ascii="宋体" w:hAnsi="宋体" w:cs="宋体"/>
          <w:b/>
          <w:color w:val="auto"/>
          <w:sz w:val="22"/>
          <w:szCs w:val="18"/>
          <w:highlight w:val="none"/>
          <w:u w:val="single"/>
        </w:rPr>
        <w:t>合同专用条款</w:t>
      </w:r>
      <w:r>
        <w:rPr>
          <w:rFonts w:hint="eastAsia" w:ascii="宋体" w:hAnsi="宋体" w:cs="宋体"/>
          <w:color w:val="auto"/>
          <w:sz w:val="22"/>
          <w:szCs w:val="18"/>
          <w:highlight w:val="none"/>
        </w:rPr>
        <w:t>规定，每份均具有同等法律效力。</w:t>
      </w:r>
    </w:p>
    <w:p w14:paraId="7DDE9044">
      <w:pPr>
        <w:spacing w:line="360" w:lineRule="auto"/>
        <w:ind w:firstLine="2394" w:firstLineChars="1197"/>
        <w:rPr>
          <w:rFonts w:ascii="宋体" w:hAnsi="宋体" w:cs="宋体"/>
          <w:b/>
          <w:color w:val="auto"/>
          <w:sz w:val="20"/>
          <w:szCs w:val="18"/>
          <w:highlight w:val="none"/>
        </w:rPr>
      </w:pPr>
      <w:r>
        <w:rPr>
          <w:rFonts w:hint="eastAsia" w:ascii="宋体" w:hAnsi="宋体" w:cs="宋体"/>
          <w:color w:val="auto"/>
          <w:kern w:val="0"/>
          <w:sz w:val="20"/>
          <w:szCs w:val="18"/>
          <w:highlight w:val="none"/>
        </w:rPr>
        <w:br w:type="page"/>
      </w:r>
      <w:r>
        <w:rPr>
          <w:rFonts w:hint="eastAsia" w:ascii="宋体" w:hAnsi="宋体" w:cs="宋体"/>
          <w:b/>
          <w:color w:val="auto"/>
          <w:sz w:val="28"/>
          <w:szCs w:val="18"/>
          <w:highlight w:val="none"/>
        </w:rPr>
        <w:t>第三部分  合同专用条款</w:t>
      </w:r>
    </w:p>
    <w:p w14:paraId="76DB7B3B">
      <w:pPr>
        <w:spacing w:line="360" w:lineRule="auto"/>
        <w:ind w:firstLine="440" w:firstLineChars="200"/>
        <w:rPr>
          <w:rFonts w:ascii="宋体" w:hAnsi="宋体" w:cs="宋体"/>
          <w:color w:val="auto"/>
          <w:sz w:val="20"/>
          <w:szCs w:val="18"/>
          <w:highlight w:val="none"/>
        </w:rPr>
      </w:pPr>
      <w:r>
        <w:rPr>
          <w:rFonts w:hint="eastAsia" w:ascii="宋体" w:hAnsi="宋体" w:cs="宋体"/>
          <w:color w:val="auto"/>
          <w:sz w:val="22"/>
          <w:szCs w:val="18"/>
          <w:highlight w:val="none"/>
        </w:rPr>
        <w:t>本部分是对前两部分的</w:t>
      </w:r>
      <w:r>
        <w:rPr>
          <w:rFonts w:hint="eastAsia" w:ascii="宋体" w:hAnsi="宋体" w:cs="宋体"/>
          <w:color w:val="auto"/>
          <w:sz w:val="22"/>
          <w:szCs w:val="18"/>
          <w:highlight w:val="none"/>
          <w:lang w:val="zh-TW"/>
        </w:rPr>
        <w:t>补充</w:t>
      </w:r>
      <w:r>
        <w:rPr>
          <w:rFonts w:hint="eastAsia" w:ascii="宋体" w:hAnsi="宋体" w:cs="宋体"/>
          <w:color w:val="auto"/>
          <w:sz w:val="22"/>
          <w:szCs w:val="18"/>
          <w:highlight w:val="none"/>
        </w:rPr>
        <w:t>和修改，如果前两部分和本部分的约定不一致，应以本部分的约定为准。本部分的条款号应与前两部分的条款号保持对应；与前两部分无对应关系的内容可另行编制条款号。</w:t>
      </w:r>
    </w:p>
    <w:tbl>
      <w:tblPr>
        <w:tblStyle w:val="44"/>
        <w:tblW w:w="835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190"/>
        <w:gridCol w:w="7168"/>
      </w:tblGrid>
      <w:tr w14:paraId="50148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6" w:hRule="atLeast"/>
        </w:trPr>
        <w:tc>
          <w:tcPr>
            <w:tcW w:w="1190" w:type="dxa"/>
            <w:tcBorders>
              <w:left w:val="single" w:color="auto" w:sz="4" w:space="0"/>
            </w:tcBorders>
            <w:vAlign w:val="center"/>
          </w:tcPr>
          <w:p w14:paraId="1F667A8E">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7168" w:type="dxa"/>
            <w:vAlign w:val="center"/>
          </w:tcPr>
          <w:p w14:paraId="70D099E2">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约定内容</w:t>
            </w:r>
          </w:p>
        </w:tc>
      </w:tr>
      <w:tr w14:paraId="65244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6" w:hRule="atLeast"/>
        </w:trPr>
        <w:tc>
          <w:tcPr>
            <w:tcW w:w="1190" w:type="dxa"/>
            <w:tcBorders>
              <w:left w:val="single" w:color="auto" w:sz="4" w:space="0"/>
            </w:tcBorders>
            <w:vAlign w:val="center"/>
          </w:tcPr>
          <w:p w14:paraId="7ABBE0B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1.4.2</w:t>
            </w:r>
          </w:p>
        </w:tc>
        <w:tc>
          <w:tcPr>
            <w:tcW w:w="7168" w:type="dxa"/>
            <w:vAlign w:val="center"/>
          </w:tcPr>
          <w:p w14:paraId="6C81E630">
            <w:pPr>
              <w:spacing w:line="400" w:lineRule="exact"/>
              <w:rPr>
                <w:rFonts w:ascii="宋体" w:hAnsi="宋体" w:cs="宋体"/>
                <w:color w:val="auto"/>
                <w:szCs w:val="21"/>
                <w:highlight w:val="none"/>
              </w:rPr>
            </w:pPr>
            <w:r>
              <w:rPr>
                <w:rFonts w:hint="eastAsia" w:ascii="宋体" w:hAnsi="宋体" w:cs="宋体"/>
                <w:color w:val="auto"/>
                <w:szCs w:val="21"/>
                <w:highlight w:val="none"/>
              </w:rPr>
              <w:t>/</w:t>
            </w:r>
          </w:p>
        </w:tc>
      </w:tr>
      <w:tr w14:paraId="31102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57" w:hRule="atLeast"/>
        </w:trPr>
        <w:tc>
          <w:tcPr>
            <w:tcW w:w="1190" w:type="dxa"/>
            <w:tcBorders>
              <w:left w:val="single" w:color="auto" w:sz="4" w:space="0"/>
            </w:tcBorders>
            <w:vAlign w:val="center"/>
          </w:tcPr>
          <w:p w14:paraId="418A594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1.5.1</w:t>
            </w:r>
          </w:p>
        </w:tc>
        <w:tc>
          <w:tcPr>
            <w:tcW w:w="7168" w:type="dxa"/>
            <w:vAlign w:val="center"/>
          </w:tcPr>
          <w:p w14:paraId="18BC0653">
            <w:pPr>
              <w:keepLines w:val="0"/>
              <w:pageBreakBefore w:val="0"/>
              <w:kinsoku/>
              <w:wordWrap/>
              <w:overflowPunct/>
              <w:topLinePunct w:val="0"/>
              <w:autoSpaceDE w:val="0"/>
              <w:autoSpaceDN w:val="0"/>
              <w:bidi w:val="0"/>
              <w:adjustRightInd w:val="0"/>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预付款：在合同生效以及具备实施条件后7个工作日内支付，采购人向中标人支付合同总额40％</w:t>
            </w:r>
            <w:r>
              <w:rPr>
                <w:rFonts w:hint="eastAsia" w:ascii="宋体" w:hAnsi="宋体" w:cs="宋体"/>
                <w:color w:val="auto"/>
                <w:kern w:val="2"/>
                <w:sz w:val="21"/>
                <w:szCs w:val="21"/>
                <w:highlight w:val="none"/>
                <w:lang w:val="en-US" w:eastAsia="zh-CN" w:bidi="ar-SA"/>
              </w:rPr>
              <w:t>，</w:t>
            </w:r>
            <w:r>
              <w:rPr>
                <w:rFonts w:hint="eastAsia" w:ascii="宋体" w:hAnsi="宋体"/>
                <w:color w:val="auto"/>
                <w:highlight w:val="none"/>
                <w:lang w:val="en-US" w:eastAsia="zh-CN"/>
              </w:rPr>
              <w:t>乙方</w:t>
            </w:r>
            <w:r>
              <w:rPr>
                <w:rFonts w:hint="eastAsia" w:ascii="宋体" w:hAnsi="宋体"/>
                <w:color w:val="auto"/>
                <w:highlight w:val="none"/>
              </w:rPr>
              <w:t>于合同签订前书面承诺放弃预付款或降低预付款支付比例的，可不适用本条款</w:t>
            </w:r>
            <w:r>
              <w:rPr>
                <w:rFonts w:hint="eastAsia" w:ascii="宋体" w:hAnsi="宋体" w:eastAsia="宋体" w:cs="宋体"/>
                <w:color w:val="auto"/>
                <w:kern w:val="2"/>
                <w:sz w:val="21"/>
                <w:szCs w:val="21"/>
                <w:highlight w:val="none"/>
                <w:lang w:val="en-US" w:eastAsia="zh-CN" w:bidi="ar-SA"/>
              </w:rPr>
              <w:t>；</w:t>
            </w:r>
          </w:p>
          <w:p w14:paraId="17E7CE04">
            <w:pPr>
              <w:pStyle w:val="43"/>
              <w:shd w:val="clear" w:color="auto" w:fill="FFFFFF"/>
              <w:spacing w:after="0" w:line="500" w:lineRule="exact"/>
              <w:ind w:left="0" w:leftChars="0" w:firstLine="0" w:firstLineChars="0"/>
              <w:rPr>
                <w:rFonts w:ascii="宋体" w:hAnsi="宋体" w:cs="宋体"/>
                <w:color w:val="auto"/>
                <w:szCs w:val="21"/>
                <w:highlight w:val="none"/>
                <w:lang w:val="zh-TW"/>
              </w:rPr>
            </w:pP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货到安装调试、试运行并通过采购人验收合格后7个工作日内，采购人支付至合同总价的100%（凭货物发票）。</w:t>
            </w:r>
          </w:p>
        </w:tc>
      </w:tr>
      <w:tr w14:paraId="0C9F8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6" w:hRule="atLeast"/>
        </w:trPr>
        <w:tc>
          <w:tcPr>
            <w:tcW w:w="1190" w:type="dxa"/>
            <w:tcBorders>
              <w:left w:val="single" w:color="auto" w:sz="4" w:space="0"/>
            </w:tcBorders>
            <w:vAlign w:val="center"/>
          </w:tcPr>
          <w:p w14:paraId="20553DC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1.5.2</w:t>
            </w:r>
          </w:p>
        </w:tc>
        <w:tc>
          <w:tcPr>
            <w:tcW w:w="7168" w:type="dxa"/>
            <w:vAlign w:val="center"/>
          </w:tcPr>
          <w:p w14:paraId="2983DCD3">
            <w:pPr>
              <w:spacing w:line="400" w:lineRule="exact"/>
              <w:rPr>
                <w:rFonts w:ascii="宋体" w:hAnsi="宋体" w:cs="宋体"/>
                <w:color w:val="auto"/>
                <w:szCs w:val="21"/>
                <w:highlight w:val="none"/>
              </w:rPr>
            </w:pPr>
            <w:r>
              <w:rPr>
                <w:rFonts w:hint="eastAsia" w:ascii="宋体" w:hAnsi="宋体" w:cs="宋体"/>
                <w:color w:val="auto"/>
                <w:szCs w:val="21"/>
                <w:highlight w:val="none"/>
              </w:rPr>
              <w:t>/</w:t>
            </w:r>
          </w:p>
        </w:tc>
      </w:tr>
      <w:tr w14:paraId="5EF16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6" w:hRule="atLeast"/>
        </w:trPr>
        <w:tc>
          <w:tcPr>
            <w:tcW w:w="1190" w:type="dxa"/>
            <w:tcBorders>
              <w:left w:val="single" w:color="auto" w:sz="4" w:space="0"/>
            </w:tcBorders>
            <w:vAlign w:val="center"/>
          </w:tcPr>
          <w:p w14:paraId="53EC245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1.5.3</w:t>
            </w:r>
          </w:p>
        </w:tc>
        <w:tc>
          <w:tcPr>
            <w:tcW w:w="7168" w:type="dxa"/>
            <w:vAlign w:val="center"/>
          </w:tcPr>
          <w:p w14:paraId="43EF579A">
            <w:pPr>
              <w:spacing w:line="400" w:lineRule="exact"/>
              <w:rPr>
                <w:rFonts w:ascii="宋体" w:hAnsi="宋体" w:cs="宋体"/>
                <w:color w:val="auto"/>
                <w:szCs w:val="21"/>
                <w:highlight w:val="none"/>
              </w:rPr>
            </w:pPr>
            <w:r>
              <w:rPr>
                <w:rFonts w:hint="eastAsia" w:ascii="宋体" w:hAnsi="宋体" w:cs="宋体"/>
                <w:color w:val="auto"/>
                <w:szCs w:val="21"/>
                <w:highlight w:val="none"/>
              </w:rPr>
              <w:t>/</w:t>
            </w:r>
          </w:p>
        </w:tc>
      </w:tr>
      <w:tr w14:paraId="7AD73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6" w:hRule="atLeast"/>
        </w:trPr>
        <w:tc>
          <w:tcPr>
            <w:tcW w:w="1190" w:type="dxa"/>
            <w:tcBorders>
              <w:left w:val="single" w:color="auto" w:sz="4" w:space="0"/>
            </w:tcBorders>
            <w:vAlign w:val="center"/>
          </w:tcPr>
          <w:p w14:paraId="4B155F7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1.6.2</w:t>
            </w:r>
          </w:p>
        </w:tc>
        <w:tc>
          <w:tcPr>
            <w:tcW w:w="7168" w:type="dxa"/>
            <w:vAlign w:val="center"/>
          </w:tcPr>
          <w:p w14:paraId="3CAD9380">
            <w:pPr>
              <w:spacing w:line="400" w:lineRule="exact"/>
              <w:rPr>
                <w:rFonts w:ascii="宋体" w:hAnsi="宋体" w:cs="宋体"/>
                <w:color w:val="auto"/>
                <w:szCs w:val="21"/>
                <w:highlight w:val="none"/>
              </w:rPr>
            </w:pPr>
          </w:p>
        </w:tc>
      </w:tr>
      <w:tr w14:paraId="60E9F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6" w:hRule="atLeast"/>
        </w:trPr>
        <w:tc>
          <w:tcPr>
            <w:tcW w:w="1190" w:type="dxa"/>
            <w:tcBorders>
              <w:left w:val="single" w:color="auto" w:sz="4" w:space="0"/>
            </w:tcBorders>
            <w:vAlign w:val="center"/>
          </w:tcPr>
          <w:p w14:paraId="1C78549D">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1.7.1</w:t>
            </w:r>
          </w:p>
        </w:tc>
        <w:tc>
          <w:tcPr>
            <w:tcW w:w="7168" w:type="dxa"/>
            <w:vAlign w:val="center"/>
          </w:tcPr>
          <w:p w14:paraId="78E7B2E6">
            <w:pPr>
              <w:spacing w:line="400" w:lineRule="exact"/>
              <w:rPr>
                <w:rFonts w:ascii="宋体" w:hAnsi="宋体" w:cs="宋体"/>
                <w:color w:val="auto"/>
                <w:szCs w:val="21"/>
                <w:highlight w:val="none"/>
              </w:rPr>
            </w:pPr>
            <w:r>
              <w:rPr>
                <w:rFonts w:hint="eastAsia" w:ascii="Arial" w:hAnsi="Arial"/>
                <w:color w:val="auto"/>
                <w:szCs w:val="22"/>
                <w:highlight w:val="none"/>
              </w:rPr>
              <w:t>签订合同且具备实施条件后</w:t>
            </w:r>
            <w:r>
              <w:rPr>
                <w:rFonts w:hint="eastAsia" w:ascii="Arial" w:hAnsi="Arial"/>
                <w:color w:val="auto"/>
                <w:szCs w:val="22"/>
                <w:highlight w:val="none"/>
                <w:lang w:val="en-US" w:eastAsia="zh-CN"/>
              </w:rPr>
              <w:t>15</w:t>
            </w:r>
            <w:r>
              <w:rPr>
                <w:rFonts w:hint="eastAsia" w:ascii="Arial" w:hAnsi="Arial"/>
                <w:color w:val="auto"/>
                <w:szCs w:val="22"/>
                <w:highlight w:val="none"/>
              </w:rPr>
              <w:t>个工作日</w:t>
            </w:r>
            <w:r>
              <w:rPr>
                <w:rFonts w:hint="eastAsia" w:ascii="Arial" w:hAnsi="Arial" w:cs="宋体"/>
                <w:bCs/>
                <w:color w:val="auto"/>
                <w:szCs w:val="21"/>
                <w:highlight w:val="none"/>
              </w:rPr>
              <w:t>完成</w:t>
            </w:r>
            <w:r>
              <w:rPr>
                <w:rFonts w:hint="eastAsia" w:ascii="Arial" w:hAnsi="Arial" w:cs="宋体"/>
                <w:bCs/>
                <w:color w:val="auto"/>
                <w:szCs w:val="21"/>
                <w:highlight w:val="none"/>
                <w:lang w:val="en-US" w:eastAsia="zh-CN"/>
              </w:rPr>
              <w:t>供货</w:t>
            </w:r>
            <w:r>
              <w:rPr>
                <w:rFonts w:hint="eastAsia" w:ascii="Arial" w:hAnsi="Arial" w:cs="宋体"/>
                <w:bCs/>
                <w:color w:val="auto"/>
                <w:szCs w:val="21"/>
                <w:highlight w:val="none"/>
              </w:rPr>
              <w:t>安装调试</w:t>
            </w:r>
            <w:r>
              <w:rPr>
                <w:rFonts w:hint="eastAsia"/>
                <w:color w:val="auto"/>
                <w:highlight w:val="none"/>
                <w:lang w:eastAsia="zh-CN"/>
              </w:rPr>
              <w:t>且通过验收</w:t>
            </w:r>
            <w:r>
              <w:rPr>
                <w:rFonts w:hint="eastAsia" w:ascii="Arial" w:hAnsi="Arial" w:cs="宋体"/>
                <w:bCs/>
                <w:color w:val="auto"/>
                <w:szCs w:val="21"/>
                <w:highlight w:val="none"/>
              </w:rPr>
              <w:t>。</w:t>
            </w:r>
          </w:p>
        </w:tc>
      </w:tr>
      <w:tr w14:paraId="720BAA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6" w:hRule="atLeast"/>
        </w:trPr>
        <w:tc>
          <w:tcPr>
            <w:tcW w:w="1190" w:type="dxa"/>
            <w:tcBorders>
              <w:left w:val="single" w:color="auto" w:sz="4" w:space="0"/>
            </w:tcBorders>
            <w:vAlign w:val="center"/>
          </w:tcPr>
          <w:p w14:paraId="42298EC6">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1.7.2</w:t>
            </w:r>
          </w:p>
        </w:tc>
        <w:tc>
          <w:tcPr>
            <w:tcW w:w="7168" w:type="dxa"/>
            <w:vAlign w:val="center"/>
          </w:tcPr>
          <w:p w14:paraId="68FB1A45">
            <w:pPr>
              <w:spacing w:line="400" w:lineRule="exact"/>
              <w:rPr>
                <w:rFonts w:ascii="宋体" w:hAnsi="宋体" w:cs="宋体"/>
                <w:color w:val="auto"/>
                <w:szCs w:val="21"/>
                <w:highlight w:val="none"/>
              </w:rPr>
            </w:pPr>
            <w:r>
              <w:rPr>
                <w:rFonts w:hint="eastAsia" w:ascii="宋体" w:hAnsi="宋体" w:cs="宋体"/>
                <w:color w:val="auto"/>
                <w:szCs w:val="21"/>
                <w:highlight w:val="none"/>
              </w:rPr>
              <w:t>甲方指定学校内。</w:t>
            </w:r>
          </w:p>
        </w:tc>
      </w:tr>
      <w:tr w14:paraId="588288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6" w:hRule="atLeast"/>
        </w:trPr>
        <w:tc>
          <w:tcPr>
            <w:tcW w:w="1190" w:type="dxa"/>
            <w:tcBorders>
              <w:left w:val="single" w:color="auto" w:sz="4" w:space="0"/>
            </w:tcBorders>
            <w:vAlign w:val="center"/>
          </w:tcPr>
          <w:p w14:paraId="36D7475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1.7.3</w:t>
            </w:r>
          </w:p>
        </w:tc>
        <w:tc>
          <w:tcPr>
            <w:tcW w:w="7168" w:type="dxa"/>
            <w:vAlign w:val="center"/>
          </w:tcPr>
          <w:p w14:paraId="3096423F">
            <w:pPr>
              <w:spacing w:line="400" w:lineRule="exact"/>
              <w:rPr>
                <w:rFonts w:ascii="宋体" w:hAnsi="宋体" w:cs="宋体"/>
                <w:color w:val="auto"/>
                <w:szCs w:val="21"/>
                <w:highlight w:val="none"/>
              </w:rPr>
            </w:pPr>
            <w:r>
              <w:rPr>
                <w:rFonts w:hint="eastAsia" w:ascii="宋体" w:hAnsi="宋体" w:cs="宋体"/>
                <w:color w:val="auto"/>
                <w:szCs w:val="21"/>
                <w:highlight w:val="none"/>
              </w:rPr>
              <w:t>满足甲方要求，现场交货。</w:t>
            </w:r>
          </w:p>
        </w:tc>
      </w:tr>
      <w:tr w14:paraId="5A6AB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6" w:hRule="atLeast"/>
        </w:trPr>
        <w:tc>
          <w:tcPr>
            <w:tcW w:w="1190" w:type="dxa"/>
            <w:tcBorders>
              <w:left w:val="single" w:color="auto" w:sz="4" w:space="0"/>
            </w:tcBorders>
            <w:vAlign w:val="center"/>
          </w:tcPr>
          <w:p w14:paraId="5013707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1.8.3</w:t>
            </w:r>
          </w:p>
        </w:tc>
        <w:tc>
          <w:tcPr>
            <w:tcW w:w="7168" w:type="dxa"/>
            <w:vAlign w:val="center"/>
          </w:tcPr>
          <w:p w14:paraId="4C3CFFAF">
            <w:pPr>
              <w:spacing w:line="400" w:lineRule="exact"/>
              <w:rPr>
                <w:rFonts w:ascii="宋体" w:hAnsi="宋体" w:cs="宋体"/>
                <w:color w:val="auto"/>
                <w:szCs w:val="21"/>
                <w:highlight w:val="none"/>
              </w:rPr>
            </w:pPr>
            <w:r>
              <w:rPr>
                <w:rFonts w:hint="eastAsia" w:ascii="宋体" w:hAnsi="宋体" w:cs="宋体"/>
                <w:color w:val="auto"/>
                <w:szCs w:val="21"/>
                <w:highlight w:val="none"/>
              </w:rPr>
              <w:t>/</w:t>
            </w:r>
          </w:p>
        </w:tc>
      </w:tr>
      <w:tr w14:paraId="6CC504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6" w:hRule="atLeast"/>
        </w:trPr>
        <w:tc>
          <w:tcPr>
            <w:tcW w:w="1190" w:type="dxa"/>
            <w:tcBorders>
              <w:left w:val="single" w:color="auto" w:sz="4" w:space="0"/>
            </w:tcBorders>
            <w:vAlign w:val="center"/>
          </w:tcPr>
          <w:p w14:paraId="42556BC2">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1.9.2</w:t>
            </w:r>
          </w:p>
        </w:tc>
        <w:tc>
          <w:tcPr>
            <w:tcW w:w="7168" w:type="dxa"/>
            <w:vAlign w:val="center"/>
          </w:tcPr>
          <w:p w14:paraId="53B4AF9A">
            <w:pPr>
              <w:spacing w:line="400" w:lineRule="exact"/>
              <w:rPr>
                <w:rFonts w:ascii="宋体" w:hAnsi="宋体" w:cs="宋体"/>
                <w:color w:val="auto"/>
                <w:szCs w:val="21"/>
                <w:highlight w:val="none"/>
              </w:rPr>
            </w:pPr>
            <w:r>
              <w:rPr>
                <w:rFonts w:hint="eastAsia" w:ascii="宋体" w:hAnsi="宋体" w:cs="宋体"/>
                <w:color w:val="auto"/>
                <w:szCs w:val="21"/>
                <w:highlight w:val="none"/>
                <w:lang w:eastAsia="zh-CN"/>
              </w:rPr>
              <w:t>宁波市北仑区</w:t>
            </w:r>
            <w:r>
              <w:rPr>
                <w:rFonts w:hint="eastAsia" w:ascii="宋体" w:hAnsi="宋体" w:cs="宋体"/>
                <w:color w:val="auto"/>
                <w:szCs w:val="21"/>
                <w:highlight w:val="none"/>
              </w:rPr>
              <w:t>。</w:t>
            </w:r>
          </w:p>
        </w:tc>
      </w:tr>
      <w:tr w14:paraId="26901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6" w:hRule="atLeast"/>
        </w:trPr>
        <w:tc>
          <w:tcPr>
            <w:tcW w:w="1190" w:type="dxa"/>
            <w:tcBorders>
              <w:left w:val="single" w:color="auto" w:sz="4" w:space="0"/>
            </w:tcBorders>
            <w:vAlign w:val="center"/>
          </w:tcPr>
          <w:p w14:paraId="2DDA2ED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2.3.2</w:t>
            </w:r>
          </w:p>
        </w:tc>
        <w:tc>
          <w:tcPr>
            <w:tcW w:w="7168" w:type="dxa"/>
            <w:vAlign w:val="center"/>
          </w:tcPr>
          <w:p w14:paraId="6BA8C41E">
            <w:pPr>
              <w:spacing w:line="400" w:lineRule="exact"/>
              <w:ind w:left="-420" w:leftChars="-200" w:right="-420" w:rightChars="-200" w:firstLine="420" w:firstLineChars="200"/>
              <w:rPr>
                <w:rFonts w:ascii="宋体" w:hAnsi="宋体" w:cs="宋体"/>
                <w:color w:val="auto"/>
                <w:szCs w:val="21"/>
                <w:highlight w:val="none"/>
              </w:rPr>
            </w:pPr>
            <w:r>
              <w:rPr>
                <w:rFonts w:hint="eastAsia" w:ascii="宋体" w:hAnsi="宋体" w:cs="宋体"/>
                <w:color w:val="auto"/>
                <w:szCs w:val="21"/>
                <w:highlight w:val="none"/>
              </w:rPr>
              <w:t>归甲方所有。</w:t>
            </w:r>
          </w:p>
        </w:tc>
      </w:tr>
      <w:tr w14:paraId="5D85F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6" w:hRule="atLeast"/>
        </w:trPr>
        <w:tc>
          <w:tcPr>
            <w:tcW w:w="1190" w:type="dxa"/>
            <w:tcBorders>
              <w:left w:val="single" w:color="auto" w:sz="4" w:space="0"/>
            </w:tcBorders>
            <w:vAlign w:val="center"/>
          </w:tcPr>
          <w:p w14:paraId="3CFBB2F6">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2.4.1</w:t>
            </w:r>
          </w:p>
        </w:tc>
        <w:tc>
          <w:tcPr>
            <w:tcW w:w="7168" w:type="dxa"/>
            <w:vAlign w:val="center"/>
          </w:tcPr>
          <w:p w14:paraId="41E12295">
            <w:pPr>
              <w:spacing w:line="400" w:lineRule="exact"/>
              <w:ind w:left="-420" w:leftChars="-200" w:right="-420" w:rightChars="-200" w:firstLine="420" w:firstLineChars="200"/>
              <w:rPr>
                <w:rFonts w:ascii="宋体" w:hAnsi="宋体" w:cs="宋体"/>
                <w:color w:val="auto"/>
                <w:szCs w:val="21"/>
                <w:highlight w:val="none"/>
              </w:rPr>
            </w:pPr>
            <w:r>
              <w:rPr>
                <w:rFonts w:hint="eastAsia" w:ascii="宋体" w:hAnsi="宋体" w:cs="宋体"/>
                <w:color w:val="auto"/>
                <w:szCs w:val="21"/>
                <w:highlight w:val="none"/>
              </w:rPr>
              <w:t>/</w:t>
            </w:r>
          </w:p>
        </w:tc>
      </w:tr>
      <w:tr w14:paraId="72991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6" w:hRule="atLeast"/>
        </w:trPr>
        <w:tc>
          <w:tcPr>
            <w:tcW w:w="1190" w:type="dxa"/>
            <w:tcBorders>
              <w:left w:val="single" w:color="auto" w:sz="4" w:space="0"/>
            </w:tcBorders>
            <w:vAlign w:val="center"/>
          </w:tcPr>
          <w:p w14:paraId="0290CE28">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2.4.3</w:t>
            </w:r>
          </w:p>
        </w:tc>
        <w:tc>
          <w:tcPr>
            <w:tcW w:w="7168" w:type="dxa"/>
            <w:vAlign w:val="center"/>
          </w:tcPr>
          <w:p w14:paraId="59A296E9">
            <w:pPr>
              <w:spacing w:line="400" w:lineRule="exact"/>
              <w:rPr>
                <w:rFonts w:ascii="宋体" w:hAnsi="宋体" w:cs="宋体"/>
                <w:color w:val="auto"/>
                <w:szCs w:val="21"/>
                <w:highlight w:val="none"/>
              </w:rPr>
            </w:pPr>
            <w:r>
              <w:rPr>
                <w:rFonts w:hint="eastAsia" w:ascii="宋体" w:hAnsi="宋体" w:cs="宋体"/>
                <w:color w:val="auto"/>
                <w:szCs w:val="21"/>
                <w:highlight w:val="none"/>
              </w:rPr>
              <w:t>满足甲方要求。</w:t>
            </w:r>
          </w:p>
        </w:tc>
      </w:tr>
      <w:tr w14:paraId="245635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6" w:hRule="atLeast"/>
        </w:trPr>
        <w:tc>
          <w:tcPr>
            <w:tcW w:w="1190" w:type="dxa"/>
            <w:tcBorders>
              <w:left w:val="single" w:color="auto" w:sz="4" w:space="0"/>
            </w:tcBorders>
          </w:tcPr>
          <w:p w14:paraId="0E2C4B0B">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2.8</w:t>
            </w:r>
          </w:p>
        </w:tc>
        <w:tc>
          <w:tcPr>
            <w:tcW w:w="7168" w:type="dxa"/>
          </w:tcPr>
          <w:p w14:paraId="6F5ECD87">
            <w:pPr>
              <w:spacing w:line="400" w:lineRule="exact"/>
              <w:rPr>
                <w:rFonts w:ascii="宋体" w:hAnsi="宋体" w:cs="宋体"/>
                <w:color w:val="auto"/>
                <w:szCs w:val="21"/>
                <w:highlight w:val="none"/>
              </w:rPr>
            </w:pPr>
            <w:r>
              <w:rPr>
                <w:rFonts w:hint="eastAsia" w:ascii="宋体" w:hAnsi="宋体" w:cs="宋体"/>
                <w:color w:val="auto"/>
                <w:szCs w:val="21"/>
                <w:highlight w:val="none"/>
              </w:rPr>
              <w:t>责任方承担。</w:t>
            </w:r>
          </w:p>
        </w:tc>
      </w:tr>
      <w:tr w14:paraId="38A65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6" w:hRule="atLeast"/>
        </w:trPr>
        <w:tc>
          <w:tcPr>
            <w:tcW w:w="1190" w:type="dxa"/>
            <w:tcBorders>
              <w:left w:val="single" w:color="auto" w:sz="4" w:space="0"/>
            </w:tcBorders>
            <w:vAlign w:val="center"/>
          </w:tcPr>
          <w:p w14:paraId="4B3FA210">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2.12.3</w:t>
            </w:r>
          </w:p>
        </w:tc>
        <w:tc>
          <w:tcPr>
            <w:tcW w:w="7168" w:type="dxa"/>
            <w:vAlign w:val="center"/>
          </w:tcPr>
          <w:p w14:paraId="434CD811">
            <w:pPr>
              <w:spacing w:line="400" w:lineRule="exact"/>
              <w:rPr>
                <w:rFonts w:ascii="宋体" w:hAnsi="宋体" w:cs="宋体"/>
                <w:color w:val="auto"/>
                <w:szCs w:val="21"/>
                <w:highlight w:val="none"/>
              </w:rPr>
            </w:pPr>
            <w:r>
              <w:rPr>
                <w:rFonts w:hint="eastAsia" w:ascii="宋体" w:hAnsi="宋体" w:cs="宋体"/>
                <w:color w:val="auto"/>
                <w:szCs w:val="21"/>
                <w:highlight w:val="none"/>
              </w:rPr>
              <w:t>不可抗力时间发生后7天。</w:t>
            </w:r>
          </w:p>
        </w:tc>
      </w:tr>
      <w:tr w14:paraId="606E27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6" w:hRule="atLeast"/>
        </w:trPr>
        <w:tc>
          <w:tcPr>
            <w:tcW w:w="1190" w:type="dxa"/>
            <w:tcBorders>
              <w:left w:val="single" w:color="auto" w:sz="4" w:space="0"/>
            </w:tcBorders>
            <w:vAlign w:val="center"/>
          </w:tcPr>
          <w:p w14:paraId="723E96C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2.12.4</w:t>
            </w:r>
          </w:p>
        </w:tc>
        <w:tc>
          <w:tcPr>
            <w:tcW w:w="7168" w:type="dxa"/>
          </w:tcPr>
          <w:p w14:paraId="65F15B75">
            <w:pPr>
              <w:spacing w:line="400" w:lineRule="exact"/>
              <w:rPr>
                <w:rFonts w:ascii="宋体" w:hAnsi="宋体" w:cs="宋体"/>
                <w:color w:val="auto"/>
                <w:szCs w:val="21"/>
                <w:highlight w:val="none"/>
              </w:rPr>
            </w:pPr>
            <w:r>
              <w:rPr>
                <w:rFonts w:hint="eastAsia" w:ascii="宋体" w:hAnsi="宋体" w:cs="宋体"/>
                <w:color w:val="auto"/>
                <w:szCs w:val="21"/>
                <w:highlight w:val="none"/>
              </w:rPr>
              <w:t>不可抗力时间发生后7天。</w:t>
            </w:r>
          </w:p>
        </w:tc>
      </w:tr>
      <w:tr w14:paraId="7C8CC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6" w:hRule="atLeast"/>
        </w:trPr>
        <w:tc>
          <w:tcPr>
            <w:tcW w:w="1190" w:type="dxa"/>
            <w:tcBorders>
              <w:left w:val="single" w:color="auto" w:sz="4" w:space="0"/>
            </w:tcBorders>
            <w:vAlign w:val="center"/>
          </w:tcPr>
          <w:p w14:paraId="1283514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2.16.1</w:t>
            </w:r>
          </w:p>
        </w:tc>
        <w:tc>
          <w:tcPr>
            <w:tcW w:w="7168" w:type="dxa"/>
            <w:vAlign w:val="center"/>
          </w:tcPr>
          <w:p w14:paraId="54785BC3">
            <w:pPr>
              <w:spacing w:line="400" w:lineRule="exact"/>
              <w:rPr>
                <w:rFonts w:ascii="宋体" w:hAnsi="宋体" w:cs="宋体"/>
                <w:color w:val="auto"/>
                <w:szCs w:val="21"/>
                <w:highlight w:val="none"/>
              </w:rPr>
            </w:pPr>
            <w:r>
              <w:rPr>
                <w:rFonts w:hint="eastAsia" w:ascii="宋体" w:hAnsi="宋体" w:cs="宋体"/>
                <w:color w:val="auto"/>
                <w:szCs w:val="21"/>
                <w:highlight w:val="none"/>
              </w:rPr>
              <w:t>以甲方约定为准。</w:t>
            </w:r>
          </w:p>
        </w:tc>
      </w:tr>
      <w:tr w14:paraId="5665D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78" w:hRule="atLeast"/>
        </w:trPr>
        <w:tc>
          <w:tcPr>
            <w:tcW w:w="1190" w:type="dxa"/>
            <w:tcBorders>
              <w:left w:val="single" w:color="auto" w:sz="4" w:space="0"/>
            </w:tcBorders>
            <w:vAlign w:val="center"/>
          </w:tcPr>
          <w:p w14:paraId="634F28B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2.16.3</w:t>
            </w:r>
          </w:p>
        </w:tc>
        <w:tc>
          <w:tcPr>
            <w:tcW w:w="7168" w:type="dxa"/>
            <w:vAlign w:val="center"/>
          </w:tcPr>
          <w:p w14:paraId="19D9264B">
            <w:pPr>
              <w:spacing w:line="400" w:lineRule="exact"/>
              <w:rPr>
                <w:rFonts w:ascii="宋体" w:hAnsi="宋体" w:cs="宋体"/>
                <w:color w:val="auto"/>
                <w:szCs w:val="21"/>
                <w:highlight w:val="none"/>
              </w:rPr>
            </w:pPr>
            <w:r>
              <w:rPr>
                <w:rFonts w:hint="eastAsia" w:ascii="宋体" w:hAnsi="宋体" w:cs="宋体"/>
                <w:color w:val="auto"/>
                <w:szCs w:val="21"/>
                <w:highlight w:val="none"/>
              </w:rPr>
              <w:t>1）验收标准：应与产品原始样本技术数据及标书技术文件一致，符合国家有关技术规范和技术标准。</w:t>
            </w:r>
          </w:p>
          <w:p w14:paraId="1A575E12">
            <w:pPr>
              <w:spacing w:line="400" w:lineRule="exact"/>
              <w:rPr>
                <w:rFonts w:ascii="宋体" w:hAnsi="宋体" w:cs="宋体"/>
                <w:color w:val="auto"/>
                <w:szCs w:val="21"/>
                <w:highlight w:val="none"/>
              </w:rPr>
            </w:pPr>
            <w:r>
              <w:rPr>
                <w:rFonts w:hint="eastAsia" w:ascii="宋体" w:hAnsi="宋体" w:cs="宋体"/>
                <w:color w:val="auto"/>
                <w:szCs w:val="21"/>
                <w:highlight w:val="none"/>
              </w:rPr>
              <w:t>2）安装、验收所产生的一切费用（包括卸货、搬运费等）由乙方负责。</w:t>
            </w:r>
          </w:p>
        </w:tc>
      </w:tr>
      <w:tr w14:paraId="53170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2" w:hRule="atLeast"/>
        </w:trPr>
        <w:tc>
          <w:tcPr>
            <w:tcW w:w="1190" w:type="dxa"/>
            <w:tcBorders>
              <w:left w:val="single" w:color="auto" w:sz="4" w:space="0"/>
            </w:tcBorders>
            <w:vAlign w:val="center"/>
          </w:tcPr>
          <w:p w14:paraId="78651CA6">
            <w:pPr>
              <w:spacing w:line="400" w:lineRule="exact"/>
              <w:ind w:left="-420" w:leftChars="-200" w:right="-420" w:rightChars="-200" w:firstLine="840" w:firstLineChars="400"/>
              <w:rPr>
                <w:rFonts w:ascii="宋体" w:hAnsi="宋体" w:cs="宋体"/>
                <w:color w:val="auto"/>
                <w:szCs w:val="21"/>
                <w:highlight w:val="none"/>
              </w:rPr>
            </w:pPr>
            <w:r>
              <w:rPr>
                <w:rFonts w:hint="eastAsia" w:ascii="宋体" w:hAnsi="宋体" w:cs="宋体"/>
                <w:color w:val="auto"/>
                <w:szCs w:val="21"/>
                <w:highlight w:val="none"/>
              </w:rPr>
              <w:t>2.20</w:t>
            </w:r>
          </w:p>
        </w:tc>
        <w:tc>
          <w:tcPr>
            <w:tcW w:w="7168" w:type="dxa"/>
          </w:tcPr>
          <w:p w14:paraId="175951DA">
            <w:pPr>
              <w:spacing w:line="400" w:lineRule="exact"/>
              <w:rPr>
                <w:rFonts w:ascii="宋体" w:hAnsi="宋体" w:cs="宋体"/>
                <w:color w:val="auto"/>
                <w:szCs w:val="21"/>
                <w:highlight w:val="none"/>
              </w:rPr>
            </w:pPr>
            <w:r>
              <w:rPr>
                <w:rFonts w:hint="eastAsia" w:ascii="宋体" w:hAnsi="宋体" w:cs="宋体"/>
                <w:color w:val="auto"/>
                <w:szCs w:val="21"/>
                <w:highlight w:val="none"/>
              </w:rPr>
              <w:t>本合同一式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份，甲方执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份，乙方执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份。每份均具有同等法律效力。</w:t>
            </w:r>
          </w:p>
        </w:tc>
      </w:tr>
    </w:tbl>
    <w:p w14:paraId="3C7EC14F">
      <w:pPr>
        <w:rPr>
          <w:color w:val="auto"/>
          <w:highlight w:val="none"/>
        </w:rPr>
      </w:pPr>
    </w:p>
    <w:p w14:paraId="36306475">
      <w:pPr>
        <w:pStyle w:val="15"/>
        <w:widowControl/>
        <w:spacing w:line="360" w:lineRule="auto"/>
        <w:ind w:firstLine="0"/>
        <w:jc w:val="left"/>
        <w:rPr>
          <w:rFonts w:hAnsi="宋体"/>
          <w:color w:val="auto"/>
          <w:highlight w:val="none"/>
        </w:rPr>
        <w:sectPr>
          <w:headerReference r:id="rId11" w:type="default"/>
          <w:footerReference r:id="rId12" w:type="default"/>
          <w:pgSz w:w="11905" w:h="16838"/>
          <w:pgMar w:top="1440" w:right="1803" w:bottom="1440" w:left="1803" w:header="283" w:footer="703" w:gutter="0"/>
          <w:cols w:space="720" w:num="1"/>
          <w:docGrid w:linePitch="285" w:charSpace="0"/>
        </w:sectPr>
      </w:pPr>
      <w:r>
        <w:rPr>
          <w:rFonts w:hint="eastAsia" w:hAnsi="宋体"/>
          <w:color w:val="auto"/>
          <w:highlight w:val="none"/>
        </w:rPr>
        <w:t xml:space="preserve"> </w:t>
      </w:r>
    </w:p>
    <w:p w14:paraId="2ACCA34E">
      <w:pPr>
        <w:rPr>
          <w:color w:val="auto"/>
          <w:highlight w:val="none"/>
        </w:rPr>
      </w:pPr>
    </w:p>
    <w:p w14:paraId="60D204B2">
      <w:pPr>
        <w:spacing w:line="360" w:lineRule="auto"/>
        <w:jc w:val="center"/>
        <w:outlineLvl w:val="0"/>
        <w:rPr>
          <w:rFonts w:ascii="Arial" w:hAnsi="Arial" w:cs="宋体"/>
          <w:b/>
          <w:color w:val="auto"/>
          <w:sz w:val="36"/>
          <w:szCs w:val="36"/>
          <w:highlight w:val="none"/>
        </w:rPr>
      </w:pPr>
      <w:bookmarkStart w:id="628" w:name="_Toc6401"/>
      <w:r>
        <w:rPr>
          <w:rFonts w:hint="eastAsia" w:ascii="Arial" w:hAnsi="Arial" w:cs="宋体"/>
          <w:b/>
          <w:color w:val="auto"/>
          <w:sz w:val="36"/>
          <w:szCs w:val="36"/>
          <w:highlight w:val="none"/>
        </w:rPr>
        <w:t>第六章  投标文件格式</w:t>
      </w:r>
      <w:bookmarkEnd w:id="476"/>
      <w:bookmarkEnd w:id="477"/>
      <w:bookmarkEnd w:id="628"/>
    </w:p>
    <w:p w14:paraId="7D90DC19">
      <w:pPr>
        <w:snapToGri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一、资格文件</w:t>
      </w:r>
    </w:p>
    <w:p w14:paraId="4C8D06D8">
      <w:pPr>
        <w:numPr>
          <w:ilvl w:val="0"/>
          <w:numId w:val="20"/>
        </w:numPr>
        <w:snapToGrid w:val="0"/>
        <w:spacing w:line="360" w:lineRule="auto"/>
        <w:ind w:firstLine="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资格证明文件封面格式：</w:t>
      </w:r>
    </w:p>
    <w:p w14:paraId="39C8B0DD">
      <w:pPr>
        <w:snapToGrid w:val="0"/>
        <w:spacing w:line="360" w:lineRule="auto"/>
        <w:ind w:firstLine="236" w:firstLineChars="98"/>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lang w:bidi="ar"/>
        </w:rPr>
        <w:t>封面格式：</w:t>
      </w:r>
    </w:p>
    <w:p w14:paraId="3E48E163">
      <w:pPr>
        <w:tabs>
          <w:tab w:val="left" w:pos="6096"/>
        </w:tabs>
        <w:snapToGrid w:val="0"/>
        <w:spacing w:line="360" w:lineRule="auto"/>
        <w:jc w:val="center"/>
        <w:rPr>
          <w:rFonts w:hint="eastAsia" w:ascii="宋体" w:hAnsi="宋体" w:eastAsia="宋体" w:cs="宋体"/>
          <w:bCs/>
          <w:color w:val="auto"/>
          <w:sz w:val="28"/>
          <w:szCs w:val="28"/>
          <w:highlight w:val="none"/>
        </w:rPr>
      </w:pPr>
      <w:r>
        <w:rPr>
          <w:rFonts w:hint="eastAsia" w:ascii="宋体" w:hAnsi="宋体" w:eastAsia="宋体" w:cs="宋体"/>
          <w:b/>
          <w:color w:val="auto"/>
          <w:sz w:val="28"/>
          <w:szCs w:val="28"/>
          <w:highlight w:val="none"/>
          <w:lang w:bidi="ar"/>
        </w:rPr>
        <w:tab/>
      </w:r>
    </w:p>
    <w:p w14:paraId="73E04711">
      <w:pPr>
        <w:snapToGrid w:val="0"/>
        <w:spacing w:line="360" w:lineRule="auto"/>
        <w:jc w:val="center"/>
        <w:rPr>
          <w:rFonts w:hint="eastAsia" w:ascii="宋体" w:hAnsi="宋体" w:eastAsia="宋体" w:cs="宋体"/>
          <w:bCs/>
          <w:color w:val="auto"/>
          <w:sz w:val="24"/>
          <w:highlight w:val="none"/>
        </w:rPr>
      </w:pPr>
      <w:r>
        <w:rPr>
          <w:rFonts w:hint="eastAsia" w:ascii="宋体" w:hAnsi="宋体" w:eastAsia="宋体" w:cs="宋体"/>
          <w:color w:val="auto"/>
          <w:sz w:val="24"/>
          <w:highlight w:val="none"/>
        </w:rPr>
        <w:t>资格证明文件</w:t>
      </w:r>
    </w:p>
    <w:p w14:paraId="030EBF51">
      <w:pPr>
        <w:spacing w:line="480" w:lineRule="auto"/>
        <w:ind w:firstLine="1080" w:firstLineChars="45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bidi="ar"/>
        </w:rPr>
        <w:t>项目名称：</w:t>
      </w:r>
      <w:r>
        <w:rPr>
          <w:rFonts w:hint="eastAsia" w:ascii="宋体" w:hAnsi="宋体" w:eastAsia="宋体" w:cs="宋体"/>
          <w:bCs/>
          <w:color w:val="auto"/>
          <w:sz w:val="24"/>
          <w:highlight w:val="none"/>
          <w:u w:val="single"/>
          <w:lang w:bidi="ar"/>
        </w:rPr>
        <w:t xml:space="preserve"> </w:t>
      </w:r>
      <w:r>
        <w:rPr>
          <w:rFonts w:hint="eastAsia" w:ascii="宋体" w:hAnsi="宋体" w:eastAsia="宋体" w:cs="宋体"/>
          <w:bCs/>
          <w:color w:val="auto"/>
          <w:sz w:val="24"/>
          <w:highlight w:val="none"/>
          <w:u w:val="single"/>
        </w:rPr>
        <w:t xml:space="preserve">                                            </w:t>
      </w:r>
    </w:p>
    <w:p w14:paraId="3FBD447B">
      <w:pPr>
        <w:spacing w:line="480" w:lineRule="auto"/>
        <w:ind w:firstLine="1080" w:firstLineChars="45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bidi="ar"/>
        </w:rPr>
        <w:t>项目编号：</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 xml:space="preserve">      </w:t>
      </w:r>
    </w:p>
    <w:p w14:paraId="62E5087A">
      <w:pPr>
        <w:spacing w:line="480" w:lineRule="auto"/>
        <w:ind w:firstLine="1080" w:firstLineChars="450"/>
        <w:rPr>
          <w:rFonts w:hint="eastAsia" w:ascii="宋体" w:hAnsi="宋体" w:eastAsia="宋体" w:cs="宋体"/>
          <w:bCs/>
          <w:color w:val="auto"/>
          <w:sz w:val="24"/>
          <w:highlight w:val="none"/>
          <w:u w:val="single"/>
          <w:lang w:bidi="ar"/>
        </w:rPr>
      </w:pPr>
      <w:r>
        <w:rPr>
          <w:rFonts w:hint="eastAsia" w:ascii="宋体" w:hAnsi="宋体" w:eastAsia="宋体" w:cs="宋体"/>
          <w:bCs/>
          <w:color w:val="auto"/>
          <w:sz w:val="24"/>
          <w:highlight w:val="none"/>
          <w:lang w:bidi="ar"/>
        </w:rPr>
        <w:t>投标人名称：</w:t>
      </w:r>
      <w:r>
        <w:rPr>
          <w:rFonts w:hint="eastAsia" w:ascii="宋体" w:hAnsi="宋体" w:eastAsia="宋体" w:cs="宋体"/>
          <w:bCs/>
          <w:color w:val="auto"/>
          <w:sz w:val="24"/>
          <w:highlight w:val="none"/>
          <w:u w:val="single"/>
          <w:lang w:bidi="ar"/>
        </w:rPr>
        <w:t xml:space="preserve">        </w:t>
      </w:r>
      <w:r>
        <w:rPr>
          <w:rFonts w:hint="eastAsia" w:ascii="宋体" w:hAnsi="宋体" w:eastAsia="宋体" w:cs="宋体"/>
          <w:bCs/>
          <w:color w:val="auto"/>
          <w:sz w:val="24"/>
          <w:highlight w:val="none"/>
          <w:u w:val="single"/>
        </w:rPr>
        <w:t xml:space="preserve">[填写单位名称并盖章] </w:t>
      </w:r>
      <w:r>
        <w:rPr>
          <w:rFonts w:hint="eastAsia" w:ascii="宋体" w:hAnsi="宋体" w:eastAsia="宋体" w:cs="宋体"/>
          <w:bCs/>
          <w:color w:val="auto"/>
          <w:sz w:val="24"/>
          <w:highlight w:val="none"/>
          <w:u w:val="single"/>
          <w:lang w:bidi="ar"/>
        </w:rPr>
        <w:t xml:space="preserve">            </w:t>
      </w:r>
    </w:p>
    <w:p w14:paraId="7E1C9E66">
      <w:pPr>
        <w:spacing w:line="480" w:lineRule="auto"/>
        <w:ind w:firstLine="1080" w:firstLineChars="450"/>
        <w:rPr>
          <w:rFonts w:hint="eastAsia" w:ascii="宋体" w:hAnsi="宋体" w:eastAsia="宋体" w:cs="宋体"/>
          <w:bCs/>
          <w:color w:val="auto"/>
          <w:sz w:val="24"/>
          <w:highlight w:val="none"/>
          <w:lang w:bidi="ar"/>
        </w:rPr>
      </w:pPr>
      <w:r>
        <w:rPr>
          <w:rFonts w:hint="eastAsia" w:ascii="宋体" w:hAnsi="宋体" w:eastAsia="宋体" w:cs="宋体"/>
          <w:bCs/>
          <w:color w:val="auto"/>
          <w:sz w:val="24"/>
          <w:highlight w:val="none"/>
          <w:lang w:bidi="ar"/>
        </w:rPr>
        <w:t xml:space="preserve">标项： </w:t>
      </w:r>
      <w:r>
        <w:rPr>
          <w:rFonts w:hint="eastAsia" w:ascii="宋体" w:hAnsi="宋体" w:eastAsia="宋体" w:cs="宋体"/>
          <w:bCs/>
          <w:color w:val="auto"/>
          <w:sz w:val="24"/>
          <w:highlight w:val="none"/>
          <w:u w:val="single"/>
          <w:lang w:bidi="ar"/>
        </w:rPr>
        <w:t xml:space="preserve">     1       </w:t>
      </w:r>
      <w:r>
        <w:rPr>
          <w:rFonts w:hint="eastAsia" w:ascii="宋体" w:hAnsi="宋体" w:eastAsia="宋体" w:cs="宋体"/>
          <w:bCs/>
          <w:color w:val="auto"/>
          <w:sz w:val="24"/>
          <w:highlight w:val="none"/>
          <w:lang w:bidi="ar"/>
        </w:rPr>
        <w:t xml:space="preserve">             </w:t>
      </w:r>
    </w:p>
    <w:p w14:paraId="0F3145D9">
      <w:pPr>
        <w:snapToGrid w:val="0"/>
        <w:spacing w:line="480" w:lineRule="auto"/>
        <w:ind w:firstLine="1080" w:firstLineChars="45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bidi="ar"/>
        </w:rPr>
        <w:t>供应商地址：</w:t>
      </w:r>
      <w:r>
        <w:rPr>
          <w:rFonts w:hint="eastAsia" w:ascii="宋体" w:hAnsi="宋体" w:eastAsia="宋体" w:cs="宋体"/>
          <w:bCs/>
          <w:color w:val="auto"/>
          <w:sz w:val="24"/>
          <w:highlight w:val="none"/>
          <w:u w:val="single"/>
          <w:lang w:bidi="ar"/>
        </w:rPr>
        <w:t xml:space="preserve">                                       </w:t>
      </w:r>
    </w:p>
    <w:p w14:paraId="62F1AF06">
      <w:pPr>
        <w:snapToGrid w:val="0"/>
        <w:spacing w:line="480" w:lineRule="auto"/>
        <w:ind w:firstLine="1080" w:firstLineChars="450"/>
        <w:rPr>
          <w:rFonts w:hint="eastAsia" w:ascii="宋体" w:hAnsi="宋体" w:eastAsia="宋体" w:cs="宋体"/>
          <w:color w:val="auto"/>
          <w:sz w:val="24"/>
          <w:highlight w:val="none"/>
        </w:rPr>
      </w:pPr>
      <w:r>
        <w:rPr>
          <w:rFonts w:hint="eastAsia" w:ascii="宋体" w:hAnsi="宋体" w:eastAsia="宋体" w:cs="宋体"/>
          <w:bCs/>
          <w:color w:val="auto"/>
          <w:sz w:val="24"/>
          <w:highlight w:val="none"/>
          <w:lang w:bidi="ar"/>
        </w:rPr>
        <w:t>法定代表人或其被授权代表</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u w:val="single"/>
        </w:rPr>
        <w:t xml:space="preserve">     [签字或盖章]           </w:t>
      </w:r>
    </w:p>
    <w:p w14:paraId="5B449B2F">
      <w:pPr>
        <w:snapToGrid w:val="0"/>
        <w:spacing w:line="360" w:lineRule="auto"/>
        <w:jc w:val="center"/>
        <w:rPr>
          <w:rFonts w:hint="eastAsia" w:ascii="宋体" w:hAnsi="宋体" w:eastAsia="宋体" w:cs="宋体"/>
          <w:bCs/>
          <w:color w:val="auto"/>
          <w:sz w:val="24"/>
          <w:highlight w:val="none"/>
          <w:lang w:bidi="ar"/>
        </w:rPr>
        <w:sectPr>
          <w:pgSz w:w="11907" w:h="16840"/>
          <w:pgMar w:top="1276" w:right="1474" w:bottom="1242" w:left="1474" w:header="720" w:footer="720" w:gutter="0"/>
          <w:cols w:space="720" w:num="1"/>
          <w:docGrid w:linePitch="285" w:charSpace="0"/>
        </w:sectPr>
      </w:pPr>
      <w:r>
        <w:rPr>
          <w:rFonts w:hint="eastAsia" w:ascii="宋体" w:hAnsi="宋体" w:eastAsia="宋体" w:cs="宋体"/>
          <w:bCs/>
          <w:color w:val="auto"/>
          <w:sz w:val="24"/>
          <w:highlight w:val="none"/>
          <w:lang w:bidi="ar"/>
        </w:rPr>
        <w:t>年  月  日</w:t>
      </w:r>
    </w:p>
    <w:p w14:paraId="225B8A24">
      <w:pPr>
        <w:snapToGrid w:val="0"/>
        <w:spacing w:line="360" w:lineRule="auto"/>
        <w:jc w:val="left"/>
        <w:rPr>
          <w:rFonts w:hint="eastAsia" w:ascii="宋体" w:hAnsi="宋体" w:eastAsia="宋体" w:cs="宋体"/>
          <w:b/>
          <w:bCs/>
          <w:color w:val="auto"/>
          <w:highlight w:val="none"/>
        </w:rPr>
      </w:pPr>
      <w:r>
        <w:rPr>
          <w:rFonts w:hint="eastAsia" w:ascii="宋体" w:hAnsi="宋体" w:eastAsia="宋体" w:cs="宋体"/>
          <w:color w:val="auto"/>
          <w:szCs w:val="21"/>
          <w:highlight w:val="none"/>
        </w:rPr>
        <w:t>（一）</w:t>
      </w:r>
      <w:r>
        <w:rPr>
          <w:rFonts w:hint="eastAsia" w:ascii="宋体" w:hAnsi="宋体" w:eastAsia="宋体" w:cs="宋体"/>
          <w:b/>
          <w:bCs/>
          <w:color w:val="auto"/>
          <w:highlight w:val="none"/>
        </w:rPr>
        <w:t>资格证明文件包括以下内容：</w:t>
      </w:r>
    </w:p>
    <w:p w14:paraId="5C3407B9">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）投标人资格声明函（格式见附件）；</w:t>
      </w:r>
    </w:p>
    <w:p w14:paraId="56981829">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）有效的企业法人营业执照（或事业法人登记证）、其他组织（个体工商户）的营业执照或者民办非企业单位登记证书复印件（复印件加盖公章）；</w:t>
      </w:r>
    </w:p>
    <w:p w14:paraId="463C3CEC">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）本项目特定资格条件的证明文件（如有，提供复印件加盖公章）；</w:t>
      </w:r>
    </w:p>
    <w:p w14:paraId="7285495F">
      <w:pPr>
        <w:spacing w:line="440" w:lineRule="exact"/>
        <w:ind w:firstLine="480" w:firstLineChars="200"/>
        <w:rPr>
          <w:rFonts w:hint="eastAsia" w:ascii="宋体" w:hAnsi="宋体" w:eastAsia="宋体" w:cs="宋体"/>
          <w:color w:val="auto"/>
          <w:sz w:val="24"/>
          <w:highlight w:val="none"/>
        </w:rPr>
        <w:sectPr>
          <w:pgSz w:w="11907" w:h="16840"/>
          <w:pgMar w:top="1276" w:right="1474" w:bottom="1242" w:left="1474" w:header="720" w:footer="720" w:gutter="0"/>
          <w:cols w:space="720" w:num="1"/>
          <w:docGrid w:linePitch="285" w:charSpace="0"/>
        </w:sect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）采购文件要求的其他资格条件证明材料（如有）。</w:t>
      </w:r>
    </w:p>
    <w:p w14:paraId="2F77F6E9">
      <w:pPr>
        <w:spacing w:line="320" w:lineRule="exact"/>
        <w:jc w:val="center"/>
        <w:rPr>
          <w:b/>
          <w:color w:val="auto"/>
          <w:sz w:val="32"/>
          <w:szCs w:val="32"/>
          <w:highlight w:val="none"/>
        </w:rPr>
      </w:pPr>
      <w:bookmarkStart w:id="629" w:name="_Toc275865606"/>
      <w:bookmarkStart w:id="630" w:name="_Toc460857946"/>
      <w:r>
        <w:rPr>
          <w:b/>
          <w:color w:val="auto"/>
          <w:sz w:val="32"/>
          <w:szCs w:val="32"/>
          <w:highlight w:val="none"/>
        </w:rPr>
        <w:t>投标人资格声明函</w:t>
      </w:r>
      <w:bookmarkEnd w:id="629"/>
    </w:p>
    <w:p w14:paraId="31E4C42E">
      <w:pPr>
        <w:rPr>
          <w:b/>
          <w:color w:val="auto"/>
          <w:highlight w:val="none"/>
        </w:rPr>
      </w:pPr>
    </w:p>
    <w:p w14:paraId="03FD2907">
      <w:pPr>
        <w:keepNext w:val="0"/>
        <w:keepLines w:val="0"/>
        <w:pageBreakBefore w:val="0"/>
        <w:widowControl w:val="0"/>
        <w:kinsoku/>
        <w:wordWrap/>
        <w:overflowPunct/>
        <w:topLinePunct w:val="0"/>
        <w:autoSpaceDE/>
        <w:autoSpaceDN/>
        <w:bidi w:val="0"/>
        <w:adjustRightInd/>
        <w:snapToGrid/>
        <w:spacing w:before="143" w:beforeLines="50"/>
        <w:textAlignment w:val="auto"/>
        <w:rPr>
          <w:b/>
          <w:color w:val="auto"/>
          <w:highlight w:val="none"/>
        </w:rPr>
      </w:pPr>
      <w:r>
        <w:rPr>
          <w:rFonts w:hint="eastAsia"/>
          <w:b/>
          <w:color w:val="auto"/>
          <w:highlight w:val="none"/>
        </w:rPr>
        <w:t>宁波慧泽工程管理咨询有限公司</w:t>
      </w:r>
      <w:r>
        <w:rPr>
          <w:b/>
          <w:color w:val="auto"/>
          <w:highlight w:val="none"/>
        </w:rPr>
        <w:t>：</w:t>
      </w:r>
    </w:p>
    <w:p w14:paraId="1531D7B1">
      <w:pPr>
        <w:keepNext w:val="0"/>
        <w:keepLines w:val="0"/>
        <w:pageBreakBefore w:val="0"/>
        <w:widowControl w:val="0"/>
        <w:kinsoku/>
        <w:wordWrap/>
        <w:overflowPunct/>
        <w:topLinePunct w:val="0"/>
        <w:autoSpaceDE/>
        <w:autoSpaceDN/>
        <w:bidi w:val="0"/>
        <w:adjustRightInd/>
        <w:snapToGrid w:val="0"/>
        <w:spacing w:before="286" w:beforeLines="100" w:line="360" w:lineRule="auto"/>
        <w:ind w:firstLine="424" w:firstLineChars="202"/>
        <w:textAlignment w:val="auto"/>
        <w:rPr>
          <w:color w:val="auto"/>
          <w:highlight w:val="none"/>
        </w:rPr>
      </w:pPr>
      <w:r>
        <w:rPr>
          <w:color w:val="auto"/>
          <w:highlight w:val="none"/>
        </w:rPr>
        <w:t>关于你贵司项目（项目编号：　　　  ）的采购公告，本公司（企业）愿意参加投标，并声明：</w:t>
      </w:r>
    </w:p>
    <w:p w14:paraId="20867945">
      <w:pPr>
        <w:snapToGrid w:val="0"/>
        <w:spacing w:line="360" w:lineRule="auto"/>
        <w:ind w:firstLine="424" w:firstLineChars="202"/>
        <w:rPr>
          <w:color w:val="auto"/>
          <w:highlight w:val="none"/>
        </w:rPr>
      </w:pPr>
      <w:r>
        <w:rPr>
          <w:color w:val="auto"/>
          <w:highlight w:val="none"/>
        </w:rPr>
        <w:t>本公司（企业）具备</w:t>
      </w:r>
      <w:r>
        <w:rPr>
          <w:bCs/>
          <w:color w:val="auto"/>
          <w:szCs w:val="21"/>
          <w:highlight w:val="none"/>
        </w:rPr>
        <w:t>《中华人民共和国政府采购法》第二十二条资格条件，</w:t>
      </w:r>
      <w:r>
        <w:rPr>
          <w:color w:val="auto"/>
          <w:highlight w:val="none"/>
        </w:rPr>
        <w:t>并已清楚采购文件的要求及有关文件规定。</w:t>
      </w:r>
    </w:p>
    <w:p w14:paraId="5157DAA0">
      <w:pPr>
        <w:snapToGrid w:val="0"/>
        <w:spacing w:line="360" w:lineRule="auto"/>
        <w:ind w:firstLine="424" w:firstLineChars="202"/>
        <w:rPr>
          <w:color w:val="auto"/>
          <w:highlight w:val="none"/>
        </w:rPr>
      </w:pPr>
      <w:r>
        <w:rPr>
          <w:rFonts w:hint="eastAsia"/>
          <w:color w:val="auto"/>
          <w:highlight w:val="none"/>
        </w:rPr>
        <w:t>单位负责人为同一人或者存在直接控股、管理关系的不同投标人，不得参加同一合同项下的政府采购活动。为采购项目提供整体设计、规范编制或者项目管理、监理、检测等服务的供应商，不得再参加该采购项目的其他采购活动。</w:t>
      </w:r>
    </w:p>
    <w:p w14:paraId="5AB4E2F3">
      <w:pPr>
        <w:snapToGrid w:val="0"/>
        <w:spacing w:line="360" w:lineRule="auto"/>
        <w:ind w:firstLine="424" w:firstLineChars="202"/>
        <w:rPr>
          <w:color w:val="auto"/>
          <w:highlight w:val="none"/>
        </w:rPr>
      </w:pPr>
      <w:r>
        <w:rPr>
          <w:color w:val="auto"/>
          <w:highlight w:val="none"/>
        </w:rPr>
        <w:t>根据《中华人民共和国政府采购法实施条例》的规定，本公司（企业）如为采购项目提供整体设计、规范编制或者项目管理、监理、检测等服务的供应商，不得再参加该采购项目的其他采购活动。否则，由此所造成的损失、不良后果及法律责任，一律由我公司（企业）承担。</w:t>
      </w:r>
    </w:p>
    <w:p w14:paraId="050AD9DB">
      <w:pPr>
        <w:snapToGrid w:val="0"/>
        <w:spacing w:line="360" w:lineRule="auto"/>
        <w:ind w:firstLine="426" w:firstLineChars="202"/>
        <w:rPr>
          <w:color w:val="auto"/>
          <w:highlight w:val="none"/>
        </w:rPr>
      </w:pPr>
      <w:r>
        <w:rPr>
          <w:b/>
          <w:color w:val="auto"/>
          <w:highlight w:val="none"/>
        </w:rPr>
        <w:t>本公司（企业）具有履行合同所必需的设备和专业技术能力，且本公司（企业）参加政府采购活动前3年内在经营活动中没有重大违法记录。</w:t>
      </w:r>
      <w:r>
        <w:rPr>
          <w:color w:val="auto"/>
          <w:highlight w:val="none"/>
        </w:rPr>
        <w:t>否则，由此所造成的损失、不良后果及法律责任，一律由我公司（企业）承担。</w:t>
      </w:r>
    </w:p>
    <w:p w14:paraId="7A7ECE19">
      <w:pPr>
        <w:snapToGrid w:val="0"/>
        <w:spacing w:line="360" w:lineRule="auto"/>
        <w:ind w:firstLine="424" w:firstLineChars="202"/>
        <w:rPr>
          <w:color w:val="auto"/>
          <w:highlight w:val="none"/>
        </w:rPr>
      </w:pPr>
      <w:r>
        <w:rPr>
          <w:color w:val="auto"/>
          <w:highlight w:val="none"/>
        </w:rPr>
        <w:t>本次招标采购活动中，如有违法、违规、弄虚作假行为，所造成的损失、不良后果及法律责任，一律由我公司（企业）承担。</w:t>
      </w:r>
    </w:p>
    <w:p w14:paraId="361E2FC9">
      <w:pPr>
        <w:spacing w:line="360" w:lineRule="auto"/>
        <w:ind w:firstLine="420"/>
        <w:rPr>
          <w:b/>
          <w:color w:val="auto"/>
          <w:highlight w:val="none"/>
        </w:rPr>
      </w:pPr>
    </w:p>
    <w:p w14:paraId="76E4F167">
      <w:pPr>
        <w:spacing w:line="360" w:lineRule="auto"/>
        <w:ind w:firstLine="420"/>
        <w:rPr>
          <w:b/>
          <w:color w:val="auto"/>
          <w:highlight w:val="none"/>
        </w:rPr>
      </w:pPr>
    </w:p>
    <w:p w14:paraId="07BAEBAB">
      <w:pPr>
        <w:spacing w:line="360" w:lineRule="auto"/>
        <w:ind w:firstLine="420"/>
        <w:rPr>
          <w:b/>
          <w:color w:val="auto"/>
          <w:highlight w:val="none"/>
        </w:rPr>
      </w:pPr>
      <w:r>
        <w:rPr>
          <w:b/>
          <w:color w:val="auto"/>
          <w:highlight w:val="none"/>
        </w:rPr>
        <w:t>特此声明！</w:t>
      </w:r>
    </w:p>
    <w:p w14:paraId="4537D7B9">
      <w:pPr>
        <w:adjustRightInd w:val="0"/>
        <w:snapToGrid w:val="0"/>
        <w:spacing w:line="360" w:lineRule="auto"/>
        <w:ind w:left="425"/>
        <w:rPr>
          <w:color w:val="auto"/>
          <w:spacing w:val="4"/>
          <w:highlight w:val="none"/>
        </w:rPr>
      </w:pPr>
    </w:p>
    <w:p w14:paraId="6246DE73">
      <w:pPr>
        <w:adjustRightInd w:val="0"/>
        <w:snapToGrid w:val="0"/>
        <w:spacing w:line="360" w:lineRule="auto"/>
        <w:ind w:left="425"/>
        <w:rPr>
          <w:color w:val="auto"/>
          <w:spacing w:val="4"/>
          <w:highlight w:val="none"/>
        </w:rPr>
      </w:pPr>
    </w:p>
    <w:p w14:paraId="4582DC54">
      <w:pPr>
        <w:adjustRightInd w:val="0"/>
        <w:snapToGrid w:val="0"/>
        <w:spacing w:line="360" w:lineRule="auto"/>
        <w:ind w:left="425"/>
        <w:rPr>
          <w:color w:val="auto"/>
          <w:spacing w:val="4"/>
          <w:highlight w:val="none"/>
        </w:rPr>
      </w:pPr>
    </w:p>
    <w:p w14:paraId="7B60F1A7">
      <w:pPr>
        <w:adjustRightInd w:val="0"/>
        <w:snapToGrid w:val="0"/>
        <w:spacing w:line="360" w:lineRule="auto"/>
        <w:ind w:left="425"/>
        <w:rPr>
          <w:color w:val="auto"/>
          <w:spacing w:val="4"/>
          <w:highlight w:val="none"/>
        </w:rPr>
      </w:pPr>
    </w:p>
    <w:p w14:paraId="7B19AD7A">
      <w:pPr>
        <w:adjustRightInd w:val="0"/>
        <w:snapToGrid w:val="0"/>
        <w:spacing w:line="360" w:lineRule="auto"/>
        <w:ind w:left="425"/>
        <w:rPr>
          <w:color w:val="auto"/>
          <w:spacing w:val="4"/>
          <w:highlight w:val="none"/>
        </w:rPr>
      </w:pPr>
    </w:p>
    <w:p w14:paraId="451DF2AB">
      <w:pPr>
        <w:adjustRightInd w:val="0"/>
        <w:snapToGrid w:val="0"/>
        <w:spacing w:line="360" w:lineRule="auto"/>
        <w:ind w:left="425"/>
        <w:rPr>
          <w:color w:val="auto"/>
          <w:spacing w:val="4"/>
          <w:highlight w:val="none"/>
        </w:rPr>
      </w:pPr>
    </w:p>
    <w:p w14:paraId="594C1AC2">
      <w:pPr>
        <w:pStyle w:val="15"/>
        <w:widowControl/>
        <w:spacing w:line="360" w:lineRule="auto"/>
        <w:ind w:left="614" w:leftChars="100" w:hanging="404" w:hangingChars="200"/>
        <w:jc w:val="left"/>
        <w:rPr>
          <w:rFonts w:ascii="Times New Roman"/>
          <w:color w:val="auto"/>
          <w:sz w:val="21"/>
          <w:szCs w:val="21"/>
          <w:highlight w:val="none"/>
        </w:rPr>
      </w:pPr>
      <w:r>
        <w:rPr>
          <w:rFonts w:ascii="Times New Roman"/>
          <w:color w:val="auto"/>
          <w:sz w:val="21"/>
          <w:szCs w:val="21"/>
          <w:highlight w:val="none"/>
        </w:rPr>
        <w:t>投标人（盖章）：</w:t>
      </w:r>
    </w:p>
    <w:p w14:paraId="1849D97C">
      <w:pPr>
        <w:pStyle w:val="15"/>
        <w:widowControl/>
        <w:spacing w:line="360" w:lineRule="auto"/>
        <w:ind w:left="614" w:leftChars="100" w:hanging="404" w:hangingChars="200"/>
        <w:jc w:val="left"/>
        <w:rPr>
          <w:rFonts w:ascii="Times New Roman"/>
          <w:color w:val="auto"/>
          <w:sz w:val="21"/>
          <w:szCs w:val="21"/>
          <w:highlight w:val="none"/>
        </w:rPr>
      </w:pPr>
      <w:r>
        <w:rPr>
          <w:rFonts w:ascii="Times New Roman"/>
          <w:color w:val="auto"/>
          <w:sz w:val="21"/>
          <w:szCs w:val="21"/>
          <w:highlight w:val="none"/>
        </w:rPr>
        <w:t>法定代表人或其授权代表（签字或盖章）：</w:t>
      </w:r>
    </w:p>
    <w:p w14:paraId="1897FC9E">
      <w:pPr>
        <w:pStyle w:val="15"/>
        <w:widowControl/>
        <w:spacing w:line="360" w:lineRule="auto"/>
        <w:ind w:left="614" w:leftChars="100" w:hanging="404" w:hangingChars="200"/>
        <w:jc w:val="left"/>
        <w:rPr>
          <w:rFonts w:ascii="Times New Roman"/>
          <w:color w:val="auto"/>
          <w:sz w:val="21"/>
          <w:szCs w:val="21"/>
          <w:highlight w:val="none"/>
        </w:rPr>
      </w:pPr>
      <w:r>
        <w:rPr>
          <w:rFonts w:ascii="Times New Roman"/>
          <w:color w:val="auto"/>
          <w:sz w:val="21"/>
          <w:szCs w:val="21"/>
          <w:highlight w:val="none"/>
        </w:rPr>
        <w:t>日期：</w:t>
      </w:r>
      <w:r>
        <w:rPr>
          <w:rFonts w:ascii="Times New Roman"/>
          <w:color w:val="auto"/>
          <w:sz w:val="21"/>
          <w:szCs w:val="21"/>
          <w:highlight w:val="none"/>
        </w:rPr>
        <w:br w:type="page"/>
      </w:r>
    </w:p>
    <w:p w14:paraId="1995E7A7">
      <w:pPr>
        <w:widowControl/>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二、商务技术文件</w:t>
      </w:r>
    </w:p>
    <w:p w14:paraId="31802894">
      <w:pPr>
        <w:numPr>
          <w:ilvl w:val="0"/>
          <w:numId w:val="21"/>
        </w:numPr>
        <w:snapToGrid w:val="0"/>
        <w:spacing w:line="360" w:lineRule="auto"/>
        <w:ind w:firstLine="0"/>
        <w:jc w:val="left"/>
        <w:rPr>
          <w:rFonts w:hint="eastAsia" w:ascii="宋体" w:hAnsi="宋体" w:eastAsia="宋体" w:cs="宋体"/>
          <w:b/>
          <w:color w:val="auto"/>
          <w:highlight w:val="none"/>
        </w:rPr>
      </w:pPr>
      <w:r>
        <w:rPr>
          <w:rFonts w:hint="eastAsia" w:ascii="宋体" w:hAnsi="宋体" w:eastAsia="宋体" w:cs="宋体"/>
          <w:b/>
          <w:color w:val="auto"/>
          <w:highlight w:val="none"/>
        </w:rPr>
        <w:t>商务技术文件封面格式：</w:t>
      </w:r>
    </w:p>
    <w:p w14:paraId="0AA07B8E">
      <w:pPr>
        <w:snapToGrid w:val="0"/>
        <w:spacing w:line="360" w:lineRule="auto"/>
        <w:ind w:firstLine="236" w:firstLineChars="98"/>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lang w:bidi="ar"/>
        </w:rPr>
        <w:t>封面格式：</w:t>
      </w:r>
    </w:p>
    <w:p w14:paraId="4396EA66">
      <w:pPr>
        <w:tabs>
          <w:tab w:val="left" w:pos="6663"/>
        </w:tabs>
        <w:snapToGrid w:val="0"/>
        <w:spacing w:line="360" w:lineRule="auto"/>
        <w:jc w:val="center"/>
        <w:rPr>
          <w:rFonts w:hint="eastAsia" w:ascii="宋体" w:hAnsi="宋体" w:eastAsia="宋体" w:cs="宋体"/>
          <w:bCs/>
          <w:color w:val="auto"/>
          <w:sz w:val="24"/>
          <w:szCs w:val="28"/>
          <w:highlight w:val="none"/>
        </w:rPr>
      </w:pPr>
      <w:r>
        <w:rPr>
          <w:rFonts w:hint="eastAsia" w:ascii="宋体" w:hAnsi="宋体" w:eastAsia="宋体" w:cs="宋体"/>
          <w:b/>
          <w:color w:val="auto"/>
          <w:sz w:val="28"/>
          <w:szCs w:val="28"/>
          <w:highlight w:val="none"/>
          <w:lang w:bidi="ar"/>
        </w:rPr>
        <w:tab/>
      </w:r>
    </w:p>
    <w:p w14:paraId="5FB8E98F">
      <w:pPr>
        <w:snapToGrid w:val="0"/>
        <w:spacing w:line="360" w:lineRule="auto"/>
        <w:jc w:val="center"/>
        <w:rPr>
          <w:rFonts w:hint="eastAsia" w:ascii="宋体" w:hAnsi="宋体" w:eastAsia="宋体" w:cs="宋体"/>
          <w:bCs/>
          <w:color w:val="auto"/>
          <w:sz w:val="24"/>
          <w:highlight w:val="none"/>
        </w:rPr>
      </w:pPr>
      <w:r>
        <w:rPr>
          <w:rFonts w:hint="eastAsia" w:ascii="宋体" w:hAnsi="宋体" w:eastAsia="宋体" w:cs="宋体"/>
          <w:color w:val="auto"/>
          <w:sz w:val="40"/>
          <w:szCs w:val="40"/>
          <w:highlight w:val="none"/>
        </w:rPr>
        <w:t>商务技术文件</w:t>
      </w:r>
    </w:p>
    <w:p w14:paraId="7F3FDF11">
      <w:pPr>
        <w:snapToGrid w:val="0"/>
        <w:spacing w:line="360" w:lineRule="auto"/>
        <w:ind w:firstLine="6919" w:firstLineChars="2883"/>
        <w:rPr>
          <w:rFonts w:hint="eastAsia" w:ascii="宋体" w:hAnsi="宋体" w:eastAsia="宋体" w:cs="宋体"/>
          <w:bCs/>
          <w:color w:val="auto"/>
          <w:sz w:val="24"/>
          <w:highlight w:val="none"/>
        </w:rPr>
      </w:pPr>
    </w:p>
    <w:p w14:paraId="40EBE3C4">
      <w:pPr>
        <w:spacing w:line="480" w:lineRule="auto"/>
        <w:ind w:firstLine="1080" w:firstLineChars="45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bidi="ar"/>
        </w:rPr>
        <w:t>项目名称：</w:t>
      </w:r>
      <w:r>
        <w:rPr>
          <w:rFonts w:hint="eastAsia" w:ascii="宋体" w:hAnsi="宋体" w:eastAsia="宋体" w:cs="宋体"/>
          <w:bCs/>
          <w:i/>
          <w:color w:val="auto"/>
          <w:sz w:val="24"/>
          <w:highlight w:val="none"/>
          <w:u w:val="single"/>
          <w:lang w:bidi="ar"/>
        </w:rPr>
        <w:t xml:space="preserve"> </w:t>
      </w:r>
      <w:r>
        <w:rPr>
          <w:rFonts w:hint="eastAsia" w:ascii="宋体" w:hAnsi="宋体" w:eastAsia="宋体" w:cs="宋体"/>
          <w:bCs/>
          <w:color w:val="auto"/>
          <w:sz w:val="24"/>
          <w:highlight w:val="none"/>
          <w:u w:val="single"/>
        </w:rPr>
        <w:t xml:space="preserve">                                             </w:t>
      </w:r>
    </w:p>
    <w:p w14:paraId="660DFACE">
      <w:pPr>
        <w:spacing w:line="480" w:lineRule="auto"/>
        <w:ind w:firstLine="1080" w:firstLineChars="45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bidi="ar"/>
        </w:rPr>
        <w:t>项目编号：</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 xml:space="preserve">    </w:t>
      </w:r>
      <w:r>
        <w:rPr>
          <w:rFonts w:hint="eastAsia" w:ascii="宋体" w:hAnsi="宋体" w:eastAsia="宋体" w:cs="宋体"/>
          <w:bCs/>
          <w:color w:val="auto"/>
          <w:sz w:val="24"/>
          <w:highlight w:val="none"/>
          <w:lang w:bidi="ar"/>
        </w:rPr>
        <w:t xml:space="preserve">  </w:t>
      </w:r>
    </w:p>
    <w:p w14:paraId="4A1EC505">
      <w:pPr>
        <w:spacing w:line="480" w:lineRule="auto"/>
        <w:ind w:firstLine="1080" w:firstLineChars="450"/>
        <w:rPr>
          <w:rFonts w:hint="eastAsia" w:ascii="宋体" w:hAnsi="宋体" w:eastAsia="宋体" w:cs="宋体"/>
          <w:bCs/>
          <w:color w:val="auto"/>
          <w:sz w:val="24"/>
          <w:highlight w:val="none"/>
          <w:u w:val="single"/>
          <w:lang w:bidi="ar"/>
        </w:rPr>
      </w:pPr>
      <w:r>
        <w:rPr>
          <w:rFonts w:hint="eastAsia" w:ascii="宋体" w:hAnsi="宋体" w:eastAsia="宋体" w:cs="宋体"/>
          <w:bCs/>
          <w:color w:val="auto"/>
          <w:sz w:val="24"/>
          <w:highlight w:val="none"/>
          <w:lang w:bidi="ar"/>
        </w:rPr>
        <w:t>投标人名称：</w:t>
      </w:r>
      <w:r>
        <w:rPr>
          <w:rFonts w:hint="eastAsia" w:ascii="宋体" w:hAnsi="宋体" w:eastAsia="宋体" w:cs="宋体"/>
          <w:bCs/>
          <w:color w:val="auto"/>
          <w:sz w:val="24"/>
          <w:highlight w:val="none"/>
          <w:u w:val="single"/>
          <w:lang w:bidi="ar"/>
        </w:rPr>
        <w:t xml:space="preserve">        </w:t>
      </w:r>
      <w:r>
        <w:rPr>
          <w:rFonts w:hint="eastAsia" w:ascii="宋体" w:hAnsi="宋体" w:eastAsia="宋体" w:cs="宋体"/>
          <w:bCs/>
          <w:color w:val="auto"/>
          <w:sz w:val="24"/>
          <w:highlight w:val="none"/>
          <w:u w:val="single"/>
        </w:rPr>
        <w:t xml:space="preserve">[填写单位名称并盖章] </w:t>
      </w:r>
      <w:r>
        <w:rPr>
          <w:rFonts w:hint="eastAsia" w:ascii="宋体" w:hAnsi="宋体" w:eastAsia="宋体" w:cs="宋体"/>
          <w:bCs/>
          <w:color w:val="auto"/>
          <w:sz w:val="24"/>
          <w:highlight w:val="none"/>
          <w:u w:val="single"/>
          <w:lang w:bidi="ar"/>
        </w:rPr>
        <w:t xml:space="preserve">            </w:t>
      </w:r>
    </w:p>
    <w:p w14:paraId="1AC464D3">
      <w:pPr>
        <w:spacing w:line="480" w:lineRule="auto"/>
        <w:ind w:firstLine="1080" w:firstLineChars="450"/>
        <w:rPr>
          <w:rFonts w:hint="eastAsia" w:ascii="宋体" w:hAnsi="宋体" w:eastAsia="宋体" w:cs="宋体"/>
          <w:bCs/>
          <w:color w:val="auto"/>
          <w:sz w:val="24"/>
          <w:highlight w:val="none"/>
          <w:lang w:bidi="ar"/>
        </w:rPr>
      </w:pPr>
      <w:r>
        <w:rPr>
          <w:rFonts w:hint="eastAsia" w:ascii="宋体" w:hAnsi="宋体" w:eastAsia="宋体" w:cs="宋体"/>
          <w:bCs/>
          <w:color w:val="auto"/>
          <w:sz w:val="24"/>
          <w:highlight w:val="none"/>
          <w:lang w:bidi="ar"/>
        </w:rPr>
        <w:t xml:space="preserve">标项： </w:t>
      </w:r>
      <w:r>
        <w:rPr>
          <w:rFonts w:hint="eastAsia" w:ascii="宋体" w:hAnsi="宋体" w:eastAsia="宋体" w:cs="宋体"/>
          <w:bCs/>
          <w:color w:val="auto"/>
          <w:sz w:val="24"/>
          <w:highlight w:val="none"/>
          <w:u w:val="single"/>
          <w:lang w:bidi="ar"/>
        </w:rPr>
        <w:t xml:space="preserve">          </w:t>
      </w:r>
    </w:p>
    <w:p w14:paraId="18172CC6">
      <w:pPr>
        <w:snapToGrid w:val="0"/>
        <w:spacing w:line="480" w:lineRule="auto"/>
        <w:ind w:firstLine="1080" w:firstLineChars="45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bidi="ar"/>
        </w:rPr>
        <w:t>供应商地址：</w:t>
      </w:r>
      <w:r>
        <w:rPr>
          <w:rFonts w:hint="eastAsia" w:ascii="宋体" w:hAnsi="宋体" w:eastAsia="宋体" w:cs="宋体"/>
          <w:bCs/>
          <w:color w:val="auto"/>
          <w:sz w:val="24"/>
          <w:highlight w:val="none"/>
          <w:u w:val="single"/>
          <w:lang w:bidi="ar"/>
        </w:rPr>
        <w:t xml:space="preserve">                                       </w:t>
      </w:r>
    </w:p>
    <w:p w14:paraId="50CD7A2E">
      <w:pPr>
        <w:snapToGrid w:val="0"/>
        <w:spacing w:line="480" w:lineRule="auto"/>
        <w:ind w:firstLine="1080" w:firstLineChars="450"/>
        <w:rPr>
          <w:rFonts w:hint="eastAsia" w:ascii="宋体" w:hAnsi="宋体" w:eastAsia="宋体" w:cs="宋体"/>
          <w:color w:val="auto"/>
          <w:sz w:val="24"/>
          <w:highlight w:val="none"/>
        </w:rPr>
      </w:pPr>
      <w:r>
        <w:rPr>
          <w:rFonts w:hint="eastAsia" w:ascii="宋体" w:hAnsi="宋体" w:eastAsia="宋体" w:cs="宋体"/>
          <w:bCs/>
          <w:color w:val="auto"/>
          <w:sz w:val="24"/>
          <w:highlight w:val="none"/>
          <w:lang w:bidi="ar"/>
        </w:rPr>
        <w:t>法定代表人或其被授权代表</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u w:val="single"/>
        </w:rPr>
        <w:t xml:space="preserve">     [签字或盖章]           </w:t>
      </w:r>
    </w:p>
    <w:p w14:paraId="41F8A025">
      <w:pPr>
        <w:snapToGrid w:val="0"/>
        <w:spacing w:line="360" w:lineRule="auto"/>
        <w:jc w:val="center"/>
        <w:rPr>
          <w:rFonts w:hint="eastAsia" w:ascii="宋体" w:hAnsi="宋体" w:eastAsia="宋体" w:cs="宋体"/>
          <w:bCs/>
          <w:color w:val="auto"/>
          <w:sz w:val="24"/>
          <w:highlight w:val="none"/>
          <w:lang w:bidi="ar"/>
        </w:rPr>
        <w:sectPr>
          <w:pgSz w:w="11907" w:h="16840"/>
          <w:pgMar w:top="1276" w:right="1474" w:bottom="1242" w:left="1474" w:header="720" w:footer="720" w:gutter="0"/>
          <w:cols w:space="720" w:num="1"/>
          <w:docGrid w:linePitch="285" w:charSpace="0"/>
        </w:sectPr>
      </w:pPr>
      <w:r>
        <w:rPr>
          <w:rFonts w:hint="eastAsia" w:ascii="宋体" w:hAnsi="宋体" w:eastAsia="宋体" w:cs="宋体"/>
          <w:bCs/>
          <w:color w:val="auto"/>
          <w:sz w:val="24"/>
          <w:highlight w:val="none"/>
          <w:lang w:bidi="ar"/>
        </w:rPr>
        <w:t>年  月  日</w:t>
      </w:r>
    </w:p>
    <w:p w14:paraId="185C82F9">
      <w:pPr>
        <w:snapToGrid w:val="0"/>
        <w:spacing w:before="120" w:beforeLines="50" w:line="360" w:lineRule="auto"/>
        <w:rPr>
          <w:rFonts w:hint="eastAsia" w:ascii="宋体" w:hAnsi="宋体" w:eastAsia="宋体" w:cs="宋体"/>
          <w:b/>
          <w:bCs/>
          <w:color w:val="auto"/>
          <w:sz w:val="24"/>
          <w:highlight w:val="none"/>
          <w:lang w:bidi="ar"/>
        </w:rPr>
      </w:pPr>
      <w:r>
        <w:rPr>
          <w:rFonts w:hint="eastAsia" w:ascii="宋体" w:hAnsi="宋体" w:eastAsia="宋体" w:cs="宋体"/>
          <w:b/>
          <w:color w:val="auto"/>
          <w:highlight w:val="none"/>
        </w:rPr>
        <w:t>（一）商务技术文件内容包括以下内容：</w:t>
      </w:r>
    </w:p>
    <w:p w14:paraId="27A9478F">
      <w:pPr>
        <w:tabs>
          <w:tab w:val="left" w:pos="518"/>
        </w:tabs>
        <w:adjustRightInd w:val="0"/>
        <w:snapToGrid w:val="0"/>
        <w:spacing w:line="360" w:lineRule="auto"/>
        <w:ind w:firstLine="420" w:firstLineChars="200"/>
        <w:jc w:val="left"/>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1</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rPr>
        <w:t>投标函（格式见附件）；</w:t>
      </w:r>
    </w:p>
    <w:p w14:paraId="43CBD6FA">
      <w:pPr>
        <w:tabs>
          <w:tab w:val="left" w:pos="518"/>
        </w:tabs>
        <w:adjustRightInd w:val="0"/>
        <w:snapToGrid w:val="0"/>
        <w:spacing w:line="360" w:lineRule="auto"/>
        <w:ind w:firstLine="420" w:firstLineChars="200"/>
        <w:jc w:val="left"/>
        <w:rPr>
          <w:color w:val="auto"/>
          <w:szCs w:val="21"/>
          <w:highlight w:val="none"/>
        </w:rPr>
      </w:pPr>
      <w:r>
        <w:rPr>
          <w:color w:val="auto"/>
          <w:szCs w:val="21"/>
          <w:highlight w:val="none"/>
        </w:rPr>
        <w:t>（</w:t>
      </w:r>
      <w:r>
        <w:rPr>
          <w:rFonts w:hint="eastAsia"/>
          <w:color w:val="auto"/>
          <w:szCs w:val="21"/>
          <w:highlight w:val="none"/>
          <w:lang w:val="en-US" w:eastAsia="zh-CN"/>
        </w:rPr>
        <w:t>2</w:t>
      </w:r>
      <w:r>
        <w:rPr>
          <w:color w:val="auto"/>
          <w:szCs w:val="21"/>
          <w:highlight w:val="none"/>
        </w:rPr>
        <w:t>）法定代表人的身份证明或法定代表人授权书【投标人的代表若为非法定代表人的，必须提交法定代表人授权书及授权代表开标之日前近三个月内任意一个月</w:t>
      </w:r>
      <w:r>
        <w:rPr>
          <w:rFonts w:hint="eastAsia"/>
          <w:color w:val="auto"/>
          <w:szCs w:val="21"/>
          <w:highlight w:val="none"/>
        </w:rPr>
        <w:t>投标人为其的</w:t>
      </w:r>
      <w:r>
        <w:rPr>
          <w:color w:val="auto"/>
          <w:szCs w:val="21"/>
          <w:highlight w:val="none"/>
        </w:rPr>
        <w:t>缴纳社保证明加盖公章，格式见附件】；</w:t>
      </w:r>
    </w:p>
    <w:p w14:paraId="29B77626">
      <w:pPr>
        <w:tabs>
          <w:tab w:val="left" w:pos="518"/>
        </w:tabs>
        <w:adjustRightInd w:val="0"/>
        <w:snapToGrid w:val="0"/>
        <w:spacing w:line="360" w:lineRule="auto"/>
        <w:ind w:firstLine="420" w:firstLineChars="200"/>
        <w:jc w:val="left"/>
        <w:rPr>
          <w:color w:val="auto"/>
          <w:szCs w:val="21"/>
          <w:highlight w:val="none"/>
        </w:rPr>
      </w:pPr>
      <w:r>
        <w:rPr>
          <w:color w:val="auto"/>
          <w:szCs w:val="21"/>
          <w:highlight w:val="none"/>
        </w:rPr>
        <w:t>（</w:t>
      </w:r>
      <w:r>
        <w:rPr>
          <w:rFonts w:hint="eastAsia"/>
          <w:color w:val="auto"/>
          <w:szCs w:val="21"/>
          <w:highlight w:val="none"/>
          <w:lang w:val="en-US" w:eastAsia="zh-CN"/>
        </w:rPr>
        <w:t>3</w:t>
      </w:r>
      <w:r>
        <w:rPr>
          <w:color w:val="auto"/>
          <w:szCs w:val="21"/>
          <w:highlight w:val="none"/>
        </w:rPr>
        <w:t>）投标人基本情况说明（格式见附件)；</w:t>
      </w:r>
    </w:p>
    <w:p w14:paraId="42FA46C6">
      <w:pPr>
        <w:tabs>
          <w:tab w:val="left" w:pos="518"/>
        </w:tabs>
        <w:adjustRightInd w:val="0"/>
        <w:snapToGrid w:val="0"/>
        <w:spacing w:line="360" w:lineRule="auto"/>
        <w:ind w:firstLine="420" w:firstLineChars="200"/>
        <w:jc w:val="left"/>
        <w:rPr>
          <w:color w:val="auto"/>
          <w:szCs w:val="21"/>
          <w:highlight w:val="none"/>
        </w:rPr>
      </w:pPr>
      <w:r>
        <w:rPr>
          <w:color w:val="auto"/>
          <w:szCs w:val="21"/>
          <w:highlight w:val="none"/>
        </w:rPr>
        <w:t>（</w:t>
      </w:r>
      <w:r>
        <w:rPr>
          <w:rFonts w:hint="eastAsia"/>
          <w:color w:val="auto"/>
          <w:szCs w:val="21"/>
          <w:highlight w:val="none"/>
          <w:lang w:val="en-US" w:eastAsia="zh-CN"/>
        </w:rPr>
        <w:t>4</w:t>
      </w:r>
      <w:r>
        <w:rPr>
          <w:color w:val="auto"/>
          <w:szCs w:val="21"/>
          <w:highlight w:val="none"/>
        </w:rPr>
        <w:t>）商务</w:t>
      </w:r>
      <w:r>
        <w:rPr>
          <w:rFonts w:hint="eastAsia"/>
          <w:color w:val="auto"/>
          <w:szCs w:val="21"/>
          <w:highlight w:val="none"/>
          <w:lang w:val="en-US" w:eastAsia="zh-CN"/>
        </w:rPr>
        <w:t>需求</w:t>
      </w:r>
      <w:r>
        <w:rPr>
          <w:color w:val="auto"/>
          <w:szCs w:val="21"/>
          <w:highlight w:val="none"/>
        </w:rPr>
        <w:t>偏离</w:t>
      </w:r>
      <w:r>
        <w:rPr>
          <w:rFonts w:hint="eastAsia"/>
          <w:color w:val="auto"/>
          <w:szCs w:val="21"/>
          <w:highlight w:val="none"/>
          <w:lang w:val="en-US" w:eastAsia="zh-CN"/>
        </w:rPr>
        <w:t>表</w:t>
      </w:r>
      <w:r>
        <w:rPr>
          <w:color w:val="auto"/>
          <w:szCs w:val="21"/>
          <w:highlight w:val="none"/>
        </w:rPr>
        <w:t>（格式见附件)；</w:t>
      </w:r>
    </w:p>
    <w:p w14:paraId="1BC470CF">
      <w:pPr>
        <w:tabs>
          <w:tab w:val="left" w:pos="518"/>
        </w:tabs>
        <w:adjustRightInd w:val="0"/>
        <w:snapToGrid w:val="0"/>
        <w:spacing w:line="360" w:lineRule="auto"/>
        <w:ind w:firstLine="420" w:firstLineChars="200"/>
        <w:jc w:val="left"/>
        <w:rPr>
          <w:color w:val="auto"/>
          <w:szCs w:val="21"/>
          <w:highlight w:val="none"/>
        </w:rPr>
      </w:pPr>
      <w:r>
        <w:rPr>
          <w:color w:val="auto"/>
          <w:szCs w:val="21"/>
          <w:highlight w:val="none"/>
        </w:rPr>
        <w:t>（</w:t>
      </w:r>
      <w:r>
        <w:rPr>
          <w:rFonts w:hint="eastAsia"/>
          <w:color w:val="auto"/>
          <w:szCs w:val="21"/>
          <w:highlight w:val="none"/>
          <w:lang w:val="en-US" w:eastAsia="zh-CN"/>
        </w:rPr>
        <w:t>5</w:t>
      </w:r>
      <w:r>
        <w:rPr>
          <w:color w:val="auto"/>
          <w:szCs w:val="21"/>
          <w:highlight w:val="none"/>
        </w:rPr>
        <w:t>）</w:t>
      </w:r>
      <w:r>
        <w:rPr>
          <w:rFonts w:hint="eastAsia"/>
          <w:color w:val="auto"/>
          <w:szCs w:val="21"/>
          <w:highlight w:val="none"/>
          <w:lang w:val="en-US" w:eastAsia="zh-CN"/>
        </w:rPr>
        <w:t>技术需求</w:t>
      </w:r>
      <w:r>
        <w:rPr>
          <w:rFonts w:hint="eastAsia"/>
          <w:color w:val="auto"/>
          <w:szCs w:val="21"/>
          <w:highlight w:val="none"/>
        </w:rPr>
        <w:t>偏离</w:t>
      </w:r>
      <w:r>
        <w:rPr>
          <w:color w:val="auto"/>
          <w:szCs w:val="21"/>
          <w:highlight w:val="none"/>
        </w:rPr>
        <w:t>表（格式见附件）；</w:t>
      </w:r>
    </w:p>
    <w:p w14:paraId="7DA0C452">
      <w:pPr>
        <w:tabs>
          <w:tab w:val="left" w:pos="518"/>
        </w:tabs>
        <w:adjustRightInd w:val="0"/>
        <w:snapToGrid w:val="0"/>
        <w:spacing w:line="360" w:lineRule="auto"/>
        <w:ind w:firstLine="420" w:firstLineChars="200"/>
        <w:jc w:val="left"/>
        <w:rPr>
          <w:color w:val="auto"/>
          <w:szCs w:val="21"/>
          <w:highlight w:val="none"/>
        </w:rPr>
      </w:pPr>
      <w:r>
        <w:rPr>
          <w:color w:val="auto"/>
          <w:szCs w:val="21"/>
          <w:highlight w:val="none"/>
        </w:rPr>
        <w:t>（</w:t>
      </w:r>
      <w:r>
        <w:rPr>
          <w:rFonts w:hint="eastAsia"/>
          <w:color w:val="auto"/>
          <w:szCs w:val="21"/>
          <w:highlight w:val="none"/>
          <w:lang w:val="en-US" w:eastAsia="zh-CN"/>
        </w:rPr>
        <w:t>6</w:t>
      </w:r>
      <w:r>
        <w:rPr>
          <w:color w:val="auto"/>
          <w:szCs w:val="21"/>
          <w:highlight w:val="none"/>
        </w:rPr>
        <w:t>）技术需求中要求提供的证明资料（按要求提供）；</w:t>
      </w:r>
    </w:p>
    <w:p w14:paraId="4D199585">
      <w:pPr>
        <w:tabs>
          <w:tab w:val="left" w:pos="518"/>
        </w:tabs>
        <w:adjustRightInd w:val="0"/>
        <w:snapToGrid w:val="0"/>
        <w:spacing w:line="360" w:lineRule="auto"/>
        <w:ind w:firstLine="420" w:firstLineChars="200"/>
        <w:jc w:val="left"/>
        <w:rPr>
          <w:color w:val="auto"/>
          <w:szCs w:val="21"/>
          <w:highlight w:val="none"/>
        </w:rPr>
      </w:pPr>
      <w:r>
        <w:rPr>
          <w:color w:val="auto"/>
          <w:szCs w:val="21"/>
          <w:highlight w:val="none"/>
        </w:rPr>
        <w:t>（</w:t>
      </w:r>
      <w:r>
        <w:rPr>
          <w:rFonts w:hint="eastAsia"/>
          <w:color w:val="auto"/>
          <w:szCs w:val="21"/>
          <w:highlight w:val="none"/>
          <w:lang w:val="en-US" w:eastAsia="zh-CN"/>
        </w:rPr>
        <w:t>7</w:t>
      </w:r>
      <w:r>
        <w:rPr>
          <w:color w:val="auto"/>
          <w:szCs w:val="21"/>
          <w:highlight w:val="none"/>
        </w:rPr>
        <w:t>）第四章评标办法及评分标准中需提供的</w:t>
      </w:r>
      <w:r>
        <w:rPr>
          <w:rFonts w:hint="eastAsia"/>
          <w:color w:val="auto"/>
          <w:szCs w:val="21"/>
          <w:highlight w:val="none"/>
        </w:rPr>
        <w:t>所有内容</w:t>
      </w:r>
      <w:r>
        <w:rPr>
          <w:color w:val="auto"/>
          <w:szCs w:val="21"/>
          <w:highlight w:val="none"/>
        </w:rPr>
        <w:t>（按</w:t>
      </w:r>
      <w:r>
        <w:rPr>
          <w:rFonts w:hint="eastAsia"/>
          <w:color w:val="auto"/>
          <w:szCs w:val="21"/>
          <w:highlight w:val="none"/>
        </w:rPr>
        <w:t>评分要求逐项提供</w:t>
      </w:r>
      <w:r>
        <w:rPr>
          <w:color w:val="auto"/>
          <w:szCs w:val="21"/>
          <w:highlight w:val="none"/>
        </w:rPr>
        <w:t>）；</w:t>
      </w:r>
    </w:p>
    <w:p w14:paraId="65063119">
      <w:pPr>
        <w:tabs>
          <w:tab w:val="left" w:pos="518"/>
        </w:tabs>
        <w:adjustRightInd w:val="0"/>
        <w:snapToGrid w:val="0"/>
        <w:spacing w:line="360" w:lineRule="auto"/>
        <w:ind w:firstLine="420" w:firstLineChars="200"/>
        <w:jc w:val="left"/>
        <w:rPr>
          <w:color w:val="auto"/>
          <w:szCs w:val="21"/>
          <w:highlight w:val="none"/>
        </w:rPr>
      </w:pPr>
      <w:r>
        <w:rPr>
          <w:color w:val="auto"/>
          <w:szCs w:val="21"/>
          <w:highlight w:val="none"/>
        </w:rPr>
        <w:t>（</w:t>
      </w:r>
      <w:r>
        <w:rPr>
          <w:rFonts w:hint="eastAsia"/>
          <w:color w:val="auto"/>
          <w:szCs w:val="21"/>
          <w:highlight w:val="none"/>
          <w:lang w:val="en-US" w:eastAsia="zh-CN"/>
        </w:rPr>
        <w:t>8</w:t>
      </w:r>
      <w:r>
        <w:rPr>
          <w:color w:val="auto"/>
          <w:szCs w:val="21"/>
          <w:highlight w:val="none"/>
        </w:rPr>
        <w:t>）投标人认为有必要提交的其他商务技术说明文件和资料 。</w:t>
      </w:r>
    </w:p>
    <w:p w14:paraId="2381F7B3">
      <w:pPr>
        <w:spacing w:line="360" w:lineRule="auto"/>
        <w:jc w:val="center"/>
        <w:rPr>
          <w:rFonts w:ascii="仿宋" w:hAnsi="仿宋" w:eastAsia="仿宋" w:cs="仿宋"/>
          <w:b/>
          <w:color w:val="auto"/>
          <w:szCs w:val="21"/>
          <w:highlight w:val="none"/>
        </w:rPr>
      </w:pPr>
    </w:p>
    <w:p w14:paraId="18FE8AB4">
      <w:pPr>
        <w:snapToGrid w:val="0"/>
        <w:spacing w:line="360" w:lineRule="auto"/>
        <w:jc w:val="center"/>
        <w:rPr>
          <w:rFonts w:eastAsia="仿宋"/>
          <w:bCs/>
          <w:color w:val="auto"/>
          <w:sz w:val="24"/>
          <w:highlight w:val="none"/>
          <w:lang w:bidi="ar"/>
        </w:rPr>
      </w:pPr>
      <w:r>
        <w:rPr>
          <w:rFonts w:hint="eastAsia" w:ascii="仿宋" w:hAnsi="仿宋" w:eastAsia="仿宋" w:cs="仿宋"/>
          <w:color w:val="auto"/>
          <w:szCs w:val="21"/>
          <w:highlight w:val="none"/>
        </w:rPr>
        <w:br w:type="page"/>
      </w:r>
    </w:p>
    <w:p w14:paraId="17EDA4F2">
      <w:pPr>
        <w:jc w:val="center"/>
        <w:rPr>
          <w:b/>
          <w:color w:val="auto"/>
          <w:sz w:val="32"/>
          <w:szCs w:val="32"/>
          <w:highlight w:val="none"/>
        </w:rPr>
        <w:sectPr>
          <w:pgSz w:w="11907" w:h="16840"/>
          <w:pgMar w:top="1276" w:right="1474" w:bottom="1242" w:left="1474" w:header="851" w:footer="851" w:gutter="0"/>
          <w:cols w:space="720" w:num="1"/>
          <w:docGrid w:linePitch="312" w:charSpace="0"/>
        </w:sectPr>
      </w:pPr>
    </w:p>
    <w:p w14:paraId="2FCAE0C3">
      <w:pPr>
        <w:widowControl/>
        <w:spacing w:line="400" w:lineRule="exact"/>
        <w:jc w:val="center"/>
        <w:rPr>
          <w:b/>
          <w:color w:val="auto"/>
          <w:sz w:val="24"/>
          <w:szCs w:val="21"/>
          <w:highlight w:val="none"/>
        </w:rPr>
      </w:pPr>
      <w:r>
        <w:rPr>
          <w:b/>
          <w:color w:val="auto"/>
          <w:sz w:val="24"/>
          <w:szCs w:val="21"/>
          <w:highlight w:val="none"/>
        </w:rPr>
        <w:t>投标函</w:t>
      </w:r>
    </w:p>
    <w:p w14:paraId="4B0DD151">
      <w:pPr>
        <w:pStyle w:val="15"/>
        <w:widowControl/>
        <w:spacing w:before="120" w:beforeLines="50" w:after="120" w:afterLines="50" w:line="360" w:lineRule="auto"/>
        <w:ind w:firstLine="0"/>
        <w:jc w:val="left"/>
        <w:rPr>
          <w:rFonts w:ascii="Times New Roman"/>
          <w:b/>
          <w:color w:val="auto"/>
          <w:sz w:val="21"/>
          <w:szCs w:val="21"/>
          <w:highlight w:val="none"/>
        </w:rPr>
      </w:pPr>
      <w:r>
        <w:rPr>
          <w:rFonts w:ascii="Times New Roman"/>
          <w:b/>
          <w:color w:val="auto"/>
          <w:sz w:val="21"/>
          <w:szCs w:val="21"/>
          <w:highlight w:val="none"/>
        </w:rPr>
        <w:t>致：</w:t>
      </w:r>
      <w:r>
        <w:rPr>
          <w:rFonts w:hint="eastAsia" w:ascii="Times New Roman"/>
          <w:b/>
          <w:color w:val="auto"/>
          <w:sz w:val="21"/>
          <w:szCs w:val="21"/>
          <w:highlight w:val="none"/>
        </w:rPr>
        <w:t>宁波慧泽工程管理咨询有限公司</w:t>
      </w:r>
    </w:p>
    <w:p w14:paraId="3244A3F5">
      <w:pPr>
        <w:pStyle w:val="15"/>
        <w:widowControl/>
        <w:spacing w:line="360" w:lineRule="auto"/>
        <w:ind w:firstLine="0"/>
        <w:jc w:val="left"/>
        <w:rPr>
          <w:rFonts w:ascii="Times New Roman"/>
          <w:color w:val="auto"/>
          <w:sz w:val="21"/>
          <w:szCs w:val="21"/>
          <w:highlight w:val="none"/>
        </w:rPr>
      </w:pPr>
      <w:r>
        <w:rPr>
          <w:rFonts w:ascii="Times New Roman"/>
          <w:color w:val="auto"/>
          <w:sz w:val="21"/>
          <w:szCs w:val="21"/>
          <w:highlight w:val="none"/>
        </w:rPr>
        <w:t xml:space="preserve">    </w:t>
      </w:r>
      <w:r>
        <w:rPr>
          <w:rFonts w:ascii="Times New Roman"/>
          <w:color w:val="auto"/>
          <w:sz w:val="21"/>
          <w:szCs w:val="21"/>
          <w:highlight w:val="none"/>
          <w:u w:val="single"/>
        </w:rPr>
        <w:t xml:space="preserve">   （投标人全称）   </w:t>
      </w:r>
      <w:r>
        <w:rPr>
          <w:rFonts w:ascii="Times New Roman"/>
          <w:color w:val="auto"/>
          <w:sz w:val="21"/>
          <w:szCs w:val="21"/>
          <w:highlight w:val="none"/>
        </w:rPr>
        <w:t xml:space="preserve"> 授权</w:t>
      </w:r>
      <w:r>
        <w:rPr>
          <w:rFonts w:ascii="Times New Roman"/>
          <w:color w:val="auto"/>
          <w:sz w:val="21"/>
          <w:szCs w:val="21"/>
          <w:highlight w:val="none"/>
          <w:u w:val="single"/>
        </w:rPr>
        <w:t xml:space="preserve"> （授权代表姓名、职务）   </w:t>
      </w:r>
      <w:r>
        <w:rPr>
          <w:rFonts w:ascii="Times New Roman"/>
          <w:color w:val="auto"/>
          <w:sz w:val="21"/>
          <w:szCs w:val="21"/>
          <w:highlight w:val="none"/>
        </w:rPr>
        <w:t xml:space="preserve">为本公司合法代理人，参加贵方组织的 </w:t>
      </w:r>
      <w:r>
        <w:rPr>
          <w:rFonts w:ascii="Times New Roman"/>
          <w:color w:val="auto"/>
          <w:sz w:val="21"/>
          <w:szCs w:val="21"/>
          <w:highlight w:val="none"/>
          <w:u w:val="single"/>
        </w:rPr>
        <w:t xml:space="preserve">   （项目编号、项目名称） </w:t>
      </w:r>
      <w:r>
        <w:rPr>
          <w:rFonts w:ascii="Times New Roman"/>
          <w:color w:val="auto"/>
          <w:sz w:val="21"/>
          <w:szCs w:val="21"/>
          <w:highlight w:val="none"/>
        </w:rPr>
        <w:t>招投标活动，代表本公司（单位）处理招投标活动中的一切事宜，在此：</w:t>
      </w:r>
    </w:p>
    <w:p w14:paraId="71C2321D">
      <w:pPr>
        <w:pStyle w:val="15"/>
        <w:widowControl/>
        <w:numPr>
          <w:ilvl w:val="0"/>
          <w:numId w:val="22"/>
        </w:numPr>
        <w:spacing w:before="120" w:beforeLines="50" w:line="360" w:lineRule="auto"/>
        <w:jc w:val="left"/>
        <w:rPr>
          <w:rFonts w:ascii="Times New Roman"/>
          <w:color w:val="auto"/>
          <w:sz w:val="21"/>
          <w:szCs w:val="21"/>
          <w:highlight w:val="none"/>
        </w:rPr>
      </w:pPr>
      <w:r>
        <w:rPr>
          <w:rFonts w:ascii="Times New Roman"/>
          <w:color w:val="auto"/>
          <w:sz w:val="21"/>
          <w:szCs w:val="21"/>
          <w:highlight w:val="none"/>
        </w:rPr>
        <w:t>提供采购文件中“投标须知”规定的全部投标文件：</w:t>
      </w:r>
    </w:p>
    <w:p w14:paraId="2D396757">
      <w:pPr>
        <w:pStyle w:val="15"/>
        <w:numPr>
          <w:ilvl w:val="0"/>
          <w:numId w:val="23"/>
        </w:numPr>
        <w:spacing w:line="360" w:lineRule="exact"/>
        <w:rPr>
          <w:rFonts w:ascii="Times New Roman"/>
          <w:color w:val="auto"/>
          <w:sz w:val="21"/>
          <w:szCs w:val="21"/>
          <w:highlight w:val="none"/>
        </w:rPr>
      </w:pPr>
      <w:r>
        <w:rPr>
          <w:rFonts w:ascii="Times New Roman"/>
          <w:color w:val="auto"/>
          <w:sz w:val="21"/>
          <w:szCs w:val="21"/>
          <w:highlight w:val="none"/>
        </w:rPr>
        <w:t>上传到政府采购云平台的电子投标文件（含资信证明文件、商务技术文件、报价文件）：1份。</w:t>
      </w:r>
    </w:p>
    <w:p w14:paraId="680EFDC7">
      <w:pPr>
        <w:pStyle w:val="15"/>
        <w:numPr>
          <w:ilvl w:val="0"/>
          <w:numId w:val="23"/>
        </w:numPr>
        <w:spacing w:line="360" w:lineRule="exact"/>
        <w:rPr>
          <w:rFonts w:ascii="Times New Roman"/>
          <w:color w:val="auto"/>
          <w:sz w:val="21"/>
          <w:szCs w:val="21"/>
          <w:highlight w:val="none"/>
        </w:rPr>
      </w:pPr>
      <w:r>
        <w:rPr>
          <w:rFonts w:ascii="Times New Roman"/>
          <w:color w:val="auto"/>
          <w:sz w:val="21"/>
          <w:szCs w:val="21"/>
          <w:highlight w:val="none"/>
        </w:rPr>
        <w:t>以U盘存储的电子备份投标文件1份。</w:t>
      </w:r>
    </w:p>
    <w:p w14:paraId="3852D788">
      <w:pPr>
        <w:pStyle w:val="15"/>
        <w:widowControl/>
        <w:numPr>
          <w:ilvl w:val="0"/>
          <w:numId w:val="22"/>
        </w:numPr>
        <w:spacing w:before="120" w:beforeLines="50" w:line="360" w:lineRule="auto"/>
        <w:jc w:val="left"/>
        <w:rPr>
          <w:rFonts w:ascii="Times New Roman"/>
          <w:color w:val="auto"/>
          <w:sz w:val="21"/>
          <w:szCs w:val="21"/>
          <w:highlight w:val="none"/>
        </w:rPr>
      </w:pPr>
      <w:r>
        <w:rPr>
          <w:rFonts w:ascii="Times New Roman"/>
          <w:color w:val="auto"/>
          <w:sz w:val="21"/>
          <w:szCs w:val="21"/>
          <w:highlight w:val="none"/>
        </w:rPr>
        <w:t>据此函，签字代表宣布并承诺如下：</w:t>
      </w:r>
    </w:p>
    <w:p w14:paraId="2A205CE9">
      <w:pPr>
        <w:pStyle w:val="15"/>
        <w:numPr>
          <w:ilvl w:val="0"/>
          <w:numId w:val="24"/>
        </w:numPr>
        <w:spacing w:line="360" w:lineRule="exact"/>
        <w:rPr>
          <w:rFonts w:ascii="Times New Roman"/>
          <w:color w:val="auto"/>
          <w:sz w:val="21"/>
          <w:szCs w:val="21"/>
          <w:highlight w:val="none"/>
        </w:rPr>
      </w:pPr>
      <w:r>
        <w:rPr>
          <w:rFonts w:ascii="Times New Roman"/>
          <w:color w:val="auto"/>
          <w:sz w:val="21"/>
          <w:szCs w:val="21"/>
          <w:highlight w:val="none"/>
        </w:rPr>
        <w:t>投标报价为开标一览表载明的投标报价。</w:t>
      </w:r>
    </w:p>
    <w:p w14:paraId="06780156">
      <w:pPr>
        <w:pStyle w:val="15"/>
        <w:tabs>
          <w:tab w:val="left" w:pos="1200"/>
        </w:tabs>
        <w:spacing w:line="360" w:lineRule="exact"/>
        <w:ind w:left="1200" w:firstLine="0"/>
        <w:rPr>
          <w:rFonts w:ascii="Times New Roman"/>
          <w:color w:val="auto"/>
          <w:sz w:val="21"/>
          <w:szCs w:val="21"/>
          <w:highlight w:val="none"/>
        </w:rPr>
      </w:pPr>
      <w:r>
        <w:rPr>
          <w:rFonts w:ascii="Times New Roman"/>
          <w:color w:val="auto"/>
          <w:sz w:val="21"/>
          <w:szCs w:val="21"/>
          <w:highlight w:val="none"/>
        </w:rPr>
        <w:t>本报价已经包含了投标项目应纳的税金及采购文件规定的报价方式应包含的其它费用。本报价在投标有效期内固定不变，并在合同有效期内不受利率波动的影响。</w:t>
      </w:r>
    </w:p>
    <w:p w14:paraId="4CF6FB5F">
      <w:pPr>
        <w:pStyle w:val="15"/>
        <w:numPr>
          <w:ilvl w:val="0"/>
          <w:numId w:val="24"/>
        </w:numPr>
        <w:spacing w:line="360" w:lineRule="exact"/>
        <w:rPr>
          <w:rFonts w:ascii="Times New Roman"/>
          <w:color w:val="auto"/>
          <w:sz w:val="21"/>
          <w:szCs w:val="21"/>
          <w:highlight w:val="none"/>
        </w:rPr>
      </w:pPr>
      <w:r>
        <w:rPr>
          <w:rFonts w:ascii="Times New Roman"/>
          <w:color w:val="auto"/>
          <w:sz w:val="21"/>
          <w:szCs w:val="21"/>
          <w:highlight w:val="none"/>
        </w:rPr>
        <w:t>本投标文件自开标之日起</w:t>
      </w:r>
      <w:r>
        <w:rPr>
          <w:rFonts w:ascii="Times New Roman"/>
          <w:color w:val="auto"/>
          <w:sz w:val="21"/>
          <w:szCs w:val="21"/>
          <w:highlight w:val="none"/>
          <w:u w:val="single"/>
        </w:rPr>
        <w:t xml:space="preserve">  90  </w:t>
      </w:r>
      <w:r>
        <w:rPr>
          <w:rFonts w:ascii="Times New Roman"/>
          <w:color w:val="auto"/>
          <w:sz w:val="21"/>
          <w:szCs w:val="21"/>
          <w:highlight w:val="none"/>
        </w:rPr>
        <w:t>天内有效。</w:t>
      </w:r>
    </w:p>
    <w:p w14:paraId="7F910A43">
      <w:pPr>
        <w:pStyle w:val="15"/>
        <w:numPr>
          <w:ilvl w:val="0"/>
          <w:numId w:val="24"/>
        </w:numPr>
        <w:spacing w:line="360" w:lineRule="exact"/>
        <w:rPr>
          <w:rFonts w:ascii="Times New Roman"/>
          <w:color w:val="auto"/>
          <w:sz w:val="21"/>
          <w:szCs w:val="21"/>
          <w:highlight w:val="none"/>
        </w:rPr>
      </w:pPr>
      <w:r>
        <w:rPr>
          <w:rFonts w:ascii="Times New Roman"/>
          <w:color w:val="auto"/>
          <w:sz w:val="21"/>
          <w:szCs w:val="21"/>
          <w:highlight w:val="none"/>
        </w:rPr>
        <w:t>我们已详细审查全部采购文件及有关的澄清/修改文件(若有)，我们完全理解并同意放弃对这方面提出任何异议的权利。</w:t>
      </w:r>
    </w:p>
    <w:p w14:paraId="03532618">
      <w:pPr>
        <w:pStyle w:val="15"/>
        <w:numPr>
          <w:ilvl w:val="0"/>
          <w:numId w:val="24"/>
        </w:numPr>
        <w:spacing w:line="360" w:lineRule="exact"/>
        <w:rPr>
          <w:rFonts w:ascii="Times New Roman"/>
          <w:color w:val="auto"/>
          <w:sz w:val="21"/>
          <w:szCs w:val="21"/>
          <w:highlight w:val="none"/>
        </w:rPr>
      </w:pPr>
      <w:r>
        <w:rPr>
          <w:rFonts w:ascii="Times New Roman"/>
          <w:color w:val="auto"/>
          <w:sz w:val="21"/>
          <w:szCs w:val="21"/>
          <w:highlight w:val="none"/>
        </w:rPr>
        <w:t>保证遵守采购文件有关条款规定。</w:t>
      </w:r>
    </w:p>
    <w:p w14:paraId="455B4262">
      <w:pPr>
        <w:pStyle w:val="15"/>
        <w:numPr>
          <w:ilvl w:val="0"/>
          <w:numId w:val="24"/>
        </w:numPr>
        <w:spacing w:line="360" w:lineRule="exact"/>
        <w:rPr>
          <w:rFonts w:ascii="Times New Roman"/>
          <w:color w:val="auto"/>
          <w:sz w:val="21"/>
          <w:szCs w:val="21"/>
          <w:highlight w:val="none"/>
        </w:rPr>
      </w:pPr>
      <w:r>
        <w:rPr>
          <w:rFonts w:ascii="Times New Roman"/>
          <w:color w:val="auto"/>
          <w:sz w:val="21"/>
          <w:szCs w:val="21"/>
          <w:highlight w:val="none"/>
        </w:rPr>
        <w:t>保证在中标后忠实地执行与采购人所签署的合同，并承担合同规定的责任义务。</w:t>
      </w:r>
    </w:p>
    <w:p w14:paraId="0A705169">
      <w:pPr>
        <w:pStyle w:val="15"/>
        <w:numPr>
          <w:ilvl w:val="0"/>
          <w:numId w:val="24"/>
        </w:numPr>
        <w:spacing w:line="360" w:lineRule="exact"/>
        <w:rPr>
          <w:rFonts w:ascii="Times New Roman"/>
          <w:color w:val="auto"/>
          <w:sz w:val="21"/>
          <w:szCs w:val="21"/>
          <w:highlight w:val="none"/>
        </w:rPr>
      </w:pPr>
      <w:r>
        <w:rPr>
          <w:rFonts w:ascii="Times New Roman"/>
          <w:color w:val="auto"/>
          <w:sz w:val="21"/>
          <w:szCs w:val="21"/>
          <w:highlight w:val="none"/>
        </w:rPr>
        <w:t>完全同意采购文件中有关招标代理服务费的条款，保证在中标后按照采购文件规定的金额、时间和方式，向贵方一次性交纳中标服务费。我方如逾期未交纳（含未足额）的，愿凭贵方开出的违约通知，按上述规定应交纳金额（含欠交纳）的200%交纳违约金和滞纳的银行利息。承诺在未交足上述违约金和利息前，同意不再参加贵方代理的其他项目，如果贵方不接受我们的投标，我们自愿放弃任何方式进行抗辩的权力。</w:t>
      </w:r>
    </w:p>
    <w:p w14:paraId="175F5862">
      <w:pPr>
        <w:pStyle w:val="15"/>
        <w:numPr>
          <w:ilvl w:val="0"/>
          <w:numId w:val="24"/>
        </w:numPr>
        <w:spacing w:line="360" w:lineRule="exact"/>
        <w:rPr>
          <w:rFonts w:ascii="Times New Roman"/>
          <w:color w:val="auto"/>
          <w:sz w:val="21"/>
          <w:szCs w:val="21"/>
          <w:highlight w:val="none"/>
        </w:rPr>
      </w:pPr>
      <w:r>
        <w:rPr>
          <w:rFonts w:ascii="Times New Roman"/>
          <w:color w:val="auto"/>
          <w:sz w:val="21"/>
          <w:szCs w:val="21"/>
          <w:highlight w:val="none"/>
        </w:rPr>
        <w:t>我们郑重声明：我公司符合政府采购法规定的参加政府采购活动应当具备的条件：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14:paraId="6114B7E6">
      <w:pPr>
        <w:pStyle w:val="15"/>
        <w:tabs>
          <w:tab w:val="left" w:pos="1200"/>
        </w:tabs>
        <w:spacing w:line="360" w:lineRule="exact"/>
        <w:ind w:left="1200" w:firstLine="0"/>
        <w:rPr>
          <w:rFonts w:ascii="Times New Roman"/>
          <w:color w:val="auto"/>
          <w:sz w:val="21"/>
          <w:szCs w:val="21"/>
          <w:highlight w:val="none"/>
        </w:rPr>
      </w:pPr>
    </w:p>
    <w:p w14:paraId="5DDE92D2">
      <w:pPr>
        <w:pStyle w:val="15"/>
        <w:widowControl/>
        <w:numPr>
          <w:ilvl w:val="0"/>
          <w:numId w:val="22"/>
        </w:numPr>
        <w:spacing w:before="120" w:beforeLines="50" w:line="360" w:lineRule="auto"/>
        <w:jc w:val="left"/>
        <w:rPr>
          <w:rFonts w:ascii="Times New Roman"/>
          <w:color w:val="auto"/>
          <w:sz w:val="21"/>
          <w:szCs w:val="21"/>
          <w:highlight w:val="none"/>
        </w:rPr>
      </w:pPr>
      <w:r>
        <w:rPr>
          <w:rFonts w:ascii="Times New Roman"/>
          <w:color w:val="auto"/>
          <w:sz w:val="21"/>
          <w:szCs w:val="21"/>
          <w:highlight w:val="none"/>
        </w:rPr>
        <w:t>与本项目投标有关的一切往来通讯请寄：</w:t>
      </w:r>
    </w:p>
    <w:p w14:paraId="27B11CC6">
      <w:pPr>
        <w:pStyle w:val="15"/>
        <w:spacing w:line="360" w:lineRule="exact"/>
        <w:ind w:left="480" w:firstLine="0"/>
        <w:rPr>
          <w:rFonts w:ascii="Times New Roman"/>
          <w:color w:val="auto"/>
          <w:sz w:val="21"/>
          <w:szCs w:val="21"/>
          <w:highlight w:val="none"/>
        </w:rPr>
      </w:pPr>
      <w:r>
        <w:rPr>
          <w:rFonts w:ascii="Times New Roman"/>
          <w:color w:val="auto"/>
          <w:sz w:val="21"/>
          <w:szCs w:val="21"/>
          <w:highlight w:val="none"/>
        </w:rPr>
        <w:t>地址：</w:t>
      </w:r>
      <w:r>
        <w:rPr>
          <w:rFonts w:ascii="Times New Roman"/>
          <w:color w:val="auto"/>
          <w:sz w:val="21"/>
          <w:szCs w:val="21"/>
          <w:highlight w:val="none"/>
          <w:u w:val="single"/>
        </w:rPr>
        <w:t xml:space="preserve">                                                   </w:t>
      </w:r>
    </w:p>
    <w:p w14:paraId="29EAD18A">
      <w:pPr>
        <w:pStyle w:val="15"/>
        <w:spacing w:line="360" w:lineRule="exact"/>
        <w:ind w:left="480" w:firstLine="0"/>
        <w:rPr>
          <w:rFonts w:ascii="Times New Roman"/>
          <w:color w:val="auto"/>
          <w:sz w:val="21"/>
          <w:szCs w:val="21"/>
          <w:highlight w:val="none"/>
          <w:u w:val="single"/>
        </w:rPr>
      </w:pPr>
      <w:r>
        <w:rPr>
          <w:rFonts w:ascii="Times New Roman"/>
          <w:color w:val="auto"/>
          <w:sz w:val="21"/>
          <w:szCs w:val="21"/>
          <w:highlight w:val="none"/>
        </w:rPr>
        <w:t>邮编：</w:t>
      </w:r>
      <w:r>
        <w:rPr>
          <w:rFonts w:ascii="Times New Roman"/>
          <w:color w:val="auto"/>
          <w:sz w:val="21"/>
          <w:szCs w:val="21"/>
          <w:highlight w:val="none"/>
          <w:u w:val="single"/>
        </w:rPr>
        <w:t xml:space="preserve">            </w:t>
      </w:r>
      <w:r>
        <w:rPr>
          <w:rFonts w:ascii="Times New Roman"/>
          <w:color w:val="auto"/>
          <w:sz w:val="21"/>
          <w:szCs w:val="21"/>
          <w:highlight w:val="none"/>
        </w:rPr>
        <w:t>电话：</w:t>
      </w:r>
      <w:r>
        <w:rPr>
          <w:rFonts w:ascii="Times New Roman"/>
          <w:color w:val="auto"/>
          <w:sz w:val="21"/>
          <w:szCs w:val="21"/>
          <w:highlight w:val="none"/>
          <w:u w:val="single"/>
        </w:rPr>
        <w:t xml:space="preserve">              </w:t>
      </w:r>
      <w:r>
        <w:rPr>
          <w:rFonts w:ascii="Times New Roman"/>
          <w:color w:val="auto"/>
          <w:sz w:val="21"/>
          <w:szCs w:val="21"/>
          <w:highlight w:val="none"/>
        </w:rPr>
        <w:t>传真：</w:t>
      </w:r>
      <w:r>
        <w:rPr>
          <w:rFonts w:ascii="Times New Roman"/>
          <w:color w:val="auto"/>
          <w:sz w:val="21"/>
          <w:szCs w:val="21"/>
          <w:highlight w:val="none"/>
          <w:u w:val="single"/>
        </w:rPr>
        <w:t xml:space="preserve">             </w:t>
      </w:r>
    </w:p>
    <w:p w14:paraId="0FAE5D1B">
      <w:pPr>
        <w:pStyle w:val="15"/>
        <w:widowControl/>
        <w:spacing w:line="360" w:lineRule="auto"/>
        <w:ind w:left="614" w:leftChars="100" w:hanging="404" w:hangingChars="200"/>
        <w:jc w:val="left"/>
        <w:rPr>
          <w:rFonts w:ascii="Times New Roman"/>
          <w:color w:val="auto"/>
          <w:sz w:val="21"/>
          <w:szCs w:val="21"/>
          <w:highlight w:val="none"/>
        </w:rPr>
      </w:pPr>
    </w:p>
    <w:p w14:paraId="6E3F191F">
      <w:pPr>
        <w:widowControl/>
        <w:spacing w:line="360" w:lineRule="auto"/>
        <w:ind w:firstLine="420" w:firstLineChars="200"/>
        <w:jc w:val="left"/>
        <w:rPr>
          <w:color w:val="auto"/>
          <w:szCs w:val="22"/>
          <w:highlight w:val="none"/>
        </w:rPr>
      </w:pPr>
      <w:r>
        <w:rPr>
          <w:color w:val="auto"/>
          <w:szCs w:val="22"/>
          <w:highlight w:val="none"/>
        </w:rPr>
        <w:t xml:space="preserve">投 标 人  （盖章）：                  </w:t>
      </w:r>
    </w:p>
    <w:p w14:paraId="34BDA13C">
      <w:pPr>
        <w:widowControl/>
        <w:spacing w:line="360" w:lineRule="auto"/>
        <w:ind w:firstLine="420" w:firstLineChars="200"/>
        <w:jc w:val="left"/>
        <w:rPr>
          <w:color w:val="auto"/>
          <w:szCs w:val="22"/>
          <w:highlight w:val="none"/>
        </w:rPr>
      </w:pPr>
      <w:r>
        <w:rPr>
          <w:color w:val="auto"/>
          <w:szCs w:val="22"/>
          <w:highlight w:val="none"/>
        </w:rPr>
        <w:t>法定代表人或其授权代表（签字或盖章）：</w:t>
      </w:r>
    </w:p>
    <w:p w14:paraId="5C6FE441">
      <w:pPr>
        <w:widowControl/>
        <w:spacing w:line="360" w:lineRule="auto"/>
        <w:ind w:firstLine="420" w:firstLineChars="200"/>
        <w:jc w:val="left"/>
        <w:rPr>
          <w:color w:val="auto"/>
          <w:szCs w:val="22"/>
          <w:highlight w:val="none"/>
        </w:rPr>
      </w:pPr>
      <w:r>
        <w:rPr>
          <w:color w:val="auto"/>
          <w:szCs w:val="22"/>
          <w:highlight w:val="none"/>
        </w:rPr>
        <w:t>日  期：</w:t>
      </w:r>
    </w:p>
    <w:p w14:paraId="2F207604">
      <w:pPr>
        <w:jc w:val="center"/>
        <w:rPr>
          <w:b/>
          <w:color w:val="auto"/>
          <w:sz w:val="32"/>
          <w:szCs w:val="32"/>
          <w:highlight w:val="none"/>
        </w:rPr>
        <w:sectPr>
          <w:pgSz w:w="11907" w:h="16840"/>
          <w:pgMar w:top="1276" w:right="1474" w:bottom="1242" w:left="1474" w:header="851" w:footer="851" w:gutter="0"/>
          <w:cols w:space="720" w:num="1"/>
          <w:docGrid w:linePitch="312" w:charSpace="0"/>
        </w:sectPr>
      </w:pPr>
    </w:p>
    <w:p w14:paraId="7F391E42">
      <w:pPr>
        <w:jc w:val="center"/>
        <w:rPr>
          <w:b/>
          <w:color w:val="auto"/>
          <w:sz w:val="32"/>
          <w:szCs w:val="32"/>
          <w:highlight w:val="none"/>
        </w:rPr>
      </w:pPr>
      <w:r>
        <w:rPr>
          <w:b/>
          <w:color w:val="auto"/>
          <w:sz w:val="32"/>
          <w:szCs w:val="32"/>
          <w:highlight w:val="none"/>
        </w:rPr>
        <w:t>法定代表人身份证明</w:t>
      </w:r>
    </w:p>
    <w:p w14:paraId="4F1D2A42">
      <w:pPr>
        <w:spacing w:line="480" w:lineRule="auto"/>
        <w:ind w:firstLine="420" w:firstLineChars="200"/>
        <w:rPr>
          <w:color w:val="auto"/>
          <w:szCs w:val="21"/>
          <w:highlight w:val="none"/>
        </w:rPr>
      </w:pPr>
    </w:p>
    <w:p w14:paraId="68791AA6">
      <w:pPr>
        <w:spacing w:line="400" w:lineRule="exact"/>
        <w:ind w:left="420" w:leftChars="200" w:firstLine="630" w:firstLineChars="300"/>
        <w:rPr>
          <w:color w:val="auto"/>
          <w:szCs w:val="21"/>
          <w:highlight w:val="none"/>
        </w:rPr>
      </w:pPr>
      <w:r>
        <w:rPr>
          <w:color w:val="auto"/>
          <w:szCs w:val="21"/>
          <w:highlight w:val="none"/>
        </w:rPr>
        <w:t>单位名称：</w:t>
      </w:r>
      <w:r>
        <w:rPr>
          <w:b/>
          <w:bCs/>
          <w:color w:val="auto"/>
          <w:szCs w:val="21"/>
          <w:highlight w:val="none"/>
        </w:rPr>
        <w:t xml:space="preserve"> </w:t>
      </w:r>
      <w:r>
        <w:rPr>
          <w:color w:val="auto"/>
          <w:szCs w:val="21"/>
          <w:highlight w:val="none"/>
          <w:u w:val="single"/>
        </w:rPr>
        <w:t xml:space="preserve">        </w:t>
      </w:r>
      <w:r>
        <w:rPr>
          <w:rFonts w:hint="eastAsia"/>
          <w:color w:val="auto"/>
          <w:szCs w:val="21"/>
          <w:highlight w:val="none"/>
          <w:u w:val="single"/>
        </w:rPr>
        <w:t xml:space="preserve">                              </w:t>
      </w:r>
    </w:p>
    <w:p w14:paraId="6D77B222">
      <w:pPr>
        <w:spacing w:line="400" w:lineRule="exact"/>
        <w:ind w:left="420"/>
        <w:rPr>
          <w:color w:val="auto"/>
          <w:szCs w:val="21"/>
          <w:highlight w:val="none"/>
        </w:rPr>
      </w:pPr>
    </w:p>
    <w:p w14:paraId="4B9BA5BD">
      <w:pPr>
        <w:spacing w:line="400" w:lineRule="exact"/>
        <w:ind w:left="420" w:leftChars="200" w:firstLine="630" w:firstLineChars="300"/>
        <w:rPr>
          <w:color w:val="auto"/>
          <w:szCs w:val="21"/>
          <w:highlight w:val="none"/>
        </w:rPr>
      </w:pPr>
      <w:r>
        <w:rPr>
          <w:color w:val="auto"/>
          <w:szCs w:val="21"/>
          <w:highlight w:val="none"/>
        </w:rPr>
        <w:t>地址：</w:t>
      </w:r>
      <w:r>
        <w:rPr>
          <w:b/>
          <w:bCs/>
          <w:color w:val="auto"/>
          <w:szCs w:val="21"/>
          <w:highlight w:val="non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 xml:space="preserve">     </w:t>
      </w:r>
    </w:p>
    <w:p w14:paraId="77179BF3">
      <w:pPr>
        <w:spacing w:line="400" w:lineRule="exact"/>
        <w:ind w:left="420"/>
        <w:rPr>
          <w:color w:val="auto"/>
          <w:szCs w:val="21"/>
          <w:highlight w:val="none"/>
        </w:rPr>
      </w:pPr>
    </w:p>
    <w:p w14:paraId="63103111">
      <w:pPr>
        <w:spacing w:line="400" w:lineRule="exact"/>
        <w:ind w:left="420" w:leftChars="200" w:firstLine="630" w:firstLineChars="300"/>
        <w:rPr>
          <w:color w:val="auto"/>
          <w:szCs w:val="21"/>
          <w:highlight w:val="none"/>
        </w:rPr>
      </w:pPr>
      <w:r>
        <w:rPr>
          <w:color w:val="auto"/>
          <w:szCs w:val="21"/>
          <w:highlight w:val="none"/>
        </w:rPr>
        <w:t>姓名：</w:t>
      </w:r>
      <w:r>
        <w:rPr>
          <w:color w:val="auto"/>
          <w:szCs w:val="21"/>
          <w:highlight w:val="none"/>
          <w:u w:val="single"/>
        </w:rPr>
        <w:t xml:space="preserve">         </w:t>
      </w:r>
      <w:r>
        <w:rPr>
          <w:color w:val="auto"/>
          <w:szCs w:val="21"/>
          <w:highlight w:val="none"/>
        </w:rPr>
        <w:t xml:space="preserve"> 性别： </w:t>
      </w:r>
      <w:r>
        <w:rPr>
          <w:color w:val="auto"/>
          <w:szCs w:val="21"/>
          <w:highlight w:val="none"/>
          <w:u w:val="single"/>
        </w:rPr>
        <w:t xml:space="preserve">         </w:t>
      </w:r>
      <w:r>
        <w:rPr>
          <w:color w:val="auto"/>
          <w:szCs w:val="21"/>
          <w:highlight w:val="none"/>
        </w:rPr>
        <w:t xml:space="preserve"> 年龄：</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r>
        <w:rPr>
          <w:color w:val="auto"/>
          <w:szCs w:val="21"/>
          <w:highlight w:val="none"/>
        </w:rPr>
        <w:t xml:space="preserve"> </w:t>
      </w:r>
    </w:p>
    <w:p w14:paraId="7CA4A80D">
      <w:pPr>
        <w:spacing w:line="400" w:lineRule="exact"/>
        <w:ind w:left="420"/>
        <w:rPr>
          <w:color w:val="auto"/>
          <w:szCs w:val="21"/>
          <w:highlight w:val="none"/>
        </w:rPr>
      </w:pPr>
    </w:p>
    <w:p w14:paraId="76537D85">
      <w:pPr>
        <w:spacing w:line="400" w:lineRule="exact"/>
        <w:ind w:left="525" w:leftChars="250" w:firstLine="525" w:firstLineChars="250"/>
        <w:rPr>
          <w:color w:val="auto"/>
          <w:szCs w:val="21"/>
          <w:highlight w:val="none"/>
        </w:rPr>
      </w:pPr>
      <w:r>
        <w:rPr>
          <w:color w:val="auto"/>
          <w:szCs w:val="21"/>
          <w:highlight w:val="none"/>
        </w:rPr>
        <w:t xml:space="preserve">本人系 </w:t>
      </w:r>
      <w:r>
        <w:rPr>
          <w:color w:val="auto"/>
          <w:szCs w:val="21"/>
          <w:highlight w:val="none"/>
          <w:u w:val="single"/>
        </w:rPr>
        <w:t xml:space="preserve">     &lt;投标人名称&gt;      </w:t>
      </w:r>
      <w:r>
        <w:rPr>
          <w:color w:val="auto"/>
          <w:szCs w:val="21"/>
          <w:highlight w:val="none"/>
        </w:rPr>
        <w:t>的法定代表人。 就参加</w:t>
      </w:r>
      <w:r>
        <w:rPr>
          <w:color w:val="auto"/>
          <w:szCs w:val="21"/>
          <w:highlight w:val="none"/>
          <w:u w:val="single"/>
        </w:rPr>
        <w:t xml:space="preserve">    [采购人名称]        </w:t>
      </w:r>
      <w:r>
        <w:rPr>
          <w:color w:val="auto"/>
          <w:szCs w:val="21"/>
          <w:highlight w:val="none"/>
        </w:rPr>
        <w:t>组织的采购编号为</w:t>
      </w:r>
      <w:r>
        <w:rPr>
          <w:color w:val="auto"/>
          <w:szCs w:val="21"/>
          <w:highlight w:val="none"/>
          <w:u w:val="single"/>
        </w:rPr>
        <w:t xml:space="preserve">      &lt;项目编号&gt;      </w:t>
      </w:r>
      <w:r>
        <w:rPr>
          <w:color w:val="auto"/>
          <w:szCs w:val="21"/>
          <w:highlight w:val="none"/>
        </w:rPr>
        <w:t>的</w:t>
      </w:r>
      <w:r>
        <w:rPr>
          <w:color w:val="auto"/>
          <w:szCs w:val="21"/>
          <w:highlight w:val="none"/>
          <w:u w:val="single"/>
        </w:rPr>
        <w:t xml:space="preserve">      &lt;项目名称&gt;      </w:t>
      </w:r>
      <w:r>
        <w:rPr>
          <w:color w:val="auto"/>
          <w:szCs w:val="21"/>
          <w:highlight w:val="none"/>
        </w:rPr>
        <w:t>公开采购项目的投标、报价，签署上述项目的投标文件及合同的执行、完成和服务，签署合同和处理与之有关的一切事务。</w:t>
      </w:r>
    </w:p>
    <w:p w14:paraId="343EA436">
      <w:pPr>
        <w:spacing w:line="400" w:lineRule="exact"/>
        <w:ind w:left="420" w:leftChars="200" w:firstLine="420" w:firstLineChars="200"/>
        <w:rPr>
          <w:color w:val="auto"/>
          <w:szCs w:val="21"/>
          <w:highlight w:val="none"/>
        </w:rPr>
      </w:pPr>
      <w:r>
        <w:rPr>
          <w:color w:val="auto"/>
          <w:szCs w:val="21"/>
          <w:highlight w:val="none"/>
        </w:rPr>
        <w:t>特此证明。</w:t>
      </w:r>
    </w:p>
    <w:p w14:paraId="15E03F8B">
      <w:pPr>
        <w:spacing w:line="400" w:lineRule="exact"/>
        <w:ind w:left="420"/>
        <w:rPr>
          <w:color w:val="auto"/>
          <w:szCs w:val="21"/>
          <w:highlight w:val="none"/>
        </w:rPr>
      </w:pPr>
    </w:p>
    <w:p w14:paraId="60FC092D">
      <w:pPr>
        <w:spacing w:line="400" w:lineRule="exact"/>
        <w:ind w:left="420"/>
        <w:rPr>
          <w:b/>
          <w:color w:val="auto"/>
          <w:szCs w:val="21"/>
          <w:highlight w:val="none"/>
        </w:rPr>
      </w:pPr>
      <w:r>
        <w:rPr>
          <w:b/>
          <w:color w:val="auto"/>
          <w:szCs w:val="21"/>
          <w:highlight w:val="none"/>
        </w:rPr>
        <w:t>（此处请粘贴法定代表人身份证复印件）</w:t>
      </w:r>
    </w:p>
    <w:p w14:paraId="2A56AF3E">
      <w:pPr>
        <w:spacing w:line="400" w:lineRule="exact"/>
        <w:ind w:left="420"/>
        <w:rPr>
          <w:color w:val="auto"/>
          <w:szCs w:val="21"/>
          <w:highlight w:val="none"/>
        </w:rPr>
      </w:pPr>
    </w:p>
    <w:p w14:paraId="1749E3AC">
      <w:pPr>
        <w:pStyle w:val="15"/>
        <w:tabs>
          <w:tab w:val="left" w:pos="4820"/>
        </w:tabs>
        <w:spacing w:line="360" w:lineRule="auto"/>
        <w:ind w:firstLine="440"/>
        <w:jc w:val="right"/>
        <w:rPr>
          <w:rFonts w:ascii="Times New Roman"/>
          <w:color w:val="auto"/>
          <w:sz w:val="22"/>
          <w:szCs w:val="21"/>
          <w:highlight w:val="none"/>
        </w:rPr>
      </w:pPr>
    </w:p>
    <w:p w14:paraId="6160583B">
      <w:pPr>
        <w:pStyle w:val="15"/>
        <w:tabs>
          <w:tab w:val="left" w:pos="5180"/>
          <w:tab w:val="left" w:pos="5921"/>
        </w:tabs>
        <w:spacing w:line="360" w:lineRule="auto"/>
        <w:ind w:right="840" w:firstLine="420"/>
        <w:rPr>
          <w:rFonts w:ascii="Times New Roman"/>
          <w:color w:val="auto"/>
          <w:spacing w:val="0"/>
          <w:kern w:val="2"/>
          <w:sz w:val="21"/>
          <w:szCs w:val="21"/>
          <w:highlight w:val="none"/>
        </w:rPr>
      </w:pPr>
      <w:r>
        <w:rPr>
          <w:rFonts w:ascii="Times New Roman"/>
          <w:color w:val="auto"/>
          <w:spacing w:val="0"/>
          <w:kern w:val="2"/>
          <w:sz w:val="21"/>
          <w:szCs w:val="21"/>
          <w:highlight w:val="none"/>
        </w:rPr>
        <w:tab/>
      </w:r>
      <w:r>
        <w:rPr>
          <w:rFonts w:ascii="Times New Roman"/>
          <w:color w:val="auto"/>
          <w:spacing w:val="0"/>
          <w:kern w:val="2"/>
          <w:sz w:val="21"/>
          <w:szCs w:val="21"/>
          <w:highlight w:val="none"/>
        </w:rPr>
        <w:tab/>
      </w:r>
      <w:r>
        <w:rPr>
          <w:rFonts w:ascii="Times New Roman"/>
          <w:color w:val="auto"/>
          <w:spacing w:val="0"/>
          <w:kern w:val="2"/>
          <w:sz w:val="21"/>
          <w:szCs w:val="21"/>
          <w:highlight w:val="none"/>
        </w:rPr>
        <w:t>投标单位： （盖章）</w:t>
      </w:r>
    </w:p>
    <w:p w14:paraId="3962516A">
      <w:pPr>
        <w:pStyle w:val="15"/>
        <w:tabs>
          <w:tab w:val="left" w:pos="4841"/>
        </w:tabs>
        <w:spacing w:line="360" w:lineRule="auto"/>
        <w:ind w:left="5250" w:right="824" w:firstLine="4515" w:firstLineChars="2150"/>
        <w:jc w:val="right"/>
        <w:rPr>
          <w:rFonts w:ascii="Times New Roman"/>
          <w:color w:val="auto"/>
          <w:spacing w:val="0"/>
          <w:kern w:val="2"/>
          <w:sz w:val="21"/>
          <w:szCs w:val="21"/>
          <w:highlight w:val="none"/>
        </w:rPr>
      </w:pPr>
    </w:p>
    <w:p w14:paraId="15C004D1">
      <w:pPr>
        <w:pStyle w:val="15"/>
        <w:tabs>
          <w:tab w:val="left" w:pos="4841"/>
        </w:tabs>
        <w:wordWrap w:val="0"/>
        <w:spacing w:line="360" w:lineRule="auto"/>
        <w:ind w:right="824"/>
        <w:jc w:val="right"/>
        <w:rPr>
          <w:rFonts w:ascii="Times New Roman"/>
          <w:color w:val="auto"/>
          <w:spacing w:val="0"/>
          <w:kern w:val="2"/>
          <w:sz w:val="21"/>
          <w:szCs w:val="21"/>
          <w:highlight w:val="none"/>
        </w:rPr>
      </w:pPr>
      <w:r>
        <w:rPr>
          <w:rFonts w:ascii="Times New Roman"/>
          <w:color w:val="auto"/>
          <w:spacing w:val="0"/>
          <w:kern w:val="2"/>
          <w:sz w:val="21"/>
          <w:szCs w:val="21"/>
          <w:highlight w:val="none"/>
        </w:rPr>
        <w:t>日期：    年   月   日</w:t>
      </w:r>
    </w:p>
    <w:p w14:paraId="16B1AAAC">
      <w:pPr>
        <w:pStyle w:val="15"/>
        <w:tabs>
          <w:tab w:val="left" w:pos="4841"/>
        </w:tabs>
        <w:spacing w:line="360" w:lineRule="auto"/>
        <w:ind w:left="5250" w:right="824" w:firstLine="3698" w:firstLineChars="2150"/>
        <w:rPr>
          <w:rFonts w:ascii="Times New Roman"/>
          <w:color w:val="auto"/>
          <w:szCs w:val="21"/>
          <w:highlight w:val="none"/>
        </w:rPr>
      </w:pPr>
    </w:p>
    <w:p w14:paraId="4DC7F13E">
      <w:pPr>
        <w:spacing w:line="400" w:lineRule="exact"/>
        <w:ind w:left="420"/>
        <w:rPr>
          <w:color w:val="auto"/>
          <w:szCs w:val="21"/>
          <w:highlight w:val="none"/>
        </w:rPr>
      </w:pPr>
    </w:p>
    <w:p w14:paraId="61C076C8">
      <w:pPr>
        <w:spacing w:line="480" w:lineRule="exact"/>
        <w:jc w:val="center"/>
        <w:rPr>
          <w:b/>
          <w:color w:val="auto"/>
          <w:kern w:val="12"/>
          <w:sz w:val="24"/>
          <w:highlight w:val="none"/>
        </w:rPr>
      </w:pPr>
    </w:p>
    <w:p w14:paraId="1AFBC5AE">
      <w:pPr>
        <w:spacing w:line="320" w:lineRule="exact"/>
        <w:ind w:left="413" w:leftChars="50" w:hanging="308" w:hangingChars="146"/>
        <w:rPr>
          <w:b/>
          <w:color w:val="auto"/>
          <w:kern w:val="12"/>
          <w:szCs w:val="21"/>
          <w:highlight w:val="none"/>
        </w:rPr>
      </w:pPr>
      <w:r>
        <w:rPr>
          <w:b/>
          <w:color w:val="auto"/>
          <w:kern w:val="12"/>
          <w:szCs w:val="21"/>
          <w:highlight w:val="none"/>
        </w:rPr>
        <w:t>注：法定代表人参加本招标项目投标的，仅须提供此证明书。</w:t>
      </w:r>
      <w:r>
        <w:rPr>
          <w:b/>
          <w:color w:val="auto"/>
          <w:kern w:val="12"/>
          <w:szCs w:val="21"/>
          <w:highlight w:val="none"/>
        </w:rPr>
        <w:br w:type="page"/>
      </w:r>
    </w:p>
    <w:p w14:paraId="0A66336B">
      <w:pPr>
        <w:spacing w:line="340" w:lineRule="exact"/>
        <w:jc w:val="center"/>
        <w:rPr>
          <w:b/>
          <w:color w:val="auto"/>
          <w:sz w:val="32"/>
          <w:szCs w:val="32"/>
          <w:highlight w:val="none"/>
        </w:rPr>
      </w:pPr>
      <w:r>
        <w:rPr>
          <w:b/>
          <w:color w:val="auto"/>
          <w:sz w:val="32"/>
          <w:szCs w:val="32"/>
          <w:highlight w:val="none"/>
        </w:rPr>
        <w:t>法定代表人授权委托书</w:t>
      </w:r>
    </w:p>
    <w:p w14:paraId="3BDAFAF0">
      <w:pPr>
        <w:jc w:val="center"/>
        <w:rPr>
          <w:bCs/>
          <w:color w:val="auto"/>
          <w:sz w:val="20"/>
          <w:highlight w:val="none"/>
        </w:rPr>
      </w:pPr>
    </w:p>
    <w:p w14:paraId="52EF637C">
      <w:pPr>
        <w:snapToGrid w:val="0"/>
        <w:spacing w:line="360" w:lineRule="auto"/>
        <w:rPr>
          <w:bCs/>
          <w:color w:val="auto"/>
          <w:szCs w:val="21"/>
          <w:highlight w:val="none"/>
        </w:rPr>
      </w:pPr>
    </w:p>
    <w:p w14:paraId="2B66F784">
      <w:pPr>
        <w:snapToGrid w:val="0"/>
        <w:spacing w:line="360" w:lineRule="auto"/>
        <w:rPr>
          <w:color w:val="auto"/>
          <w:szCs w:val="21"/>
          <w:highlight w:val="none"/>
        </w:rPr>
      </w:pPr>
      <w:r>
        <w:rPr>
          <w:bCs/>
          <w:color w:val="auto"/>
          <w:szCs w:val="21"/>
          <w:highlight w:val="none"/>
        </w:rPr>
        <w:t>致：</w:t>
      </w:r>
      <w:r>
        <w:rPr>
          <w:color w:val="auto"/>
          <w:szCs w:val="21"/>
          <w:highlight w:val="none"/>
          <w:u w:val="single"/>
        </w:rPr>
        <w:t xml:space="preserve">              </w:t>
      </w:r>
      <w:r>
        <w:rPr>
          <w:color w:val="auto"/>
          <w:szCs w:val="21"/>
          <w:highlight w:val="none"/>
        </w:rPr>
        <w:t>（采购单位名称）</w:t>
      </w:r>
      <w:r>
        <w:rPr>
          <w:b/>
          <w:bCs/>
          <w:color w:val="auto"/>
          <w:szCs w:val="21"/>
          <w:highlight w:val="none"/>
        </w:rPr>
        <w:t xml:space="preserve"> </w:t>
      </w:r>
      <w:r>
        <w:rPr>
          <w:color w:val="auto"/>
          <w:szCs w:val="21"/>
          <w:highlight w:val="none"/>
        </w:rPr>
        <w:t>：</w:t>
      </w:r>
    </w:p>
    <w:p w14:paraId="2E418166">
      <w:pPr>
        <w:snapToGrid w:val="0"/>
        <w:spacing w:line="360" w:lineRule="auto"/>
        <w:ind w:firstLine="525" w:firstLineChars="250"/>
        <w:rPr>
          <w:color w:val="auto"/>
          <w:szCs w:val="21"/>
          <w:highlight w:val="none"/>
          <w:u w:val="single"/>
        </w:rPr>
      </w:pPr>
      <w:r>
        <w:rPr>
          <w:color w:val="auto"/>
          <w:szCs w:val="21"/>
          <w:highlight w:val="none"/>
        </w:rPr>
        <w:t>我</w:t>
      </w:r>
      <w:r>
        <w:rPr>
          <w:color w:val="auto"/>
          <w:szCs w:val="21"/>
          <w:highlight w:val="none"/>
          <w:u w:val="single"/>
        </w:rPr>
        <w:t xml:space="preserve">          </w:t>
      </w:r>
      <w:r>
        <w:rPr>
          <w:color w:val="auto"/>
          <w:szCs w:val="21"/>
          <w:highlight w:val="none"/>
        </w:rPr>
        <w:t>（姓名）系</w:t>
      </w:r>
      <w:r>
        <w:rPr>
          <w:color w:val="auto"/>
          <w:szCs w:val="21"/>
          <w:highlight w:val="none"/>
          <w:u w:val="single"/>
        </w:rPr>
        <w:t xml:space="preserve">           </w:t>
      </w:r>
      <w:r>
        <w:rPr>
          <w:color w:val="auto"/>
          <w:szCs w:val="21"/>
          <w:highlight w:val="none"/>
        </w:rPr>
        <w:t xml:space="preserve">（供应商名称）的法定代表人，现授权委托本单位在职职工 </w:t>
      </w:r>
      <w:r>
        <w:rPr>
          <w:color w:val="auto"/>
          <w:szCs w:val="21"/>
          <w:highlight w:val="none"/>
          <w:u w:val="single"/>
        </w:rPr>
        <w:t xml:space="preserve">           </w:t>
      </w:r>
      <w:r>
        <w:rPr>
          <w:color w:val="auto"/>
          <w:szCs w:val="21"/>
          <w:highlight w:val="none"/>
        </w:rPr>
        <w:t>（姓名）以我方的名义参加</w:t>
      </w:r>
      <w:r>
        <w:rPr>
          <w:color w:val="auto"/>
          <w:szCs w:val="21"/>
          <w:highlight w:val="none"/>
          <w:u w:val="single"/>
        </w:rPr>
        <w:t xml:space="preserve">                       </w:t>
      </w:r>
      <w:r>
        <w:rPr>
          <w:color w:val="auto"/>
          <w:szCs w:val="21"/>
          <w:highlight w:val="none"/>
        </w:rPr>
        <w:t>项目的投标活动，并代表我方全权办理针对上述项目的投标、开标、评标、签约等具体事务和签署相关文件。</w:t>
      </w:r>
    </w:p>
    <w:p w14:paraId="3DE169C0">
      <w:pPr>
        <w:snapToGrid w:val="0"/>
        <w:spacing w:line="360" w:lineRule="auto"/>
        <w:ind w:firstLine="420" w:firstLineChars="200"/>
        <w:rPr>
          <w:color w:val="auto"/>
          <w:szCs w:val="21"/>
          <w:highlight w:val="none"/>
          <w:u w:val="single"/>
        </w:rPr>
      </w:pPr>
      <w:r>
        <w:rPr>
          <w:color w:val="auto"/>
          <w:szCs w:val="21"/>
          <w:highlight w:val="none"/>
        </w:rPr>
        <w:t>我方对被授权人的签名事项负全部责任。</w:t>
      </w:r>
    </w:p>
    <w:p w14:paraId="38665E0D">
      <w:pPr>
        <w:snapToGrid w:val="0"/>
        <w:spacing w:line="360" w:lineRule="auto"/>
        <w:ind w:firstLine="420" w:firstLineChars="200"/>
        <w:rPr>
          <w:color w:val="auto"/>
          <w:szCs w:val="21"/>
          <w:highlight w:val="none"/>
        </w:rPr>
      </w:pPr>
      <w:r>
        <w:rPr>
          <w:color w:val="auto"/>
          <w:szCs w:val="21"/>
          <w:highlight w:val="none"/>
        </w:rPr>
        <w:t>在撤销授权的书面通知以前，本授权书一直有效。被授权人在授权书有效期内签署的所有文件不因授权的撤销而失效。</w:t>
      </w:r>
    </w:p>
    <w:p w14:paraId="7B34784C">
      <w:pPr>
        <w:snapToGrid w:val="0"/>
        <w:spacing w:line="360" w:lineRule="auto"/>
        <w:ind w:firstLine="480"/>
        <w:rPr>
          <w:color w:val="auto"/>
          <w:szCs w:val="21"/>
          <w:highlight w:val="none"/>
        </w:rPr>
      </w:pPr>
      <w:r>
        <w:rPr>
          <w:color w:val="auto"/>
          <w:szCs w:val="21"/>
          <w:highlight w:val="none"/>
        </w:rPr>
        <w:t>被授权人无转委托权，特此委托。</w:t>
      </w:r>
    </w:p>
    <w:p w14:paraId="16E5043F">
      <w:pPr>
        <w:snapToGrid w:val="0"/>
        <w:spacing w:line="360" w:lineRule="auto"/>
        <w:rPr>
          <w:color w:val="auto"/>
          <w:szCs w:val="21"/>
          <w:highlight w:val="none"/>
        </w:rPr>
      </w:pPr>
    </w:p>
    <w:p w14:paraId="2FAD5EE7">
      <w:pPr>
        <w:snapToGrid w:val="0"/>
        <w:spacing w:line="360" w:lineRule="auto"/>
        <w:rPr>
          <w:color w:val="auto"/>
          <w:szCs w:val="21"/>
          <w:highlight w:val="none"/>
        </w:rPr>
      </w:pPr>
    </w:p>
    <w:p w14:paraId="6ABC9734">
      <w:pPr>
        <w:snapToGrid w:val="0"/>
        <w:spacing w:line="360" w:lineRule="auto"/>
        <w:rPr>
          <w:color w:val="auto"/>
          <w:szCs w:val="21"/>
          <w:highlight w:val="none"/>
          <w:u w:val="single"/>
        </w:rPr>
      </w:pPr>
      <w:r>
        <w:rPr>
          <w:color w:val="auto"/>
          <w:szCs w:val="21"/>
          <w:highlight w:val="none"/>
        </w:rPr>
        <w:t>被授权人签名：</w:t>
      </w:r>
      <w:r>
        <w:rPr>
          <w:color w:val="auto"/>
          <w:szCs w:val="21"/>
          <w:highlight w:val="none"/>
          <w:u w:val="single"/>
        </w:rPr>
        <w:t xml:space="preserve">          </w:t>
      </w:r>
      <w:r>
        <w:rPr>
          <w:color w:val="auto"/>
          <w:szCs w:val="21"/>
          <w:highlight w:val="none"/>
        </w:rPr>
        <w:t xml:space="preserve">                 法定代表人（签名或盖章）：</w:t>
      </w:r>
      <w:r>
        <w:rPr>
          <w:color w:val="auto"/>
          <w:szCs w:val="21"/>
          <w:highlight w:val="none"/>
          <w:u w:val="single"/>
        </w:rPr>
        <w:t xml:space="preserve">          </w:t>
      </w:r>
    </w:p>
    <w:p w14:paraId="6BE3707F">
      <w:pPr>
        <w:snapToGrid w:val="0"/>
        <w:spacing w:line="360" w:lineRule="auto"/>
        <w:ind w:firstLine="840" w:firstLineChars="400"/>
        <w:rPr>
          <w:color w:val="auto"/>
          <w:szCs w:val="21"/>
          <w:highlight w:val="none"/>
        </w:rPr>
      </w:pPr>
      <w:r>
        <w:rPr>
          <w:color w:val="auto"/>
          <w:szCs w:val="21"/>
          <w:highlight w:val="none"/>
        </w:rPr>
        <w:t>职务：</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p>
    <w:p w14:paraId="5960156B">
      <w:pPr>
        <w:snapToGrid w:val="0"/>
        <w:spacing w:line="360" w:lineRule="auto"/>
        <w:rPr>
          <w:color w:val="auto"/>
          <w:szCs w:val="21"/>
          <w:highlight w:val="none"/>
        </w:rPr>
      </w:pPr>
      <w:r>
        <w:rPr>
          <w:color w:val="auto"/>
          <w:szCs w:val="21"/>
          <w:highlight w:val="none"/>
        </w:rPr>
        <w:t>被授权人身份证号码：</w:t>
      </w:r>
      <w:r>
        <w:rPr>
          <w:color w:val="auto"/>
          <w:szCs w:val="21"/>
          <w:highlight w:val="none"/>
          <w:u w:val="single"/>
        </w:rPr>
        <w:t xml:space="preserve">                             </w:t>
      </w:r>
      <w:r>
        <w:rPr>
          <w:color w:val="auto"/>
          <w:szCs w:val="21"/>
          <w:highlight w:val="none"/>
        </w:rPr>
        <w:t xml:space="preserve"> </w:t>
      </w:r>
    </w:p>
    <w:p w14:paraId="74B14B7F">
      <w:pPr>
        <w:spacing w:line="460" w:lineRule="exact"/>
        <w:ind w:firstLine="3373" w:firstLineChars="1600"/>
        <w:rPr>
          <w:b/>
          <w:bCs/>
          <w:color w:val="auto"/>
          <w:szCs w:val="21"/>
          <w:highlight w:val="none"/>
        </w:rPr>
      </w:pPr>
    </w:p>
    <w:p w14:paraId="1CA724C8">
      <w:pPr>
        <w:spacing w:line="460" w:lineRule="exact"/>
        <w:ind w:firstLine="5103" w:firstLineChars="2430"/>
        <w:rPr>
          <w:color w:val="auto"/>
          <w:szCs w:val="21"/>
          <w:highlight w:val="none"/>
        </w:rPr>
      </w:pPr>
      <w:r>
        <w:rPr>
          <w:color w:val="auto"/>
          <w:szCs w:val="21"/>
          <w:highlight w:val="none"/>
        </w:rPr>
        <w:tab/>
      </w:r>
      <w:r>
        <w:rPr>
          <w:color w:val="auto"/>
          <w:szCs w:val="21"/>
          <w:highlight w:val="none"/>
        </w:rPr>
        <w:t>投标人名称：       （盖章）</w:t>
      </w:r>
    </w:p>
    <w:p w14:paraId="7154CC0E">
      <w:pPr>
        <w:spacing w:line="380" w:lineRule="exact"/>
        <w:ind w:firstLine="5527" w:firstLineChars="2632"/>
        <w:rPr>
          <w:color w:val="auto"/>
          <w:szCs w:val="21"/>
          <w:highlight w:val="none"/>
        </w:rPr>
      </w:pPr>
      <w:r>
        <w:rPr>
          <w:color w:val="auto"/>
          <w:szCs w:val="21"/>
          <w:highlight w:val="none"/>
        </w:rPr>
        <w:t>日期：</w:t>
      </w:r>
      <w:bookmarkStart w:id="631" w:name="_Toc48981993"/>
      <w:bookmarkEnd w:id="631"/>
    </w:p>
    <w:p w14:paraId="45644083">
      <w:pPr>
        <w:spacing w:line="360" w:lineRule="auto"/>
        <w:rPr>
          <w:b/>
          <w:color w:val="auto"/>
          <w:szCs w:val="21"/>
          <w:highlight w:val="none"/>
        </w:rPr>
      </w:pPr>
    </w:p>
    <w:p w14:paraId="368384FC">
      <w:pPr>
        <w:spacing w:line="360" w:lineRule="auto"/>
        <w:rPr>
          <w:b/>
          <w:color w:val="auto"/>
          <w:szCs w:val="21"/>
          <w:highlight w:val="none"/>
        </w:rPr>
      </w:pPr>
    </w:p>
    <w:p w14:paraId="67786299">
      <w:pPr>
        <w:spacing w:line="360" w:lineRule="auto"/>
        <w:rPr>
          <w:b/>
          <w:color w:val="auto"/>
          <w:szCs w:val="21"/>
          <w:highlight w:val="none"/>
        </w:rPr>
      </w:pPr>
    </w:p>
    <w:p w14:paraId="7FFD25B1">
      <w:pPr>
        <w:spacing w:line="360" w:lineRule="auto"/>
        <w:ind w:firstLine="103" w:firstLineChars="49"/>
        <w:rPr>
          <w:b/>
          <w:color w:val="auto"/>
          <w:szCs w:val="21"/>
          <w:highlight w:val="none"/>
        </w:rPr>
      </w:pPr>
      <w:r>
        <w:rPr>
          <w:b/>
          <w:color w:val="auto"/>
          <w:szCs w:val="21"/>
          <w:highlight w:val="none"/>
        </w:rPr>
        <w:t>附：法定代表人</w:t>
      </w:r>
      <w:r>
        <w:rPr>
          <w:rFonts w:hint="eastAsia"/>
          <w:b/>
          <w:color w:val="auto"/>
          <w:szCs w:val="21"/>
          <w:highlight w:val="none"/>
          <w:lang w:eastAsia="zh-CN"/>
        </w:rPr>
        <w:t>、</w:t>
      </w:r>
      <w:r>
        <w:rPr>
          <w:b/>
          <w:color w:val="auto"/>
          <w:szCs w:val="21"/>
          <w:highlight w:val="none"/>
        </w:rPr>
        <w:t>授权代表身份证复印件（正反面）</w:t>
      </w:r>
      <w:r>
        <w:rPr>
          <w:rFonts w:hint="eastAsia"/>
          <w:b/>
          <w:color w:val="auto"/>
          <w:szCs w:val="21"/>
          <w:highlight w:val="none"/>
          <w:lang w:eastAsia="zh-CN"/>
        </w:rPr>
        <w:t>，</w:t>
      </w:r>
      <w:r>
        <w:rPr>
          <w:b/>
          <w:color w:val="auto"/>
          <w:szCs w:val="21"/>
          <w:highlight w:val="none"/>
        </w:rPr>
        <w:t>授权代表开标之日前近三个月内任意一个</w:t>
      </w:r>
      <w:r>
        <w:rPr>
          <w:rFonts w:hint="eastAsia"/>
          <w:b/>
          <w:color w:val="auto"/>
          <w:szCs w:val="21"/>
          <w:highlight w:val="none"/>
        </w:rPr>
        <w:t>月投标人为其</w:t>
      </w:r>
      <w:r>
        <w:rPr>
          <w:b/>
          <w:color w:val="auto"/>
          <w:szCs w:val="21"/>
          <w:highlight w:val="none"/>
        </w:rPr>
        <w:t>缴纳</w:t>
      </w:r>
      <w:r>
        <w:rPr>
          <w:rFonts w:hint="eastAsia"/>
          <w:b/>
          <w:color w:val="auto"/>
          <w:szCs w:val="21"/>
          <w:highlight w:val="none"/>
        </w:rPr>
        <w:t>的</w:t>
      </w:r>
      <w:r>
        <w:rPr>
          <w:b/>
          <w:color w:val="auto"/>
          <w:szCs w:val="21"/>
          <w:highlight w:val="none"/>
        </w:rPr>
        <w:t>社保证明材料加盖公章。</w:t>
      </w:r>
    </w:p>
    <w:p w14:paraId="18B60605">
      <w:pPr>
        <w:spacing w:line="320" w:lineRule="exact"/>
        <w:ind w:left="413" w:hanging="413" w:hangingChars="196"/>
        <w:rPr>
          <w:b/>
          <w:color w:val="auto"/>
          <w:kern w:val="12"/>
          <w:szCs w:val="21"/>
          <w:highlight w:val="none"/>
        </w:rPr>
      </w:pPr>
      <w:r>
        <w:rPr>
          <w:b/>
          <w:color w:val="auto"/>
          <w:szCs w:val="21"/>
          <w:highlight w:val="none"/>
        </w:rPr>
        <w:br w:type="page"/>
      </w:r>
    </w:p>
    <w:p w14:paraId="510188A8">
      <w:pPr>
        <w:spacing w:line="340" w:lineRule="exact"/>
        <w:jc w:val="center"/>
        <w:rPr>
          <w:b/>
          <w:color w:val="auto"/>
          <w:sz w:val="32"/>
          <w:szCs w:val="32"/>
          <w:highlight w:val="none"/>
        </w:rPr>
      </w:pPr>
      <w:r>
        <w:rPr>
          <w:b/>
          <w:color w:val="auto"/>
          <w:sz w:val="32"/>
          <w:szCs w:val="32"/>
          <w:highlight w:val="none"/>
        </w:rPr>
        <w:t>投标人基本情况说明</w:t>
      </w:r>
    </w:p>
    <w:p w14:paraId="3E268AF4">
      <w:pPr>
        <w:pStyle w:val="43"/>
        <w:ind w:left="0" w:leftChars="0"/>
        <w:rPr>
          <w:color w:val="auto"/>
          <w:highlight w:val="none"/>
        </w:rPr>
      </w:pPr>
      <w:r>
        <w:rPr>
          <w:color w:val="auto"/>
          <w:szCs w:val="21"/>
          <w:highlight w:val="none"/>
        </w:rPr>
        <w:t xml:space="preserve">项目名称：            </w:t>
      </w:r>
      <w:r>
        <w:rPr>
          <w:rFonts w:hint="eastAsia"/>
          <w:color w:val="auto"/>
          <w:szCs w:val="21"/>
          <w:highlight w:val="none"/>
        </w:rPr>
        <w:tab/>
      </w:r>
      <w:r>
        <w:rPr>
          <w:rFonts w:hint="eastAsia"/>
          <w:color w:val="auto"/>
          <w:szCs w:val="21"/>
          <w:highlight w:val="none"/>
        </w:rPr>
        <w:tab/>
      </w:r>
      <w:r>
        <w:rPr>
          <w:rFonts w:hint="eastAsia"/>
          <w:color w:val="auto"/>
          <w:szCs w:val="21"/>
          <w:highlight w:val="none"/>
        </w:rPr>
        <w:tab/>
      </w:r>
      <w:r>
        <w:rPr>
          <w:rFonts w:hint="eastAsia"/>
          <w:color w:val="auto"/>
          <w:szCs w:val="21"/>
          <w:highlight w:val="none"/>
        </w:rPr>
        <w:tab/>
      </w:r>
      <w:r>
        <w:rPr>
          <w:rFonts w:hint="eastAsia"/>
          <w:color w:val="auto"/>
          <w:szCs w:val="21"/>
          <w:highlight w:val="none"/>
        </w:rPr>
        <w:tab/>
      </w:r>
      <w:r>
        <w:rPr>
          <w:rFonts w:hint="eastAsia"/>
          <w:color w:val="auto"/>
          <w:szCs w:val="21"/>
          <w:highlight w:val="none"/>
        </w:rPr>
        <w:tab/>
      </w:r>
      <w:r>
        <w:rPr>
          <w:rFonts w:hint="eastAsia"/>
          <w:color w:val="auto"/>
          <w:szCs w:val="21"/>
          <w:highlight w:val="none"/>
        </w:rPr>
        <w:tab/>
      </w:r>
      <w:r>
        <w:rPr>
          <w:rFonts w:hint="eastAsia"/>
          <w:color w:val="auto"/>
          <w:szCs w:val="21"/>
          <w:highlight w:val="none"/>
        </w:rPr>
        <w:tab/>
      </w:r>
      <w:r>
        <w:rPr>
          <w:rFonts w:hint="eastAsia"/>
          <w:color w:val="auto"/>
          <w:szCs w:val="21"/>
          <w:highlight w:val="none"/>
        </w:rPr>
        <w:tab/>
      </w:r>
      <w:r>
        <w:rPr>
          <w:color w:val="auto"/>
          <w:szCs w:val="21"/>
          <w:highlight w:val="none"/>
        </w:rPr>
        <w:t xml:space="preserve"> </w:t>
      </w:r>
      <w:r>
        <w:rPr>
          <w:rFonts w:hint="eastAsia"/>
          <w:color w:val="auto"/>
          <w:szCs w:val="21"/>
          <w:highlight w:val="none"/>
        </w:rPr>
        <w:t>项目</w:t>
      </w:r>
      <w:r>
        <w:rPr>
          <w:color w:val="auto"/>
          <w:szCs w:val="21"/>
          <w:highlight w:val="none"/>
        </w:rPr>
        <w:t>编号：</w:t>
      </w:r>
    </w:p>
    <w:tbl>
      <w:tblPr>
        <w:tblStyle w:val="44"/>
        <w:tblW w:w="9164"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680"/>
        <w:gridCol w:w="1050"/>
        <w:gridCol w:w="945"/>
        <w:gridCol w:w="1785"/>
        <w:gridCol w:w="2234"/>
      </w:tblGrid>
      <w:tr w14:paraId="32D69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0" w:type="dxa"/>
            <w:vAlign w:val="center"/>
          </w:tcPr>
          <w:p w14:paraId="616BEA1E">
            <w:pPr>
              <w:spacing w:line="360" w:lineRule="auto"/>
              <w:jc w:val="center"/>
              <w:rPr>
                <w:color w:val="auto"/>
                <w:szCs w:val="21"/>
                <w:highlight w:val="none"/>
              </w:rPr>
            </w:pPr>
            <w:r>
              <w:rPr>
                <w:color w:val="auto"/>
                <w:szCs w:val="21"/>
                <w:highlight w:val="none"/>
              </w:rPr>
              <w:t>单位名称</w:t>
            </w:r>
          </w:p>
        </w:tc>
        <w:tc>
          <w:tcPr>
            <w:tcW w:w="3675" w:type="dxa"/>
            <w:gridSpan w:val="3"/>
            <w:vAlign w:val="center"/>
          </w:tcPr>
          <w:p w14:paraId="7287E4B5">
            <w:pPr>
              <w:spacing w:line="360" w:lineRule="auto"/>
              <w:jc w:val="center"/>
              <w:rPr>
                <w:color w:val="auto"/>
                <w:szCs w:val="21"/>
                <w:highlight w:val="none"/>
              </w:rPr>
            </w:pPr>
          </w:p>
        </w:tc>
        <w:tc>
          <w:tcPr>
            <w:tcW w:w="1785" w:type="dxa"/>
            <w:vMerge w:val="restart"/>
            <w:vAlign w:val="center"/>
          </w:tcPr>
          <w:p w14:paraId="3429CB03">
            <w:pPr>
              <w:spacing w:line="360" w:lineRule="auto"/>
              <w:jc w:val="center"/>
              <w:rPr>
                <w:rFonts w:hint="default" w:eastAsia="宋体"/>
                <w:color w:val="auto"/>
                <w:spacing w:val="30"/>
                <w:szCs w:val="21"/>
                <w:highlight w:val="none"/>
                <w:lang w:val="en-US" w:eastAsia="zh-CN"/>
              </w:rPr>
            </w:pPr>
            <w:r>
              <w:rPr>
                <w:rFonts w:hint="eastAsia"/>
                <w:color w:val="auto"/>
                <w:spacing w:val="30"/>
                <w:szCs w:val="21"/>
                <w:highlight w:val="none"/>
                <w:lang w:val="en-US" w:eastAsia="zh-CN"/>
              </w:rPr>
              <w:t>信用代码</w:t>
            </w:r>
          </w:p>
        </w:tc>
        <w:tc>
          <w:tcPr>
            <w:tcW w:w="2234" w:type="dxa"/>
            <w:vMerge w:val="restart"/>
            <w:vAlign w:val="center"/>
          </w:tcPr>
          <w:p w14:paraId="4B69910E">
            <w:pPr>
              <w:spacing w:line="360" w:lineRule="auto"/>
              <w:jc w:val="center"/>
              <w:rPr>
                <w:color w:val="auto"/>
                <w:szCs w:val="21"/>
                <w:highlight w:val="none"/>
              </w:rPr>
            </w:pPr>
          </w:p>
        </w:tc>
      </w:tr>
      <w:tr w14:paraId="4906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0" w:type="dxa"/>
            <w:vAlign w:val="center"/>
          </w:tcPr>
          <w:p w14:paraId="1FF88D6C">
            <w:pPr>
              <w:spacing w:line="360" w:lineRule="auto"/>
              <w:jc w:val="center"/>
              <w:rPr>
                <w:color w:val="auto"/>
                <w:szCs w:val="21"/>
                <w:highlight w:val="none"/>
              </w:rPr>
            </w:pPr>
            <w:r>
              <w:rPr>
                <w:color w:val="auto"/>
                <w:szCs w:val="21"/>
                <w:highlight w:val="none"/>
              </w:rPr>
              <w:t>注册地址</w:t>
            </w:r>
          </w:p>
        </w:tc>
        <w:tc>
          <w:tcPr>
            <w:tcW w:w="3675" w:type="dxa"/>
            <w:gridSpan w:val="3"/>
            <w:vAlign w:val="center"/>
          </w:tcPr>
          <w:p w14:paraId="48568742">
            <w:pPr>
              <w:spacing w:line="360" w:lineRule="auto"/>
              <w:jc w:val="center"/>
              <w:rPr>
                <w:color w:val="auto"/>
                <w:szCs w:val="21"/>
                <w:highlight w:val="none"/>
              </w:rPr>
            </w:pPr>
          </w:p>
        </w:tc>
        <w:tc>
          <w:tcPr>
            <w:tcW w:w="1785" w:type="dxa"/>
            <w:vMerge w:val="continue"/>
            <w:vAlign w:val="center"/>
          </w:tcPr>
          <w:p w14:paraId="285B4092">
            <w:pPr>
              <w:spacing w:line="360" w:lineRule="auto"/>
              <w:jc w:val="center"/>
              <w:rPr>
                <w:color w:val="auto"/>
                <w:szCs w:val="21"/>
                <w:highlight w:val="none"/>
              </w:rPr>
            </w:pPr>
          </w:p>
        </w:tc>
        <w:tc>
          <w:tcPr>
            <w:tcW w:w="2234" w:type="dxa"/>
            <w:vMerge w:val="continue"/>
            <w:vAlign w:val="center"/>
          </w:tcPr>
          <w:p w14:paraId="43CEE1F4">
            <w:pPr>
              <w:spacing w:line="360" w:lineRule="auto"/>
              <w:jc w:val="center"/>
              <w:rPr>
                <w:color w:val="auto"/>
                <w:szCs w:val="21"/>
                <w:highlight w:val="none"/>
              </w:rPr>
            </w:pPr>
          </w:p>
        </w:tc>
      </w:tr>
      <w:tr w14:paraId="7789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0" w:type="dxa"/>
            <w:vAlign w:val="center"/>
          </w:tcPr>
          <w:p w14:paraId="6CCA558F">
            <w:pPr>
              <w:spacing w:line="360" w:lineRule="auto"/>
              <w:jc w:val="center"/>
              <w:rPr>
                <w:color w:val="auto"/>
                <w:szCs w:val="21"/>
                <w:highlight w:val="none"/>
              </w:rPr>
            </w:pPr>
            <w:r>
              <w:rPr>
                <w:color w:val="auto"/>
                <w:szCs w:val="21"/>
                <w:highlight w:val="none"/>
              </w:rPr>
              <w:t>经营地址</w:t>
            </w:r>
          </w:p>
        </w:tc>
        <w:tc>
          <w:tcPr>
            <w:tcW w:w="3675" w:type="dxa"/>
            <w:gridSpan w:val="3"/>
            <w:vAlign w:val="center"/>
          </w:tcPr>
          <w:p w14:paraId="512004AF">
            <w:pPr>
              <w:spacing w:line="360" w:lineRule="auto"/>
              <w:jc w:val="center"/>
              <w:rPr>
                <w:color w:val="auto"/>
                <w:szCs w:val="21"/>
                <w:highlight w:val="none"/>
              </w:rPr>
            </w:pPr>
          </w:p>
        </w:tc>
        <w:tc>
          <w:tcPr>
            <w:tcW w:w="1785" w:type="dxa"/>
            <w:vMerge w:val="continue"/>
            <w:vAlign w:val="center"/>
          </w:tcPr>
          <w:p w14:paraId="6C6590E5">
            <w:pPr>
              <w:spacing w:line="360" w:lineRule="auto"/>
              <w:jc w:val="center"/>
              <w:rPr>
                <w:color w:val="auto"/>
                <w:spacing w:val="30"/>
                <w:szCs w:val="21"/>
                <w:highlight w:val="none"/>
              </w:rPr>
            </w:pPr>
          </w:p>
        </w:tc>
        <w:tc>
          <w:tcPr>
            <w:tcW w:w="2234" w:type="dxa"/>
            <w:vMerge w:val="continue"/>
            <w:vAlign w:val="center"/>
          </w:tcPr>
          <w:p w14:paraId="02E7A3EE">
            <w:pPr>
              <w:spacing w:line="360" w:lineRule="auto"/>
              <w:jc w:val="center"/>
              <w:rPr>
                <w:color w:val="auto"/>
                <w:szCs w:val="21"/>
                <w:highlight w:val="none"/>
              </w:rPr>
            </w:pPr>
          </w:p>
        </w:tc>
      </w:tr>
      <w:tr w14:paraId="2E73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0" w:type="dxa"/>
            <w:vAlign w:val="center"/>
          </w:tcPr>
          <w:p w14:paraId="4DCF8A2E">
            <w:pPr>
              <w:spacing w:line="360" w:lineRule="auto"/>
              <w:jc w:val="center"/>
              <w:rPr>
                <w:color w:val="auto"/>
                <w:szCs w:val="21"/>
                <w:highlight w:val="none"/>
              </w:rPr>
            </w:pPr>
            <w:r>
              <w:rPr>
                <w:color w:val="auto"/>
                <w:szCs w:val="21"/>
                <w:highlight w:val="none"/>
              </w:rPr>
              <w:t>单位性质</w:t>
            </w:r>
          </w:p>
        </w:tc>
        <w:tc>
          <w:tcPr>
            <w:tcW w:w="3675" w:type="dxa"/>
            <w:gridSpan w:val="3"/>
            <w:vAlign w:val="center"/>
          </w:tcPr>
          <w:p w14:paraId="3BFFE617">
            <w:pPr>
              <w:pStyle w:val="153"/>
              <w:widowControl w:val="0"/>
              <w:spacing w:before="0" w:beforeAutospacing="0" w:after="0" w:afterAutospacing="0" w:line="360" w:lineRule="auto"/>
              <w:ind w:left="1320" w:firstLine="420"/>
              <w:rPr>
                <w:rFonts w:ascii="Times New Roman" w:hAnsi="Times New Roman"/>
                <w:color w:val="auto"/>
                <w:kern w:val="2"/>
                <w:sz w:val="21"/>
                <w:szCs w:val="21"/>
                <w:highlight w:val="none"/>
              </w:rPr>
            </w:pPr>
          </w:p>
        </w:tc>
        <w:tc>
          <w:tcPr>
            <w:tcW w:w="1785" w:type="dxa"/>
            <w:vAlign w:val="center"/>
          </w:tcPr>
          <w:p w14:paraId="747A690E">
            <w:pPr>
              <w:spacing w:line="360" w:lineRule="auto"/>
              <w:jc w:val="center"/>
              <w:rPr>
                <w:color w:val="auto"/>
                <w:spacing w:val="34"/>
                <w:szCs w:val="21"/>
                <w:highlight w:val="none"/>
              </w:rPr>
            </w:pPr>
            <w:r>
              <w:rPr>
                <w:color w:val="auto"/>
                <w:spacing w:val="34"/>
                <w:szCs w:val="21"/>
                <w:highlight w:val="none"/>
              </w:rPr>
              <w:t>注册资本</w:t>
            </w:r>
          </w:p>
        </w:tc>
        <w:tc>
          <w:tcPr>
            <w:tcW w:w="2234" w:type="dxa"/>
            <w:vAlign w:val="center"/>
          </w:tcPr>
          <w:p w14:paraId="44CC2DC0">
            <w:pPr>
              <w:spacing w:line="360" w:lineRule="auto"/>
              <w:jc w:val="center"/>
              <w:rPr>
                <w:color w:val="auto"/>
                <w:szCs w:val="21"/>
                <w:highlight w:val="none"/>
              </w:rPr>
            </w:pPr>
          </w:p>
        </w:tc>
      </w:tr>
      <w:tr w14:paraId="473D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0" w:type="dxa"/>
            <w:vAlign w:val="center"/>
          </w:tcPr>
          <w:p w14:paraId="7FDB588D">
            <w:pPr>
              <w:spacing w:line="360" w:lineRule="auto"/>
              <w:jc w:val="center"/>
              <w:rPr>
                <w:color w:val="auto"/>
                <w:szCs w:val="21"/>
                <w:highlight w:val="none"/>
              </w:rPr>
            </w:pPr>
            <w:r>
              <w:rPr>
                <w:color w:val="auto"/>
                <w:szCs w:val="21"/>
                <w:highlight w:val="none"/>
              </w:rPr>
              <w:t>经营范围</w:t>
            </w:r>
          </w:p>
        </w:tc>
        <w:tc>
          <w:tcPr>
            <w:tcW w:w="3675" w:type="dxa"/>
            <w:gridSpan w:val="3"/>
            <w:vAlign w:val="center"/>
          </w:tcPr>
          <w:p w14:paraId="637B6A28">
            <w:pPr>
              <w:spacing w:line="360" w:lineRule="auto"/>
              <w:jc w:val="center"/>
              <w:rPr>
                <w:color w:val="auto"/>
                <w:szCs w:val="21"/>
                <w:highlight w:val="none"/>
              </w:rPr>
            </w:pPr>
          </w:p>
        </w:tc>
        <w:tc>
          <w:tcPr>
            <w:tcW w:w="1785" w:type="dxa"/>
            <w:vAlign w:val="center"/>
          </w:tcPr>
          <w:p w14:paraId="0472F23C">
            <w:pPr>
              <w:spacing w:line="360" w:lineRule="auto"/>
              <w:jc w:val="center"/>
              <w:rPr>
                <w:color w:val="auto"/>
                <w:szCs w:val="21"/>
                <w:highlight w:val="none"/>
              </w:rPr>
            </w:pPr>
            <w:r>
              <w:rPr>
                <w:color w:val="auto"/>
                <w:szCs w:val="21"/>
                <w:highlight w:val="none"/>
              </w:rPr>
              <w:t>营业期限</w:t>
            </w:r>
          </w:p>
        </w:tc>
        <w:tc>
          <w:tcPr>
            <w:tcW w:w="2234" w:type="dxa"/>
            <w:vAlign w:val="center"/>
          </w:tcPr>
          <w:p w14:paraId="7D816A8E">
            <w:pPr>
              <w:spacing w:line="360" w:lineRule="auto"/>
              <w:jc w:val="center"/>
              <w:rPr>
                <w:color w:val="auto"/>
                <w:szCs w:val="21"/>
                <w:highlight w:val="none"/>
              </w:rPr>
            </w:pPr>
            <w:r>
              <w:rPr>
                <w:color w:val="auto"/>
                <w:szCs w:val="21"/>
                <w:highlight w:val="none"/>
              </w:rPr>
              <w:t>年 月-  年 月</w:t>
            </w:r>
          </w:p>
        </w:tc>
      </w:tr>
      <w:tr w14:paraId="65556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0" w:type="dxa"/>
            <w:vAlign w:val="center"/>
          </w:tcPr>
          <w:p w14:paraId="524609CA">
            <w:pPr>
              <w:spacing w:line="360" w:lineRule="auto"/>
              <w:jc w:val="center"/>
              <w:rPr>
                <w:color w:val="auto"/>
                <w:szCs w:val="21"/>
                <w:highlight w:val="none"/>
              </w:rPr>
            </w:pPr>
            <w:r>
              <w:rPr>
                <w:color w:val="auto"/>
                <w:szCs w:val="21"/>
                <w:highlight w:val="none"/>
              </w:rPr>
              <w:t>资质情况</w:t>
            </w:r>
          </w:p>
        </w:tc>
        <w:tc>
          <w:tcPr>
            <w:tcW w:w="7694" w:type="dxa"/>
            <w:gridSpan w:val="5"/>
            <w:vAlign w:val="center"/>
          </w:tcPr>
          <w:p w14:paraId="3950AD36">
            <w:pPr>
              <w:spacing w:line="360" w:lineRule="auto"/>
              <w:jc w:val="center"/>
              <w:rPr>
                <w:color w:val="auto"/>
                <w:szCs w:val="21"/>
                <w:highlight w:val="none"/>
              </w:rPr>
            </w:pPr>
          </w:p>
        </w:tc>
      </w:tr>
      <w:tr w14:paraId="0EB0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0" w:type="dxa"/>
            <w:vAlign w:val="center"/>
          </w:tcPr>
          <w:p w14:paraId="7C9B109D">
            <w:pPr>
              <w:spacing w:line="360" w:lineRule="auto"/>
              <w:jc w:val="center"/>
              <w:rPr>
                <w:color w:val="auto"/>
                <w:szCs w:val="21"/>
                <w:highlight w:val="none"/>
              </w:rPr>
            </w:pPr>
            <w:r>
              <w:rPr>
                <w:color w:val="auto"/>
                <w:szCs w:val="21"/>
                <w:highlight w:val="none"/>
              </w:rPr>
              <w:t>员工数量</w:t>
            </w:r>
          </w:p>
        </w:tc>
        <w:tc>
          <w:tcPr>
            <w:tcW w:w="7694" w:type="dxa"/>
            <w:gridSpan w:val="5"/>
            <w:vAlign w:val="center"/>
          </w:tcPr>
          <w:p w14:paraId="21117A3D">
            <w:pPr>
              <w:spacing w:line="360" w:lineRule="auto"/>
              <w:rPr>
                <w:color w:val="auto"/>
                <w:szCs w:val="21"/>
                <w:highlight w:val="none"/>
              </w:rPr>
            </w:pPr>
            <w:r>
              <w:rPr>
                <w:color w:val="auto"/>
                <w:szCs w:val="21"/>
                <w:highlight w:val="none"/>
              </w:rPr>
              <w:t>共</w:t>
            </w:r>
            <w:r>
              <w:rPr>
                <w:color w:val="auto"/>
                <w:szCs w:val="21"/>
                <w:highlight w:val="none"/>
                <w:u w:val="single"/>
              </w:rPr>
              <w:t xml:space="preserve">  </w:t>
            </w:r>
            <w:r>
              <w:rPr>
                <w:color w:val="auto"/>
                <w:szCs w:val="21"/>
                <w:highlight w:val="none"/>
              </w:rPr>
              <w:t>人，其中，高级职称</w:t>
            </w:r>
            <w:r>
              <w:rPr>
                <w:color w:val="auto"/>
                <w:szCs w:val="21"/>
                <w:highlight w:val="none"/>
                <w:u w:val="single"/>
              </w:rPr>
              <w:t xml:space="preserve">   </w:t>
            </w:r>
            <w:r>
              <w:rPr>
                <w:color w:val="auto"/>
                <w:szCs w:val="21"/>
                <w:highlight w:val="none"/>
              </w:rPr>
              <w:t>人，中级职称</w:t>
            </w:r>
            <w:r>
              <w:rPr>
                <w:color w:val="auto"/>
                <w:szCs w:val="21"/>
                <w:highlight w:val="none"/>
                <w:u w:val="single"/>
              </w:rPr>
              <w:t xml:space="preserve">  </w:t>
            </w:r>
            <w:r>
              <w:rPr>
                <w:color w:val="auto"/>
                <w:szCs w:val="21"/>
                <w:highlight w:val="none"/>
              </w:rPr>
              <w:t>人</w:t>
            </w:r>
          </w:p>
        </w:tc>
      </w:tr>
      <w:tr w14:paraId="6FE2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0" w:type="dxa"/>
            <w:vAlign w:val="center"/>
          </w:tcPr>
          <w:p w14:paraId="51A9BE29">
            <w:pPr>
              <w:spacing w:line="360" w:lineRule="auto"/>
              <w:jc w:val="center"/>
              <w:rPr>
                <w:color w:val="auto"/>
                <w:szCs w:val="21"/>
                <w:highlight w:val="none"/>
              </w:rPr>
            </w:pPr>
            <w:r>
              <w:rPr>
                <w:color w:val="auto"/>
                <w:szCs w:val="21"/>
                <w:highlight w:val="none"/>
              </w:rPr>
              <w:t>联系电话</w:t>
            </w:r>
          </w:p>
        </w:tc>
        <w:tc>
          <w:tcPr>
            <w:tcW w:w="3675" w:type="dxa"/>
            <w:gridSpan w:val="3"/>
            <w:vAlign w:val="center"/>
          </w:tcPr>
          <w:p w14:paraId="693B9BC2">
            <w:pPr>
              <w:spacing w:line="360" w:lineRule="auto"/>
              <w:jc w:val="center"/>
              <w:rPr>
                <w:color w:val="auto"/>
                <w:szCs w:val="21"/>
                <w:highlight w:val="none"/>
              </w:rPr>
            </w:pPr>
          </w:p>
        </w:tc>
        <w:tc>
          <w:tcPr>
            <w:tcW w:w="1785" w:type="dxa"/>
            <w:vAlign w:val="center"/>
          </w:tcPr>
          <w:p w14:paraId="0C3FD47C">
            <w:pPr>
              <w:spacing w:line="360" w:lineRule="auto"/>
              <w:jc w:val="center"/>
              <w:rPr>
                <w:color w:val="auto"/>
                <w:szCs w:val="21"/>
                <w:highlight w:val="none"/>
              </w:rPr>
            </w:pPr>
            <w:r>
              <w:rPr>
                <w:color w:val="auto"/>
                <w:szCs w:val="21"/>
                <w:highlight w:val="none"/>
              </w:rPr>
              <w:t>传真</w:t>
            </w:r>
          </w:p>
        </w:tc>
        <w:tc>
          <w:tcPr>
            <w:tcW w:w="2234" w:type="dxa"/>
            <w:vAlign w:val="center"/>
          </w:tcPr>
          <w:p w14:paraId="7F9548DB">
            <w:pPr>
              <w:spacing w:line="360" w:lineRule="auto"/>
              <w:jc w:val="center"/>
              <w:rPr>
                <w:color w:val="auto"/>
                <w:szCs w:val="21"/>
                <w:highlight w:val="none"/>
              </w:rPr>
            </w:pPr>
          </w:p>
        </w:tc>
      </w:tr>
      <w:tr w14:paraId="58BCA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70" w:type="dxa"/>
            <w:vAlign w:val="center"/>
          </w:tcPr>
          <w:p w14:paraId="6D1DC546">
            <w:pPr>
              <w:spacing w:line="360" w:lineRule="auto"/>
              <w:jc w:val="center"/>
              <w:rPr>
                <w:color w:val="auto"/>
                <w:szCs w:val="21"/>
                <w:highlight w:val="none"/>
              </w:rPr>
            </w:pPr>
            <w:r>
              <w:rPr>
                <w:color w:val="auto"/>
                <w:szCs w:val="21"/>
                <w:highlight w:val="none"/>
              </w:rPr>
              <w:t>主要业绩</w:t>
            </w:r>
          </w:p>
        </w:tc>
        <w:tc>
          <w:tcPr>
            <w:tcW w:w="7694" w:type="dxa"/>
            <w:gridSpan w:val="5"/>
            <w:vAlign w:val="center"/>
          </w:tcPr>
          <w:p w14:paraId="1495D52E">
            <w:pPr>
              <w:spacing w:line="360" w:lineRule="auto"/>
              <w:rPr>
                <w:color w:val="auto"/>
                <w:szCs w:val="21"/>
                <w:highlight w:val="none"/>
              </w:rPr>
            </w:pPr>
          </w:p>
          <w:p w14:paraId="39DD756F">
            <w:pPr>
              <w:spacing w:line="360" w:lineRule="auto"/>
              <w:rPr>
                <w:color w:val="auto"/>
                <w:szCs w:val="21"/>
                <w:highlight w:val="none"/>
              </w:rPr>
            </w:pPr>
          </w:p>
        </w:tc>
      </w:tr>
      <w:tr w14:paraId="026CF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4" w:type="dxa"/>
            <w:gridSpan w:val="6"/>
            <w:vAlign w:val="center"/>
          </w:tcPr>
          <w:p w14:paraId="1A65D850">
            <w:pPr>
              <w:spacing w:line="360" w:lineRule="auto"/>
              <w:jc w:val="center"/>
              <w:rPr>
                <w:color w:val="auto"/>
                <w:szCs w:val="21"/>
                <w:highlight w:val="none"/>
              </w:rPr>
            </w:pPr>
            <w:r>
              <w:rPr>
                <w:color w:val="auto"/>
                <w:szCs w:val="21"/>
                <w:highlight w:val="none"/>
              </w:rPr>
              <w:t>法 定 代 表 人 基 本 情 况</w:t>
            </w:r>
          </w:p>
        </w:tc>
      </w:tr>
      <w:tr w14:paraId="390F1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0" w:type="dxa"/>
            <w:vAlign w:val="center"/>
          </w:tcPr>
          <w:p w14:paraId="409EECC1">
            <w:pPr>
              <w:spacing w:line="360" w:lineRule="auto"/>
              <w:jc w:val="center"/>
              <w:rPr>
                <w:color w:val="auto"/>
                <w:szCs w:val="21"/>
                <w:highlight w:val="none"/>
              </w:rPr>
            </w:pPr>
            <w:r>
              <w:rPr>
                <w:color w:val="auto"/>
                <w:szCs w:val="21"/>
                <w:highlight w:val="none"/>
              </w:rPr>
              <w:t>姓  名</w:t>
            </w:r>
          </w:p>
        </w:tc>
        <w:tc>
          <w:tcPr>
            <w:tcW w:w="3675" w:type="dxa"/>
            <w:gridSpan w:val="3"/>
            <w:vAlign w:val="center"/>
          </w:tcPr>
          <w:p w14:paraId="2F100CBB">
            <w:pPr>
              <w:spacing w:line="360" w:lineRule="auto"/>
              <w:jc w:val="center"/>
              <w:rPr>
                <w:color w:val="auto"/>
                <w:szCs w:val="21"/>
                <w:highlight w:val="none"/>
              </w:rPr>
            </w:pPr>
          </w:p>
        </w:tc>
        <w:tc>
          <w:tcPr>
            <w:tcW w:w="1785" w:type="dxa"/>
            <w:vAlign w:val="center"/>
          </w:tcPr>
          <w:p w14:paraId="21951CDF">
            <w:pPr>
              <w:spacing w:line="360" w:lineRule="auto"/>
              <w:jc w:val="center"/>
              <w:rPr>
                <w:color w:val="auto"/>
                <w:szCs w:val="21"/>
                <w:highlight w:val="none"/>
              </w:rPr>
            </w:pPr>
            <w:r>
              <w:rPr>
                <w:color w:val="auto"/>
                <w:szCs w:val="21"/>
                <w:highlight w:val="none"/>
              </w:rPr>
              <w:t>身份证号码</w:t>
            </w:r>
          </w:p>
        </w:tc>
        <w:tc>
          <w:tcPr>
            <w:tcW w:w="2234" w:type="dxa"/>
            <w:vAlign w:val="center"/>
          </w:tcPr>
          <w:p w14:paraId="558668FF">
            <w:pPr>
              <w:spacing w:line="360" w:lineRule="auto"/>
              <w:jc w:val="center"/>
              <w:rPr>
                <w:color w:val="auto"/>
                <w:szCs w:val="21"/>
                <w:highlight w:val="none"/>
              </w:rPr>
            </w:pPr>
          </w:p>
        </w:tc>
      </w:tr>
      <w:tr w14:paraId="4F426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0" w:type="dxa"/>
            <w:vAlign w:val="center"/>
          </w:tcPr>
          <w:p w14:paraId="42C374B6">
            <w:pPr>
              <w:spacing w:line="360" w:lineRule="auto"/>
              <w:jc w:val="center"/>
              <w:rPr>
                <w:color w:val="auto"/>
                <w:szCs w:val="21"/>
                <w:highlight w:val="none"/>
              </w:rPr>
            </w:pPr>
            <w:r>
              <w:rPr>
                <w:color w:val="auto"/>
                <w:szCs w:val="21"/>
                <w:highlight w:val="none"/>
              </w:rPr>
              <w:t>职  务</w:t>
            </w:r>
          </w:p>
        </w:tc>
        <w:tc>
          <w:tcPr>
            <w:tcW w:w="1680" w:type="dxa"/>
            <w:vAlign w:val="center"/>
          </w:tcPr>
          <w:p w14:paraId="5FCDC60F">
            <w:pPr>
              <w:spacing w:line="360" w:lineRule="auto"/>
              <w:jc w:val="center"/>
              <w:rPr>
                <w:color w:val="auto"/>
                <w:szCs w:val="21"/>
                <w:highlight w:val="none"/>
              </w:rPr>
            </w:pPr>
          </w:p>
        </w:tc>
        <w:tc>
          <w:tcPr>
            <w:tcW w:w="1050" w:type="dxa"/>
            <w:vAlign w:val="center"/>
          </w:tcPr>
          <w:p w14:paraId="35D92DEA">
            <w:pPr>
              <w:spacing w:line="360" w:lineRule="auto"/>
              <w:jc w:val="center"/>
              <w:rPr>
                <w:color w:val="auto"/>
                <w:szCs w:val="21"/>
                <w:highlight w:val="none"/>
              </w:rPr>
            </w:pPr>
            <w:r>
              <w:rPr>
                <w:color w:val="auto"/>
                <w:szCs w:val="21"/>
                <w:highlight w:val="none"/>
              </w:rPr>
              <w:t>职称</w:t>
            </w:r>
          </w:p>
        </w:tc>
        <w:tc>
          <w:tcPr>
            <w:tcW w:w="945" w:type="dxa"/>
            <w:vAlign w:val="center"/>
          </w:tcPr>
          <w:p w14:paraId="50C7D973">
            <w:pPr>
              <w:spacing w:line="360" w:lineRule="auto"/>
              <w:jc w:val="center"/>
              <w:rPr>
                <w:color w:val="auto"/>
                <w:szCs w:val="21"/>
                <w:highlight w:val="none"/>
              </w:rPr>
            </w:pPr>
          </w:p>
        </w:tc>
        <w:tc>
          <w:tcPr>
            <w:tcW w:w="1785" w:type="dxa"/>
            <w:vAlign w:val="center"/>
          </w:tcPr>
          <w:p w14:paraId="10564EAB">
            <w:pPr>
              <w:spacing w:line="360" w:lineRule="auto"/>
              <w:jc w:val="center"/>
              <w:rPr>
                <w:color w:val="auto"/>
                <w:szCs w:val="21"/>
                <w:highlight w:val="none"/>
              </w:rPr>
            </w:pPr>
            <w:r>
              <w:rPr>
                <w:color w:val="auto"/>
                <w:szCs w:val="21"/>
                <w:highlight w:val="none"/>
              </w:rPr>
              <w:t>学    历</w:t>
            </w:r>
          </w:p>
        </w:tc>
        <w:tc>
          <w:tcPr>
            <w:tcW w:w="2234" w:type="dxa"/>
            <w:vAlign w:val="center"/>
          </w:tcPr>
          <w:p w14:paraId="69A203A7">
            <w:pPr>
              <w:spacing w:line="360" w:lineRule="auto"/>
              <w:jc w:val="center"/>
              <w:rPr>
                <w:color w:val="auto"/>
                <w:szCs w:val="21"/>
                <w:highlight w:val="none"/>
              </w:rPr>
            </w:pPr>
          </w:p>
        </w:tc>
      </w:tr>
      <w:tr w14:paraId="42BF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164" w:type="dxa"/>
            <w:gridSpan w:val="6"/>
          </w:tcPr>
          <w:p w14:paraId="58B35A20">
            <w:pPr>
              <w:spacing w:line="360" w:lineRule="auto"/>
              <w:rPr>
                <w:color w:val="auto"/>
                <w:szCs w:val="21"/>
                <w:highlight w:val="none"/>
              </w:rPr>
            </w:pPr>
            <w:r>
              <w:rPr>
                <w:color w:val="auto"/>
                <w:szCs w:val="21"/>
                <w:highlight w:val="none"/>
              </w:rPr>
              <w:t>备注:</w:t>
            </w:r>
          </w:p>
        </w:tc>
      </w:tr>
    </w:tbl>
    <w:p w14:paraId="1667871C">
      <w:pPr>
        <w:spacing w:line="360" w:lineRule="auto"/>
        <w:rPr>
          <w:b/>
          <w:color w:val="auto"/>
          <w:szCs w:val="21"/>
          <w:highlight w:val="none"/>
        </w:rPr>
      </w:pPr>
      <w:r>
        <w:rPr>
          <w:color w:val="auto"/>
          <w:szCs w:val="21"/>
          <w:highlight w:val="none"/>
        </w:rPr>
        <w:t xml:space="preserve">   </w:t>
      </w:r>
      <w:r>
        <w:rPr>
          <w:b/>
          <w:color w:val="auto"/>
          <w:szCs w:val="21"/>
          <w:highlight w:val="none"/>
        </w:rPr>
        <w:t>兹证明上述声明是真实、正确的，并提供了全部能提供的资料和数据，我们同意遵照贵方要求出示有关证明文件。</w:t>
      </w:r>
    </w:p>
    <w:p w14:paraId="4AEF0282">
      <w:pPr>
        <w:spacing w:line="360" w:lineRule="auto"/>
        <w:rPr>
          <w:b/>
          <w:color w:val="auto"/>
          <w:highlight w:val="none"/>
        </w:rPr>
      </w:pPr>
    </w:p>
    <w:p w14:paraId="1868A4B7">
      <w:pPr>
        <w:spacing w:line="360" w:lineRule="auto"/>
        <w:rPr>
          <w:b/>
          <w:color w:val="auto"/>
          <w:highlight w:val="none"/>
        </w:rPr>
      </w:pPr>
    </w:p>
    <w:p w14:paraId="55DEC9C7">
      <w:pPr>
        <w:rPr>
          <w:color w:val="auto"/>
          <w:highlight w:val="none"/>
        </w:rPr>
      </w:pPr>
    </w:p>
    <w:p w14:paraId="5359FF4D">
      <w:pPr>
        <w:pStyle w:val="15"/>
        <w:widowControl/>
        <w:spacing w:line="360" w:lineRule="auto"/>
        <w:ind w:left="614" w:leftChars="100" w:hanging="404" w:hangingChars="200"/>
        <w:jc w:val="left"/>
        <w:rPr>
          <w:rFonts w:ascii="Times New Roman"/>
          <w:color w:val="auto"/>
          <w:sz w:val="21"/>
          <w:szCs w:val="21"/>
          <w:highlight w:val="none"/>
        </w:rPr>
      </w:pPr>
      <w:r>
        <w:rPr>
          <w:rFonts w:ascii="Times New Roman"/>
          <w:color w:val="auto"/>
          <w:sz w:val="21"/>
          <w:szCs w:val="21"/>
          <w:highlight w:val="none"/>
        </w:rPr>
        <w:t>投 标 人（盖章）：</w:t>
      </w:r>
    </w:p>
    <w:p w14:paraId="42D2AD49">
      <w:pPr>
        <w:pStyle w:val="15"/>
        <w:widowControl/>
        <w:spacing w:line="360" w:lineRule="auto"/>
        <w:ind w:left="614" w:leftChars="100" w:hanging="404" w:hangingChars="200"/>
        <w:jc w:val="left"/>
        <w:rPr>
          <w:rFonts w:ascii="Times New Roman"/>
          <w:color w:val="auto"/>
          <w:sz w:val="21"/>
          <w:szCs w:val="21"/>
          <w:highlight w:val="none"/>
        </w:rPr>
      </w:pPr>
      <w:r>
        <w:rPr>
          <w:rFonts w:ascii="Times New Roman"/>
          <w:color w:val="auto"/>
          <w:sz w:val="21"/>
          <w:szCs w:val="21"/>
          <w:highlight w:val="none"/>
        </w:rPr>
        <w:t>法定代表人或其授权代表（签字或盖章）：</w:t>
      </w:r>
    </w:p>
    <w:p w14:paraId="2F995FB0">
      <w:pPr>
        <w:pStyle w:val="15"/>
        <w:widowControl/>
        <w:spacing w:line="360" w:lineRule="auto"/>
        <w:ind w:left="614" w:leftChars="100" w:hanging="404" w:hangingChars="200"/>
        <w:jc w:val="left"/>
        <w:rPr>
          <w:rFonts w:ascii="Times New Roman"/>
          <w:color w:val="auto"/>
          <w:spacing w:val="0"/>
          <w:sz w:val="22"/>
          <w:szCs w:val="24"/>
          <w:highlight w:val="none"/>
        </w:rPr>
      </w:pPr>
      <w:r>
        <w:rPr>
          <w:rFonts w:ascii="Times New Roman"/>
          <w:color w:val="auto"/>
          <w:sz w:val="21"/>
          <w:szCs w:val="21"/>
          <w:highlight w:val="none"/>
        </w:rPr>
        <w:t>日</w:t>
      </w:r>
      <w:r>
        <w:rPr>
          <w:rFonts w:hint="eastAsia" w:ascii="Times New Roman"/>
          <w:color w:val="auto"/>
          <w:sz w:val="21"/>
          <w:szCs w:val="21"/>
          <w:highlight w:val="none"/>
        </w:rPr>
        <w:t xml:space="preserve"> </w:t>
      </w:r>
      <w:r>
        <w:rPr>
          <w:rFonts w:ascii="Times New Roman"/>
          <w:color w:val="auto"/>
          <w:sz w:val="21"/>
          <w:szCs w:val="21"/>
          <w:highlight w:val="none"/>
        </w:rPr>
        <w:t>期：</w:t>
      </w:r>
      <w:r>
        <w:rPr>
          <w:rFonts w:ascii="Times New Roman"/>
          <w:color w:val="auto"/>
          <w:spacing w:val="0"/>
          <w:sz w:val="22"/>
          <w:szCs w:val="24"/>
          <w:highlight w:val="none"/>
        </w:rPr>
        <w:br w:type="page"/>
      </w:r>
    </w:p>
    <w:p w14:paraId="1DAB74C3">
      <w:pPr>
        <w:spacing w:line="360" w:lineRule="auto"/>
        <w:jc w:val="center"/>
        <w:rPr>
          <w:b/>
          <w:color w:val="auto"/>
          <w:sz w:val="24"/>
          <w:szCs w:val="21"/>
          <w:highlight w:val="none"/>
        </w:rPr>
      </w:pPr>
      <w:r>
        <w:rPr>
          <w:b/>
          <w:color w:val="auto"/>
          <w:sz w:val="24"/>
          <w:szCs w:val="21"/>
          <w:highlight w:val="none"/>
        </w:rPr>
        <w:t>商务</w:t>
      </w:r>
      <w:r>
        <w:rPr>
          <w:rFonts w:hint="eastAsia"/>
          <w:b/>
          <w:color w:val="auto"/>
          <w:sz w:val="24"/>
          <w:szCs w:val="21"/>
          <w:highlight w:val="none"/>
          <w:lang w:val="en-US" w:eastAsia="zh-CN"/>
        </w:rPr>
        <w:t>需求</w:t>
      </w:r>
      <w:r>
        <w:rPr>
          <w:b/>
          <w:color w:val="auto"/>
          <w:sz w:val="24"/>
          <w:szCs w:val="21"/>
          <w:highlight w:val="none"/>
        </w:rPr>
        <w:t>偏离表</w:t>
      </w:r>
    </w:p>
    <w:p w14:paraId="0588DC55">
      <w:pPr>
        <w:pStyle w:val="43"/>
        <w:ind w:left="0" w:leftChars="0"/>
        <w:rPr>
          <w:b/>
          <w:bCs/>
          <w:color w:val="auto"/>
          <w:sz w:val="24"/>
          <w:szCs w:val="21"/>
          <w:highlight w:val="none"/>
        </w:rPr>
      </w:pPr>
      <w:r>
        <w:rPr>
          <w:color w:val="auto"/>
          <w:szCs w:val="21"/>
          <w:highlight w:val="none"/>
        </w:rPr>
        <w:t xml:space="preserve">项目名称：            </w:t>
      </w:r>
      <w:r>
        <w:rPr>
          <w:rFonts w:hint="eastAsia"/>
          <w:color w:val="auto"/>
          <w:szCs w:val="21"/>
          <w:highlight w:val="none"/>
        </w:rPr>
        <w:tab/>
      </w:r>
      <w:r>
        <w:rPr>
          <w:rFonts w:hint="eastAsia"/>
          <w:color w:val="auto"/>
          <w:szCs w:val="21"/>
          <w:highlight w:val="none"/>
        </w:rPr>
        <w:tab/>
      </w:r>
      <w:r>
        <w:rPr>
          <w:rFonts w:hint="eastAsia"/>
          <w:color w:val="auto"/>
          <w:szCs w:val="21"/>
          <w:highlight w:val="none"/>
        </w:rPr>
        <w:tab/>
      </w:r>
      <w:r>
        <w:rPr>
          <w:rFonts w:hint="eastAsia"/>
          <w:color w:val="auto"/>
          <w:szCs w:val="21"/>
          <w:highlight w:val="none"/>
        </w:rPr>
        <w:tab/>
      </w:r>
      <w:r>
        <w:rPr>
          <w:rFonts w:hint="eastAsia"/>
          <w:color w:val="auto"/>
          <w:szCs w:val="21"/>
          <w:highlight w:val="none"/>
        </w:rPr>
        <w:tab/>
      </w:r>
      <w:r>
        <w:rPr>
          <w:rFonts w:hint="eastAsia"/>
          <w:color w:val="auto"/>
          <w:szCs w:val="21"/>
          <w:highlight w:val="none"/>
        </w:rPr>
        <w:tab/>
      </w:r>
      <w:r>
        <w:rPr>
          <w:rFonts w:hint="eastAsia"/>
          <w:color w:val="auto"/>
          <w:szCs w:val="21"/>
          <w:highlight w:val="none"/>
        </w:rPr>
        <w:tab/>
      </w:r>
      <w:r>
        <w:rPr>
          <w:rFonts w:hint="eastAsia"/>
          <w:color w:val="auto"/>
          <w:szCs w:val="21"/>
          <w:highlight w:val="none"/>
        </w:rPr>
        <w:tab/>
      </w:r>
      <w:r>
        <w:rPr>
          <w:rFonts w:hint="eastAsia"/>
          <w:color w:val="auto"/>
          <w:szCs w:val="21"/>
          <w:highlight w:val="none"/>
        </w:rPr>
        <w:tab/>
      </w:r>
      <w:r>
        <w:rPr>
          <w:color w:val="auto"/>
          <w:szCs w:val="21"/>
          <w:highlight w:val="none"/>
        </w:rPr>
        <w:t xml:space="preserve"> </w:t>
      </w:r>
      <w:r>
        <w:rPr>
          <w:rFonts w:hint="eastAsia"/>
          <w:color w:val="auto"/>
          <w:szCs w:val="21"/>
          <w:highlight w:val="none"/>
        </w:rPr>
        <w:t>项目</w:t>
      </w:r>
      <w:r>
        <w:rPr>
          <w:color w:val="auto"/>
          <w:szCs w:val="21"/>
          <w:highlight w:val="none"/>
        </w:rPr>
        <w:t>编号：</w:t>
      </w:r>
      <w:r>
        <w:rPr>
          <w:color w:val="auto"/>
          <w:sz w:val="24"/>
          <w:highlight w:val="none"/>
        </w:rPr>
        <w:t xml:space="preserve">       </w:t>
      </w:r>
    </w:p>
    <w:tbl>
      <w:tblPr>
        <w:tblStyle w:val="44"/>
        <w:tblW w:w="87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29"/>
        <w:gridCol w:w="3334"/>
        <w:gridCol w:w="1260"/>
        <w:gridCol w:w="3020"/>
      </w:tblGrid>
      <w:tr w14:paraId="6E891C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129" w:type="dxa"/>
            <w:tcBorders>
              <w:top w:val="single" w:color="auto" w:sz="4" w:space="0"/>
              <w:left w:val="single" w:color="auto" w:sz="4" w:space="0"/>
              <w:bottom w:val="single" w:color="auto" w:sz="4" w:space="0"/>
              <w:right w:val="single" w:color="auto" w:sz="4" w:space="0"/>
            </w:tcBorders>
          </w:tcPr>
          <w:p w14:paraId="5C5989C8">
            <w:pPr>
              <w:snapToGrid w:val="0"/>
              <w:spacing w:before="120" w:beforeLines="50" w:line="400" w:lineRule="exact"/>
              <w:jc w:val="center"/>
              <w:rPr>
                <w:b/>
                <w:bCs w:val="0"/>
                <w:color w:val="auto"/>
                <w:szCs w:val="21"/>
                <w:highlight w:val="none"/>
              </w:rPr>
            </w:pPr>
            <w:r>
              <w:rPr>
                <w:rFonts w:hint="eastAsia" w:ascii="宋体" w:hAnsi="宋体"/>
                <w:b/>
                <w:bCs w:val="0"/>
                <w:color w:val="auto"/>
                <w:szCs w:val="21"/>
                <w:highlight w:val="none"/>
              </w:rPr>
              <w:t>序号</w:t>
            </w:r>
          </w:p>
        </w:tc>
        <w:tc>
          <w:tcPr>
            <w:tcW w:w="3334" w:type="dxa"/>
            <w:tcBorders>
              <w:top w:val="single" w:color="auto" w:sz="4" w:space="0"/>
              <w:left w:val="single" w:color="auto" w:sz="4" w:space="0"/>
              <w:bottom w:val="single" w:color="auto" w:sz="4" w:space="0"/>
              <w:right w:val="single" w:color="auto" w:sz="4" w:space="0"/>
            </w:tcBorders>
          </w:tcPr>
          <w:p w14:paraId="0BEEA2E3">
            <w:pPr>
              <w:snapToGrid w:val="0"/>
              <w:spacing w:before="120" w:beforeLines="50" w:line="400" w:lineRule="exact"/>
              <w:jc w:val="center"/>
              <w:rPr>
                <w:b/>
                <w:bCs w:val="0"/>
                <w:color w:val="auto"/>
                <w:szCs w:val="21"/>
                <w:highlight w:val="none"/>
              </w:rPr>
            </w:pPr>
            <w:r>
              <w:rPr>
                <w:b/>
                <w:bCs w:val="0"/>
                <w:color w:val="auto"/>
                <w:szCs w:val="21"/>
                <w:highlight w:val="none"/>
              </w:rPr>
              <w:t>招标要求</w:t>
            </w:r>
          </w:p>
        </w:tc>
        <w:tc>
          <w:tcPr>
            <w:tcW w:w="1260" w:type="dxa"/>
            <w:tcBorders>
              <w:top w:val="single" w:color="auto" w:sz="4" w:space="0"/>
              <w:left w:val="single" w:color="auto" w:sz="4" w:space="0"/>
              <w:bottom w:val="single" w:color="auto" w:sz="4" w:space="0"/>
              <w:right w:val="single" w:color="auto" w:sz="4" w:space="0"/>
            </w:tcBorders>
          </w:tcPr>
          <w:p w14:paraId="73DBC814">
            <w:pPr>
              <w:snapToGrid w:val="0"/>
              <w:spacing w:before="120" w:beforeLines="50" w:line="400" w:lineRule="exact"/>
              <w:jc w:val="center"/>
              <w:rPr>
                <w:b/>
                <w:bCs w:val="0"/>
                <w:color w:val="auto"/>
                <w:szCs w:val="21"/>
                <w:highlight w:val="none"/>
              </w:rPr>
            </w:pPr>
            <w:r>
              <w:rPr>
                <w:rFonts w:hint="eastAsia"/>
                <w:b/>
                <w:bCs w:val="0"/>
                <w:color w:val="auto"/>
                <w:szCs w:val="21"/>
                <w:highlight w:val="none"/>
              </w:rPr>
              <w:t>投标响应</w:t>
            </w:r>
          </w:p>
        </w:tc>
        <w:tc>
          <w:tcPr>
            <w:tcW w:w="3020" w:type="dxa"/>
            <w:tcBorders>
              <w:top w:val="single" w:color="auto" w:sz="4" w:space="0"/>
              <w:left w:val="single" w:color="auto" w:sz="4" w:space="0"/>
              <w:bottom w:val="single" w:color="auto" w:sz="4" w:space="0"/>
              <w:right w:val="single" w:color="auto" w:sz="4" w:space="0"/>
            </w:tcBorders>
          </w:tcPr>
          <w:p w14:paraId="4C55D027">
            <w:pPr>
              <w:snapToGrid w:val="0"/>
              <w:spacing w:before="120" w:beforeLines="50" w:line="400" w:lineRule="exact"/>
              <w:jc w:val="center"/>
              <w:rPr>
                <w:b/>
                <w:bCs w:val="0"/>
                <w:color w:val="auto"/>
                <w:szCs w:val="21"/>
                <w:highlight w:val="none"/>
              </w:rPr>
            </w:pPr>
            <w:r>
              <w:rPr>
                <w:rFonts w:hint="eastAsia" w:ascii="宋体" w:hAnsi="宋体"/>
                <w:b/>
                <w:bCs w:val="0"/>
                <w:color w:val="auto"/>
                <w:szCs w:val="21"/>
                <w:highlight w:val="none"/>
              </w:rPr>
              <w:t>偏离说明</w:t>
            </w:r>
          </w:p>
        </w:tc>
      </w:tr>
      <w:tr w14:paraId="6BD4FF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53F5A9A1">
            <w:pPr>
              <w:snapToGrid w:val="0"/>
              <w:spacing w:line="400" w:lineRule="exact"/>
              <w:rPr>
                <w:color w:val="auto"/>
                <w:szCs w:val="21"/>
                <w:highlight w:val="none"/>
              </w:rPr>
            </w:pPr>
          </w:p>
        </w:tc>
        <w:tc>
          <w:tcPr>
            <w:tcW w:w="3334" w:type="dxa"/>
            <w:tcBorders>
              <w:top w:val="single" w:color="auto" w:sz="4" w:space="0"/>
              <w:left w:val="single" w:color="auto" w:sz="4" w:space="0"/>
              <w:bottom w:val="single" w:color="auto" w:sz="4" w:space="0"/>
              <w:right w:val="single" w:color="auto" w:sz="4" w:space="0"/>
            </w:tcBorders>
          </w:tcPr>
          <w:p w14:paraId="048045EC">
            <w:pPr>
              <w:snapToGrid w:val="0"/>
              <w:spacing w:before="120" w:beforeLines="50" w:line="400" w:lineRule="exact"/>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3F474D2F">
            <w:pPr>
              <w:snapToGrid w:val="0"/>
              <w:spacing w:before="120" w:beforeLines="50" w:line="400" w:lineRule="exact"/>
              <w:rPr>
                <w:color w:val="auto"/>
                <w:szCs w:val="21"/>
                <w:highlight w:val="none"/>
              </w:rPr>
            </w:pPr>
          </w:p>
        </w:tc>
        <w:tc>
          <w:tcPr>
            <w:tcW w:w="3020" w:type="dxa"/>
            <w:tcBorders>
              <w:top w:val="single" w:color="auto" w:sz="4" w:space="0"/>
              <w:left w:val="single" w:color="auto" w:sz="4" w:space="0"/>
              <w:bottom w:val="single" w:color="auto" w:sz="4" w:space="0"/>
              <w:right w:val="single" w:color="auto" w:sz="4" w:space="0"/>
            </w:tcBorders>
          </w:tcPr>
          <w:p w14:paraId="6BB212CA">
            <w:pPr>
              <w:snapToGrid w:val="0"/>
              <w:spacing w:before="120" w:beforeLines="50" w:line="400" w:lineRule="exact"/>
              <w:rPr>
                <w:color w:val="auto"/>
                <w:szCs w:val="21"/>
                <w:highlight w:val="none"/>
              </w:rPr>
            </w:pPr>
          </w:p>
        </w:tc>
      </w:tr>
      <w:tr w14:paraId="29BF75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3BE90FFE">
            <w:pPr>
              <w:snapToGrid w:val="0"/>
              <w:spacing w:line="400" w:lineRule="exact"/>
              <w:rPr>
                <w:color w:val="auto"/>
                <w:szCs w:val="21"/>
                <w:highlight w:val="none"/>
              </w:rPr>
            </w:pPr>
          </w:p>
        </w:tc>
        <w:tc>
          <w:tcPr>
            <w:tcW w:w="3334" w:type="dxa"/>
            <w:tcBorders>
              <w:top w:val="single" w:color="auto" w:sz="4" w:space="0"/>
              <w:left w:val="single" w:color="auto" w:sz="4" w:space="0"/>
              <w:bottom w:val="single" w:color="auto" w:sz="4" w:space="0"/>
              <w:right w:val="single" w:color="auto" w:sz="4" w:space="0"/>
            </w:tcBorders>
          </w:tcPr>
          <w:p w14:paraId="0DA7AEED">
            <w:pPr>
              <w:snapToGrid w:val="0"/>
              <w:spacing w:before="120" w:beforeLines="50" w:line="400" w:lineRule="exact"/>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7CE45FBC">
            <w:pPr>
              <w:snapToGrid w:val="0"/>
              <w:spacing w:before="120" w:beforeLines="50" w:line="400" w:lineRule="exact"/>
              <w:rPr>
                <w:color w:val="auto"/>
                <w:szCs w:val="21"/>
                <w:highlight w:val="none"/>
              </w:rPr>
            </w:pPr>
          </w:p>
        </w:tc>
        <w:tc>
          <w:tcPr>
            <w:tcW w:w="3020" w:type="dxa"/>
            <w:tcBorders>
              <w:top w:val="single" w:color="auto" w:sz="4" w:space="0"/>
              <w:left w:val="single" w:color="auto" w:sz="4" w:space="0"/>
              <w:bottom w:val="single" w:color="auto" w:sz="4" w:space="0"/>
              <w:right w:val="single" w:color="auto" w:sz="4" w:space="0"/>
            </w:tcBorders>
          </w:tcPr>
          <w:p w14:paraId="5FCF0613">
            <w:pPr>
              <w:snapToGrid w:val="0"/>
              <w:spacing w:before="120" w:beforeLines="50" w:line="400" w:lineRule="exact"/>
              <w:rPr>
                <w:color w:val="auto"/>
                <w:szCs w:val="21"/>
                <w:highlight w:val="none"/>
              </w:rPr>
            </w:pPr>
          </w:p>
        </w:tc>
      </w:tr>
      <w:tr w14:paraId="4B9B41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6288F774">
            <w:pPr>
              <w:snapToGrid w:val="0"/>
              <w:spacing w:line="400" w:lineRule="exact"/>
              <w:rPr>
                <w:color w:val="auto"/>
                <w:szCs w:val="21"/>
                <w:highlight w:val="none"/>
              </w:rPr>
            </w:pPr>
          </w:p>
        </w:tc>
        <w:tc>
          <w:tcPr>
            <w:tcW w:w="3334" w:type="dxa"/>
            <w:tcBorders>
              <w:top w:val="single" w:color="auto" w:sz="4" w:space="0"/>
              <w:left w:val="single" w:color="auto" w:sz="4" w:space="0"/>
              <w:bottom w:val="single" w:color="auto" w:sz="4" w:space="0"/>
              <w:right w:val="single" w:color="auto" w:sz="4" w:space="0"/>
            </w:tcBorders>
          </w:tcPr>
          <w:p w14:paraId="4668E9ED">
            <w:pPr>
              <w:snapToGrid w:val="0"/>
              <w:spacing w:before="120" w:beforeLines="50" w:line="400" w:lineRule="exact"/>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12A5EC22">
            <w:pPr>
              <w:snapToGrid w:val="0"/>
              <w:spacing w:before="120" w:beforeLines="50" w:line="400" w:lineRule="exact"/>
              <w:rPr>
                <w:color w:val="auto"/>
                <w:szCs w:val="21"/>
                <w:highlight w:val="none"/>
              </w:rPr>
            </w:pPr>
          </w:p>
        </w:tc>
        <w:tc>
          <w:tcPr>
            <w:tcW w:w="3020" w:type="dxa"/>
            <w:tcBorders>
              <w:top w:val="single" w:color="auto" w:sz="4" w:space="0"/>
              <w:left w:val="single" w:color="auto" w:sz="4" w:space="0"/>
              <w:bottom w:val="single" w:color="auto" w:sz="4" w:space="0"/>
              <w:right w:val="single" w:color="auto" w:sz="4" w:space="0"/>
            </w:tcBorders>
          </w:tcPr>
          <w:p w14:paraId="34D424D2">
            <w:pPr>
              <w:snapToGrid w:val="0"/>
              <w:spacing w:before="120" w:beforeLines="50" w:line="400" w:lineRule="exact"/>
              <w:rPr>
                <w:color w:val="auto"/>
                <w:szCs w:val="21"/>
                <w:highlight w:val="none"/>
              </w:rPr>
            </w:pPr>
          </w:p>
        </w:tc>
      </w:tr>
      <w:tr w14:paraId="2CCFB0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4CFA4666">
            <w:pPr>
              <w:snapToGrid w:val="0"/>
              <w:spacing w:line="400" w:lineRule="exact"/>
              <w:rPr>
                <w:color w:val="auto"/>
                <w:szCs w:val="21"/>
                <w:highlight w:val="none"/>
              </w:rPr>
            </w:pPr>
          </w:p>
        </w:tc>
        <w:tc>
          <w:tcPr>
            <w:tcW w:w="3334" w:type="dxa"/>
            <w:tcBorders>
              <w:top w:val="single" w:color="auto" w:sz="4" w:space="0"/>
              <w:left w:val="single" w:color="auto" w:sz="4" w:space="0"/>
              <w:bottom w:val="single" w:color="auto" w:sz="4" w:space="0"/>
              <w:right w:val="single" w:color="auto" w:sz="4" w:space="0"/>
            </w:tcBorders>
          </w:tcPr>
          <w:p w14:paraId="29407433">
            <w:pPr>
              <w:snapToGrid w:val="0"/>
              <w:spacing w:before="120" w:beforeLines="50" w:line="400" w:lineRule="exact"/>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6F85FBF3">
            <w:pPr>
              <w:snapToGrid w:val="0"/>
              <w:spacing w:before="120" w:beforeLines="50" w:line="400" w:lineRule="exact"/>
              <w:rPr>
                <w:color w:val="auto"/>
                <w:szCs w:val="21"/>
                <w:highlight w:val="none"/>
              </w:rPr>
            </w:pPr>
          </w:p>
        </w:tc>
        <w:tc>
          <w:tcPr>
            <w:tcW w:w="3020" w:type="dxa"/>
            <w:tcBorders>
              <w:top w:val="single" w:color="auto" w:sz="4" w:space="0"/>
              <w:left w:val="single" w:color="auto" w:sz="4" w:space="0"/>
              <w:bottom w:val="single" w:color="auto" w:sz="4" w:space="0"/>
              <w:right w:val="single" w:color="auto" w:sz="4" w:space="0"/>
            </w:tcBorders>
          </w:tcPr>
          <w:p w14:paraId="781FBBA0">
            <w:pPr>
              <w:snapToGrid w:val="0"/>
              <w:spacing w:before="120" w:beforeLines="50" w:line="400" w:lineRule="exact"/>
              <w:rPr>
                <w:color w:val="auto"/>
                <w:szCs w:val="21"/>
                <w:highlight w:val="none"/>
              </w:rPr>
            </w:pPr>
          </w:p>
        </w:tc>
      </w:tr>
      <w:tr w14:paraId="00796E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14:paraId="588C6014">
            <w:pPr>
              <w:snapToGrid w:val="0"/>
              <w:spacing w:line="400" w:lineRule="exact"/>
              <w:rPr>
                <w:color w:val="auto"/>
                <w:szCs w:val="21"/>
                <w:highlight w:val="none"/>
              </w:rPr>
            </w:pPr>
          </w:p>
        </w:tc>
        <w:tc>
          <w:tcPr>
            <w:tcW w:w="3334" w:type="dxa"/>
            <w:tcBorders>
              <w:top w:val="single" w:color="auto" w:sz="4" w:space="0"/>
              <w:left w:val="single" w:color="auto" w:sz="4" w:space="0"/>
              <w:bottom w:val="single" w:color="auto" w:sz="4" w:space="0"/>
              <w:right w:val="single" w:color="auto" w:sz="4" w:space="0"/>
            </w:tcBorders>
          </w:tcPr>
          <w:p w14:paraId="700B9A0F">
            <w:pPr>
              <w:snapToGrid w:val="0"/>
              <w:spacing w:before="120" w:beforeLines="50" w:line="400" w:lineRule="exact"/>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6FADACCD">
            <w:pPr>
              <w:snapToGrid w:val="0"/>
              <w:spacing w:before="120" w:beforeLines="50" w:line="400" w:lineRule="exact"/>
              <w:rPr>
                <w:color w:val="auto"/>
                <w:szCs w:val="21"/>
                <w:highlight w:val="none"/>
              </w:rPr>
            </w:pPr>
          </w:p>
        </w:tc>
        <w:tc>
          <w:tcPr>
            <w:tcW w:w="3020" w:type="dxa"/>
            <w:tcBorders>
              <w:top w:val="single" w:color="auto" w:sz="4" w:space="0"/>
              <w:left w:val="single" w:color="auto" w:sz="4" w:space="0"/>
              <w:bottom w:val="single" w:color="auto" w:sz="4" w:space="0"/>
              <w:right w:val="single" w:color="auto" w:sz="4" w:space="0"/>
            </w:tcBorders>
          </w:tcPr>
          <w:p w14:paraId="61EB77B5">
            <w:pPr>
              <w:snapToGrid w:val="0"/>
              <w:spacing w:before="120" w:beforeLines="50" w:line="400" w:lineRule="exact"/>
              <w:rPr>
                <w:color w:val="auto"/>
                <w:szCs w:val="21"/>
                <w:highlight w:val="none"/>
              </w:rPr>
            </w:pPr>
          </w:p>
        </w:tc>
      </w:tr>
      <w:tr w14:paraId="175BC0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14:paraId="484A0DAA">
            <w:pPr>
              <w:snapToGrid w:val="0"/>
              <w:spacing w:line="400" w:lineRule="exact"/>
              <w:rPr>
                <w:color w:val="auto"/>
                <w:szCs w:val="21"/>
                <w:highlight w:val="none"/>
              </w:rPr>
            </w:pPr>
          </w:p>
        </w:tc>
        <w:tc>
          <w:tcPr>
            <w:tcW w:w="3334" w:type="dxa"/>
            <w:tcBorders>
              <w:top w:val="single" w:color="auto" w:sz="4" w:space="0"/>
              <w:left w:val="single" w:color="auto" w:sz="4" w:space="0"/>
              <w:bottom w:val="single" w:color="auto" w:sz="4" w:space="0"/>
              <w:right w:val="single" w:color="auto" w:sz="4" w:space="0"/>
            </w:tcBorders>
          </w:tcPr>
          <w:p w14:paraId="72259063">
            <w:pPr>
              <w:snapToGrid w:val="0"/>
              <w:spacing w:before="120" w:beforeLines="50" w:line="400" w:lineRule="exact"/>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435606AF">
            <w:pPr>
              <w:snapToGrid w:val="0"/>
              <w:spacing w:before="120" w:beforeLines="50" w:line="400" w:lineRule="exact"/>
              <w:rPr>
                <w:color w:val="auto"/>
                <w:szCs w:val="21"/>
                <w:highlight w:val="none"/>
              </w:rPr>
            </w:pPr>
          </w:p>
        </w:tc>
        <w:tc>
          <w:tcPr>
            <w:tcW w:w="3020" w:type="dxa"/>
            <w:tcBorders>
              <w:top w:val="single" w:color="auto" w:sz="4" w:space="0"/>
              <w:left w:val="single" w:color="auto" w:sz="4" w:space="0"/>
              <w:bottom w:val="single" w:color="auto" w:sz="4" w:space="0"/>
              <w:right w:val="single" w:color="auto" w:sz="4" w:space="0"/>
            </w:tcBorders>
          </w:tcPr>
          <w:p w14:paraId="564D5B56">
            <w:pPr>
              <w:snapToGrid w:val="0"/>
              <w:spacing w:before="120" w:beforeLines="50" w:line="400" w:lineRule="exact"/>
              <w:rPr>
                <w:color w:val="auto"/>
                <w:szCs w:val="21"/>
                <w:highlight w:val="none"/>
              </w:rPr>
            </w:pPr>
          </w:p>
        </w:tc>
      </w:tr>
      <w:tr w14:paraId="23B73C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14:paraId="58C426B0">
            <w:pPr>
              <w:snapToGrid w:val="0"/>
              <w:spacing w:line="400" w:lineRule="exact"/>
              <w:rPr>
                <w:color w:val="auto"/>
                <w:szCs w:val="21"/>
                <w:highlight w:val="none"/>
              </w:rPr>
            </w:pPr>
          </w:p>
        </w:tc>
        <w:tc>
          <w:tcPr>
            <w:tcW w:w="3334" w:type="dxa"/>
            <w:tcBorders>
              <w:top w:val="single" w:color="auto" w:sz="4" w:space="0"/>
              <w:left w:val="single" w:color="auto" w:sz="4" w:space="0"/>
              <w:bottom w:val="single" w:color="auto" w:sz="4" w:space="0"/>
              <w:right w:val="single" w:color="auto" w:sz="4" w:space="0"/>
            </w:tcBorders>
          </w:tcPr>
          <w:p w14:paraId="03E64B43">
            <w:pPr>
              <w:snapToGrid w:val="0"/>
              <w:spacing w:before="120" w:beforeLines="50" w:line="400" w:lineRule="exact"/>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1E188131">
            <w:pPr>
              <w:snapToGrid w:val="0"/>
              <w:spacing w:before="120" w:beforeLines="50" w:line="400" w:lineRule="exact"/>
              <w:rPr>
                <w:color w:val="auto"/>
                <w:szCs w:val="21"/>
                <w:highlight w:val="none"/>
              </w:rPr>
            </w:pPr>
          </w:p>
        </w:tc>
        <w:tc>
          <w:tcPr>
            <w:tcW w:w="3020" w:type="dxa"/>
            <w:tcBorders>
              <w:top w:val="single" w:color="auto" w:sz="4" w:space="0"/>
              <w:left w:val="single" w:color="auto" w:sz="4" w:space="0"/>
              <w:bottom w:val="single" w:color="auto" w:sz="4" w:space="0"/>
              <w:right w:val="single" w:color="auto" w:sz="4" w:space="0"/>
            </w:tcBorders>
          </w:tcPr>
          <w:p w14:paraId="4C41C677">
            <w:pPr>
              <w:snapToGrid w:val="0"/>
              <w:spacing w:before="120" w:beforeLines="50" w:line="400" w:lineRule="exact"/>
              <w:rPr>
                <w:color w:val="auto"/>
                <w:szCs w:val="21"/>
                <w:highlight w:val="none"/>
              </w:rPr>
            </w:pPr>
          </w:p>
        </w:tc>
      </w:tr>
      <w:tr w14:paraId="7BD9CA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14:paraId="2E0C85C6">
            <w:pPr>
              <w:snapToGrid w:val="0"/>
              <w:spacing w:line="400" w:lineRule="exact"/>
              <w:rPr>
                <w:color w:val="auto"/>
                <w:szCs w:val="21"/>
                <w:highlight w:val="none"/>
              </w:rPr>
            </w:pPr>
          </w:p>
        </w:tc>
        <w:tc>
          <w:tcPr>
            <w:tcW w:w="3334" w:type="dxa"/>
            <w:tcBorders>
              <w:top w:val="single" w:color="auto" w:sz="4" w:space="0"/>
              <w:left w:val="single" w:color="auto" w:sz="4" w:space="0"/>
              <w:bottom w:val="single" w:color="auto" w:sz="4" w:space="0"/>
              <w:right w:val="single" w:color="auto" w:sz="4" w:space="0"/>
            </w:tcBorders>
          </w:tcPr>
          <w:p w14:paraId="1C194308">
            <w:pPr>
              <w:snapToGrid w:val="0"/>
              <w:spacing w:before="120" w:beforeLines="50" w:line="400" w:lineRule="exact"/>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2956C84B">
            <w:pPr>
              <w:snapToGrid w:val="0"/>
              <w:spacing w:before="120" w:beforeLines="50" w:line="400" w:lineRule="exact"/>
              <w:rPr>
                <w:color w:val="auto"/>
                <w:szCs w:val="21"/>
                <w:highlight w:val="none"/>
              </w:rPr>
            </w:pPr>
          </w:p>
        </w:tc>
        <w:tc>
          <w:tcPr>
            <w:tcW w:w="3020" w:type="dxa"/>
            <w:tcBorders>
              <w:top w:val="single" w:color="auto" w:sz="4" w:space="0"/>
              <w:left w:val="single" w:color="auto" w:sz="4" w:space="0"/>
              <w:bottom w:val="single" w:color="auto" w:sz="4" w:space="0"/>
              <w:right w:val="single" w:color="auto" w:sz="4" w:space="0"/>
            </w:tcBorders>
          </w:tcPr>
          <w:p w14:paraId="14E903F3">
            <w:pPr>
              <w:snapToGrid w:val="0"/>
              <w:spacing w:before="120" w:beforeLines="50" w:line="400" w:lineRule="exact"/>
              <w:rPr>
                <w:color w:val="auto"/>
                <w:szCs w:val="21"/>
                <w:highlight w:val="none"/>
              </w:rPr>
            </w:pPr>
          </w:p>
        </w:tc>
      </w:tr>
      <w:tr w14:paraId="0A9BD3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tcPr>
          <w:p w14:paraId="03219FC7">
            <w:pPr>
              <w:snapToGrid w:val="0"/>
              <w:spacing w:before="120" w:beforeLines="50" w:line="400" w:lineRule="exact"/>
              <w:rPr>
                <w:color w:val="auto"/>
                <w:szCs w:val="21"/>
                <w:highlight w:val="none"/>
              </w:rPr>
            </w:pPr>
            <w:r>
              <w:rPr>
                <w:color w:val="auto"/>
                <w:szCs w:val="21"/>
                <w:highlight w:val="none"/>
              </w:rPr>
              <w:t>…</w:t>
            </w:r>
          </w:p>
        </w:tc>
        <w:tc>
          <w:tcPr>
            <w:tcW w:w="3334" w:type="dxa"/>
            <w:tcBorders>
              <w:top w:val="single" w:color="auto" w:sz="4" w:space="0"/>
              <w:left w:val="single" w:color="auto" w:sz="4" w:space="0"/>
              <w:bottom w:val="single" w:color="auto" w:sz="4" w:space="0"/>
              <w:right w:val="single" w:color="auto" w:sz="4" w:space="0"/>
            </w:tcBorders>
          </w:tcPr>
          <w:p w14:paraId="3E523AD0">
            <w:pPr>
              <w:snapToGrid w:val="0"/>
              <w:spacing w:before="120" w:beforeLines="50" w:line="400" w:lineRule="exact"/>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65656CC9">
            <w:pPr>
              <w:snapToGrid w:val="0"/>
              <w:spacing w:before="120" w:beforeLines="50" w:line="400" w:lineRule="exact"/>
              <w:rPr>
                <w:color w:val="auto"/>
                <w:szCs w:val="21"/>
                <w:highlight w:val="none"/>
              </w:rPr>
            </w:pPr>
          </w:p>
        </w:tc>
        <w:tc>
          <w:tcPr>
            <w:tcW w:w="3020" w:type="dxa"/>
            <w:tcBorders>
              <w:top w:val="single" w:color="auto" w:sz="4" w:space="0"/>
              <w:left w:val="single" w:color="auto" w:sz="4" w:space="0"/>
              <w:bottom w:val="single" w:color="auto" w:sz="4" w:space="0"/>
              <w:right w:val="single" w:color="auto" w:sz="4" w:space="0"/>
            </w:tcBorders>
          </w:tcPr>
          <w:p w14:paraId="1D689F35">
            <w:pPr>
              <w:snapToGrid w:val="0"/>
              <w:spacing w:before="120" w:beforeLines="50" w:line="400" w:lineRule="exact"/>
              <w:rPr>
                <w:color w:val="auto"/>
                <w:szCs w:val="21"/>
                <w:highlight w:val="none"/>
              </w:rPr>
            </w:pPr>
          </w:p>
        </w:tc>
      </w:tr>
    </w:tbl>
    <w:p w14:paraId="6D5A3B89">
      <w:pPr>
        <w:pStyle w:val="15"/>
        <w:widowControl/>
        <w:spacing w:line="440" w:lineRule="exact"/>
        <w:jc w:val="left"/>
        <w:rPr>
          <w:rFonts w:hint="default" w:ascii="Times New Roman" w:eastAsia="宋体"/>
          <w:b/>
          <w:bCs/>
          <w:color w:val="auto"/>
          <w:spacing w:val="0"/>
          <w:kern w:val="2"/>
          <w:sz w:val="21"/>
          <w:szCs w:val="21"/>
          <w:highlight w:val="none"/>
          <w:lang w:val="en-US" w:eastAsia="zh-CN"/>
        </w:rPr>
      </w:pPr>
      <w:r>
        <w:rPr>
          <w:rFonts w:hint="eastAsia" w:ascii="Times New Roman"/>
          <w:b/>
          <w:bCs/>
          <w:color w:val="auto"/>
          <w:spacing w:val="0"/>
          <w:kern w:val="2"/>
          <w:sz w:val="21"/>
          <w:szCs w:val="21"/>
          <w:highlight w:val="none"/>
        </w:rPr>
        <w:t>注：由投标人根据第三章“采购需求”部分“</w:t>
      </w:r>
      <w:r>
        <w:rPr>
          <w:rFonts w:ascii="Times New Roman"/>
          <w:b/>
          <w:bCs/>
          <w:color w:val="auto"/>
          <w:spacing w:val="0"/>
          <w:kern w:val="2"/>
          <w:sz w:val="21"/>
          <w:szCs w:val="21"/>
          <w:highlight w:val="none"/>
        </w:rPr>
        <w:t>商务需求</w:t>
      </w:r>
      <w:r>
        <w:rPr>
          <w:rFonts w:hint="eastAsia" w:ascii="Times New Roman"/>
          <w:b/>
          <w:bCs/>
          <w:color w:val="auto"/>
          <w:spacing w:val="0"/>
          <w:kern w:val="2"/>
          <w:sz w:val="21"/>
          <w:szCs w:val="21"/>
          <w:highlight w:val="none"/>
        </w:rPr>
        <w:t>”条款进行响应，</w:t>
      </w:r>
      <w:r>
        <w:rPr>
          <w:rFonts w:hint="eastAsia" w:ascii="Times New Roman"/>
          <w:b/>
          <w:bCs/>
          <w:color w:val="auto"/>
          <w:spacing w:val="0"/>
          <w:kern w:val="2"/>
          <w:sz w:val="21"/>
          <w:szCs w:val="21"/>
          <w:highlight w:val="none"/>
          <w:lang w:val="en-US" w:eastAsia="zh-CN"/>
        </w:rPr>
        <w:t>逐项比较填写.</w:t>
      </w:r>
    </w:p>
    <w:p w14:paraId="058A033D">
      <w:pPr>
        <w:widowControl/>
        <w:spacing w:line="360" w:lineRule="auto"/>
        <w:jc w:val="left"/>
        <w:rPr>
          <w:color w:val="auto"/>
          <w:sz w:val="24"/>
          <w:highlight w:val="none"/>
        </w:rPr>
      </w:pPr>
    </w:p>
    <w:p w14:paraId="0BF645AC">
      <w:pPr>
        <w:pStyle w:val="15"/>
        <w:widowControl/>
        <w:spacing w:line="360" w:lineRule="auto"/>
        <w:ind w:left="614" w:leftChars="100" w:hanging="404" w:hangingChars="200"/>
        <w:jc w:val="left"/>
        <w:rPr>
          <w:rFonts w:ascii="Times New Roman"/>
          <w:color w:val="auto"/>
          <w:sz w:val="21"/>
          <w:szCs w:val="21"/>
          <w:highlight w:val="none"/>
        </w:rPr>
      </w:pPr>
      <w:r>
        <w:rPr>
          <w:rFonts w:ascii="Times New Roman"/>
          <w:color w:val="auto"/>
          <w:sz w:val="21"/>
          <w:szCs w:val="21"/>
          <w:highlight w:val="none"/>
        </w:rPr>
        <w:t>投标人（盖章）：</w:t>
      </w:r>
    </w:p>
    <w:p w14:paraId="69E35318">
      <w:pPr>
        <w:pStyle w:val="15"/>
        <w:widowControl/>
        <w:spacing w:line="360" w:lineRule="auto"/>
        <w:ind w:left="614" w:leftChars="100" w:hanging="404" w:hangingChars="200"/>
        <w:jc w:val="left"/>
        <w:rPr>
          <w:rFonts w:ascii="Times New Roman"/>
          <w:color w:val="auto"/>
          <w:sz w:val="21"/>
          <w:szCs w:val="21"/>
          <w:highlight w:val="none"/>
        </w:rPr>
      </w:pPr>
      <w:r>
        <w:rPr>
          <w:rFonts w:ascii="Times New Roman"/>
          <w:color w:val="auto"/>
          <w:sz w:val="21"/>
          <w:szCs w:val="21"/>
          <w:highlight w:val="none"/>
        </w:rPr>
        <w:t>法定代表人或其授权代表（签字或盖章）：</w:t>
      </w:r>
    </w:p>
    <w:p w14:paraId="2C842D9B">
      <w:pPr>
        <w:pStyle w:val="15"/>
        <w:widowControl/>
        <w:spacing w:line="360" w:lineRule="auto"/>
        <w:ind w:left="614" w:leftChars="100" w:hanging="404" w:hangingChars="200"/>
        <w:jc w:val="left"/>
        <w:rPr>
          <w:rFonts w:ascii="Times New Roman"/>
          <w:color w:val="auto"/>
          <w:spacing w:val="0"/>
          <w:sz w:val="24"/>
          <w:szCs w:val="24"/>
          <w:highlight w:val="none"/>
        </w:rPr>
      </w:pPr>
      <w:r>
        <w:rPr>
          <w:rFonts w:ascii="Times New Roman"/>
          <w:color w:val="auto"/>
          <w:sz w:val="21"/>
          <w:szCs w:val="21"/>
          <w:highlight w:val="none"/>
        </w:rPr>
        <w:t>日期：</w:t>
      </w:r>
      <w:r>
        <w:rPr>
          <w:rFonts w:ascii="Times New Roman"/>
          <w:color w:val="auto"/>
          <w:spacing w:val="0"/>
          <w:sz w:val="24"/>
          <w:szCs w:val="24"/>
          <w:highlight w:val="none"/>
        </w:rPr>
        <w:br w:type="page"/>
      </w:r>
    </w:p>
    <w:p w14:paraId="5F970130">
      <w:pPr>
        <w:spacing w:line="360" w:lineRule="auto"/>
        <w:jc w:val="center"/>
        <w:rPr>
          <w:b/>
          <w:color w:val="auto"/>
          <w:sz w:val="24"/>
          <w:szCs w:val="21"/>
          <w:highlight w:val="none"/>
        </w:rPr>
      </w:pPr>
      <w:r>
        <w:rPr>
          <w:b/>
          <w:color w:val="auto"/>
          <w:sz w:val="24"/>
          <w:szCs w:val="21"/>
          <w:highlight w:val="none"/>
        </w:rPr>
        <w:t>技术</w:t>
      </w:r>
      <w:r>
        <w:rPr>
          <w:rFonts w:hint="eastAsia"/>
          <w:b/>
          <w:color w:val="auto"/>
          <w:sz w:val="24"/>
          <w:szCs w:val="21"/>
          <w:highlight w:val="none"/>
        </w:rPr>
        <w:t>需求</w:t>
      </w:r>
      <w:r>
        <w:rPr>
          <w:b/>
          <w:color w:val="auto"/>
          <w:sz w:val="24"/>
          <w:szCs w:val="21"/>
          <w:highlight w:val="none"/>
        </w:rPr>
        <w:t>偏离表</w:t>
      </w:r>
    </w:p>
    <w:p w14:paraId="77B01796">
      <w:pPr>
        <w:snapToGrid w:val="0"/>
        <w:spacing w:line="360" w:lineRule="auto"/>
        <w:rPr>
          <w:b/>
          <w:bCs/>
          <w:color w:val="auto"/>
          <w:sz w:val="24"/>
          <w:szCs w:val="21"/>
          <w:highlight w:val="none"/>
        </w:rPr>
      </w:pPr>
      <w:r>
        <w:rPr>
          <w:color w:val="auto"/>
          <w:szCs w:val="21"/>
          <w:highlight w:val="none"/>
        </w:rPr>
        <w:t xml:space="preserve">项目名称：            </w:t>
      </w:r>
      <w:r>
        <w:rPr>
          <w:rFonts w:hint="eastAsia"/>
          <w:color w:val="auto"/>
          <w:szCs w:val="21"/>
          <w:highlight w:val="none"/>
        </w:rPr>
        <w:tab/>
      </w:r>
      <w:r>
        <w:rPr>
          <w:rFonts w:hint="eastAsia"/>
          <w:color w:val="auto"/>
          <w:szCs w:val="21"/>
          <w:highlight w:val="none"/>
        </w:rPr>
        <w:tab/>
      </w:r>
      <w:r>
        <w:rPr>
          <w:rFonts w:hint="eastAsia"/>
          <w:color w:val="auto"/>
          <w:szCs w:val="21"/>
          <w:highlight w:val="none"/>
        </w:rPr>
        <w:tab/>
      </w:r>
      <w:r>
        <w:rPr>
          <w:rFonts w:hint="eastAsia"/>
          <w:color w:val="auto"/>
          <w:szCs w:val="21"/>
          <w:highlight w:val="none"/>
        </w:rPr>
        <w:tab/>
      </w:r>
      <w:r>
        <w:rPr>
          <w:rFonts w:hint="eastAsia"/>
          <w:color w:val="auto"/>
          <w:szCs w:val="21"/>
          <w:highlight w:val="none"/>
        </w:rPr>
        <w:tab/>
      </w:r>
      <w:r>
        <w:rPr>
          <w:rFonts w:hint="eastAsia"/>
          <w:color w:val="auto"/>
          <w:szCs w:val="21"/>
          <w:highlight w:val="none"/>
        </w:rPr>
        <w:tab/>
      </w:r>
      <w:r>
        <w:rPr>
          <w:rFonts w:hint="eastAsia"/>
          <w:color w:val="auto"/>
          <w:szCs w:val="21"/>
          <w:highlight w:val="none"/>
        </w:rPr>
        <w:tab/>
      </w:r>
      <w:r>
        <w:rPr>
          <w:rFonts w:hint="eastAsia"/>
          <w:color w:val="auto"/>
          <w:szCs w:val="21"/>
          <w:highlight w:val="none"/>
        </w:rPr>
        <w:tab/>
      </w:r>
      <w:r>
        <w:rPr>
          <w:rFonts w:hint="eastAsia"/>
          <w:color w:val="auto"/>
          <w:szCs w:val="21"/>
          <w:highlight w:val="none"/>
        </w:rPr>
        <w:tab/>
      </w:r>
      <w:r>
        <w:rPr>
          <w:color w:val="auto"/>
          <w:szCs w:val="21"/>
          <w:highlight w:val="none"/>
        </w:rPr>
        <w:t xml:space="preserve"> </w:t>
      </w:r>
      <w:r>
        <w:rPr>
          <w:rFonts w:hint="eastAsia"/>
          <w:color w:val="auto"/>
          <w:szCs w:val="21"/>
          <w:highlight w:val="none"/>
        </w:rPr>
        <w:t>项目</w:t>
      </w:r>
      <w:r>
        <w:rPr>
          <w:color w:val="auto"/>
          <w:szCs w:val="21"/>
          <w:highlight w:val="none"/>
        </w:rPr>
        <w:t>编号：</w:t>
      </w:r>
      <w:r>
        <w:rPr>
          <w:color w:val="auto"/>
          <w:sz w:val="24"/>
          <w:highlight w:val="none"/>
        </w:rPr>
        <w:t xml:space="preserve"> </w:t>
      </w:r>
    </w:p>
    <w:tbl>
      <w:tblPr>
        <w:tblStyle w:val="44"/>
        <w:tblW w:w="987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3071"/>
        <w:gridCol w:w="2189"/>
        <w:gridCol w:w="1849"/>
        <w:gridCol w:w="1343"/>
      </w:tblGrid>
      <w:tr w14:paraId="3E4E0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noWrap w:val="0"/>
            <w:vAlign w:val="center"/>
          </w:tcPr>
          <w:p w14:paraId="48B4DE7A">
            <w:pPr>
              <w:adjustRightInd w:val="0"/>
              <w:snapToGrid w:val="0"/>
              <w:spacing w:line="400" w:lineRule="exact"/>
              <w:jc w:val="center"/>
              <w:rPr>
                <w:rFonts w:ascii="宋体" w:hAnsi="宋体"/>
                <w:b/>
                <w:color w:val="auto"/>
                <w:szCs w:val="21"/>
                <w:highlight w:val="none"/>
              </w:rPr>
            </w:pPr>
            <w:r>
              <w:rPr>
                <w:rFonts w:hint="eastAsia" w:ascii="宋体" w:hAnsi="宋体"/>
                <w:b/>
                <w:color w:val="auto"/>
                <w:szCs w:val="21"/>
                <w:highlight w:val="none"/>
              </w:rPr>
              <w:t>序号</w:t>
            </w:r>
          </w:p>
        </w:tc>
        <w:tc>
          <w:tcPr>
            <w:tcW w:w="3071" w:type="dxa"/>
            <w:noWrap w:val="0"/>
            <w:vAlign w:val="center"/>
          </w:tcPr>
          <w:p w14:paraId="71F12FDC">
            <w:pPr>
              <w:adjustRightInd w:val="0"/>
              <w:snapToGrid w:val="0"/>
              <w:spacing w:line="400" w:lineRule="exact"/>
              <w:jc w:val="center"/>
              <w:rPr>
                <w:rFonts w:ascii="宋体" w:hAnsi="宋体"/>
                <w:b/>
                <w:color w:val="auto"/>
                <w:szCs w:val="21"/>
                <w:highlight w:val="none"/>
              </w:rPr>
            </w:pPr>
            <w:r>
              <w:rPr>
                <w:rFonts w:hint="eastAsia" w:ascii="宋体" w:hAnsi="宋体"/>
                <w:b/>
                <w:color w:val="auto"/>
                <w:szCs w:val="21"/>
                <w:highlight w:val="none"/>
              </w:rPr>
              <w:t>招标要求</w:t>
            </w:r>
          </w:p>
        </w:tc>
        <w:tc>
          <w:tcPr>
            <w:tcW w:w="2189" w:type="dxa"/>
            <w:noWrap w:val="0"/>
            <w:vAlign w:val="center"/>
          </w:tcPr>
          <w:p w14:paraId="58625DBD">
            <w:pPr>
              <w:adjustRightInd w:val="0"/>
              <w:snapToGrid w:val="0"/>
              <w:spacing w:line="400" w:lineRule="exact"/>
              <w:jc w:val="center"/>
              <w:rPr>
                <w:rFonts w:ascii="宋体" w:hAnsi="宋体"/>
                <w:b/>
                <w:color w:val="auto"/>
                <w:szCs w:val="21"/>
                <w:highlight w:val="none"/>
              </w:rPr>
            </w:pPr>
            <w:r>
              <w:rPr>
                <w:rFonts w:hint="eastAsia" w:ascii="宋体" w:hAnsi="宋体"/>
                <w:b/>
                <w:color w:val="auto"/>
                <w:szCs w:val="21"/>
                <w:highlight w:val="none"/>
              </w:rPr>
              <w:t>投标响应</w:t>
            </w:r>
          </w:p>
        </w:tc>
        <w:tc>
          <w:tcPr>
            <w:tcW w:w="1849" w:type="dxa"/>
            <w:noWrap w:val="0"/>
            <w:vAlign w:val="center"/>
          </w:tcPr>
          <w:p w14:paraId="39B39AED">
            <w:pPr>
              <w:adjustRightInd w:val="0"/>
              <w:snapToGrid w:val="0"/>
              <w:spacing w:line="400" w:lineRule="exact"/>
              <w:jc w:val="center"/>
              <w:rPr>
                <w:rFonts w:hint="default" w:ascii="宋体" w:hAnsi="宋体" w:eastAsia="宋体"/>
                <w:b/>
                <w:color w:val="auto"/>
                <w:szCs w:val="21"/>
                <w:highlight w:val="none"/>
                <w:lang w:val="en-US" w:eastAsia="zh-CN"/>
              </w:rPr>
            </w:pPr>
            <w:r>
              <w:rPr>
                <w:rFonts w:hint="eastAsia" w:ascii="宋体" w:hAnsi="宋体"/>
                <w:b/>
                <w:color w:val="auto"/>
                <w:szCs w:val="21"/>
                <w:highlight w:val="none"/>
                <w:lang w:eastAsia="zh-CN"/>
              </w:rPr>
              <w:t>所投品牌</w:t>
            </w:r>
            <w:r>
              <w:rPr>
                <w:rFonts w:hint="eastAsia" w:ascii="宋体" w:hAnsi="宋体"/>
                <w:b/>
                <w:color w:val="auto"/>
                <w:szCs w:val="21"/>
                <w:highlight w:val="none"/>
                <w:lang w:val="en-US" w:eastAsia="zh-CN"/>
              </w:rPr>
              <w:t>/型号</w:t>
            </w:r>
          </w:p>
        </w:tc>
        <w:tc>
          <w:tcPr>
            <w:tcW w:w="1343" w:type="dxa"/>
            <w:noWrap w:val="0"/>
            <w:vAlign w:val="center"/>
          </w:tcPr>
          <w:p w14:paraId="6EDDE11F">
            <w:pPr>
              <w:adjustRightInd w:val="0"/>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偏离说明</w:t>
            </w:r>
          </w:p>
        </w:tc>
      </w:tr>
      <w:tr w14:paraId="3EBC7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noWrap w:val="0"/>
            <w:vAlign w:val="center"/>
          </w:tcPr>
          <w:p w14:paraId="61F5DCE8">
            <w:pPr>
              <w:adjustRightInd w:val="0"/>
              <w:snapToGrid w:val="0"/>
              <w:spacing w:line="400" w:lineRule="exact"/>
              <w:jc w:val="center"/>
              <w:rPr>
                <w:rFonts w:ascii="宋体" w:hAnsi="宋体"/>
                <w:color w:val="auto"/>
                <w:szCs w:val="21"/>
                <w:highlight w:val="none"/>
              </w:rPr>
            </w:pPr>
          </w:p>
        </w:tc>
        <w:tc>
          <w:tcPr>
            <w:tcW w:w="3071" w:type="dxa"/>
            <w:noWrap w:val="0"/>
            <w:vAlign w:val="center"/>
          </w:tcPr>
          <w:p w14:paraId="04EDDC2C">
            <w:pPr>
              <w:adjustRightInd w:val="0"/>
              <w:snapToGrid w:val="0"/>
              <w:spacing w:line="400" w:lineRule="exact"/>
              <w:jc w:val="center"/>
              <w:rPr>
                <w:rFonts w:ascii="宋体" w:hAnsi="宋体"/>
                <w:color w:val="auto"/>
                <w:szCs w:val="21"/>
                <w:highlight w:val="none"/>
              </w:rPr>
            </w:pPr>
          </w:p>
        </w:tc>
        <w:tc>
          <w:tcPr>
            <w:tcW w:w="2189" w:type="dxa"/>
            <w:noWrap w:val="0"/>
            <w:vAlign w:val="center"/>
          </w:tcPr>
          <w:p w14:paraId="585DE189">
            <w:pPr>
              <w:adjustRightInd w:val="0"/>
              <w:snapToGrid w:val="0"/>
              <w:spacing w:line="400" w:lineRule="exact"/>
              <w:jc w:val="center"/>
              <w:rPr>
                <w:rFonts w:ascii="宋体" w:hAnsi="宋体"/>
                <w:color w:val="auto"/>
                <w:szCs w:val="21"/>
                <w:highlight w:val="none"/>
              </w:rPr>
            </w:pPr>
          </w:p>
        </w:tc>
        <w:tc>
          <w:tcPr>
            <w:tcW w:w="1849" w:type="dxa"/>
            <w:noWrap w:val="0"/>
            <w:vAlign w:val="center"/>
          </w:tcPr>
          <w:p w14:paraId="457C61DD">
            <w:pPr>
              <w:adjustRightInd w:val="0"/>
              <w:snapToGrid w:val="0"/>
              <w:spacing w:line="400" w:lineRule="exact"/>
              <w:jc w:val="center"/>
              <w:rPr>
                <w:rFonts w:ascii="宋体" w:hAnsi="宋体"/>
                <w:color w:val="auto"/>
                <w:szCs w:val="21"/>
                <w:highlight w:val="none"/>
              </w:rPr>
            </w:pPr>
          </w:p>
        </w:tc>
        <w:tc>
          <w:tcPr>
            <w:tcW w:w="1343" w:type="dxa"/>
            <w:noWrap w:val="0"/>
            <w:vAlign w:val="center"/>
          </w:tcPr>
          <w:p w14:paraId="040F609E">
            <w:pPr>
              <w:adjustRightInd w:val="0"/>
              <w:snapToGrid w:val="0"/>
              <w:spacing w:line="400" w:lineRule="exact"/>
              <w:jc w:val="center"/>
              <w:rPr>
                <w:rFonts w:ascii="宋体" w:hAnsi="宋体"/>
                <w:color w:val="auto"/>
                <w:szCs w:val="21"/>
                <w:highlight w:val="none"/>
              </w:rPr>
            </w:pPr>
          </w:p>
        </w:tc>
      </w:tr>
      <w:tr w14:paraId="1357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noWrap w:val="0"/>
            <w:vAlign w:val="center"/>
          </w:tcPr>
          <w:p w14:paraId="5963196D">
            <w:pPr>
              <w:adjustRightInd w:val="0"/>
              <w:snapToGrid w:val="0"/>
              <w:spacing w:line="400" w:lineRule="exact"/>
              <w:jc w:val="center"/>
              <w:rPr>
                <w:rFonts w:ascii="宋体" w:hAnsi="宋体"/>
                <w:color w:val="auto"/>
                <w:szCs w:val="21"/>
                <w:highlight w:val="none"/>
              </w:rPr>
            </w:pPr>
          </w:p>
        </w:tc>
        <w:tc>
          <w:tcPr>
            <w:tcW w:w="3071" w:type="dxa"/>
            <w:noWrap w:val="0"/>
            <w:vAlign w:val="center"/>
          </w:tcPr>
          <w:p w14:paraId="00891E86">
            <w:pPr>
              <w:adjustRightInd w:val="0"/>
              <w:snapToGrid w:val="0"/>
              <w:spacing w:line="400" w:lineRule="exact"/>
              <w:jc w:val="center"/>
              <w:rPr>
                <w:rFonts w:ascii="宋体" w:hAnsi="宋体"/>
                <w:color w:val="auto"/>
                <w:szCs w:val="21"/>
                <w:highlight w:val="none"/>
              </w:rPr>
            </w:pPr>
          </w:p>
        </w:tc>
        <w:tc>
          <w:tcPr>
            <w:tcW w:w="2189" w:type="dxa"/>
            <w:noWrap w:val="0"/>
            <w:vAlign w:val="center"/>
          </w:tcPr>
          <w:p w14:paraId="5B7CD3FB">
            <w:pPr>
              <w:adjustRightInd w:val="0"/>
              <w:snapToGrid w:val="0"/>
              <w:spacing w:line="400" w:lineRule="exact"/>
              <w:jc w:val="center"/>
              <w:rPr>
                <w:rFonts w:ascii="宋体" w:hAnsi="宋体"/>
                <w:color w:val="auto"/>
                <w:szCs w:val="21"/>
                <w:highlight w:val="none"/>
              </w:rPr>
            </w:pPr>
          </w:p>
        </w:tc>
        <w:tc>
          <w:tcPr>
            <w:tcW w:w="1849" w:type="dxa"/>
            <w:noWrap w:val="0"/>
            <w:vAlign w:val="center"/>
          </w:tcPr>
          <w:p w14:paraId="651B14D6">
            <w:pPr>
              <w:adjustRightInd w:val="0"/>
              <w:snapToGrid w:val="0"/>
              <w:spacing w:line="400" w:lineRule="exact"/>
              <w:jc w:val="center"/>
              <w:rPr>
                <w:rFonts w:ascii="宋体" w:hAnsi="宋体"/>
                <w:color w:val="auto"/>
                <w:szCs w:val="21"/>
                <w:highlight w:val="none"/>
              </w:rPr>
            </w:pPr>
          </w:p>
        </w:tc>
        <w:tc>
          <w:tcPr>
            <w:tcW w:w="1343" w:type="dxa"/>
            <w:noWrap w:val="0"/>
            <w:vAlign w:val="center"/>
          </w:tcPr>
          <w:p w14:paraId="0CCB0A97">
            <w:pPr>
              <w:adjustRightInd w:val="0"/>
              <w:snapToGrid w:val="0"/>
              <w:spacing w:line="400" w:lineRule="exact"/>
              <w:jc w:val="center"/>
              <w:rPr>
                <w:rFonts w:ascii="宋体" w:hAnsi="宋体"/>
                <w:color w:val="auto"/>
                <w:szCs w:val="21"/>
                <w:highlight w:val="none"/>
              </w:rPr>
            </w:pPr>
          </w:p>
        </w:tc>
      </w:tr>
      <w:tr w14:paraId="27A5B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noWrap w:val="0"/>
            <w:vAlign w:val="center"/>
          </w:tcPr>
          <w:p w14:paraId="78C1C5E7">
            <w:pPr>
              <w:adjustRightInd w:val="0"/>
              <w:snapToGrid w:val="0"/>
              <w:spacing w:line="400" w:lineRule="exact"/>
              <w:jc w:val="center"/>
              <w:rPr>
                <w:rFonts w:ascii="宋体" w:hAnsi="宋体"/>
                <w:color w:val="auto"/>
                <w:szCs w:val="21"/>
                <w:highlight w:val="none"/>
              </w:rPr>
            </w:pPr>
          </w:p>
        </w:tc>
        <w:tc>
          <w:tcPr>
            <w:tcW w:w="3071" w:type="dxa"/>
            <w:noWrap w:val="0"/>
            <w:vAlign w:val="center"/>
          </w:tcPr>
          <w:p w14:paraId="750265AE">
            <w:pPr>
              <w:adjustRightInd w:val="0"/>
              <w:snapToGrid w:val="0"/>
              <w:spacing w:line="400" w:lineRule="exact"/>
              <w:jc w:val="center"/>
              <w:rPr>
                <w:rFonts w:ascii="宋体" w:hAnsi="宋体"/>
                <w:color w:val="auto"/>
                <w:szCs w:val="21"/>
                <w:highlight w:val="none"/>
              </w:rPr>
            </w:pPr>
          </w:p>
        </w:tc>
        <w:tc>
          <w:tcPr>
            <w:tcW w:w="2189" w:type="dxa"/>
            <w:noWrap w:val="0"/>
            <w:vAlign w:val="center"/>
          </w:tcPr>
          <w:p w14:paraId="43047E09">
            <w:pPr>
              <w:adjustRightInd w:val="0"/>
              <w:snapToGrid w:val="0"/>
              <w:spacing w:line="400" w:lineRule="exact"/>
              <w:jc w:val="center"/>
              <w:rPr>
                <w:rFonts w:ascii="宋体" w:hAnsi="宋体"/>
                <w:color w:val="auto"/>
                <w:szCs w:val="21"/>
                <w:highlight w:val="none"/>
              </w:rPr>
            </w:pPr>
          </w:p>
        </w:tc>
        <w:tc>
          <w:tcPr>
            <w:tcW w:w="1849" w:type="dxa"/>
            <w:noWrap w:val="0"/>
            <w:vAlign w:val="center"/>
          </w:tcPr>
          <w:p w14:paraId="41003187">
            <w:pPr>
              <w:adjustRightInd w:val="0"/>
              <w:snapToGrid w:val="0"/>
              <w:spacing w:line="400" w:lineRule="exact"/>
              <w:jc w:val="center"/>
              <w:rPr>
                <w:rFonts w:ascii="宋体" w:hAnsi="宋体"/>
                <w:color w:val="auto"/>
                <w:szCs w:val="21"/>
                <w:highlight w:val="none"/>
              </w:rPr>
            </w:pPr>
          </w:p>
        </w:tc>
        <w:tc>
          <w:tcPr>
            <w:tcW w:w="1343" w:type="dxa"/>
            <w:noWrap w:val="0"/>
            <w:vAlign w:val="center"/>
          </w:tcPr>
          <w:p w14:paraId="663AD64F">
            <w:pPr>
              <w:adjustRightInd w:val="0"/>
              <w:snapToGrid w:val="0"/>
              <w:spacing w:line="400" w:lineRule="exact"/>
              <w:jc w:val="center"/>
              <w:rPr>
                <w:rFonts w:ascii="宋体" w:hAnsi="宋体"/>
                <w:color w:val="auto"/>
                <w:szCs w:val="21"/>
                <w:highlight w:val="none"/>
              </w:rPr>
            </w:pPr>
          </w:p>
        </w:tc>
      </w:tr>
      <w:tr w14:paraId="1D4E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noWrap w:val="0"/>
            <w:vAlign w:val="center"/>
          </w:tcPr>
          <w:p w14:paraId="4D3EF477">
            <w:pPr>
              <w:adjustRightInd w:val="0"/>
              <w:snapToGrid w:val="0"/>
              <w:spacing w:line="400" w:lineRule="exact"/>
              <w:jc w:val="center"/>
              <w:rPr>
                <w:rFonts w:ascii="宋体" w:hAnsi="宋体"/>
                <w:color w:val="auto"/>
                <w:szCs w:val="21"/>
                <w:highlight w:val="none"/>
              </w:rPr>
            </w:pPr>
          </w:p>
        </w:tc>
        <w:tc>
          <w:tcPr>
            <w:tcW w:w="3071" w:type="dxa"/>
            <w:noWrap w:val="0"/>
            <w:vAlign w:val="center"/>
          </w:tcPr>
          <w:p w14:paraId="49A61D83">
            <w:pPr>
              <w:adjustRightInd w:val="0"/>
              <w:snapToGrid w:val="0"/>
              <w:spacing w:line="400" w:lineRule="exact"/>
              <w:jc w:val="center"/>
              <w:rPr>
                <w:rFonts w:ascii="宋体" w:hAnsi="宋体"/>
                <w:color w:val="auto"/>
                <w:szCs w:val="21"/>
                <w:highlight w:val="none"/>
              </w:rPr>
            </w:pPr>
          </w:p>
        </w:tc>
        <w:tc>
          <w:tcPr>
            <w:tcW w:w="2189" w:type="dxa"/>
            <w:noWrap w:val="0"/>
            <w:vAlign w:val="center"/>
          </w:tcPr>
          <w:p w14:paraId="2ACE71B9">
            <w:pPr>
              <w:adjustRightInd w:val="0"/>
              <w:snapToGrid w:val="0"/>
              <w:spacing w:line="400" w:lineRule="exact"/>
              <w:jc w:val="center"/>
              <w:rPr>
                <w:rFonts w:ascii="宋体" w:hAnsi="宋体"/>
                <w:color w:val="auto"/>
                <w:szCs w:val="21"/>
                <w:highlight w:val="none"/>
              </w:rPr>
            </w:pPr>
          </w:p>
        </w:tc>
        <w:tc>
          <w:tcPr>
            <w:tcW w:w="1849" w:type="dxa"/>
            <w:noWrap w:val="0"/>
            <w:vAlign w:val="center"/>
          </w:tcPr>
          <w:p w14:paraId="0C17BB00">
            <w:pPr>
              <w:adjustRightInd w:val="0"/>
              <w:snapToGrid w:val="0"/>
              <w:spacing w:line="400" w:lineRule="exact"/>
              <w:jc w:val="center"/>
              <w:rPr>
                <w:rFonts w:ascii="宋体" w:hAnsi="宋体"/>
                <w:color w:val="auto"/>
                <w:szCs w:val="21"/>
                <w:highlight w:val="none"/>
              </w:rPr>
            </w:pPr>
          </w:p>
        </w:tc>
        <w:tc>
          <w:tcPr>
            <w:tcW w:w="1343" w:type="dxa"/>
            <w:noWrap w:val="0"/>
            <w:vAlign w:val="center"/>
          </w:tcPr>
          <w:p w14:paraId="47B8B70E">
            <w:pPr>
              <w:adjustRightInd w:val="0"/>
              <w:snapToGrid w:val="0"/>
              <w:spacing w:line="400" w:lineRule="exact"/>
              <w:jc w:val="center"/>
              <w:rPr>
                <w:rFonts w:ascii="宋体" w:hAnsi="宋体"/>
                <w:color w:val="auto"/>
                <w:szCs w:val="21"/>
                <w:highlight w:val="none"/>
              </w:rPr>
            </w:pPr>
          </w:p>
        </w:tc>
      </w:tr>
      <w:tr w14:paraId="3B534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noWrap w:val="0"/>
            <w:vAlign w:val="center"/>
          </w:tcPr>
          <w:p w14:paraId="7E899346">
            <w:pPr>
              <w:adjustRightInd w:val="0"/>
              <w:snapToGrid w:val="0"/>
              <w:spacing w:line="400" w:lineRule="exact"/>
              <w:jc w:val="center"/>
              <w:rPr>
                <w:rFonts w:ascii="宋体" w:hAnsi="宋体"/>
                <w:color w:val="auto"/>
                <w:szCs w:val="21"/>
                <w:highlight w:val="none"/>
              </w:rPr>
            </w:pPr>
          </w:p>
        </w:tc>
        <w:tc>
          <w:tcPr>
            <w:tcW w:w="3071" w:type="dxa"/>
            <w:noWrap w:val="0"/>
            <w:vAlign w:val="center"/>
          </w:tcPr>
          <w:p w14:paraId="40CE4628">
            <w:pPr>
              <w:adjustRightInd w:val="0"/>
              <w:snapToGrid w:val="0"/>
              <w:spacing w:line="400" w:lineRule="exact"/>
              <w:jc w:val="center"/>
              <w:rPr>
                <w:rFonts w:ascii="宋体" w:hAnsi="宋体"/>
                <w:color w:val="auto"/>
                <w:szCs w:val="21"/>
                <w:highlight w:val="none"/>
              </w:rPr>
            </w:pPr>
          </w:p>
        </w:tc>
        <w:tc>
          <w:tcPr>
            <w:tcW w:w="2189" w:type="dxa"/>
            <w:noWrap w:val="0"/>
            <w:vAlign w:val="center"/>
          </w:tcPr>
          <w:p w14:paraId="674CC23B">
            <w:pPr>
              <w:adjustRightInd w:val="0"/>
              <w:snapToGrid w:val="0"/>
              <w:spacing w:line="400" w:lineRule="exact"/>
              <w:jc w:val="center"/>
              <w:rPr>
                <w:rFonts w:ascii="宋体" w:hAnsi="宋体"/>
                <w:color w:val="auto"/>
                <w:szCs w:val="21"/>
                <w:highlight w:val="none"/>
              </w:rPr>
            </w:pPr>
          </w:p>
        </w:tc>
        <w:tc>
          <w:tcPr>
            <w:tcW w:w="1849" w:type="dxa"/>
            <w:noWrap w:val="0"/>
            <w:vAlign w:val="center"/>
          </w:tcPr>
          <w:p w14:paraId="193D5FF2">
            <w:pPr>
              <w:adjustRightInd w:val="0"/>
              <w:snapToGrid w:val="0"/>
              <w:spacing w:line="400" w:lineRule="exact"/>
              <w:jc w:val="center"/>
              <w:rPr>
                <w:rFonts w:ascii="宋体" w:hAnsi="宋体"/>
                <w:color w:val="auto"/>
                <w:szCs w:val="21"/>
                <w:highlight w:val="none"/>
              </w:rPr>
            </w:pPr>
          </w:p>
        </w:tc>
        <w:tc>
          <w:tcPr>
            <w:tcW w:w="1343" w:type="dxa"/>
            <w:noWrap w:val="0"/>
            <w:vAlign w:val="center"/>
          </w:tcPr>
          <w:p w14:paraId="690CE7B0">
            <w:pPr>
              <w:adjustRightInd w:val="0"/>
              <w:snapToGrid w:val="0"/>
              <w:spacing w:line="400" w:lineRule="exact"/>
              <w:jc w:val="center"/>
              <w:rPr>
                <w:rFonts w:ascii="宋体" w:hAnsi="宋体"/>
                <w:color w:val="auto"/>
                <w:szCs w:val="21"/>
                <w:highlight w:val="none"/>
              </w:rPr>
            </w:pPr>
          </w:p>
        </w:tc>
      </w:tr>
      <w:tr w14:paraId="5B35A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noWrap w:val="0"/>
            <w:vAlign w:val="center"/>
          </w:tcPr>
          <w:p w14:paraId="039DDDAF">
            <w:pPr>
              <w:adjustRightInd w:val="0"/>
              <w:snapToGrid w:val="0"/>
              <w:spacing w:line="400" w:lineRule="exact"/>
              <w:jc w:val="center"/>
              <w:rPr>
                <w:rFonts w:ascii="宋体" w:hAnsi="宋体"/>
                <w:color w:val="auto"/>
                <w:szCs w:val="21"/>
                <w:highlight w:val="none"/>
              </w:rPr>
            </w:pPr>
          </w:p>
        </w:tc>
        <w:tc>
          <w:tcPr>
            <w:tcW w:w="3071" w:type="dxa"/>
            <w:noWrap w:val="0"/>
            <w:vAlign w:val="center"/>
          </w:tcPr>
          <w:p w14:paraId="2193DEC3">
            <w:pPr>
              <w:adjustRightInd w:val="0"/>
              <w:snapToGrid w:val="0"/>
              <w:spacing w:line="400" w:lineRule="exact"/>
              <w:jc w:val="center"/>
              <w:rPr>
                <w:rFonts w:ascii="宋体" w:hAnsi="宋体"/>
                <w:color w:val="auto"/>
                <w:szCs w:val="21"/>
                <w:highlight w:val="none"/>
              </w:rPr>
            </w:pPr>
          </w:p>
        </w:tc>
        <w:tc>
          <w:tcPr>
            <w:tcW w:w="2189" w:type="dxa"/>
            <w:noWrap w:val="0"/>
            <w:vAlign w:val="center"/>
          </w:tcPr>
          <w:p w14:paraId="262F7C45">
            <w:pPr>
              <w:adjustRightInd w:val="0"/>
              <w:snapToGrid w:val="0"/>
              <w:spacing w:line="400" w:lineRule="exact"/>
              <w:jc w:val="center"/>
              <w:rPr>
                <w:rFonts w:ascii="宋体" w:hAnsi="宋体"/>
                <w:color w:val="auto"/>
                <w:szCs w:val="21"/>
                <w:highlight w:val="none"/>
              </w:rPr>
            </w:pPr>
          </w:p>
        </w:tc>
        <w:tc>
          <w:tcPr>
            <w:tcW w:w="1849" w:type="dxa"/>
            <w:noWrap w:val="0"/>
            <w:vAlign w:val="center"/>
          </w:tcPr>
          <w:p w14:paraId="2292399E">
            <w:pPr>
              <w:adjustRightInd w:val="0"/>
              <w:snapToGrid w:val="0"/>
              <w:spacing w:line="400" w:lineRule="exact"/>
              <w:jc w:val="center"/>
              <w:rPr>
                <w:rFonts w:ascii="宋体" w:hAnsi="宋体"/>
                <w:color w:val="auto"/>
                <w:szCs w:val="21"/>
                <w:highlight w:val="none"/>
              </w:rPr>
            </w:pPr>
          </w:p>
        </w:tc>
        <w:tc>
          <w:tcPr>
            <w:tcW w:w="1343" w:type="dxa"/>
            <w:noWrap w:val="0"/>
            <w:vAlign w:val="center"/>
          </w:tcPr>
          <w:p w14:paraId="6108CB9B">
            <w:pPr>
              <w:adjustRightInd w:val="0"/>
              <w:snapToGrid w:val="0"/>
              <w:spacing w:line="400" w:lineRule="exact"/>
              <w:jc w:val="center"/>
              <w:rPr>
                <w:rFonts w:ascii="宋体" w:hAnsi="宋体"/>
                <w:color w:val="auto"/>
                <w:szCs w:val="21"/>
                <w:highlight w:val="none"/>
              </w:rPr>
            </w:pPr>
          </w:p>
        </w:tc>
      </w:tr>
      <w:tr w14:paraId="53AD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noWrap w:val="0"/>
            <w:vAlign w:val="center"/>
          </w:tcPr>
          <w:p w14:paraId="69836A9C">
            <w:pPr>
              <w:adjustRightInd w:val="0"/>
              <w:snapToGrid w:val="0"/>
              <w:spacing w:line="400" w:lineRule="exact"/>
              <w:jc w:val="center"/>
              <w:rPr>
                <w:rFonts w:ascii="宋体" w:hAnsi="宋体"/>
                <w:color w:val="auto"/>
                <w:szCs w:val="21"/>
                <w:highlight w:val="none"/>
              </w:rPr>
            </w:pPr>
          </w:p>
        </w:tc>
        <w:tc>
          <w:tcPr>
            <w:tcW w:w="3071" w:type="dxa"/>
            <w:noWrap w:val="0"/>
            <w:vAlign w:val="center"/>
          </w:tcPr>
          <w:p w14:paraId="0FA828A9">
            <w:pPr>
              <w:adjustRightInd w:val="0"/>
              <w:snapToGrid w:val="0"/>
              <w:spacing w:line="400" w:lineRule="exact"/>
              <w:jc w:val="center"/>
              <w:rPr>
                <w:rFonts w:ascii="宋体" w:hAnsi="宋体"/>
                <w:color w:val="auto"/>
                <w:szCs w:val="21"/>
                <w:highlight w:val="none"/>
              </w:rPr>
            </w:pPr>
          </w:p>
        </w:tc>
        <w:tc>
          <w:tcPr>
            <w:tcW w:w="2189" w:type="dxa"/>
            <w:noWrap w:val="0"/>
            <w:vAlign w:val="center"/>
          </w:tcPr>
          <w:p w14:paraId="5D1DD90A">
            <w:pPr>
              <w:adjustRightInd w:val="0"/>
              <w:snapToGrid w:val="0"/>
              <w:spacing w:line="400" w:lineRule="exact"/>
              <w:jc w:val="center"/>
              <w:rPr>
                <w:rFonts w:ascii="宋体" w:hAnsi="宋体"/>
                <w:color w:val="auto"/>
                <w:szCs w:val="21"/>
                <w:highlight w:val="none"/>
              </w:rPr>
            </w:pPr>
          </w:p>
        </w:tc>
        <w:tc>
          <w:tcPr>
            <w:tcW w:w="1849" w:type="dxa"/>
            <w:noWrap w:val="0"/>
            <w:vAlign w:val="center"/>
          </w:tcPr>
          <w:p w14:paraId="79E895C7">
            <w:pPr>
              <w:adjustRightInd w:val="0"/>
              <w:snapToGrid w:val="0"/>
              <w:spacing w:line="400" w:lineRule="exact"/>
              <w:jc w:val="center"/>
              <w:rPr>
                <w:rFonts w:ascii="宋体" w:hAnsi="宋体"/>
                <w:color w:val="auto"/>
                <w:szCs w:val="21"/>
                <w:highlight w:val="none"/>
              </w:rPr>
            </w:pPr>
          </w:p>
        </w:tc>
        <w:tc>
          <w:tcPr>
            <w:tcW w:w="1343" w:type="dxa"/>
            <w:noWrap w:val="0"/>
            <w:vAlign w:val="center"/>
          </w:tcPr>
          <w:p w14:paraId="480F08AA">
            <w:pPr>
              <w:adjustRightInd w:val="0"/>
              <w:snapToGrid w:val="0"/>
              <w:spacing w:line="400" w:lineRule="exact"/>
              <w:jc w:val="center"/>
              <w:rPr>
                <w:rFonts w:ascii="宋体" w:hAnsi="宋体"/>
                <w:color w:val="auto"/>
                <w:szCs w:val="21"/>
                <w:highlight w:val="none"/>
              </w:rPr>
            </w:pPr>
          </w:p>
        </w:tc>
      </w:tr>
      <w:tr w14:paraId="63627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noWrap w:val="0"/>
            <w:vAlign w:val="center"/>
          </w:tcPr>
          <w:p w14:paraId="3803BA9E">
            <w:pPr>
              <w:adjustRightInd w:val="0"/>
              <w:snapToGrid w:val="0"/>
              <w:spacing w:line="400" w:lineRule="exact"/>
              <w:jc w:val="center"/>
              <w:rPr>
                <w:rFonts w:ascii="宋体" w:hAnsi="宋体"/>
                <w:color w:val="auto"/>
                <w:szCs w:val="21"/>
                <w:highlight w:val="none"/>
              </w:rPr>
            </w:pPr>
          </w:p>
        </w:tc>
        <w:tc>
          <w:tcPr>
            <w:tcW w:w="3071" w:type="dxa"/>
            <w:noWrap w:val="0"/>
            <w:vAlign w:val="center"/>
          </w:tcPr>
          <w:p w14:paraId="5A235A40">
            <w:pPr>
              <w:adjustRightInd w:val="0"/>
              <w:snapToGrid w:val="0"/>
              <w:spacing w:line="400" w:lineRule="exact"/>
              <w:jc w:val="center"/>
              <w:rPr>
                <w:rFonts w:ascii="宋体" w:hAnsi="宋体"/>
                <w:color w:val="auto"/>
                <w:szCs w:val="21"/>
                <w:highlight w:val="none"/>
              </w:rPr>
            </w:pPr>
          </w:p>
        </w:tc>
        <w:tc>
          <w:tcPr>
            <w:tcW w:w="2189" w:type="dxa"/>
            <w:noWrap w:val="0"/>
            <w:vAlign w:val="center"/>
          </w:tcPr>
          <w:p w14:paraId="089BA6CC">
            <w:pPr>
              <w:adjustRightInd w:val="0"/>
              <w:snapToGrid w:val="0"/>
              <w:spacing w:line="400" w:lineRule="exact"/>
              <w:jc w:val="center"/>
              <w:rPr>
                <w:rFonts w:ascii="宋体" w:hAnsi="宋体"/>
                <w:color w:val="auto"/>
                <w:szCs w:val="21"/>
                <w:highlight w:val="none"/>
              </w:rPr>
            </w:pPr>
          </w:p>
        </w:tc>
        <w:tc>
          <w:tcPr>
            <w:tcW w:w="1849" w:type="dxa"/>
            <w:noWrap w:val="0"/>
            <w:vAlign w:val="center"/>
          </w:tcPr>
          <w:p w14:paraId="6CF3CA8E">
            <w:pPr>
              <w:adjustRightInd w:val="0"/>
              <w:snapToGrid w:val="0"/>
              <w:spacing w:line="400" w:lineRule="exact"/>
              <w:jc w:val="center"/>
              <w:rPr>
                <w:rFonts w:ascii="宋体" w:hAnsi="宋体"/>
                <w:color w:val="auto"/>
                <w:szCs w:val="21"/>
                <w:highlight w:val="none"/>
              </w:rPr>
            </w:pPr>
          </w:p>
        </w:tc>
        <w:tc>
          <w:tcPr>
            <w:tcW w:w="1343" w:type="dxa"/>
            <w:noWrap w:val="0"/>
            <w:vAlign w:val="center"/>
          </w:tcPr>
          <w:p w14:paraId="2084CBFE">
            <w:pPr>
              <w:adjustRightInd w:val="0"/>
              <w:snapToGrid w:val="0"/>
              <w:spacing w:line="400" w:lineRule="exact"/>
              <w:jc w:val="center"/>
              <w:rPr>
                <w:rFonts w:ascii="宋体" w:hAnsi="宋体"/>
                <w:color w:val="auto"/>
                <w:szCs w:val="21"/>
                <w:highlight w:val="none"/>
              </w:rPr>
            </w:pPr>
          </w:p>
        </w:tc>
      </w:tr>
    </w:tbl>
    <w:p w14:paraId="189F7A5D">
      <w:pPr>
        <w:snapToGrid w:val="0"/>
        <w:spacing w:line="360" w:lineRule="auto"/>
        <w:rPr>
          <w:b/>
          <w:color w:val="auto"/>
          <w:szCs w:val="21"/>
          <w:highlight w:val="none"/>
        </w:rPr>
      </w:pPr>
    </w:p>
    <w:p w14:paraId="038A8284">
      <w:pPr>
        <w:pStyle w:val="15"/>
        <w:widowControl/>
        <w:spacing w:line="440" w:lineRule="exact"/>
        <w:jc w:val="left"/>
        <w:rPr>
          <w:rFonts w:hint="eastAsia" w:ascii="Times New Roman"/>
          <w:b w:val="0"/>
          <w:bCs w:val="0"/>
          <w:color w:val="auto"/>
          <w:spacing w:val="0"/>
          <w:kern w:val="2"/>
          <w:sz w:val="21"/>
          <w:szCs w:val="21"/>
          <w:highlight w:val="none"/>
        </w:rPr>
      </w:pPr>
      <w:r>
        <w:rPr>
          <w:rFonts w:hint="eastAsia" w:ascii="Times New Roman"/>
          <w:b w:val="0"/>
          <w:bCs w:val="0"/>
          <w:color w:val="auto"/>
          <w:spacing w:val="0"/>
          <w:kern w:val="2"/>
          <w:sz w:val="21"/>
          <w:szCs w:val="21"/>
          <w:highlight w:val="none"/>
        </w:rPr>
        <w:t>注：</w:t>
      </w:r>
      <w:r>
        <w:rPr>
          <w:rFonts w:hint="eastAsia" w:ascii="Times New Roman"/>
          <w:b w:val="0"/>
          <w:bCs w:val="0"/>
          <w:color w:val="auto"/>
          <w:spacing w:val="0"/>
          <w:kern w:val="2"/>
          <w:sz w:val="21"/>
          <w:szCs w:val="21"/>
          <w:highlight w:val="none"/>
          <w:lang w:val="en-US" w:eastAsia="zh-CN"/>
        </w:rPr>
        <w:t>1、</w:t>
      </w:r>
      <w:r>
        <w:rPr>
          <w:rFonts w:hint="eastAsia" w:ascii="Times New Roman"/>
          <w:b w:val="0"/>
          <w:bCs w:val="0"/>
          <w:color w:val="auto"/>
          <w:spacing w:val="0"/>
          <w:kern w:val="2"/>
          <w:sz w:val="21"/>
          <w:szCs w:val="21"/>
          <w:highlight w:val="none"/>
        </w:rPr>
        <w:t>投标人应对照招标文件第三章“技术需求”部分</w:t>
      </w:r>
      <w:r>
        <w:rPr>
          <w:rFonts w:hint="eastAsia" w:ascii="Times New Roman"/>
          <w:b w:val="0"/>
          <w:bCs w:val="0"/>
          <w:color w:val="auto"/>
          <w:spacing w:val="0"/>
          <w:kern w:val="2"/>
          <w:sz w:val="21"/>
          <w:szCs w:val="21"/>
          <w:highlight w:val="none"/>
          <w:lang w:val="en-US" w:eastAsia="zh-CN"/>
        </w:rPr>
        <w:t xml:space="preserve">  二、采购清单与技术要求  “二、技术要求”</w:t>
      </w:r>
      <w:r>
        <w:rPr>
          <w:rFonts w:hint="eastAsia" w:ascii="Times New Roman"/>
          <w:b w:val="0"/>
          <w:bCs w:val="0"/>
          <w:color w:val="auto"/>
          <w:spacing w:val="0"/>
          <w:kern w:val="2"/>
          <w:sz w:val="21"/>
          <w:szCs w:val="21"/>
          <w:highlight w:val="none"/>
        </w:rPr>
        <w:t>，</w:t>
      </w:r>
      <w:r>
        <w:rPr>
          <w:rFonts w:hint="eastAsia" w:ascii="Times New Roman"/>
          <w:b/>
          <w:bCs/>
          <w:color w:val="auto"/>
          <w:spacing w:val="0"/>
          <w:kern w:val="2"/>
          <w:sz w:val="21"/>
          <w:szCs w:val="21"/>
          <w:highlight w:val="none"/>
          <w:lang w:val="en-US" w:eastAsia="zh-CN"/>
        </w:rPr>
        <w:t>逐项比较填写</w:t>
      </w:r>
      <w:r>
        <w:rPr>
          <w:rFonts w:hint="eastAsia" w:ascii="Times New Roman"/>
          <w:b w:val="0"/>
          <w:bCs w:val="0"/>
          <w:color w:val="auto"/>
          <w:spacing w:val="0"/>
          <w:kern w:val="2"/>
          <w:sz w:val="21"/>
          <w:szCs w:val="21"/>
          <w:highlight w:val="none"/>
        </w:rPr>
        <w:t>。</w:t>
      </w:r>
    </w:p>
    <w:p w14:paraId="33563460">
      <w:pPr>
        <w:pStyle w:val="15"/>
        <w:widowControl/>
        <w:spacing w:line="440" w:lineRule="exact"/>
        <w:jc w:val="left"/>
        <w:rPr>
          <w:rFonts w:hint="eastAsia" w:ascii="Times New Roman"/>
          <w:b w:val="0"/>
          <w:bCs w:val="0"/>
          <w:color w:val="auto"/>
          <w:spacing w:val="0"/>
          <w:kern w:val="2"/>
          <w:sz w:val="21"/>
          <w:szCs w:val="21"/>
          <w:highlight w:val="none"/>
        </w:rPr>
      </w:pPr>
      <w:r>
        <w:rPr>
          <w:rFonts w:hint="eastAsia" w:ascii="Times New Roman"/>
          <w:b w:val="0"/>
          <w:bCs w:val="0"/>
          <w:color w:val="auto"/>
          <w:spacing w:val="0"/>
          <w:kern w:val="2"/>
          <w:sz w:val="21"/>
          <w:szCs w:val="21"/>
          <w:highlight w:val="none"/>
          <w:lang w:val="en-US" w:eastAsia="zh-CN"/>
        </w:rPr>
        <w:t xml:space="preserve">2、如有偏离的，须在本表中列明，并列出详细的偏离说明。如供应商未在本表中列出偏离说明， </w:t>
      </w:r>
    </w:p>
    <w:p w14:paraId="59EEFA31">
      <w:pPr>
        <w:pStyle w:val="15"/>
        <w:widowControl/>
        <w:spacing w:line="440" w:lineRule="exact"/>
        <w:jc w:val="left"/>
        <w:rPr>
          <w:rFonts w:hint="eastAsia" w:ascii="Times New Roman"/>
          <w:b w:val="0"/>
          <w:bCs w:val="0"/>
          <w:color w:val="auto"/>
          <w:spacing w:val="0"/>
          <w:kern w:val="2"/>
          <w:sz w:val="21"/>
          <w:szCs w:val="21"/>
          <w:highlight w:val="none"/>
        </w:rPr>
      </w:pPr>
      <w:r>
        <w:rPr>
          <w:rFonts w:hint="eastAsia" w:ascii="Times New Roman"/>
          <w:b w:val="0"/>
          <w:bCs w:val="0"/>
          <w:color w:val="auto"/>
          <w:spacing w:val="0"/>
          <w:kern w:val="2"/>
          <w:sz w:val="21"/>
          <w:szCs w:val="21"/>
          <w:highlight w:val="none"/>
          <w:lang w:val="en-US" w:eastAsia="zh-CN"/>
        </w:rPr>
        <w:t>即使其在投标文件的其他部分说明与采购文件要求有所不同或回避不答，亦视为完全符合采购文件中所要求的最佳值并写入合同。若中标供应商在定标及合同签订前，以上述事项为借口而不履行合同签订手续及执行合同，则视作其放弃中标资格，并追求其相关责任。</w:t>
      </w:r>
    </w:p>
    <w:p w14:paraId="00245910">
      <w:pPr>
        <w:snapToGrid w:val="0"/>
        <w:spacing w:line="360" w:lineRule="auto"/>
        <w:jc w:val="center"/>
        <w:rPr>
          <w:b/>
          <w:bCs/>
          <w:color w:val="auto"/>
          <w:sz w:val="24"/>
          <w:szCs w:val="21"/>
          <w:highlight w:val="none"/>
        </w:rPr>
      </w:pPr>
    </w:p>
    <w:p w14:paraId="18406E0F">
      <w:pPr>
        <w:pStyle w:val="15"/>
        <w:widowControl/>
        <w:spacing w:line="360" w:lineRule="auto"/>
        <w:ind w:left="614" w:leftChars="100" w:hanging="404" w:hangingChars="200"/>
        <w:jc w:val="left"/>
        <w:rPr>
          <w:rFonts w:ascii="Times New Roman"/>
          <w:color w:val="auto"/>
          <w:sz w:val="21"/>
          <w:szCs w:val="21"/>
          <w:highlight w:val="none"/>
        </w:rPr>
      </w:pPr>
      <w:r>
        <w:rPr>
          <w:rFonts w:ascii="Times New Roman"/>
          <w:color w:val="auto"/>
          <w:sz w:val="21"/>
          <w:szCs w:val="21"/>
          <w:highlight w:val="none"/>
        </w:rPr>
        <w:t xml:space="preserve">投 标 人  （盖章）：                  </w:t>
      </w:r>
    </w:p>
    <w:p w14:paraId="3E4346E2">
      <w:pPr>
        <w:pStyle w:val="15"/>
        <w:widowControl/>
        <w:spacing w:line="360" w:lineRule="auto"/>
        <w:ind w:left="614" w:leftChars="100" w:hanging="404" w:hangingChars="200"/>
        <w:jc w:val="left"/>
        <w:rPr>
          <w:rFonts w:ascii="Times New Roman"/>
          <w:color w:val="auto"/>
          <w:sz w:val="21"/>
          <w:szCs w:val="21"/>
          <w:highlight w:val="none"/>
        </w:rPr>
      </w:pPr>
      <w:r>
        <w:rPr>
          <w:rFonts w:ascii="Times New Roman"/>
          <w:color w:val="auto"/>
          <w:sz w:val="21"/>
          <w:szCs w:val="21"/>
          <w:highlight w:val="none"/>
        </w:rPr>
        <w:t>法定代表人或其授权代表（签字或盖章）：</w:t>
      </w:r>
    </w:p>
    <w:p w14:paraId="48893562">
      <w:pPr>
        <w:pStyle w:val="15"/>
        <w:widowControl/>
        <w:spacing w:line="360" w:lineRule="auto"/>
        <w:ind w:left="614" w:leftChars="100" w:hanging="404" w:hangingChars="200"/>
        <w:jc w:val="left"/>
        <w:rPr>
          <w:rFonts w:ascii="Times New Roman"/>
          <w:color w:val="auto"/>
          <w:sz w:val="21"/>
          <w:szCs w:val="21"/>
          <w:highlight w:val="none"/>
        </w:rPr>
      </w:pPr>
      <w:r>
        <w:rPr>
          <w:rFonts w:ascii="Times New Roman"/>
          <w:color w:val="auto"/>
          <w:sz w:val="21"/>
          <w:szCs w:val="21"/>
          <w:highlight w:val="none"/>
        </w:rPr>
        <w:t>日  期：</w:t>
      </w:r>
    </w:p>
    <w:p w14:paraId="162C6C60">
      <w:pPr>
        <w:widowControl/>
        <w:spacing w:line="360" w:lineRule="auto"/>
        <w:ind w:firstLine="442" w:firstLineChars="200"/>
        <w:jc w:val="left"/>
        <w:rPr>
          <w:b/>
          <w:bCs/>
          <w:color w:val="auto"/>
          <w:sz w:val="22"/>
          <w:highlight w:val="none"/>
        </w:rPr>
        <w:sectPr>
          <w:pgSz w:w="11907" w:h="16840"/>
          <w:pgMar w:top="1276" w:right="1474" w:bottom="1242" w:left="1474" w:header="851" w:footer="851" w:gutter="0"/>
          <w:cols w:space="720" w:num="1"/>
          <w:docGrid w:linePitch="312" w:charSpace="0"/>
        </w:sectPr>
      </w:pPr>
      <w:r>
        <w:rPr>
          <w:b/>
          <w:bCs/>
          <w:color w:val="auto"/>
          <w:sz w:val="22"/>
          <w:highlight w:val="none"/>
        </w:rPr>
        <w:br w:type="page"/>
      </w:r>
    </w:p>
    <w:p w14:paraId="589BF38B">
      <w:pPr>
        <w:widowControl/>
        <w:snapToGrid w:val="0"/>
        <w:spacing w:line="360" w:lineRule="auto"/>
        <w:jc w:val="center"/>
        <w:rPr>
          <w:rFonts w:hint="eastAsia" w:ascii="宋体" w:hAnsi="宋体" w:eastAsia="宋体" w:cs="宋体"/>
          <w:b/>
          <w:color w:val="auto"/>
          <w:sz w:val="24"/>
          <w:szCs w:val="21"/>
          <w:highlight w:val="none"/>
        </w:rPr>
      </w:pPr>
    </w:p>
    <w:p w14:paraId="38306A4C">
      <w:pPr>
        <w:snapToGri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三、报价文件</w:t>
      </w:r>
    </w:p>
    <w:p w14:paraId="3C36A6D2">
      <w:pPr>
        <w:numPr>
          <w:ilvl w:val="0"/>
          <w:numId w:val="25"/>
        </w:numPr>
        <w:snapToGrid w:val="0"/>
        <w:spacing w:line="360" w:lineRule="auto"/>
        <w:ind w:firstLine="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报价文件封面格式：</w:t>
      </w:r>
    </w:p>
    <w:p w14:paraId="203AB274">
      <w:pPr>
        <w:snapToGrid w:val="0"/>
        <w:spacing w:line="360" w:lineRule="auto"/>
        <w:ind w:firstLine="236" w:firstLineChars="98"/>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lang w:bidi="ar"/>
        </w:rPr>
        <w:t>封面格式：</w:t>
      </w:r>
    </w:p>
    <w:p w14:paraId="38F0ED3A">
      <w:pPr>
        <w:snapToGrid w:val="0"/>
        <w:spacing w:line="360" w:lineRule="auto"/>
        <w:jc w:val="center"/>
        <w:rPr>
          <w:rFonts w:hint="eastAsia" w:ascii="宋体" w:hAnsi="宋体" w:eastAsia="宋体" w:cs="宋体"/>
          <w:b/>
          <w:color w:val="auto"/>
          <w:sz w:val="24"/>
          <w:szCs w:val="28"/>
          <w:highlight w:val="none"/>
          <w:lang w:bidi="ar"/>
        </w:rPr>
      </w:pPr>
      <w:r>
        <w:rPr>
          <w:rFonts w:hint="eastAsia" w:ascii="宋体" w:hAnsi="宋体" w:eastAsia="宋体" w:cs="宋体"/>
          <w:b/>
          <w:color w:val="auto"/>
          <w:sz w:val="28"/>
          <w:szCs w:val="28"/>
          <w:highlight w:val="none"/>
          <w:lang w:bidi="ar"/>
        </w:rPr>
        <w:t xml:space="preserve">                                           </w:t>
      </w:r>
      <w:r>
        <w:rPr>
          <w:rFonts w:hint="eastAsia" w:ascii="宋体" w:hAnsi="宋体" w:eastAsia="宋体" w:cs="宋体"/>
          <w:b/>
          <w:color w:val="auto"/>
          <w:sz w:val="24"/>
          <w:szCs w:val="28"/>
          <w:highlight w:val="none"/>
          <w:lang w:bidi="ar"/>
        </w:rPr>
        <w:t xml:space="preserve"> 正本/或副本</w:t>
      </w:r>
    </w:p>
    <w:p w14:paraId="757AA606">
      <w:pPr>
        <w:snapToGrid w:val="0"/>
        <w:spacing w:line="360" w:lineRule="auto"/>
        <w:jc w:val="center"/>
        <w:rPr>
          <w:rFonts w:hint="eastAsia" w:ascii="宋体" w:hAnsi="宋体" w:eastAsia="宋体" w:cs="宋体"/>
          <w:b/>
          <w:color w:val="auto"/>
          <w:sz w:val="24"/>
          <w:szCs w:val="28"/>
          <w:highlight w:val="none"/>
          <w:lang w:bidi="ar"/>
        </w:rPr>
      </w:pPr>
    </w:p>
    <w:p w14:paraId="298A83F4">
      <w:pPr>
        <w:snapToGrid w:val="0"/>
        <w:spacing w:line="360" w:lineRule="auto"/>
        <w:jc w:val="center"/>
        <w:rPr>
          <w:rFonts w:hint="eastAsia" w:ascii="宋体" w:hAnsi="宋体" w:eastAsia="宋体" w:cs="宋体"/>
          <w:color w:val="auto"/>
          <w:sz w:val="36"/>
          <w:szCs w:val="40"/>
          <w:highlight w:val="none"/>
        </w:rPr>
      </w:pPr>
      <w:r>
        <w:rPr>
          <w:rFonts w:hint="eastAsia" w:ascii="宋体" w:hAnsi="宋体" w:eastAsia="宋体" w:cs="宋体"/>
          <w:color w:val="auto"/>
          <w:sz w:val="36"/>
          <w:szCs w:val="40"/>
          <w:highlight w:val="none"/>
        </w:rPr>
        <w:t>报价文件</w:t>
      </w:r>
    </w:p>
    <w:p w14:paraId="03B07F7A">
      <w:pPr>
        <w:spacing w:line="480" w:lineRule="auto"/>
        <w:ind w:firstLine="1080" w:firstLineChars="45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bidi="ar"/>
        </w:rPr>
        <w:t>项目名称：</w:t>
      </w:r>
      <w:r>
        <w:rPr>
          <w:rFonts w:hint="eastAsia" w:ascii="宋体" w:hAnsi="宋体" w:eastAsia="宋体" w:cs="宋体"/>
          <w:bCs/>
          <w:i/>
          <w:color w:val="auto"/>
          <w:sz w:val="24"/>
          <w:highlight w:val="none"/>
          <w:u w:val="single"/>
          <w:lang w:bidi="ar"/>
        </w:rPr>
        <w:t xml:space="preserve"> </w:t>
      </w:r>
      <w:r>
        <w:rPr>
          <w:rFonts w:hint="eastAsia" w:ascii="宋体" w:hAnsi="宋体" w:eastAsia="宋体" w:cs="宋体"/>
          <w:bCs/>
          <w:color w:val="auto"/>
          <w:sz w:val="24"/>
          <w:highlight w:val="none"/>
          <w:u w:val="single"/>
        </w:rPr>
        <w:t xml:space="preserve">                                             </w:t>
      </w:r>
    </w:p>
    <w:p w14:paraId="1E5A6D4B">
      <w:pPr>
        <w:spacing w:line="480" w:lineRule="auto"/>
        <w:ind w:firstLine="1080" w:firstLineChars="45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bidi="ar"/>
        </w:rPr>
        <w:t>项目编号：</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 xml:space="preserve">    </w:t>
      </w:r>
      <w:r>
        <w:rPr>
          <w:rFonts w:hint="eastAsia" w:ascii="宋体" w:hAnsi="宋体" w:eastAsia="宋体" w:cs="宋体"/>
          <w:bCs/>
          <w:color w:val="auto"/>
          <w:sz w:val="24"/>
          <w:highlight w:val="none"/>
          <w:lang w:bidi="ar"/>
        </w:rPr>
        <w:t xml:space="preserve">  </w:t>
      </w:r>
    </w:p>
    <w:p w14:paraId="1809B392">
      <w:pPr>
        <w:spacing w:line="480" w:lineRule="auto"/>
        <w:ind w:firstLine="1080" w:firstLineChars="450"/>
        <w:rPr>
          <w:rFonts w:hint="eastAsia" w:ascii="宋体" w:hAnsi="宋体" w:eastAsia="宋体" w:cs="宋体"/>
          <w:bCs/>
          <w:color w:val="auto"/>
          <w:sz w:val="24"/>
          <w:highlight w:val="none"/>
          <w:u w:val="single"/>
          <w:lang w:bidi="ar"/>
        </w:rPr>
      </w:pPr>
      <w:r>
        <w:rPr>
          <w:rFonts w:hint="eastAsia" w:ascii="宋体" w:hAnsi="宋体" w:eastAsia="宋体" w:cs="宋体"/>
          <w:bCs/>
          <w:color w:val="auto"/>
          <w:sz w:val="24"/>
          <w:highlight w:val="none"/>
          <w:lang w:bidi="ar"/>
        </w:rPr>
        <w:t>投标人名称：</w:t>
      </w:r>
      <w:r>
        <w:rPr>
          <w:rFonts w:hint="eastAsia" w:ascii="宋体" w:hAnsi="宋体" w:eastAsia="宋体" w:cs="宋体"/>
          <w:bCs/>
          <w:color w:val="auto"/>
          <w:sz w:val="24"/>
          <w:highlight w:val="none"/>
          <w:u w:val="single"/>
          <w:lang w:bidi="ar"/>
        </w:rPr>
        <w:t xml:space="preserve">        </w:t>
      </w:r>
      <w:r>
        <w:rPr>
          <w:rFonts w:hint="eastAsia" w:ascii="宋体" w:hAnsi="宋体" w:eastAsia="宋体" w:cs="宋体"/>
          <w:bCs/>
          <w:color w:val="auto"/>
          <w:sz w:val="24"/>
          <w:highlight w:val="none"/>
          <w:u w:val="single"/>
        </w:rPr>
        <w:t xml:space="preserve">[填写单位名称并盖章] </w:t>
      </w:r>
      <w:r>
        <w:rPr>
          <w:rFonts w:hint="eastAsia" w:ascii="宋体" w:hAnsi="宋体" w:eastAsia="宋体" w:cs="宋体"/>
          <w:bCs/>
          <w:color w:val="auto"/>
          <w:sz w:val="24"/>
          <w:highlight w:val="none"/>
          <w:u w:val="single"/>
          <w:lang w:bidi="ar"/>
        </w:rPr>
        <w:t xml:space="preserve">            </w:t>
      </w:r>
    </w:p>
    <w:p w14:paraId="037A2926">
      <w:pPr>
        <w:spacing w:line="480" w:lineRule="auto"/>
        <w:ind w:firstLine="1080" w:firstLineChars="450"/>
        <w:rPr>
          <w:rFonts w:hint="eastAsia" w:ascii="宋体" w:hAnsi="宋体" w:eastAsia="宋体" w:cs="宋体"/>
          <w:bCs/>
          <w:color w:val="auto"/>
          <w:sz w:val="24"/>
          <w:highlight w:val="none"/>
          <w:lang w:bidi="ar"/>
        </w:rPr>
      </w:pPr>
      <w:r>
        <w:rPr>
          <w:rFonts w:hint="eastAsia" w:ascii="宋体" w:hAnsi="宋体" w:eastAsia="宋体" w:cs="宋体"/>
          <w:bCs/>
          <w:color w:val="auto"/>
          <w:sz w:val="24"/>
          <w:highlight w:val="none"/>
          <w:lang w:bidi="ar"/>
        </w:rPr>
        <w:t xml:space="preserve">标项： </w:t>
      </w:r>
      <w:r>
        <w:rPr>
          <w:rFonts w:hint="eastAsia" w:ascii="宋体" w:hAnsi="宋体" w:eastAsia="宋体" w:cs="宋体"/>
          <w:bCs/>
          <w:color w:val="auto"/>
          <w:sz w:val="24"/>
          <w:highlight w:val="none"/>
          <w:u w:val="single"/>
          <w:lang w:bidi="ar"/>
        </w:rPr>
        <w:t xml:space="preserve">    1       </w:t>
      </w:r>
    </w:p>
    <w:p w14:paraId="6CFF5458">
      <w:pPr>
        <w:snapToGrid w:val="0"/>
        <w:spacing w:line="480" w:lineRule="auto"/>
        <w:ind w:firstLine="1080" w:firstLineChars="45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bidi="ar"/>
        </w:rPr>
        <w:t>供应商地址：</w:t>
      </w:r>
      <w:r>
        <w:rPr>
          <w:rFonts w:hint="eastAsia" w:ascii="宋体" w:hAnsi="宋体" w:eastAsia="宋体" w:cs="宋体"/>
          <w:bCs/>
          <w:color w:val="auto"/>
          <w:sz w:val="24"/>
          <w:highlight w:val="none"/>
          <w:u w:val="single"/>
          <w:lang w:bidi="ar"/>
        </w:rPr>
        <w:t xml:space="preserve">                                       </w:t>
      </w:r>
    </w:p>
    <w:p w14:paraId="2073E144">
      <w:pPr>
        <w:snapToGrid w:val="0"/>
        <w:spacing w:line="480" w:lineRule="auto"/>
        <w:ind w:firstLine="1080" w:firstLineChars="450"/>
        <w:rPr>
          <w:rFonts w:hint="eastAsia" w:ascii="宋体" w:hAnsi="宋体" w:eastAsia="宋体" w:cs="宋体"/>
          <w:color w:val="auto"/>
          <w:sz w:val="24"/>
          <w:highlight w:val="none"/>
        </w:rPr>
      </w:pPr>
      <w:r>
        <w:rPr>
          <w:rFonts w:hint="eastAsia" w:ascii="宋体" w:hAnsi="宋体" w:eastAsia="宋体" w:cs="宋体"/>
          <w:bCs/>
          <w:color w:val="auto"/>
          <w:sz w:val="24"/>
          <w:highlight w:val="none"/>
          <w:lang w:bidi="ar"/>
        </w:rPr>
        <w:t>法定代表人或其被授权代表</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u w:val="single"/>
        </w:rPr>
        <w:t xml:space="preserve">     [签字或盖章]           </w:t>
      </w:r>
    </w:p>
    <w:p w14:paraId="6A3B12BB">
      <w:pPr>
        <w:snapToGrid w:val="0"/>
        <w:spacing w:line="360" w:lineRule="auto"/>
        <w:jc w:val="center"/>
        <w:rPr>
          <w:rFonts w:hint="eastAsia" w:ascii="宋体" w:hAnsi="宋体" w:eastAsia="宋体" w:cs="宋体"/>
          <w:bCs/>
          <w:color w:val="auto"/>
          <w:sz w:val="24"/>
          <w:highlight w:val="none"/>
          <w:lang w:bidi="ar"/>
        </w:rPr>
        <w:sectPr>
          <w:headerReference r:id="rId13" w:type="default"/>
          <w:footerReference r:id="rId14" w:type="default"/>
          <w:pgSz w:w="11907" w:h="16840"/>
          <w:pgMar w:top="1276" w:right="1474" w:bottom="1242" w:left="1474" w:header="851" w:footer="851" w:gutter="0"/>
          <w:cols w:space="720" w:num="1"/>
          <w:titlePg/>
          <w:docGrid w:linePitch="312" w:charSpace="0"/>
        </w:sectPr>
      </w:pPr>
      <w:r>
        <w:rPr>
          <w:rFonts w:hint="eastAsia" w:ascii="宋体" w:hAnsi="宋体" w:eastAsia="宋体" w:cs="宋体"/>
          <w:bCs/>
          <w:color w:val="auto"/>
          <w:sz w:val="24"/>
          <w:highlight w:val="none"/>
          <w:lang w:bidi="ar"/>
        </w:rPr>
        <w:t>年  月  日</w:t>
      </w:r>
    </w:p>
    <w:p w14:paraId="3EE96DDC">
      <w:pPr>
        <w:snapToGrid w:val="0"/>
        <w:spacing w:line="360" w:lineRule="auto"/>
        <w:rPr>
          <w:rFonts w:hint="eastAsia" w:ascii="宋体" w:hAnsi="宋体" w:eastAsia="宋体" w:cs="宋体"/>
          <w:b/>
          <w:color w:val="auto"/>
          <w:sz w:val="24"/>
          <w:szCs w:val="32"/>
          <w:highlight w:val="none"/>
        </w:rPr>
      </w:pPr>
      <w:r>
        <w:rPr>
          <w:rFonts w:hint="eastAsia" w:ascii="宋体" w:hAnsi="宋体" w:eastAsia="宋体" w:cs="宋体"/>
          <w:b/>
          <w:color w:val="auto"/>
          <w:sz w:val="24"/>
          <w:szCs w:val="32"/>
          <w:highlight w:val="none"/>
        </w:rPr>
        <w:t>（一）报价文件包括以下内容：</w:t>
      </w:r>
    </w:p>
    <w:p w14:paraId="334B8A08">
      <w:pPr>
        <w:tabs>
          <w:tab w:val="left" w:pos="420"/>
        </w:tabs>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（1）开标一览表（格式见附件）；</w:t>
      </w:r>
    </w:p>
    <w:p w14:paraId="7C9CF33E">
      <w:pPr>
        <w:tabs>
          <w:tab w:val="left" w:pos="518"/>
        </w:tabs>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）分项报价表（格式见附件）；</w:t>
      </w:r>
    </w:p>
    <w:p w14:paraId="3686C5C9">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）中小企业声明函（格式见附件）；</w:t>
      </w:r>
    </w:p>
    <w:p w14:paraId="013B102E">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本项目为</w:t>
      </w:r>
      <w:r>
        <w:rPr>
          <w:rFonts w:hint="eastAsia" w:ascii="宋体" w:hAnsi="宋体" w:eastAsia="宋体" w:cs="宋体"/>
          <w:color w:val="auto"/>
          <w:sz w:val="24"/>
          <w:highlight w:val="none"/>
          <w:lang w:val="en-US" w:eastAsia="zh-CN"/>
        </w:rPr>
        <w:t>非</w:t>
      </w:r>
      <w:r>
        <w:rPr>
          <w:rFonts w:hint="eastAsia" w:ascii="宋体" w:hAnsi="宋体" w:eastAsia="宋体" w:cs="宋体"/>
          <w:color w:val="auto"/>
          <w:sz w:val="24"/>
          <w:highlight w:val="none"/>
        </w:rPr>
        <w:t>专门面向中小企业采购的项目，提供《中小企业声明函》。</w:t>
      </w:r>
    </w:p>
    <w:p w14:paraId="538FECDC">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）残疾人福利性单位声明函（如有，格式见附件）。</w:t>
      </w:r>
    </w:p>
    <w:p w14:paraId="030ADA61">
      <w:pPr>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）监狱企业证明文件（如有）。</w:t>
      </w:r>
    </w:p>
    <w:p w14:paraId="5115E8D3">
      <w:pPr>
        <w:tabs>
          <w:tab w:val="left" w:pos="518"/>
        </w:tabs>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关于符合本国产品标准的</w:t>
      </w:r>
      <w:r>
        <w:rPr>
          <w:rFonts w:hint="eastAsia" w:ascii="宋体" w:hAnsi="宋体" w:eastAsia="宋体" w:cs="宋体"/>
          <w:color w:val="auto"/>
          <w:sz w:val="24"/>
          <w:highlight w:val="none"/>
        </w:rPr>
        <w:t>声明函（格式见附件）；</w:t>
      </w:r>
    </w:p>
    <w:p w14:paraId="3FC26DEB">
      <w:pPr>
        <w:tabs>
          <w:tab w:val="left" w:pos="518"/>
        </w:tabs>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投标人针对报价需要说明的其他文件和说明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如有</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p w14:paraId="1EAD5907">
      <w:pPr>
        <w:snapToGrid w:val="0"/>
        <w:spacing w:line="360" w:lineRule="auto"/>
        <w:jc w:val="center"/>
        <w:rPr>
          <w:rFonts w:eastAsia="仿宋"/>
          <w:bCs/>
          <w:color w:val="auto"/>
          <w:sz w:val="24"/>
          <w:highlight w:val="none"/>
          <w:lang w:bidi="ar"/>
        </w:rPr>
      </w:pPr>
    </w:p>
    <w:bookmarkEnd w:id="478"/>
    <w:bookmarkEnd w:id="630"/>
    <w:p w14:paraId="22D8204E">
      <w:pPr>
        <w:widowControl/>
        <w:spacing w:line="360" w:lineRule="auto"/>
        <w:jc w:val="left"/>
        <w:rPr>
          <w:b/>
          <w:color w:val="auto"/>
          <w:szCs w:val="21"/>
          <w:highlight w:val="none"/>
        </w:rPr>
      </w:pPr>
      <w:r>
        <w:rPr>
          <w:color w:val="auto"/>
          <w:sz w:val="24"/>
          <w:highlight w:val="none"/>
        </w:rPr>
        <w:br w:type="page"/>
      </w:r>
      <w:r>
        <w:rPr>
          <w:b/>
          <w:color w:val="auto"/>
          <w:szCs w:val="21"/>
          <w:highlight w:val="none"/>
        </w:rPr>
        <w:t xml:space="preserve"> </w:t>
      </w:r>
    </w:p>
    <w:p w14:paraId="7F9A8C44">
      <w:pPr>
        <w:spacing w:line="360" w:lineRule="auto"/>
        <w:jc w:val="center"/>
        <w:rPr>
          <w:b/>
          <w:color w:val="auto"/>
          <w:sz w:val="24"/>
          <w:highlight w:val="none"/>
        </w:rPr>
      </w:pPr>
      <w:r>
        <w:rPr>
          <w:b/>
          <w:color w:val="auto"/>
          <w:sz w:val="24"/>
          <w:highlight w:val="none"/>
        </w:rPr>
        <w:t>开标一览表</w:t>
      </w:r>
    </w:p>
    <w:p w14:paraId="04B8E7DD">
      <w:pPr>
        <w:spacing w:line="360" w:lineRule="auto"/>
        <w:ind w:firstLine="420" w:firstLineChars="200"/>
        <w:rPr>
          <w:color w:val="auto"/>
          <w:szCs w:val="21"/>
          <w:highlight w:val="none"/>
        </w:rPr>
      </w:pPr>
      <w:r>
        <w:rPr>
          <w:color w:val="auto"/>
          <w:szCs w:val="21"/>
          <w:highlight w:val="none"/>
        </w:rPr>
        <w:t xml:space="preserve">项目名称：      </w:t>
      </w:r>
      <w:r>
        <w:rPr>
          <w:color w:val="auto"/>
          <w:szCs w:val="21"/>
          <w:highlight w:val="none"/>
        </w:rPr>
        <w:tab/>
      </w:r>
      <w:r>
        <w:rPr>
          <w:color w:val="auto"/>
          <w:szCs w:val="21"/>
          <w:highlight w:val="none"/>
        </w:rPr>
        <w:tab/>
      </w:r>
      <w:r>
        <w:rPr>
          <w:color w:val="auto"/>
          <w:szCs w:val="21"/>
          <w:highlight w:val="none"/>
        </w:rPr>
        <w:tab/>
      </w:r>
      <w:r>
        <w:rPr>
          <w:color w:val="auto"/>
          <w:szCs w:val="21"/>
          <w:highlight w:val="none"/>
        </w:rPr>
        <w:tab/>
      </w:r>
      <w:r>
        <w:rPr>
          <w:color w:val="auto"/>
          <w:szCs w:val="21"/>
          <w:highlight w:val="none"/>
        </w:rPr>
        <w:tab/>
      </w:r>
      <w:r>
        <w:rPr>
          <w:rFonts w:hint="eastAsia"/>
          <w:color w:val="auto"/>
          <w:szCs w:val="21"/>
          <w:highlight w:val="none"/>
        </w:rPr>
        <w:t>项目</w:t>
      </w:r>
      <w:r>
        <w:rPr>
          <w:color w:val="auto"/>
          <w:szCs w:val="21"/>
          <w:highlight w:val="none"/>
        </w:rPr>
        <w:t xml:space="preserve">编号： </w:t>
      </w:r>
      <w:r>
        <w:rPr>
          <w:color w:val="auto"/>
          <w:sz w:val="24"/>
          <w:highlight w:val="none"/>
        </w:rPr>
        <w:t xml:space="preserve"> </w:t>
      </w:r>
    </w:p>
    <w:tbl>
      <w:tblPr>
        <w:tblStyle w:val="44"/>
        <w:tblW w:w="934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53"/>
        <w:gridCol w:w="2210"/>
        <w:gridCol w:w="708"/>
        <w:gridCol w:w="2835"/>
        <w:gridCol w:w="2197"/>
        <w:gridCol w:w="638"/>
      </w:tblGrid>
      <w:tr w14:paraId="6C90EC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98" w:hRule="atLeast"/>
          <w:jc w:val="center"/>
        </w:trPr>
        <w:tc>
          <w:tcPr>
            <w:tcW w:w="753" w:type="dxa"/>
            <w:vAlign w:val="center"/>
          </w:tcPr>
          <w:p w14:paraId="3DA40310">
            <w:pPr>
              <w:snapToGrid w:val="0"/>
              <w:jc w:val="center"/>
              <w:rPr>
                <w:b/>
                <w:color w:val="auto"/>
                <w:szCs w:val="21"/>
                <w:highlight w:val="none"/>
              </w:rPr>
            </w:pPr>
            <w:r>
              <w:rPr>
                <w:rFonts w:hint="eastAsia"/>
                <w:b/>
                <w:color w:val="auto"/>
                <w:szCs w:val="21"/>
                <w:highlight w:val="none"/>
              </w:rPr>
              <w:t>标项</w:t>
            </w:r>
          </w:p>
        </w:tc>
        <w:tc>
          <w:tcPr>
            <w:tcW w:w="2210" w:type="dxa"/>
            <w:vAlign w:val="center"/>
          </w:tcPr>
          <w:p w14:paraId="1358BC51">
            <w:pPr>
              <w:spacing w:line="360" w:lineRule="exact"/>
              <w:jc w:val="center"/>
              <w:rPr>
                <w:b/>
                <w:color w:val="auto"/>
                <w:szCs w:val="21"/>
                <w:highlight w:val="none"/>
              </w:rPr>
            </w:pPr>
            <w:r>
              <w:rPr>
                <w:b/>
                <w:color w:val="auto"/>
                <w:szCs w:val="21"/>
                <w:highlight w:val="none"/>
              </w:rPr>
              <w:t>项目名称</w:t>
            </w:r>
          </w:p>
        </w:tc>
        <w:tc>
          <w:tcPr>
            <w:tcW w:w="708" w:type="dxa"/>
            <w:tcBorders>
              <w:right w:val="single" w:color="auto" w:sz="4" w:space="0"/>
            </w:tcBorders>
            <w:vAlign w:val="center"/>
          </w:tcPr>
          <w:p w14:paraId="4C59A320">
            <w:pPr>
              <w:snapToGrid w:val="0"/>
              <w:jc w:val="center"/>
              <w:rPr>
                <w:b/>
                <w:color w:val="auto"/>
                <w:szCs w:val="21"/>
                <w:highlight w:val="none"/>
              </w:rPr>
            </w:pPr>
            <w:r>
              <w:rPr>
                <w:b/>
                <w:color w:val="auto"/>
                <w:szCs w:val="21"/>
                <w:highlight w:val="none"/>
              </w:rPr>
              <w:t>数量</w:t>
            </w:r>
          </w:p>
        </w:tc>
        <w:tc>
          <w:tcPr>
            <w:tcW w:w="2835" w:type="dxa"/>
            <w:tcBorders>
              <w:left w:val="single" w:color="auto" w:sz="4" w:space="0"/>
            </w:tcBorders>
            <w:vAlign w:val="center"/>
          </w:tcPr>
          <w:p w14:paraId="614468B1">
            <w:pPr>
              <w:snapToGrid w:val="0"/>
              <w:jc w:val="center"/>
              <w:rPr>
                <w:b/>
                <w:color w:val="auto"/>
                <w:szCs w:val="21"/>
                <w:highlight w:val="none"/>
              </w:rPr>
            </w:pPr>
            <w:r>
              <w:rPr>
                <w:b/>
                <w:color w:val="auto"/>
                <w:szCs w:val="21"/>
                <w:highlight w:val="none"/>
              </w:rPr>
              <w:t>投标</w:t>
            </w:r>
            <w:r>
              <w:rPr>
                <w:rFonts w:hint="eastAsia"/>
                <w:b/>
                <w:color w:val="auto"/>
                <w:szCs w:val="21"/>
                <w:highlight w:val="none"/>
                <w:lang w:val="en-US" w:eastAsia="zh-CN"/>
              </w:rPr>
              <w:t>报</w:t>
            </w:r>
            <w:r>
              <w:rPr>
                <w:b/>
                <w:color w:val="auto"/>
                <w:szCs w:val="21"/>
                <w:highlight w:val="none"/>
              </w:rPr>
              <w:t>价</w:t>
            </w:r>
          </w:p>
          <w:p w14:paraId="2DDAFF59">
            <w:pPr>
              <w:snapToGrid w:val="0"/>
              <w:jc w:val="center"/>
              <w:rPr>
                <w:b/>
                <w:color w:val="auto"/>
                <w:szCs w:val="21"/>
                <w:highlight w:val="none"/>
              </w:rPr>
            </w:pPr>
            <w:r>
              <w:rPr>
                <w:b/>
                <w:color w:val="auto"/>
                <w:szCs w:val="21"/>
                <w:highlight w:val="none"/>
              </w:rPr>
              <w:t>（人民币/元）</w:t>
            </w:r>
          </w:p>
        </w:tc>
        <w:tc>
          <w:tcPr>
            <w:tcW w:w="2197" w:type="dxa"/>
            <w:vAlign w:val="center"/>
          </w:tcPr>
          <w:p w14:paraId="578F6E1F">
            <w:pPr>
              <w:snapToGrid w:val="0"/>
              <w:jc w:val="center"/>
              <w:rPr>
                <w:b/>
                <w:color w:val="auto"/>
                <w:szCs w:val="21"/>
                <w:highlight w:val="none"/>
              </w:rPr>
            </w:pPr>
            <w:r>
              <w:rPr>
                <w:b/>
                <w:color w:val="auto"/>
                <w:szCs w:val="21"/>
                <w:highlight w:val="none"/>
              </w:rPr>
              <w:t>合同履</w:t>
            </w:r>
            <w:r>
              <w:rPr>
                <w:rFonts w:hint="eastAsia"/>
                <w:b/>
                <w:color w:val="auto"/>
                <w:szCs w:val="21"/>
                <w:highlight w:val="none"/>
              </w:rPr>
              <w:t>约</w:t>
            </w:r>
          </w:p>
          <w:p w14:paraId="7DDC683B">
            <w:pPr>
              <w:snapToGrid w:val="0"/>
              <w:jc w:val="center"/>
              <w:rPr>
                <w:b/>
                <w:color w:val="auto"/>
                <w:szCs w:val="21"/>
                <w:highlight w:val="none"/>
              </w:rPr>
            </w:pPr>
            <w:r>
              <w:rPr>
                <w:b/>
                <w:color w:val="auto"/>
                <w:szCs w:val="21"/>
                <w:highlight w:val="none"/>
              </w:rPr>
              <w:t>期限</w:t>
            </w:r>
          </w:p>
        </w:tc>
        <w:tc>
          <w:tcPr>
            <w:tcW w:w="638" w:type="dxa"/>
            <w:vAlign w:val="center"/>
          </w:tcPr>
          <w:p w14:paraId="17413693">
            <w:pPr>
              <w:snapToGrid w:val="0"/>
              <w:jc w:val="center"/>
              <w:rPr>
                <w:b/>
                <w:color w:val="auto"/>
                <w:szCs w:val="21"/>
                <w:highlight w:val="none"/>
              </w:rPr>
            </w:pPr>
            <w:r>
              <w:rPr>
                <w:rFonts w:hint="eastAsia"/>
                <w:b/>
                <w:color w:val="auto"/>
                <w:szCs w:val="21"/>
                <w:highlight w:val="none"/>
              </w:rPr>
              <w:t>备注</w:t>
            </w:r>
          </w:p>
        </w:tc>
      </w:tr>
      <w:tr w14:paraId="7F821D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65" w:hRule="atLeast"/>
          <w:jc w:val="center"/>
        </w:trPr>
        <w:tc>
          <w:tcPr>
            <w:tcW w:w="753" w:type="dxa"/>
            <w:vAlign w:val="center"/>
          </w:tcPr>
          <w:p w14:paraId="79974606">
            <w:pPr>
              <w:spacing w:line="360" w:lineRule="auto"/>
              <w:jc w:val="center"/>
              <w:rPr>
                <w:color w:val="auto"/>
                <w:szCs w:val="21"/>
                <w:highlight w:val="none"/>
              </w:rPr>
            </w:pPr>
            <w:r>
              <w:rPr>
                <w:color w:val="auto"/>
                <w:szCs w:val="21"/>
                <w:highlight w:val="none"/>
              </w:rPr>
              <w:t>1</w:t>
            </w:r>
          </w:p>
        </w:tc>
        <w:tc>
          <w:tcPr>
            <w:tcW w:w="2210" w:type="dxa"/>
            <w:vAlign w:val="center"/>
          </w:tcPr>
          <w:p w14:paraId="05CEEA66">
            <w:pPr>
              <w:jc w:val="center"/>
              <w:rPr>
                <w:rFonts w:hint="eastAsia" w:eastAsia="宋体"/>
                <w:color w:val="auto"/>
                <w:sz w:val="22"/>
                <w:szCs w:val="22"/>
                <w:highlight w:val="none"/>
                <w:lang w:eastAsia="zh-CN"/>
              </w:rPr>
            </w:pPr>
            <w:r>
              <w:rPr>
                <w:rFonts w:hint="eastAsia"/>
                <w:color w:val="auto"/>
                <w:sz w:val="22"/>
                <w:szCs w:val="22"/>
                <w:highlight w:val="none"/>
                <w:lang w:eastAsia="zh-CN"/>
              </w:rPr>
              <w:t>大碶派出所迁建工程-办案区智能化项目（重发）</w:t>
            </w:r>
          </w:p>
        </w:tc>
        <w:tc>
          <w:tcPr>
            <w:tcW w:w="708" w:type="dxa"/>
            <w:tcBorders>
              <w:bottom w:val="single" w:color="auto" w:sz="4" w:space="0"/>
              <w:right w:val="single" w:color="auto" w:sz="4" w:space="0"/>
            </w:tcBorders>
            <w:vAlign w:val="center"/>
          </w:tcPr>
          <w:p w14:paraId="1904EB84">
            <w:pPr>
              <w:spacing w:line="360" w:lineRule="auto"/>
              <w:jc w:val="center"/>
              <w:rPr>
                <w:color w:val="auto"/>
                <w:szCs w:val="21"/>
                <w:highlight w:val="none"/>
              </w:rPr>
            </w:pPr>
            <w:r>
              <w:rPr>
                <w:rFonts w:hint="eastAsia"/>
                <w:color w:val="auto"/>
                <w:szCs w:val="21"/>
                <w:highlight w:val="none"/>
              </w:rPr>
              <w:t>1批</w:t>
            </w:r>
          </w:p>
        </w:tc>
        <w:tc>
          <w:tcPr>
            <w:tcW w:w="2835" w:type="dxa"/>
            <w:tcBorders>
              <w:left w:val="single" w:color="auto" w:sz="4" w:space="0"/>
            </w:tcBorders>
            <w:vAlign w:val="center"/>
          </w:tcPr>
          <w:p w14:paraId="3F4DE88C">
            <w:pPr>
              <w:spacing w:line="360" w:lineRule="auto"/>
              <w:jc w:val="left"/>
              <w:rPr>
                <w:color w:val="auto"/>
                <w:szCs w:val="21"/>
                <w:highlight w:val="none"/>
              </w:rPr>
            </w:pPr>
            <w:r>
              <w:rPr>
                <w:rFonts w:hint="eastAsia"/>
                <w:color w:val="auto"/>
                <w:szCs w:val="21"/>
                <w:highlight w:val="none"/>
              </w:rPr>
              <w:t>大写</w:t>
            </w:r>
            <w:r>
              <w:rPr>
                <w:color w:val="auto"/>
                <w:szCs w:val="21"/>
                <w:highlight w:val="none"/>
              </w:rPr>
              <w:t>：</w:t>
            </w:r>
          </w:p>
          <w:p w14:paraId="31903740">
            <w:pPr>
              <w:pStyle w:val="43"/>
              <w:ind w:leftChars="0" w:hanging="420" w:hangingChars="200"/>
              <w:rPr>
                <w:color w:val="auto"/>
                <w:highlight w:val="none"/>
              </w:rPr>
            </w:pPr>
            <w:r>
              <w:rPr>
                <w:rFonts w:hint="eastAsia"/>
                <w:color w:val="auto"/>
                <w:highlight w:val="none"/>
              </w:rPr>
              <w:t>小写：</w:t>
            </w:r>
          </w:p>
        </w:tc>
        <w:tc>
          <w:tcPr>
            <w:tcW w:w="2197" w:type="dxa"/>
            <w:vAlign w:val="center"/>
          </w:tcPr>
          <w:p w14:paraId="05E9396F">
            <w:pPr>
              <w:jc w:val="center"/>
              <w:rPr>
                <w:color w:val="auto"/>
                <w:szCs w:val="21"/>
                <w:highlight w:val="none"/>
              </w:rPr>
            </w:pPr>
            <w:r>
              <w:rPr>
                <w:rFonts w:hint="eastAsia" w:ascii="Times New Roman" w:hAnsi="Times New Roman" w:eastAsia="宋体" w:cs="Times New Roman"/>
                <w:color w:val="auto"/>
                <w:sz w:val="22"/>
                <w:szCs w:val="22"/>
                <w:highlight w:val="none"/>
                <w:lang w:eastAsia="zh-CN"/>
              </w:rPr>
              <w:t>签订合同且具备实施条件后</w:t>
            </w:r>
            <w:r>
              <w:rPr>
                <w:rFonts w:hint="eastAsia" w:ascii="Times New Roman" w:hAnsi="Times New Roman" w:eastAsia="宋体" w:cs="Times New Roman"/>
                <w:color w:val="auto"/>
                <w:sz w:val="22"/>
                <w:szCs w:val="22"/>
                <w:highlight w:val="none"/>
                <w:lang w:val="en-US" w:eastAsia="zh-CN"/>
              </w:rPr>
              <w:t>15</w:t>
            </w:r>
            <w:r>
              <w:rPr>
                <w:rFonts w:hint="eastAsia" w:ascii="Times New Roman" w:hAnsi="Times New Roman" w:eastAsia="宋体" w:cs="Times New Roman"/>
                <w:color w:val="auto"/>
                <w:sz w:val="22"/>
                <w:szCs w:val="22"/>
                <w:highlight w:val="none"/>
                <w:lang w:eastAsia="zh-CN"/>
              </w:rPr>
              <w:t>个工作日完成</w:t>
            </w:r>
            <w:r>
              <w:rPr>
                <w:rFonts w:hint="eastAsia" w:ascii="Times New Roman" w:hAnsi="Times New Roman" w:eastAsia="宋体" w:cs="Times New Roman"/>
                <w:color w:val="auto"/>
                <w:sz w:val="22"/>
                <w:szCs w:val="22"/>
                <w:highlight w:val="none"/>
                <w:lang w:val="en-US" w:eastAsia="zh-CN"/>
              </w:rPr>
              <w:t>供货</w:t>
            </w:r>
            <w:r>
              <w:rPr>
                <w:rFonts w:hint="eastAsia" w:ascii="Times New Roman" w:hAnsi="Times New Roman" w:eastAsia="宋体" w:cs="Times New Roman"/>
                <w:color w:val="auto"/>
                <w:sz w:val="22"/>
                <w:szCs w:val="22"/>
                <w:highlight w:val="none"/>
                <w:lang w:eastAsia="zh-CN"/>
              </w:rPr>
              <w:t>安装调试且通过验收。</w:t>
            </w:r>
          </w:p>
        </w:tc>
        <w:tc>
          <w:tcPr>
            <w:tcW w:w="638" w:type="dxa"/>
            <w:vAlign w:val="center"/>
          </w:tcPr>
          <w:p w14:paraId="74BB0269">
            <w:pPr>
              <w:spacing w:line="360" w:lineRule="auto"/>
              <w:jc w:val="center"/>
              <w:rPr>
                <w:color w:val="auto"/>
                <w:szCs w:val="21"/>
                <w:highlight w:val="none"/>
              </w:rPr>
            </w:pPr>
          </w:p>
        </w:tc>
      </w:tr>
      <w:tr w14:paraId="0C1F27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9" w:hRule="atLeast"/>
          <w:jc w:val="center"/>
        </w:trPr>
        <w:tc>
          <w:tcPr>
            <w:tcW w:w="2963" w:type="dxa"/>
            <w:gridSpan w:val="2"/>
            <w:tcBorders>
              <w:right w:val="single" w:color="auto" w:sz="4" w:space="0"/>
            </w:tcBorders>
            <w:vAlign w:val="center"/>
          </w:tcPr>
          <w:p w14:paraId="1969B7BE">
            <w:pPr>
              <w:spacing w:line="360" w:lineRule="auto"/>
              <w:jc w:val="center"/>
              <w:rPr>
                <w:color w:val="auto"/>
                <w:szCs w:val="21"/>
                <w:highlight w:val="none"/>
              </w:rPr>
            </w:pPr>
          </w:p>
          <w:p w14:paraId="7246A1A7">
            <w:pPr>
              <w:spacing w:line="360" w:lineRule="auto"/>
              <w:jc w:val="center"/>
              <w:rPr>
                <w:color w:val="auto"/>
                <w:szCs w:val="21"/>
                <w:highlight w:val="none"/>
              </w:rPr>
            </w:pPr>
            <w:r>
              <w:rPr>
                <w:color w:val="auto"/>
                <w:szCs w:val="21"/>
                <w:highlight w:val="none"/>
              </w:rPr>
              <w:t>投标声明</w:t>
            </w:r>
          </w:p>
        </w:tc>
        <w:tc>
          <w:tcPr>
            <w:tcW w:w="6378" w:type="dxa"/>
            <w:gridSpan w:val="4"/>
            <w:tcBorders>
              <w:right w:val="single" w:color="auto" w:sz="4" w:space="0"/>
            </w:tcBorders>
            <w:vAlign w:val="center"/>
          </w:tcPr>
          <w:p w14:paraId="3B6BD1EB">
            <w:pPr>
              <w:spacing w:line="360" w:lineRule="auto"/>
              <w:jc w:val="center"/>
              <w:rPr>
                <w:color w:val="auto"/>
                <w:szCs w:val="21"/>
                <w:highlight w:val="none"/>
              </w:rPr>
            </w:pPr>
          </w:p>
        </w:tc>
      </w:tr>
    </w:tbl>
    <w:p w14:paraId="3D4397BD">
      <w:pPr>
        <w:spacing w:line="400" w:lineRule="exact"/>
        <w:rPr>
          <w:color w:val="auto"/>
          <w:szCs w:val="21"/>
          <w:highlight w:val="none"/>
        </w:rPr>
      </w:pPr>
    </w:p>
    <w:p w14:paraId="5C024464">
      <w:pPr>
        <w:widowControl/>
        <w:spacing w:line="360" w:lineRule="auto"/>
        <w:ind w:firstLine="420" w:firstLineChars="200"/>
        <w:jc w:val="left"/>
        <w:rPr>
          <w:color w:val="auto"/>
          <w:szCs w:val="22"/>
          <w:highlight w:val="none"/>
        </w:rPr>
      </w:pPr>
      <w:r>
        <w:rPr>
          <w:color w:val="auto"/>
          <w:szCs w:val="22"/>
          <w:highlight w:val="none"/>
        </w:rPr>
        <w:t xml:space="preserve">投 标 人  （盖章）：                  </w:t>
      </w:r>
    </w:p>
    <w:p w14:paraId="1F3F69FF">
      <w:pPr>
        <w:widowControl/>
        <w:spacing w:line="360" w:lineRule="auto"/>
        <w:ind w:firstLine="420" w:firstLineChars="200"/>
        <w:jc w:val="left"/>
        <w:rPr>
          <w:color w:val="auto"/>
          <w:szCs w:val="22"/>
          <w:highlight w:val="none"/>
        </w:rPr>
      </w:pPr>
      <w:r>
        <w:rPr>
          <w:color w:val="auto"/>
          <w:szCs w:val="22"/>
          <w:highlight w:val="none"/>
        </w:rPr>
        <w:t>法定代表人或其授权代表（签字或盖章）：</w:t>
      </w:r>
    </w:p>
    <w:p w14:paraId="4D804BBE">
      <w:pPr>
        <w:widowControl/>
        <w:spacing w:line="360" w:lineRule="auto"/>
        <w:ind w:firstLine="420" w:firstLineChars="200"/>
        <w:jc w:val="left"/>
        <w:rPr>
          <w:color w:val="auto"/>
          <w:szCs w:val="22"/>
          <w:highlight w:val="none"/>
        </w:rPr>
      </w:pPr>
      <w:r>
        <w:rPr>
          <w:color w:val="auto"/>
          <w:szCs w:val="22"/>
          <w:highlight w:val="none"/>
        </w:rPr>
        <w:t>日  期：</w:t>
      </w:r>
    </w:p>
    <w:p w14:paraId="74E82734">
      <w:pPr>
        <w:spacing w:line="360" w:lineRule="auto"/>
        <w:jc w:val="center"/>
        <w:rPr>
          <w:b/>
          <w:color w:val="auto"/>
          <w:sz w:val="24"/>
          <w:szCs w:val="21"/>
          <w:highlight w:val="none"/>
        </w:rPr>
      </w:pPr>
      <w:r>
        <w:rPr>
          <w:b/>
          <w:color w:val="auto"/>
          <w:sz w:val="24"/>
          <w:szCs w:val="21"/>
          <w:highlight w:val="none"/>
        </w:rPr>
        <w:br w:type="page"/>
      </w:r>
    </w:p>
    <w:p w14:paraId="3C56EB3C">
      <w:pPr>
        <w:spacing w:line="360" w:lineRule="auto"/>
        <w:jc w:val="center"/>
        <w:rPr>
          <w:b/>
          <w:color w:val="auto"/>
          <w:sz w:val="24"/>
          <w:highlight w:val="none"/>
        </w:rPr>
      </w:pPr>
      <w:r>
        <w:rPr>
          <w:b/>
          <w:color w:val="auto"/>
          <w:sz w:val="24"/>
          <w:highlight w:val="none"/>
        </w:rPr>
        <w:t>分项报价表</w:t>
      </w:r>
    </w:p>
    <w:p w14:paraId="3A4008B4">
      <w:pPr>
        <w:pStyle w:val="15"/>
        <w:spacing w:line="360" w:lineRule="auto"/>
        <w:ind w:firstLine="420"/>
        <w:rPr>
          <w:rFonts w:ascii="Arial" w:hAnsi="Arial"/>
          <w:color w:val="auto"/>
          <w:sz w:val="21"/>
          <w:highlight w:val="none"/>
          <w:u w:val="single"/>
        </w:rPr>
      </w:pPr>
      <w:r>
        <w:rPr>
          <w:rFonts w:ascii="Arial" w:hAnsi="Arial"/>
          <w:color w:val="auto"/>
          <w:sz w:val="21"/>
          <w:highlight w:val="none"/>
        </w:rPr>
        <w:t>项目名称：</w:t>
      </w:r>
      <w:r>
        <w:rPr>
          <w:rFonts w:ascii="Arial" w:hAnsi="Arial"/>
          <w:color w:val="auto"/>
          <w:sz w:val="21"/>
          <w:highlight w:val="none"/>
          <w:u w:val="single"/>
        </w:rPr>
        <w:t xml:space="preserve">                                    </w:t>
      </w:r>
      <w:r>
        <w:rPr>
          <w:rFonts w:ascii="Arial" w:hAnsi="Arial"/>
          <w:color w:val="auto"/>
          <w:sz w:val="21"/>
          <w:highlight w:val="none"/>
        </w:rPr>
        <w:t xml:space="preserve"> 项目编号：</w:t>
      </w:r>
      <w:r>
        <w:rPr>
          <w:rFonts w:ascii="Arial" w:hAnsi="Arial"/>
          <w:color w:val="auto"/>
          <w:sz w:val="21"/>
          <w:highlight w:val="none"/>
          <w:u w:val="single"/>
        </w:rPr>
        <w:t xml:space="preserve">              </w:t>
      </w:r>
      <w:r>
        <w:rPr>
          <w:rFonts w:hint="eastAsia" w:ascii="Arial" w:hAnsi="Arial"/>
          <w:color w:val="auto"/>
          <w:sz w:val="21"/>
          <w:highlight w:val="none"/>
          <w:u w:val="single"/>
        </w:rPr>
        <w:t xml:space="preserve">                  </w:t>
      </w:r>
      <w:r>
        <w:rPr>
          <w:rFonts w:ascii="Arial" w:hAnsi="Arial"/>
          <w:color w:val="auto"/>
          <w:sz w:val="21"/>
          <w:highlight w:val="none"/>
          <w:u w:val="single"/>
        </w:rPr>
        <w:t xml:space="preserve"> </w:t>
      </w:r>
    </w:p>
    <w:tbl>
      <w:tblPr>
        <w:tblStyle w:val="45"/>
        <w:tblW w:w="90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035"/>
        <w:gridCol w:w="1282"/>
        <w:gridCol w:w="829"/>
        <w:gridCol w:w="846"/>
        <w:gridCol w:w="839"/>
        <w:gridCol w:w="1225"/>
        <w:gridCol w:w="1226"/>
      </w:tblGrid>
      <w:tr w14:paraId="3634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vAlign w:val="center"/>
          </w:tcPr>
          <w:p w14:paraId="6D0B4F8F">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035" w:type="dxa"/>
            <w:vAlign w:val="center"/>
          </w:tcPr>
          <w:p w14:paraId="691147AC">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名称</w:t>
            </w:r>
          </w:p>
        </w:tc>
        <w:tc>
          <w:tcPr>
            <w:tcW w:w="1282" w:type="dxa"/>
            <w:vAlign w:val="center"/>
          </w:tcPr>
          <w:p w14:paraId="4EFE00DE">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品牌（如有）</w:t>
            </w:r>
          </w:p>
        </w:tc>
        <w:tc>
          <w:tcPr>
            <w:tcW w:w="829" w:type="dxa"/>
            <w:vAlign w:val="center"/>
          </w:tcPr>
          <w:p w14:paraId="1BCB8407">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规格型号</w:t>
            </w:r>
          </w:p>
        </w:tc>
        <w:tc>
          <w:tcPr>
            <w:tcW w:w="846" w:type="dxa"/>
            <w:vAlign w:val="center"/>
          </w:tcPr>
          <w:p w14:paraId="6D082DC5">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数量</w:t>
            </w:r>
          </w:p>
        </w:tc>
        <w:tc>
          <w:tcPr>
            <w:tcW w:w="839" w:type="dxa"/>
            <w:vAlign w:val="center"/>
          </w:tcPr>
          <w:p w14:paraId="14D9B2A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单位</w:t>
            </w:r>
          </w:p>
        </w:tc>
        <w:tc>
          <w:tcPr>
            <w:tcW w:w="1225" w:type="dxa"/>
            <w:vAlign w:val="center"/>
          </w:tcPr>
          <w:p w14:paraId="71B8D58B">
            <w:pPr>
              <w:widowControl/>
              <w:jc w:val="center"/>
              <w:rPr>
                <w:rFonts w:hint="eastAsia" w:ascii="宋体" w:hAnsi="宋体" w:eastAsia="宋体" w:cs="宋体"/>
                <w:b/>
                <w:bCs/>
                <w:color w:val="auto"/>
                <w:kern w:val="0"/>
                <w:szCs w:val="21"/>
                <w:highlight w:val="none"/>
                <w:lang w:eastAsia="zh-CN"/>
              </w:rPr>
            </w:pPr>
            <w:r>
              <w:rPr>
                <w:rFonts w:hint="eastAsia" w:ascii="宋体" w:hAnsi="宋体" w:cs="宋体"/>
                <w:b/>
                <w:bCs/>
                <w:color w:val="auto"/>
                <w:kern w:val="0"/>
                <w:szCs w:val="21"/>
                <w:highlight w:val="none"/>
                <w:lang w:eastAsia="zh-CN"/>
              </w:rPr>
              <w:t>单价</w:t>
            </w:r>
          </w:p>
        </w:tc>
        <w:tc>
          <w:tcPr>
            <w:tcW w:w="1226" w:type="dxa"/>
            <w:vAlign w:val="center"/>
          </w:tcPr>
          <w:p w14:paraId="46866BEC">
            <w:pPr>
              <w:widowControl/>
              <w:jc w:val="center"/>
              <w:rPr>
                <w:rFonts w:hint="eastAsia" w:ascii="宋体" w:hAnsi="宋体" w:eastAsia="宋体" w:cs="宋体"/>
                <w:b/>
                <w:bCs/>
                <w:color w:val="auto"/>
                <w:kern w:val="0"/>
                <w:szCs w:val="21"/>
                <w:highlight w:val="none"/>
                <w:lang w:eastAsia="zh-CN"/>
              </w:rPr>
            </w:pPr>
            <w:r>
              <w:rPr>
                <w:rFonts w:hint="eastAsia" w:ascii="宋体" w:hAnsi="宋体" w:cs="宋体"/>
                <w:b/>
                <w:bCs/>
                <w:color w:val="auto"/>
                <w:kern w:val="0"/>
                <w:szCs w:val="21"/>
                <w:highlight w:val="none"/>
                <w:lang w:eastAsia="zh-CN"/>
              </w:rPr>
              <w:t>合价</w:t>
            </w:r>
          </w:p>
        </w:tc>
      </w:tr>
      <w:tr w14:paraId="692B7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68" w:type="dxa"/>
            <w:gridSpan w:val="8"/>
            <w:shd w:val="clear" w:color="auto" w:fill="BEBEBE" w:themeFill="background1" w:themeFillShade="BF"/>
            <w:vAlign w:val="center"/>
          </w:tcPr>
          <w:p w14:paraId="6AFE1A58">
            <w:pPr>
              <w:widowControl/>
              <w:jc w:val="left"/>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1F</w:t>
            </w:r>
          </w:p>
        </w:tc>
      </w:tr>
      <w:tr w14:paraId="4512C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68" w:type="dxa"/>
            <w:gridSpan w:val="8"/>
            <w:shd w:val="clear" w:color="auto" w:fill="BEBEBE" w:themeFill="background1" w:themeFillShade="BF"/>
            <w:vAlign w:val="center"/>
          </w:tcPr>
          <w:p w14:paraId="3C20990A">
            <w:pPr>
              <w:widowControl/>
              <w:jc w:val="left"/>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（1F）、视频监控系统</w:t>
            </w:r>
          </w:p>
        </w:tc>
      </w:tr>
      <w:tr w14:paraId="1B61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5893462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2035" w:type="dxa"/>
            <w:vAlign w:val="center"/>
          </w:tcPr>
          <w:p w14:paraId="684A7B34">
            <w:pPr>
              <w:widowControl/>
              <w:jc w:val="center"/>
              <w:rPr>
                <w:rFonts w:hint="default" w:ascii="宋体" w:hAnsi="宋体" w:cs="宋体"/>
                <w:color w:val="auto"/>
                <w:kern w:val="0"/>
                <w:sz w:val="21"/>
                <w:szCs w:val="21"/>
                <w:highlight w:val="none"/>
                <w:lang w:val="en-US"/>
              </w:rPr>
            </w:pPr>
            <w:r>
              <w:rPr>
                <w:rFonts w:hint="eastAsia" w:ascii="宋体" w:hAnsi="宋体" w:cs="宋体"/>
                <w:color w:val="auto"/>
                <w:kern w:val="0"/>
                <w:sz w:val="21"/>
                <w:szCs w:val="21"/>
                <w:highlight w:val="none"/>
                <w:lang w:val="en-US" w:eastAsia="zh-CN"/>
              </w:rPr>
              <w:t>监控摄像设备1</w:t>
            </w:r>
          </w:p>
        </w:tc>
        <w:tc>
          <w:tcPr>
            <w:tcW w:w="1282" w:type="dxa"/>
            <w:shd w:val="clear" w:color="FFFFFF" w:fill="FFFFFF"/>
            <w:vAlign w:val="center"/>
          </w:tcPr>
          <w:p w14:paraId="63D9D82F">
            <w:pPr>
              <w:widowControl/>
              <w:jc w:val="center"/>
              <w:rPr>
                <w:rFonts w:hint="eastAsia" w:ascii="宋体" w:hAnsi="宋体" w:cs="宋体"/>
                <w:color w:val="auto"/>
                <w:kern w:val="0"/>
                <w:sz w:val="21"/>
                <w:szCs w:val="21"/>
                <w:highlight w:val="none"/>
              </w:rPr>
            </w:pPr>
          </w:p>
        </w:tc>
        <w:tc>
          <w:tcPr>
            <w:tcW w:w="829" w:type="dxa"/>
            <w:shd w:val="clear" w:color="FFFFFF" w:fill="FFFFFF"/>
            <w:vAlign w:val="center"/>
          </w:tcPr>
          <w:p w14:paraId="7EFA23EB">
            <w:pPr>
              <w:widowControl/>
              <w:jc w:val="center"/>
              <w:rPr>
                <w:rFonts w:hint="eastAsia" w:ascii="宋体" w:hAnsi="宋体" w:cs="宋体"/>
                <w:color w:val="auto"/>
                <w:kern w:val="0"/>
                <w:sz w:val="21"/>
                <w:szCs w:val="21"/>
                <w:highlight w:val="none"/>
              </w:rPr>
            </w:pPr>
          </w:p>
        </w:tc>
        <w:tc>
          <w:tcPr>
            <w:tcW w:w="846" w:type="dxa"/>
            <w:shd w:val="clear" w:color="FFFFFF" w:fill="FFFFFF"/>
            <w:vAlign w:val="center"/>
          </w:tcPr>
          <w:p w14:paraId="42FC9B9B">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40</w:t>
            </w:r>
          </w:p>
        </w:tc>
        <w:tc>
          <w:tcPr>
            <w:tcW w:w="839" w:type="dxa"/>
            <w:vAlign w:val="center"/>
          </w:tcPr>
          <w:p w14:paraId="2A34B046">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1225" w:type="dxa"/>
            <w:vAlign w:val="center"/>
          </w:tcPr>
          <w:p w14:paraId="5E76C96B">
            <w:pPr>
              <w:widowControl/>
              <w:jc w:val="center"/>
              <w:rPr>
                <w:rFonts w:hint="eastAsia" w:ascii="宋体" w:hAnsi="宋体" w:cs="宋体"/>
                <w:color w:val="auto"/>
                <w:kern w:val="0"/>
                <w:sz w:val="21"/>
                <w:szCs w:val="21"/>
                <w:highlight w:val="none"/>
              </w:rPr>
            </w:pPr>
          </w:p>
        </w:tc>
        <w:tc>
          <w:tcPr>
            <w:tcW w:w="1226" w:type="dxa"/>
            <w:vAlign w:val="center"/>
          </w:tcPr>
          <w:p w14:paraId="2A915CF3">
            <w:pPr>
              <w:widowControl/>
              <w:jc w:val="center"/>
              <w:rPr>
                <w:rFonts w:hint="eastAsia" w:ascii="宋体" w:hAnsi="宋体" w:cs="宋体"/>
                <w:color w:val="auto"/>
                <w:kern w:val="0"/>
                <w:sz w:val="21"/>
                <w:szCs w:val="21"/>
                <w:highlight w:val="none"/>
              </w:rPr>
            </w:pPr>
          </w:p>
        </w:tc>
      </w:tr>
      <w:tr w14:paraId="68D6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3B1B0C1F">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2035" w:type="dxa"/>
            <w:vAlign w:val="center"/>
          </w:tcPr>
          <w:p w14:paraId="3CE47BB6">
            <w:pPr>
              <w:widowControl/>
              <w:jc w:val="center"/>
              <w:rPr>
                <w:rFonts w:hint="default" w:ascii="宋体" w:hAnsi="宋体" w:cs="宋体"/>
                <w:color w:val="auto"/>
                <w:kern w:val="0"/>
                <w:sz w:val="21"/>
                <w:szCs w:val="21"/>
                <w:highlight w:val="none"/>
                <w:lang w:val="en-US"/>
              </w:rPr>
            </w:pPr>
            <w:r>
              <w:rPr>
                <w:rFonts w:hint="eastAsia" w:ascii="宋体" w:hAnsi="宋体" w:cs="宋体"/>
                <w:color w:val="auto"/>
                <w:kern w:val="0"/>
                <w:sz w:val="21"/>
                <w:szCs w:val="21"/>
                <w:highlight w:val="none"/>
                <w:lang w:val="en-US" w:eastAsia="zh-CN"/>
              </w:rPr>
              <w:t>监控摄像设备2</w:t>
            </w:r>
          </w:p>
        </w:tc>
        <w:tc>
          <w:tcPr>
            <w:tcW w:w="1282" w:type="dxa"/>
            <w:vAlign w:val="center"/>
          </w:tcPr>
          <w:p w14:paraId="6FE511BD">
            <w:pPr>
              <w:widowControl/>
              <w:jc w:val="center"/>
              <w:rPr>
                <w:rFonts w:hint="eastAsia" w:ascii="宋体" w:hAnsi="宋体" w:cs="宋体"/>
                <w:color w:val="auto"/>
                <w:kern w:val="0"/>
                <w:sz w:val="21"/>
                <w:szCs w:val="21"/>
                <w:highlight w:val="none"/>
              </w:rPr>
            </w:pPr>
          </w:p>
        </w:tc>
        <w:tc>
          <w:tcPr>
            <w:tcW w:w="829" w:type="dxa"/>
            <w:vAlign w:val="center"/>
          </w:tcPr>
          <w:p w14:paraId="0DB21B75">
            <w:pPr>
              <w:widowControl/>
              <w:jc w:val="center"/>
              <w:rPr>
                <w:rFonts w:hint="eastAsia" w:ascii="宋体" w:hAnsi="宋体" w:cs="宋体"/>
                <w:color w:val="auto"/>
                <w:kern w:val="0"/>
                <w:sz w:val="21"/>
                <w:szCs w:val="21"/>
                <w:highlight w:val="none"/>
              </w:rPr>
            </w:pPr>
          </w:p>
        </w:tc>
        <w:tc>
          <w:tcPr>
            <w:tcW w:w="846" w:type="dxa"/>
            <w:vAlign w:val="center"/>
          </w:tcPr>
          <w:p w14:paraId="3D647C27">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839" w:type="dxa"/>
            <w:vAlign w:val="center"/>
          </w:tcPr>
          <w:p w14:paraId="3084E0D9">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1225" w:type="dxa"/>
            <w:vAlign w:val="center"/>
          </w:tcPr>
          <w:p w14:paraId="67600F0A">
            <w:pPr>
              <w:widowControl/>
              <w:jc w:val="center"/>
              <w:rPr>
                <w:rFonts w:hint="eastAsia" w:ascii="宋体" w:hAnsi="宋体" w:cs="宋体"/>
                <w:color w:val="auto"/>
                <w:kern w:val="0"/>
                <w:sz w:val="21"/>
                <w:szCs w:val="21"/>
                <w:highlight w:val="none"/>
              </w:rPr>
            </w:pPr>
          </w:p>
        </w:tc>
        <w:tc>
          <w:tcPr>
            <w:tcW w:w="1226" w:type="dxa"/>
            <w:vAlign w:val="center"/>
          </w:tcPr>
          <w:p w14:paraId="5705005C">
            <w:pPr>
              <w:widowControl/>
              <w:jc w:val="center"/>
              <w:rPr>
                <w:rFonts w:hint="eastAsia" w:ascii="宋体" w:hAnsi="宋体" w:cs="宋体"/>
                <w:color w:val="auto"/>
                <w:kern w:val="0"/>
                <w:sz w:val="21"/>
                <w:szCs w:val="21"/>
                <w:highlight w:val="none"/>
              </w:rPr>
            </w:pPr>
          </w:p>
        </w:tc>
      </w:tr>
      <w:tr w14:paraId="4A296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56383CD3">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2035" w:type="dxa"/>
            <w:vAlign w:val="center"/>
          </w:tcPr>
          <w:p w14:paraId="44E066B3">
            <w:pPr>
              <w:widowControl/>
              <w:jc w:val="center"/>
              <w:rPr>
                <w:rFonts w:hint="default" w:ascii="宋体" w:hAnsi="宋体" w:cs="宋体"/>
                <w:color w:val="auto"/>
                <w:kern w:val="0"/>
                <w:sz w:val="21"/>
                <w:szCs w:val="21"/>
                <w:highlight w:val="none"/>
                <w:lang w:val="en-US"/>
              </w:rPr>
            </w:pPr>
            <w:r>
              <w:rPr>
                <w:rFonts w:hint="eastAsia" w:ascii="宋体" w:hAnsi="宋体" w:cs="宋体"/>
                <w:color w:val="auto"/>
                <w:kern w:val="0"/>
                <w:sz w:val="21"/>
                <w:szCs w:val="21"/>
                <w:highlight w:val="none"/>
                <w:lang w:val="en-US" w:eastAsia="zh-CN"/>
              </w:rPr>
              <w:t>监控摄像设备3</w:t>
            </w:r>
          </w:p>
        </w:tc>
        <w:tc>
          <w:tcPr>
            <w:tcW w:w="1282" w:type="dxa"/>
            <w:vAlign w:val="center"/>
          </w:tcPr>
          <w:p w14:paraId="1CACCC8F">
            <w:pPr>
              <w:widowControl/>
              <w:jc w:val="center"/>
              <w:rPr>
                <w:rFonts w:hint="eastAsia" w:ascii="宋体" w:hAnsi="宋体" w:cs="宋体"/>
                <w:color w:val="auto"/>
                <w:kern w:val="0"/>
                <w:sz w:val="21"/>
                <w:szCs w:val="21"/>
                <w:highlight w:val="none"/>
              </w:rPr>
            </w:pPr>
          </w:p>
        </w:tc>
        <w:tc>
          <w:tcPr>
            <w:tcW w:w="829" w:type="dxa"/>
            <w:vAlign w:val="center"/>
          </w:tcPr>
          <w:p w14:paraId="03E1E0D1">
            <w:pPr>
              <w:widowControl/>
              <w:jc w:val="center"/>
              <w:rPr>
                <w:rFonts w:hint="eastAsia" w:ascii="宋体" w:hAnsi="宋体" w:cs="宋体"/>
                <w:color w:val="auto"/>
                <w:kern w:val="0"/>
                <w:sz w:val="21"/>
                <w:szCs w:val="21"/>
                <w:highlight w:val="none"/>
              </w:rPr>
            </w:pPr>
          </w:p>
        </w:tc>
        <w:tc>
          <w:tcPr>
            <w:tcW w:w="846" w:type="dxa"/>
            <w:vAlign w:val="center"/>
          </w:tcPr>
          <w:p w14:paraId="2CCB13BD">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839" w:type="dxa"/>
            <w:vAlign w:val="center"/>
          </w:tcPr>
          <w:p w14:paraId="415C46C9">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1225" w:type="dxa"/>
            <w:vAlign w:val="center"/>
          </w:tcPr>
          <w:p w14:paraId="128F78FB">
            <w:pPr>
              <w:widowControl/>
              <w:jc w:val="center"/>
              <w:rPr>
                <w:rFonts w:hint="eastAsia" w:ascii="宋体" w:hAnsi="宋体" w:cs="宋体"/>
                <w:color w:val="auto"/>
                <w:kern w:val="0"/>
                <w:sz w:val="21"/>
                <w:szCs w:val="21"/>
                <w:highlight w:val="none"/>
              </w:rPr>
            </w:pPr>
          </w:p>
        </w:tc>
        <w:tc>
          <w:tcPr>
            <w:tcW w:w="1226" w:type="dxa"/>
            <w:vAlign w:val="center"/>
          </w:tcPr>
          <w:p w14:paraId="355DCFD7">
            <w:pPr>
              <w:widowControl/>
              <w:jc w:val="center"/>
              <w:rPr>
                <w:rFonts w:hint="eastAsia" w:ascii="宋体" w:hAnsi="宋体" w:cs="宋体"/>
                <w:color w:val="auto"/>
                <w:kern w:val="0"/>
                <w:sz w:val="21"/>
                <w:szCs w:val="21"/>
                <w:highlight w:val="none"/>
              </w:rPr>
            </w:pPr>
          </w:p>
        </w:tc>
      </w:tr>
      <w:tr w14:paraId="6B34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733CED02">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2035" w:type="dxa"/>
            <w:vAlign w:val="center"/>
          </w:tcPr>
          <w:p w14:paraId="22AA4B8C">
            <w:pPr>
              <w:widowControl/>
              <w:jc w:val="center"/>
              <w:rPr>
                <w:rFonts w:hint="default" w:ascii="宋体" w:hAnsi="宋体" w:cs="宋体"/>
                <w:color w:val="auto"/>
                <w:kern w:val="0"/>
                <w:sz w:val="21"/>
                <w:szCs w:val="21"/>
                <w:highlight w:val="none"/>
                <w:lang w:val="en-US"/>
              </w:rPr>
            </w:pPr>
            <w:r>
              <w:rPr>
                <w:rFonts w:hint="eastAsia" w:ascii="宋体" w:hAnsi="宋体" w:cs="宋体"/>
                <w:color w:val="auto"/>
                <w:kern w:val="0"/>
                <w:sz w:val="21"/>
                <w:szCs w:val="21"/>
                <w:highlight w:val="none"/>
                <w:lang w:val="en-US" w:eastAsia="zh-CN"/>
              </w:rPr>
              <w:t>监控摄像设备4</w:t>
            </w:r>
          </w:p>
        </w:tc>
        <w:tc>
          <w:tcPr>
            <w:tcW w:w="1282" w:type="dxa"/>
            <w:vAlign w:val="center"/>
          </w:tcPr>
          <w:p w14:paraId="154AAB7B">
            <w:pPr>
              <w:widowControl/>
              <w:jc w:val="center"/>
              <w:rPr>
                <w:rFonts w:hint="eastAsia" w:ascii="宋体" w:hAnsi="宋体" w:cs="宋体"/>
                <w:color w:val="auto"/>
                <w:kern w:val="0"/>
                <w:sz w:val="21"/>
                <w:szCs w:val="21"/>
                <w:highlight w:val="none"/>
              </w:rPr>
            </w:pPr>
          </w:p>
        </w:tc>
        <w:tc>
          <w:tcPr>
            <w:tcW w:w="829" w:type="dxa"/>
            <w:vAlign w:val="center"/>
          </w:tcPr>
          <w:p w14:paraId="34638939">
            <w:pPr>
              <w:widowControl/>
              <w:jc w:val="center"/>
              <w:rPr>
                <w:rFonts w:hint="eastAsia" w:ascii="宋体" w:hAnsi="宋体" w:cs="宋体"/>
                <w:color w:val="auto"/>
                <w:kern w:val="0"/>
                <w:sz w:val="21"/>
                <w:szCs w:val="21"/>
                <w:highlight w:val="none"/>
              </w:rPr>
            </w:pPr>
          </w:p>
        </w:tc>
        <w:tc>
          <w:tcPr>
            <w:tcW w:w="846" w:type="dxa"/>
            <w:vAlign w:val="center"/>
          </w:tcPr>
          <w:p w14:paraId="255BB89F">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839" w:type="dxa"/>
            <w:vAlign w:val="center"/>
          </w:tcPr>
          <w:p w14:paraId="69BC061F">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1225" w:type="dxa"/>
            <w:vAlign w:val="center"/>
          </w:tcPr>
          <w:p w14:paraId="5030BE2B">
            <w:pPr>
              <w:widowControl/>
              <w:jc w:val="center"/>
              <w:rPr>
                <w:rFonts w:hint="eastAsia" w:ascii="宋体" w:hAnsi="宋体" w:cs="宋体"/>
                <w:color w:val="auto"/>
                <w:kern w:val="0"/>
                <w:sz w:val="21"/>
                <w:szCs w:val="21"/>
                <w:highlight w:val="none"/>
              </w:rPr>
            </w:pPr>
          </w:p>
        </w:tc>
        <w:tc>
          <w:tcPr>
            <w:tcW w:w="1226" w:type="dxa"/>
            <w:vAlign w:val="center"/>
          </w:tcPr>
          <w:p w14:paraId="3EF497AD">
            <w:pPr>
              <w:widowControl/>
              <w:jc w:val="center"/>
              <w:rPr>
                <w:rFonts w:hint="eastAsia" w:ascii="宋体" w:hAnsi="宋体" w:cs="宋体"/>
                <w:color w:val="auto"/>
                <w:kern w:val="0"/>
                <w:sz w:val="21"/>
                <w:szCs w:val="21"/>
                <w:highlight w:val="none"/>
              </w:rPr>
            </w:pPr>
          </w:p>
        </w:tc>
      </w:tr>
      <w:tr w14:paraId="0BD4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03AB3F6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2035" w:type="dxa"/>
            <w:vAlign w:val="center"/>
          </w:tcPr>
          <w:p w14:paraId="162DFA4F">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录像设备</w:t>
            </w:r>
          </w:p>
        </w:tc>
        <w:tc>
          <w:tcPr>
            <w:tcW w:w="1282" w:type="dxa"/>
            <w:vAlign w:val="center"/>
          </w:tcPr>
          <w:p w14:paraId="78E7071C">
            <w:pPr>
              <w:widowControl/>
              <w:jc w:val="center"/>
              <w:rPr>
                <w:rFonts w:hint="eastAsia" w:ascii="宋体" w:hAnsi="宋体" w:cs="宋体"/>
                <w:color w:val="auto"/>
                <w:kern w:val="0"/>
                <w:sz w:val="21"/>
                <w:szCs w:val="21"/>
                <w:highlight w:val="none"/>
              </w:rPr>
            </w:pPr>
          </w:p>
        </w:tc>
        <w:tc>
          <w:tcPr>
            <w:tcW w:w="829" w:type="dxa"/>
            <w:vAlign w:val="center"/>
          </w:tcPr>
          <w:p w14:paraId="55C164E9">
            <w:pPr>
              <w:widowControl/>
              <w:jc w:val="center"/>
              <w:rPr>
                <w:rFonts w:hint="eastAsia" w:ascii="宋体" w:hAnsi="宋体" w:cs="宋体"/>
                <w:color w:val="auto"/>
                <w:kern w:val="0"/>
                <w:sz w:val="21"/>
                <w:szCs w:val="21"/>
                <w:highlight w:val="none"/>
              </w:rPr>
            </w:pPr>
          </w:p>
        </w:tc>
        <w:tc>
          <w:tcPr>
            <w:tcW w:w="846" w:type="dxa"/>
            <w:vAlign w:val="center"/>
          </w:tcPr>
          <w:p w14:paraId="214DA4A0">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839" w:type="dxa"/>
            <w:vAlign w:val="center"/>
          </w:tcPr>
          <w:p w14:paraId="2166C889">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1225" w:type="dxa"/>
            <w:vAlign w:val="center"/>
          </w:tcPr>
          <w:p w14:paraId="24BBB563">
            <w:pPr>
              <w:widowControl/>
              <w:jc w:val="center"/>
              <w:rPr>
                <w:rFonts w:hint="eastAsia" w:ascii="宋体" w:hAnsi="宋体" w:cs="宋体"/>
                <w:color w:val="auto"/>
                <w:kern w:val="0"/>
                <w:sz w:val="21"/>
                <w:szCs w:val="21"/>
                <w:highlight w:val="none"/>
              </w:rPr>
            </w:pPr>
          </w:p>
        </w:tc>
        <w:tc>
          <w:tcPr>
            <w:tcW w:w="1226" w:type="dxa"/>
            <w:vAlign w:val="center"/>
          </w:tcPr>
          <w:p w14:paraId="0D5839D7">
            <w:pPr>
              <w:widowControl/>
              <w:jc w:val="center"/>
              <w:rPr>
                <w:rFonts w:hint="eastAsia" w:ascii="宋体" w:hAnsi="宋体" w:cs="宋体"/>
                <w:color w:val="auto"/>
                <w:kern w:val="0"/>
                <w:sz w:val="21"/>
                <w:szCs w:val="21"/>
                <w:highlight w:val="none"/>
              </w:rPr>
            </w:pPr>
          </w:p>
        </w:tc>
      </w:tr>
      <w:tr w14:paraId="70BF4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2F2D3975">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2035" w:type="dxa"/>
            <w:vAlign w:val="center"/>
          </w:tcPr>
          <w:p w14:paraId="1B4BAA8B">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其他电源设备安装</w:t>
            </w:r>
          </w:p>
        </w:tc>
        <w:tc>
          <w:tcPr>
            <w:tcW w:w="1282" w:type="dxa"/>
            <w:vAlign w:val="center"/>
          </w:tcPr>
          <w:p w14:paraId="2DCB93A9">
            <w:pPr>
              <w:widowControl/>
              <w:jc w:val="center"/>
              <w:rPr>
                <w:rFonts w:hint="eastAsia" w:ascii="宋体" w:hAnsi="宋体" w:cs="宋体"/>
                <w:color w:val="auto"/>
                <w:kern w:val="0"/>
                <w:sz w:val="21"/>
                <w:szCs w:val="21"/>
                <w:highlight w:val="none"/>
              </w:rPr>
            </w:pPr>
          </w:p>
        </w:tc>
        <w:tc>
          <w:tcPr>
            <w:tcW w:w="829" w:type="dxa"/>
            <w:vAlign w:val="center"/>
          </w:tcPr>
          <w:p w14:paraId="66147215">
            <w:pPr>
              <w:widowControl/>
              <w:jc w:val="center"/>
              <w:rPr>
                <w:rFonts w:hint="eastAsia" w:ascii="宋体" w:hAnsi="宋体" w:cs="宋体"/>
                <w:color w:val="auto"/>
                <w:kern w:val="0"/>
                <w:sz w:val="21"/>
                <w:szCs w:val="21"/>
                <w:highlight w:val="none"/>
              </w:rPr>
            </w:pPr>
          </w:p>
        </w:tc>
        <w:tc>
          <w:tcPr>
            <w:tcW w:w="846" w:type="dxa"/>
            <w:vAlign w:val="center"/>
          </w:tcPr>
          <w:p w14:paraId="4D0CF725">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839" w:type="dxa"/>
            <w:vAlign w:val="center"/>
          </w:tcPr>
          <w:p w14:paraId="199F3CB0">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1225" w:type="dxa"/>
            <w:vAlign w:val="center"/>
          </w:tcPr>
          <w:p w14:paraId="243A0470">
            <w:pPr>
              <w:widowControl/>
              <w:jc w:val="center"/>
              <w:rPr>
                <w:rFonts w:hint="default" w:ascii="宋体" w:hAnsi="宋体" w:eastAsia="宋体" w:cs="宋体"/>
                <w:color w:val="auto"/>
                <w:kern w:val="0"/>
                <w:sz w:val="21"/>
                <w:szCs w:val="21"/>
                <w:highlight w:val="none"/>
                <w:lang w:val="en-US" w:eastAsia="zh-CN"/>
              </w:rPr>
            </w:pPr>
          </w:p>
        </w:tc>
        <w:tc>
          <w:tcPr>
            <w:tcW w:w="1226" w:type="dxa"/>
            <w:vAlign w:val="center"/>
          </w:tcPr>
          <w:p w14:paraId="3AAC75DF">
            <w:pPr>
              <w:widowControl/>
              <w:jc w:val="center"/>
              <w:rPr>
                <w:rFonts w:hint="default" w:ascii="宋体" w:hAnsi="宋体" w:eastAsia="宋体" w:cs="宋体"/>
                <w:color w:val="auto"/>
                <w:kern w:val="0"/>
                <w:sz w:val="21"/>
                <w:szCs w:val="21"/>
                <w:highlight w:val="none"/>
                <w:lang w:val="en-US" w:eastAsia="zh-CN"/>
              </w:rPr>
            </w:pPr>
          </w:p>
        </w:tc>
      </w:tr>
      <w:tr w14:paraId="546E1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770597A1">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2035" w:type="dxa"/>
            <w:vAlign w:val="center"/>
          </w:tcPr>
          <w:p w14:paraId="2FDD74E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存储设备</w:t>
            </w:r>
          </w:p>
        </w:tc>
        <w:tc>
          <w:tcPr>
            <w:tcW w:w="1282" w:type="dxa"/>
            <w:vAlign w:val="center"/>
          </w:tcPr>
          <w:p w14:paraId="349143AD">
            <w:pPr>
              <w:widowControl/>
              <w:jc w:val="center"/>
              <w:rPr>
                <w:rFonts w:ascii="宋体" w:hAnsi="宋体" w:cs="宋体"/>
                <w:color w:val="auto"/>
                <w:kern w:val="0"/>
                <w:sz w:val="21"/>
                <w:szCs w:val="21"/>
                <w:highlight w:val="none"/>
              </w:rPr>
            </w:pPr>
          </w:p>
        </w:tc>
        <w:tc>
          <w:tcPr>
            <w:tcW w:w="829" w:type="dxa"/>
            <w:vAlign w:val="center"/>
          </w:tcPr>
          <w:p w14:paraId="51564630">
            <w:pPr>
              <w:widowControl/>
              <w:jc w:val="center"/>
              <w:rPr>
                <w:rFonts w:ascii="宋体" w:hAnsi="宋体" w:cs="宋体"/>
                <w:color w:val="auto"/>
                <w:kern w:val="0"/>
                <w:sz w:val="21"/>
                <w:szCs w:val="21"/>
                <w:highlight w:val="none"/>
              </w:rPr>
            </w:pPr>
          </w:p>
        </w:tc>
        <w:tc>
          <w:tcPr>
            <w:tcW w:w="846" w:type="dxa"/>
            <w:vAlign w:val="center"/>
          </w:tcPr>
          <w:p w14:paraId="1AA530D1">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64</w:t>
            </w:r>
          </w:p>
        </w:tc>
        <w:tc>
          <w:tcPr>
            <w:tcW w:w="839" w:type="dxa"/>
            <w:vAlign w:val="center"/>
          </w:tcPr>
          <w:p w14:paraId="7D20656D">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1225" w:type="dxa"/>
            <w:vAlign w:val="center"/>
          </w:tcPr>
          <w:p w14:paraId="61231AE1">
            <w:pPr>
              <w:widowControl/>
              <w:jc w:val="center"/>
              <w:rPr>
                <w:rFonts w:hint="default" w:ascii="宋体" w:hAnsi="宋体" w:eastAsia="宋体" w:cs="宋体"/>
                <w:color w:val="auto"/>
                <w:kern w:val="0"/>
                <w:sz w:val="21"/>
                <w:szCs w:val="21"/>
                <w:highlight w:val="none"/>
                <w:lang w:val="en-US" w:eastAsia="zh-CN"/>
              </w:rPr>
            </w:pPr>
          </w:p>
        </w:tc>
        <w:tc>
          <w:tcPr>
            <w:tcW w:w="1226" w:type="dxa"/>
            <w:vAlign w:val="center"/>
          </w:tcPr>
          <w:p w14:paraId="0876B0B2">
            <w:pPr>
              <w:widowControl/>
              <w:jc w:val="center"/>
              <w:rPr>
                <w:rFonts w:hint="default" w:ascii="宋体" w:hAnsi="宋体" w:eastAsia="宋体" w:cs="宋体"/>
                <w:color w:val="auto"/>
                <w:kern w:val="0"/>
                <w:sz w:val="21"/>
                <w:szCs w:val="21"/>
                <w:highlight w:val="none"/>
                <w:lang w:val="en-US" w:eastAsia="zh-CN"/>
              </w:rPr>
            </w:pPr>
          </w:p>
        </w:tc>
      </w:tr>
      <w:tr w14:paraId="76A9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70F638BD">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2035" w:type="dxa"/>
            <w:vAlign w:val="center"/>
          </w:tcPr>
          <w:p w14:paraId="4F42B30D">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机柜、机架</w:t>
            </w:r>
          </w:p>
        </w:tc>
        <w:tc>
          <w:tcPr>
            <w:tcW w:w="1282" w:type="dxa"/>
            <w:vAlign w:val="center"/>
          </w:tcPr>
          <w:p w14:paraId="470539DF">
            <w:pPr>
              <w:widowControl/>
              <w:jc w:val="center"/>
              <w:rPr>
                <w:rFonts w:hint="eastAsia" w:ascii="宋体" w:hAnsi="宋体" w:cs="宋体"/>
                <w:color w:val="auto"/>
                <w:kern w:val="0"/>
                <w:sz w:val="21"/>
                <w:szCs w:val="21"/>
                <w:highlight w:val="none"/>
              </w:rPr>
            </w:pPr>
          </w:p>
        </w:tc>
        <w:tc>
          <w:tcPr>
            <w:tcW w:w="829" w:type="dxa"/>
            <w:vAlign w:val="center"/>
          </w:tcPr>
          <w:p w14:paraId="6FDA8DCE">
            <w:pPr>
              <w:widowControl/>
              <w:jc w:val="center"/>
              <w:rPr>
                <w:rFonts w:hint="eastAsia" w:ascii="宋体" w:hAnsi="宋体" w:cs="宋体"/>
                <w:color w:val="auto"/>
                <w:kern w:val="0"/>
                <w:sz w:val="21"/>
                <w:szCs w:val="21"/>
                <w:highlight w:val="none"/>
              </w:rPr>
            </w:pPr>
          </w:p>
        </w:tc>
        <w:tc>
          <w:tcPr>
            <w:tcW w:w="846" w:type="dxa"/>
            <w:vAlign w:val="center"/>
          </w:tcPr>
          <w:p w14:paraId="522572EF">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839" w:type="dxa"/>
            <w:vAlign w:val="center"/>
          </w:tcPr>
          <w:p w14:paraId="570E58C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1225" w:type="dxa"/>
            <w:vAlign w:val="center"/>
          </w:tcPr>
          <w:p w14:paraId="0961233C">
            <w:pPr>
              <w:widowControl/>
              <w:jc w:val="center"/>
              <w:rPr>
                <w:rFonts w:hint="eastAsia" w:ascii="宋体" w:hAnsi="宋体" w:cs="宋体"/>
                <w:color w:val="auto"/>
                <w:kern w:val="0"/>
                <w:sz w:val="21"/>
                <w:szCs w:val="21"/>
                <w:highlight w:val="none"/>
              </w:rPr>
            </w:pPr>
          </w:p>
        </w:tc>
        <w:tc>
          <w:tcPr>
            <w:tcW w:w="1226" w:type="dxa"/>
            <w:vAlign w:val="center"/>
          </w:tcPr>
          <w:p w14:paraId="4650C071">
            <w:pPr>
              <w:widowControl/>
              <w:jc w:val="center"/>
              <w:rPr>
                <w:rFonts w:hint="eastAsia" w:ascii="宋体" w:hAnsi="宋体" w:cs="宋体"/>
                <w:color w:val="auto"/>
                <w:kern w:val="0"/>
                <w:sz w:val="21"/>
                <w:szCs w:val="21"/>
                <w:highlight w:val="none"/>
              </w:rPr>
            </w:pPr>
          </w:p>
        </w:tc>
      </w:tr>
      <w:tr w14:paraId="6AC0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18969D3D">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w:t>
            </w:r>
          </w:p>
        </w:tc>
        <w:tc>
          <w:tcPr>
            <w:tcW w:w="2035" w:type="dxa"/>
            <w:vAlign w:val="center"/>
          </w:tcPr>
          <w:p w14:paraId="296FC155">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交换机</w:t>
            </w:r>
          </w:p>
        </w:tc>
        <w:tc>
          <w:tcPr>
            <w:tcW w:w="1282" w:type="dxa"/>
            <w:vAlign w:val="center"/>
          </w:tcPr>
          <w:p w14:paraId="25AAEFF1">
            <w:pPr>
              <w:widowControl/>
              <w:jc w:val="center"/>
              <w:rPr>
                <w:rFonts w:hint="eastAsia" w:ascii="宋体" w:hAnsi="宋体" w:cs="宋体"/>
                <w:color w:val="auto"/>
                <w:kern w:val="0"/>
                <w:sz w:val="21"/>
                <w:szCs w:val="21"/>
                <w:highlight w:val="none"/>
              </w:rPr>
            </w:pPr>
          </w:p>
        </w:tc>
        <w:tc>
          <w:tcPr>
            <w:tcW w:w="829" w:type="dxa"/>
            <w:vAlign w:val="center"/>
          </w:tcPr>
          <w:p w14:paraId="60684987">
            <w:pPr>
              <w:widowControl/>
              <w:jc w:val="center"/>
              <w:rPr>
                <w:rFonts w:hint="eastAsia" w:ascii="宋体" w:hAnsi="宋体" w:cs="宋体"/>
                <w:color w:val="auto"/>
                <w:kern w:val="0"/>
                <w:sz w:val="21"/>
                <w:szCs w:val="21"/>
                <w:highlight w:val="none"/>
              </w:rPr>
            </w:pPr>
          </w:p>
        </w:tc>
        <w:tc>
          <w:tcPr>
            <w:tcW w:w="846" w:type="dxa"/>
            <w:vAlign w:val="center"/>
          </w:tcPr>
          <w:p w14:paraId="6D7A963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839" w:type="dxa"/>
            <w:vAlign w:val="center"/>
          </w:tcPr>
          <w:p w14:paraId="4BDEF509">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1225" w:type="dxa"/>
            <w:vAlign w:val="center"/>
          </w:tcPr>
          <w:p w14:paraId="67C116B9">
            <w:pPr>
              <w:widowControl/>
              <w:jc w:val="center"/>
              <w:rPr>
                <w:rFonts w:hint="default" w:ascii="宋体" w:hAnsi="宋体" w:eastAsia="宋体" w:cs="宋体"/>
                <w:color w:val="auto"/>
                <w:kern w:val="0"/>
                <w:sz w:val="21"/>
                <w:szCs w:val="21"/>
                <w:highlight w:val="none"/>
                <w:lang w:val="en-US" w:eastAsia="zh-CN"/>
              </w:rPr>
            </w:pPr>
          </w:p>
        </w:tc>
        <w:tc>
          <w:tcPr>
            <w:tcW w:w="1226" w:type="dxa"/>
            <w:vAlign w:val="center"/>
          </w:tcPr>
          <w:p w14:paraId="3A77F70A">
            <w:pPr>
              <w:widowControl/>
              <w:jc w:val="center"/>
              <w:rPr>
                <w:rFonts w:hint="default" w:ascii="宋体" w:hAnsi="宋体" w:eastAsia="宋体" w:cs="宋体"/>
                <w:color w:val="auto"/>
                <w:kern w:val="0"/>
                <w:sz w:val="21"/>
                <w:szCs w:val="21"/>
                <w:highlight w:val="none"/>
                <w:lang w:val="en-US" w:eastAsia="zh-CN"/>
              </w:rPr>
            </w:pPr>
          </w:p>
        </w:tc>
      </w:tr>
      <w:tr w14:paraId="68388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5BEC9F43">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2035" w:type="dxa"/>
            <w:vAlign w:val="center"/>
          </w:tcPr>
          <w:p w14:paraId="655B72BF">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交换机</w:t>
            </w:r>
          </w:p>
        </w:tc>
        <w:tc>
          <w:tcPr>
            <w:tcW w:w="1282" w:type="dxa"/>
            <w:vAlign w:val="center"/>
          </w:tcPr>
          <w:p w14:paraId="12CA8CF6">
            <w:pPr>
              <w:widowControl/>
              <w:jc w:val="center"/>
              <w:rPr>
                <w:rFonts w:hint="eastAsia" w:ascii="宋体" w:hAnsi="宋体" w:cs="宋体"/>
                <w:color w:val="auto"/>
                <w:kern w:val="0"/>
                <w:sz w:val="21"/>
                <w:szCs w:val="21"/>
                <w:highlight w:val="none"/>
              </w:rPr>
            </w:pPr>
          </w:p>
        </w:tc>
        <w:tc>
          <w:tcPr>
            <w:tcW w:w="829" w:type="dxa"/>
            <w:vAlign w:val="center"/>
          </w:tcPr>
          <w:p w14:paraId="331FECBD">
            <w:pPr>
              <w:widowControl/>
              <w:jc w:val="center"/>
              <w:rPr>
                <w:rFonts w:hint="eastAsia" w:ascii="宋体" w:hAnsi="宋体" w:cs="宋体"/>
                <w:color w:val="auto"/>
                <w:kern w:val="0"/>
                <w:sz w:val="21"/>
                <w:szCs w:val="21"/>
                <w:highlight w:val="none"/>
              </w:rPr>
            </w:pPr>
          </w:p>
        </w:tc>
        <w:tc>
          <w:tcPr>
            <w:tcW w:w="846" w:type="dxa"/>
            <w:vAlign w:val="center"/>
          </w:tcPr>
          <w:p w14:paraId="4355AC4D">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839" w:type="dxa"/>
            <w:vAlign w:val="center"/>
          </w:tcPr>
          <w:p w14:paraId="4D998A6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1225" w:type="dxa"/>
            <w:vAlign w:val="center"/>
          </w:tcPr>
          <w:p w14:paraId="442372F1">
            <w:pPr>
              <w:widowControl/>
              <w:jc w:val="center"/>
              <w:rPr>
                <w:rFonts w:hint="eastAsia" w:ascii="宋体" w:hAnsi="宋体" w:cs="宋体"/>
                <w:color w:val="auto"/>
                <w:kern w:val="0"/>
                <w:sz w:val="21"/>
                <w:szCs w:val="21"/>
                <w:highlight w:val="none"/>
              </w:rPr>
            </w:pPr>
          </w:p>
        </w:tc>
        <w:tc>
          <w:tcPr>
            <w:tcW w:w="1226" w:type="dxa"/>
            <w:vAlign w:val="center"/>
          </w:tcPr>
          <w:p w14:paraId="04AF86F7">
            <w:pPr>
              <w:widowControl/>
              <w:jc w:val="center"/>
              <w:rPr>
                <w:rFonts w:hint="eastAsia" w:ascii="宋体" w:hAnsi="宋体" w:cs="宋体"/>
                <w:color w:val="auto"/>
                <w:kern w:val="0"/>
                <w:sz w:val="21"/>
                <w:szCs w:val="21"/>
                <w:highlight w:val="none"/>
              </w:rPr>
            </w:pPr>
          </w:p>
        </w:tc>
      </w:tr>
      <w:tr w14:paraId="22430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691F6CED">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w:t>
            </w:r>
          </w:p>
        </w:tc>
        <w:tc>
          <w:tcPr>
            <w:tcW w:w="2035" w:type="dxa"/>
            <w:vAlign w:val="center"/>
          </w:tcPr>
          <w:p w14:paraId="67860F55">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交换机</w:t>
            </w:r>
          </w:p>
        </w:tc>
        <w:tc>
          <w:tcPr>
            <w:tcW w:w="1282" w:type="dxa"/>
            <w:vAlign w:val="center"/>
          </w:tcPr>
          <w:p w14:paraId="27F6AEB3">
            <w:pPr>
              <w:widowControl/>
              <w:jc w:val="center"/>
              <w:rPr>
                <w:rFonts w:hint="eastAsia" w:ascii="宋体" w:hAnsi="宋体" w:cs="宋体"/>
                <w:color w:val="auto"/>
                <w:kern w:val="0"/>
                <w:sz w:val="21"/>
                <w:szCs w:val="21"/>
                <w:highlight w:val="none"/>
              </w:rPr>
            </w:pPr>
          </w:p>
        </w:tc>
        <w:tc>
          <w:tcPr>
            <w:tcW w:w="829" w:type="dxa"/>
            <w:vAlign w:val="center"/>
          </w:tcPr>
          <w:p w14:paraId="3D21310D">
            <w:pPr>
              <w:widowControl/>
              <w:jc w:val="center"/>
              <w:rPr>
                <w:rFonts w:hint="eastAsia" w:ascii="宋体" w:hAnsi="宋体" w:cs="宋体"/>
                <w:color w:val="auto"/>
                <w:kern w:val="0"/>
                <w:sz w:val="21"/>
                <w:szCs w:val="21"/>
                <w:highlight w:val="none"/>
              </w:rPr>
            </w:pPr>
          </w:p>
        </w:tc>
        <w:tc>
          <w:tcPr>
            <w:tcW w:w="846" w:type="dxa"/>
            <w:vAlign w:val="center"/>
          </w:tcPr>
          <w:p w14:paraId="3FB7FF9F">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839" w:type="dxa"/>
            <w:vAlign w:val="center"/>
          </w:tcPr>
          <w:p w14:paraId="07C1F76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1225" w:type="dxa"/>
            <w:vAlign w:val="center"/>
          </w:tcPr>
          <w:p w14:paraId="50EBE2D3">
            <w:pPr>
              <w:widowControl/>
              <w:jc w:val="center"/>
              <w:rPr>
                <w:rFonts w:hint="eastAsia" w:ascii="宋体" w:hAnsi="宋体" w:cs="宋体"/>
                <w:color w:val="auto"/>
                <w:kern w:val="0"/>
                <w:sz w:val="21"/>
                <w:szCs w:val="21"/>
                <w:highlight w:val="none"/>
              </w:rPr>
            </w:pPr>
          </w:p>
        </w:tc>
        <w:tc>
          <w:tcPr>
            <w:tcW w:w="1226" w:type="dxa"/>
            <w:vAlign w:val="center"/>
          </w:tcPr>
          <w:p w14:paraId="43F6B458">
            <w:pPr>
              <w:widowControl/>
              <w:jc w:val="center"/>
              <w:rPr>
                <w:rFonts w:hint="eastAsia" w:ascii="宋体" w:hAnsi="宋体" w:cs="宋体"/>
                <w:color w:val="auto"/>
                <w:kern w:val="0"/>
                <w:sz w:val="21"/>
                <w:szCs w:val="21"/>
                <w:highlight w:val="none"/>
              </w:rPr>
            </w:pPr>
          </w:p>
        </w:tc>
      </w:tr>
      <w:tr w14:paraId="23F92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86" w:type="dxa"/>
            <w:vAlign w:val="center"/>
          </w:tcPr>
          <w:p w14:paraId="4E2CFD7D">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12</w:t>
            </w:r>
          </w:p>
        </w:tc>
        <w:tc>
          <w:tcPr>
            <w:tcW w:w="2035" w:type="dxa"/>
            <w:vAlign w:val="center"/>
          </w:tcPr>
          <w:p w14:paraId="6D9AAEC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配线架</w:t>
            </w:r>
          </w:p>
        </w:tc>
        <w:tc>
          <w:tcPr>
            <w:tcW w:w="1282" w:type="dxa"/>
            <w:vAlign w:val="center"/>
          </w:tcPr>
          <w:p w14:paraId="421F7E7D">
            <w:pPr>
              <w:widowControl/>
              <w:jc w:val="center"/>
              <w:rPr>
                <w:rFonts w:hint="eastAsia" w:ascii="宋体" w:hAnsi="宋体" w:cs="宋体"/>
                <w:color w:val="auto"/>
                <w:kern w:val="0"/>
                <w:sz w:val="21"/>
                <w:szCs w:val="21"/>
                <w:highlight w:val="none"/>
              </w:rPr>
            </w:pPr>
          </w:p>
        </w:tc>
        <w:tc>
          <w:tcPr>
            <w:tcW w:w="829" w:type="dxa"/>
            <w:vAlign w:val="center"/>
          </w:tcPr>
          <w:p w14:paraId="7D2846C1">
            <w:pPr>
              <w:widowControl/>
              <w:jc w:val="center"/>
              <w:rPr>
                <w:rFonts w:hint="eastAsia" w:ascii="宋体" w:hAnsi="宋体" w:cs="宋体"/>
                <w:color w:val="auto"/>
                <w:kern w:val="0"/>
                <w:sz w:val="21"/>
                <w:szCs w:val="21"/>
                <w:highlight w:val="none"/>
              </w:rPr>
            </w:pPr>
          </w:p>
        </w:tc>
        <w:tc>
          <w:tcPr>
            <w:tcW w:w="846" w:type="dxa"/>
            <w:vAlign w:val="center"/>
          </w:tcPr>
          <w:p w14:paraId="29949BC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839" w:type="dxa"/>
            <w:vAlign w:val="center"/>
          </w:tcPr>
          <w:p w14:paraId="2E0ED45D">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1225" w:type="dxa"/>
            <w:vAlign w:val="center"/>
          </w:tcPr>
          <w:p w14:paraId="618303D0">
            <w:pPr>
              <w:widowControl/>
              <w:jc w:val="center"/>
              <w:rPr>
                <w:rFonts w:hint="eastAsia" w:ascii="宋体" w:hAnsi="宋体" w:cs="宋体"/>
                <w:color w:val="auto"/>
                <w:kern w:val="0"/>
                <w:sz w:val="21"/>
                <w:szCs w:val="21"/>
                <w:highlight w:val="none"/>
              </w:rPr>
            </w:pPr>
          </w:p>
        </w:tc>
        <w:tc>
          <w:tcPr>
            <w:tcW w:w="1226" w:type="dxa"/>
            <w:vAlign w:val="center"/>
          </w:tcPr>
          <w:p w14:paraId="689B510B">
            <w:pPr>
              <w:widowControl/>
              <w:jc w:val="center"/>
              <w:rPr>
                <w:rFonts w:hint="eastAsia" w:ascii="宋体" w:hAnsi="宋体" w:cs="宋体"/>
                <w:color w:val="auto"/>
                <w:kern w:val="0"/>
                <w:sz w:val="21"/>
                <w:szCs w:val="21"/>
                <w:highlight w:val="none"/>
              </w:rPr>
            </w:pPr>
          </w:p>
        </w:tc>
      </w:tr>
      <w:tr w14:paraId="12F15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10DAF6FD">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13</w:t>
            </w:r>
          </w:p>
        </w:tc>
        <w:tc>
          <w:tcPr>
            <w:tcW w:w="2035" w:type="dxa"/>
            <w:vAlign w:val="center"/>
          </w:tcPr>
          <w:p w14:paraId="69979A7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配线架</w:t>
            </w:r>
          </w:p>
        </w:tc>
        <w:tc>
          <w:tcPr>
            <w:tcW w:w="1282" w:type="dxa"/>
            <w:vAlign w:val="center"/>
          </w:tcPr>
          <w:p w14:paraId="53C119E9">
            <w:pPr>
              <w:widowControl/>
              <w:jc w:val="center"/>
              <w:rPr>
                <w:rFonts w:hint="eastAsia" w:ascii="宋体" w:hAnsi="宋体" w:cs="宋体"/>
                <w:color w:val="auto"/>
                <w:kern w:val="0"/>
                <w:sz w:val="21"/>
                <w:szCs w:val="21"/>
                <w:highlight w:val="none"/>
              </w:rPr>
            </w:pPr>
          </w:p>
        </w:tc>
        <w:tc>
          <w:tcPr>
            <w:tcW w:w="829" w:type="dxa"/>
            <w:vAlign w:val="center"/>
          </w:tcPr>
          <w:p w14:paraId="61B04672">
            <w:pPr>
              <w:widowControl/>
              <w:jc w:val="center"/>
              <w:rPr>
                <w:rFonts w:hint="eastAsia" w:ascii="宋体" w:hAnsi="宋体" w:cs="宋体"/>
                <w:color w:val="auto"/>
                <w:kern w:val="0"/>
                <w:sz w:val="21"/>
                <w:szCs w:val="21"/>
                <w:highlight w:val="none"/>
              </w:rPr>
            </w:pPr>
          </w:p>
        </w:tc>
        <w:tc>
          <w:tcPr>
            <w:tcW w:w="846" w:type="dxa"/>
            <w:vAlign w:val="center"/>
          </w:tcPr>
          <w:p w14:paraId="50A4FD96">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24</w:t>
            </w:r>
          </w:p>
        </w:tc>
        <w:tc>
          <w:tcPr>
            <w:tcW w:w="839" w:type="dxa"/>
            <w:shd w:val="clear" w:color="FFFFFF" w:fill="FFFFFF"/>
            <w:vAlign w:val="center"/>
          </w:tcPr>
          <w:p w14:paraId="3D76596F">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1225" w:type="dxa"/>
            <w:vAlign w:val="center"/>
          </w:tcPr>
          <w:p w14:paraId="3B9F070B">
            <w:pPr>
              <w:widowControl/>
              <w:jc w:val="center"/>
              <w:rPr>
                <w:rFonts w:hint="eastAsia" w:ascii="宋体" w:hAnsi="宋体" w:cs="宋体"/>
                <w:color w:val="auto"/>
                <w:kern w:val="0"/>
                <w:sz w:val="21"/>
                <w:szCs w:val="21"/>
                <w:highlight w:val="none"/>
              </w:rPr>
            </w:pPr>
          </w:p>
        </w:tc>
        <w:tc>
          <w:tcPr>
            <w:tcW w:w="1226" w:type="dxa"/>
            <w:vAlign w:val="center"/>
          </w:tcPr>
          <w:p w14:paraId="0046953F">
            <w:pPr>
              <w:widowControl/>
              <w:jc w:val="center"/>
              <w:rPr>
                <w:rFonts w:hint="eastAsia" w:ascii="宋体" w:hAnsi="宋体" w:cs="宋体"/>
                <w:color w:val="auto"/>
                <w:kern w:val="0"/>
                <w:sz w:val="21"/>
                <w:szCs w:val="21"/>
                <w:highlight w:val="none"/>
              </w:rPr>
            </w:pPr>
          </w:p>
        </w:tc>
      </w:tr>
      <w:tr w14:paraId="204F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1CE15F4B">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14</w:t>
            </w:r>
          </w:p>
        </w:tc>
        <w:tc>
          <w:tcPr>
            <w:tcW w:w="2035" w:type="dxa"/>
            <w:vAlign w:val="center"/>
          </w:tcPr>
          <w:p w14:paraId="47D82083">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显示设备</w:t>
            </w:r>
          </w:p>
        </w:tc>
        <w:tc>
          <w:tcPr>
            <w:tcW w:w="1282" w:type="dxa"/>
            <w:vAlign w:val="center"/>
          </w:tcPr>
          <w:p w14:paraId="41C99A7C">
            <w:pPr>
              <w:widowControl/>
              <w:jc w:val="center"/>
              <w:rPr>
                <w:rFonts w:hint="eastAsia" w:ascii="宋体" w:hAnsi="宋体" w:cs="宋体"/>
                <w:color w:val="auto"/>
                <w:kern w:val="0"/>
                <w:sz w:val="21"/>
                <w:szCs w:val="21"/>
                <w:highlight w:val="none"/>
              </w:rPr>
            </w:pPr>
          </w:p>
        </w:tc>
        <w:tc>
          <w:tcPr>
            <w:tcW w:w="829" w:type="dxa"/>
            <w:vAlign w:val="center"/>
          </w:tcPr>
          <w:p w14:paraId="3D4BA0D7">
            <w:pPr>
              <w:widowControl/>
              <w:jc w:val="center"/>
              <w:rPr>
                <w:rFonts w:hint="eastAsia" w:ascii="宋体" w:hAnsi="宋体" w:cs="宋体"/>
                <w:color w:val="auto"/>
                <w:kern w:val="0"/>
                <w:sz w:val="21"/>
                <w:szCs w:val="21"/>
                <w:highlight w:val="none"/>
              </w:rPr>
            </w:pPr>
          </w:p>
        </w:tc>
        <w:tc>
          <w:tcPr>
            <w:tcW w:w="846" w:type="dxa"/>
            <w:vAlign w:val="center"/>
          </w:tcPr>
          <w:p w14:paraId="36E0E111">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839" w:type="dxa"/>
            <w:vAlign w:val="center"/>
          </w:tcPr>
          <w:p w14:paraId="0044C2EF">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1225" w:type="dxa"/>
            <w:vAlign w:val="center"/>
          </w:tcPr>
          <w:p w14:paraId="56BAA0E9">
            <w:pPr>
              <w:widowControl/>
              <w:jc w:val="center"/>
              <w:rPr>
                <w:rFonts w:hint="eastAsia" w:ascii="宋体" w:hAnsi="宋体" w:cs="宋体"/>
                <w:color w:val="auto"/>
                <w:kern w:val="0"/>
                <w:sz w:val="21"/>
                <w:szCs w:val="21"/>
                <w:highlight w:val="none"/>
              </w:rPr>
            </w:pPr>
          </w:p>
        </w:tc>
        <w:tc>
          <w:tcPr>
            <w:tcW w:w="1226" w:type="dxa"/>
            <w:vAlign w:val="center"/>
          </w:tcPr>
          <w:p w14:paraId="2B006011">
            <w:pPr>
              <w:widowControl/>
              <w:jc w:val="center"/>
              <w:rPr>
                <w:rFonts w:hint="eastAsia" w:ascii="宋体" w:hAnsi="宋体" w:cs="宋体"/>
                <w:color w:val="auto"/>
                <w:kern w:val="0"/>
                <w:sz w:val="21"/>
                <w:szCs w:val="21"/>
                <w:highlight w:val="none"/>
              </w:rPr>
            </w:pPr>
          </w:p>
        </w:tc>
      </w:tr>
      <w:tr w14:paraId="60C0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12CB2DED">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15</w:t>
            </w:r>
          </w:p>
        </w:tc>
        <w:tc>
          <w:tcPr>
            <w:tcW w:w="2035" w:type="dxa"/>
            <w:vAlign w:val="center"/>
          </w:tcPr>
          <w:p w14:paraId="5F6AD4EF">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扩声系统设备</w:t>
            </w:r>
          </w:p>
        </w:tc>
        <w:tc>
          <w:tcPr>
            <w:tcW w:w="1282" w:type="dxa"/>
            <w:vAlign w:val="center"/>
          </w:tcPr>
          <w:p w14:paraId="53BBE7D8">
            <w:pPr>
              <w:widowControl/>
              <w:jc w:val="center"/>
              <w:rPr>
                <w:rFonts w:hint="eastAsia" w:ascii="宋体" w:hAnsi="宋体" w:cs="宋体"/>
                <w:color w:val="auto"/>
                <w:kern w:val="0"/>
                <w:sz w:val="21"/>
                <w:szCs w:val="21"/>
                <w:highlight w:val="none"/>
              </w:rPr>
            </w:pPr>
          </w:p>
        </w:tc>
        <w:tc>
          <w:tcPr>
            <w:tcW w:w="829" w:type="dxa"/>
            <w:vAlign w:val="center"/>
          </w:tcPr>
          <w:p w14:paraId="65CB8D60">
            <w:pPr>
              <w:widowControl/>
              <w:jc w:val="center"/>
              <w:rPr>
                <w:rFonts w:hint="eastAsia" w:ascii="宋体" w:hAnsi="宋体" w:cs="宋体"/>
                <w:color w:val="auto"/>
                <w:kern w:val="0"/>
                <w:sz w:val="21"/>
                <w:szCs w:val="21"/>
                <w:highlight w:val="none"/>
              </w:rPr>
            </w:pPr>
          </w:p>
        </w:tc>
        <w:tc>
          <w:tcPr>
            <w:tcW w:w="846" w:type="dxa"/>
            <w:vAlign w:val="center"/>
          </w:tcPr>
          <w:p w14:paraId="410A98E7">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34</w:t>
            </w:r>
          </w:p>
        </w:tc>
        <w:tc>
          <w:tcPr>
            <w:tcW w:w="839" w:type="dxa"/>
            <w:vAlign w:val="center"/>
          </w:tcPr>
          <w:p w14:paraId="3C02421F">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1225" w:type="dxa"/>
            <w:vAlign w:val="center"/>
          </w:tcPr>
          <w:p w14:paraId="6CE56B31">
            <w:pPr>
              <w:widowControl/>
              <w:jc w:val="center"/>
              <w:rPr>
                <w:rFonts w:hint="eastAsia" w:ascii="宋体" w:hAnsi="宋体" w:cs="宋体"/>
                <w:color w:val="auto"/>
                <w:kern w:val="0"/>
                <w:sz w:val="21"/>
                <w:szCs w:val="21"/>
                <w:highlight w:val="none"/>
              </w:rPr>
            </w:pPr>
          </w:p>
        </w:tc>
        <w:tc>
          <w:tcPr>
            <w:tcW w:w="1226" w:type="dxa"/>
            <w:vAlign w:val="center"/>
          </w:tcPr>
          <w:p w14:paraId="213586F4">
            <w:pPr>
              <w:widowControl/>
              <w:jc w:val="center"/>
              <w:rPr>
                <w:rFonts w:hint="eastAsia" w:ascii="宋体" w:hAnsi="宋体" w:cs="宋体"/>
                <w:color w:val="auto"/>
                <w:kern w:val="0"/>
                <w:sz w:val="21"/>
                <w:szCs w:val="21"/>
                <w:highlight w:val="none"/>
              </w:rPr>
            </w:pPr>
          </w:p>
        </w:tc>
      </w:tr>
      <w:tr w14:paraId="5959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6" w:type="dxa"/>
            <w:vAlign w:val="center"/>
          </w:tcPr>
          <w:p w14:paraId="74D18FE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16</w:t>
            </w:r>
          </w:p>
        </w:tc>
        <w:tc>
          <w:tcPr>
            <w:tcW w:w="2035" w:type="dxa"/>
            <w:vAlign w:val="center"/>
          </w:tcPr>
          <w:p w14:paraId="51A0BD62">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光纤盒</w:t>
            </w:r>
          </w:p>
        </w:tc>
        <w:tc>
          <w:tcPr>
            <w:tcW w:w="1282" w:type="dxa"/>
            <w:vAlign w:val="center"/>
          </w:tcPr>
          <w:p w14:paraId="07B9CED7">
            <w:pPr>
              <w:widowControl/>
              <w:jc w:val="center"/>
              <w:rPr>
                <w:rFonts w:hint="eastAsia" w:ascii="宋体" w:hAnsi="宋体" w:cs="宋体"/>
                <w:color w:val="auto"/>
                <w:kern w:val="0"/>
                <w:sz w:val="21"/>
                <w:szCs w:val="21"/>
                <w:highlight w:val="none"/>
              </w:rPr>
            </w:pPr>
          </w:p>
        </w:tc>
        <w:tc>
          <w:tcPr>
            <w:tcW w:w="829" w:type="dxa"/>
            <w:vAlign w:val="center"/>
          </w:tcPr>
          <w:p w14:paraId="6A6F89E7">
            <w:pPr>
              <w:widowControl/>
              <w:jc w:val="center"/>
              <w:rPr>
                <w:rFonts w:hint="eastAsia" w:ascii="宋体" w:hAnsi="宋体" w:cs="宋体"/>
                <w:color w:val="auto"/>
                <w:kern w:val="0"/>
                <w:sz w:val="21"/>
                <w:szCs w:val="21"/>
                <w:highlight w:val="none"/>
              </w:rPr>
            </w:pPr>
          </w:p>
        </w:tc>
        <w:tc>
          <w:tcPr>
            <w:tcW w:w="846" w:type="dxa"/>
            <w:vAlign w:val="center"/>
          </w:tcPr>
          <w:p w14:paraId="06690E1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236</w:t>
            </w:r>
          </w:p>
        </w:tc>
        <w:tc>
          <w:tcPr>
            <w:tcW w:w="839" w:type="dxa"/>
            <w:vAlign w:val="center"/>
          </w:tcPr>
          <w:p w14:paraId="1DF4626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1225" w:type="dxa"/>
            <w:vAlign w:val="center"/>
          </w:tcPr>
          <w:p w14:paraId="460174E0">
            <w:pPr>
              <w:widowControl/>
              <w:jc w:val="center"/>
              <w:rPr>
                <w:rFonts w:hint="eastAsia" w:ascii="宋体" w:hAnsi="宋体" w:cs="宋体"/>
                <w:color w:val="auto"/>
                <w:kern w:val="0"/>
                <w:sz w:val="21"/>
                <w:szCs w:val="21"/>
                <w:highlight w:val="none"/>
              </w:rPr>
            </w:pPr>
          </w:p>
        </w:tc>
        <w:tc>
          <w:tcPr>
            <w:tcW w:w="1226" w:type="dxa"/>
            <w:vAlign w:val="center"/>
          </w:tcPr>
          <w:p w14:paraId="3D578D8C">
            <w:pPr>
              <w:widowControl/>
              <w:jc w:val="center"/>
              <w:rPr>
                <w:rFonts w:hint="eastAsia" w:ascii="宋体" w:hAnsi="宋体" w:cs="宋体"/>
                <w:color w:val="auto"/>
                <w:kern w:val="0"/>
                <w:sz w:val="21"/>
                <w:szCs w:val="21"/>
                <w:highlight w:val="none"/>
              </w:rPr>
            </w:pPr>
          </w:p>
        </w:tc>
      </w:tr>
      <w:tr w14:paraId="494B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6C6AA771">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17</w:t>
            </w:r>
          </w:p>
        </w:tc>
        <w:tc>
          <w:tcPr>
            <w:tcW w:w="2035" w:type="dxa"/>
            <w:vAlign w:val="center"/>
          </w:tcPr>
          <w:p w14:paraId="402AD38F">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布放</w:t>
            </w:r>
            <w:r>
              <w:rPr>
                <w:rFonts w:hint="eastAsia" w:ascii="宋体" w:hAnsi="宋体" w:cs="宋体"/>
                <w:color w:val="auto"/>
                <w:kern w:val="0"/>
                <w:sz w:val="21"/>
                <w:szCs w:val="21"/>
                <w:highlight w:val="none"/>
              </w:rPr>
              <w:t>尾纤</w:t>
            </w:r>
          </w:p>
        </w:tc>
        <w:tc>
          <w:tcPr>
            <w:tcW w:w="1282" w:type="dxa"/>
            <w:vAlign w:val="center"/>
          </w:tcPr>
          <w:p w14:paraId="5D722CEA">
            <w:pPr>
              <w:widowControl/>
              <w:jc w:val="center"/>
              <w:rPr>
                <w:rFonts w:hint="eastAsia" w:ascii="宋体" w:hAnsi="宋体" w:cs="宋体"/>
                <w:color w:val="auto"/>
                <w:kern w:val="0"/>
                <w:sz w:val="21"/>
                <w:szCs w:val="21"/>
                <w:highlight w:val="none"/>
              </w:rPr>
            </w:pPr>
          </w:p>
        </w:tc>
        <w:tc>
          <w:tcPr>
            <w:tcW w:w="829" w:type="dxa"/>
            <w:vAlign w:val="center"/>
          </w:tcPr>
          <w:p w14:paraId="44F4782E">
            <w:pPr>
              <w:widowControl/>
              <w:jc w:val="center"/>
              <w:rPr>
                <w:rFonts w:hint="eastAsia" w:ascii="宋体" w:hAnsi="宋体" w:cs="宋体"/>
                <w:color w:val="auto"/>
                <w:kern w:val="0"/>
                <w:sz w:val="21"/>
                <w:szCs w:val="21"/>
                <w:highlight w:val="none"/>
              </w:rPr>
            </w:pPr>
          </w:p>
        </w:tc>
        <w:tc>
          <w:tcPr>
            <w:tcW w:w="846" w:type="dxa"/>
            <w:vAlign w:val="center"/>
          </w:tcPr>
          <w:p w14:paraId="4E9BCF52">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236</w:t>
            </w:r>
          </w:p>
        </w:tc>
        <w:tc>
          <w:tcPr>
            <w:tcW w:w="839" w:type="dxa"/>
            <w:vAlign w:val="center"/>
          </w:tcPr>
          <w:p w14:paraId="1E1D9BA3">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条</w:t>
            </w:r>
          </w:p>
        </w:tc>
        <w:tc>
          <w:tcPr>
            <w:tcW w:w="1225" w:type="dxa"/>
            <w:vAlign w:val="center"/>
          </w:tcPr>
          <w:p w14:paraId="2F9AFB8D">
            <w:pPr>
              <w:widowControl/>
              <w:jc w:val="center"/>
              <w:rPr>
                <w:rFonts w:hint="eastAsia" w:ascii="宋体" w:hAnsi="宋体" w:cs="宋体"/>
                <w:color w:val="auto"/>
                <w:kern w:val="0"/>
                <w:sz w:val="21"/>
                <w:szCs w:val="21"/>
                <w:highlight w:val="none"/>
              </w:rPr>
            </w:pPr>
          </w:p>
        </w:tc>
        <w:tc>
          <w:tcPr>
            <w:tcW w:w="1226" w:type="dxa"/>
            <w:vAlign w:val="center"/>
          </w:tcPr>
          <w:p w14:paraId="7D494FA8">
            <w:pPr>
              <w:widowControl/>
              <w:jc w:val="center"/>
              <w:rPr>
                <w:rFonts w:hint="eastAsia" w:ascii="宋体" w:hAnsi="宋体" w:cs="宋体"/>
                <w:color w:val="auto"/>
                <w:kern w:val="0"/>
                <w:sz w:val="21"/>
                <w:szCs w:val="21"/>
                <w:highlight w:val="none"/>
              </w:rPr>
            </w:pPr>
          </w:p>
        </w:tc>
      </w:tr>
      <w:tr w14:paraId="23AB7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7BAD1232">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18</w:t>
            </w:r>
          </w:p>
        </w:tc>
        <w:tc>
          <w:tcPr>
            <w:tcW w:w="2035" w:type="dxa"/>
            <w:vAlign w:val="center"/>
          </w:tcPr>
          <w:p w14:paraId="5B6E9BBF">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跳线</w:t>
            </w:r>
          </w:p>
        </w:tc>
        <w:tc>
          <w:tcPr>
            <w:tcW w:w="1282" w:type="dxa"/>
            <w:vAlign w:val="center"/>
          </w:tcPr>
          <w:p w14:paraId="2B6A39B6">
            <w:pPr>
              <w:widowControl/>
              <w:jc w:val="center"/>
              <w:rPr>
                <w:rFonts w:hint="eastAsia" w:ascii="宋体" w:hAnsi="宋体" w:cs="宋体"/>
                <w:color w:val="auto"/>
                <w:kern w:val="0"/>
                <w:sz w:val="21"/>
                <w:szCs w:val="21"/>
                <w:highlight w:val="none"/>
              </w:rPr>
            </w:pPr>
          </w:p>
        </w:tc>
        <w:tc>
          <w:tcPr>
            <w:tcW w:w="829" w:type="dxa"/>
            <w:vAlign w:val="center"/>
          </w:tcPr>
          <w:p w14:paraId="355752F7">
            <w:pPr>
              <w:widowControl/>
              <w:jc w:val="center"/>
              <w:rPr>
                <w:rFonts w:hint="eastAsia" w:ascii="宋体" w:hAnsi="宋体" w:cs="宋体"/>
                <w:color w:val="auto"/>
                <w:kern w:val="0"/>
                <w:sz w:val="21"/>
                <w:szCs w:val="21"/>
                <w:highlight w:val="none"/>
              </w:rPr>
            </w:pPr>
          </w:p>
        </w:tc>
        <w:tc>
          <w:tcPr>
            <w:tcW w:w="846" w:type="dxa"/>
            <w:vAlign w:val="center"/>
          </w:tcPr>
          <w:p w14:paraId="793C2540">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17</w:t>
            </w:r>
          </w:p>
        </w:tc>
        <w:tc>
          <w:tcPr>
            <w:tcW w:w="839" w:type="dxa"/>
            <w:vAlign w:val="center"/>
          </w:tcPr>
          <w:p w14:paraId="24194B1D">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条</w:t>
            </w:r>
          </w:p>
        </w:tc>
        <w:tc>
          <w:tcPr>
            <w:tcW w:w="1225" w:type="dxa"/>
            <w:vAlign w:val="center"/>
          </w:tcPr>
          <w:p w14:paraId="3F75F7F0">
            <w:pPr>
              <w:widowControl/>
              <w:jc w:val="center"/>
              <w:rPr>
                <w:rFonts w:hint="eastAsia" w:ascii="宋体" w:hAnsi="宋体" w:cs="宋体"/>
                <w:color w:val="auto"/>
                <w:kern w:val="0"/>
                <w:sz w:val="21"/>
                <w:szCs w:val="21"/>
                <w:highlight w:val="none"/>
              </w:rPr>
            </w:pPr>
          </w:p>
        </w:tc>
        <w:tc>
          <w:tcPr>
            <w:tcW w:w="1226" w:type="dxa"/>
            <w:vAlign w:val="center"/>
          </w:tcPr>
          <w:p w14:paraId="45DC8621">
            <w:pPr>
              <w:widowControl/>
              <w:jc w:val="center"/>
              <w:rPr>
                <w:rFonts w:hint="eastAsia" w:ascii="宋体" w:hAnsi="宋体" w:cs="宋体"/>
                <w:color w:val="auto"/>
                <w:kern w:val="0"/>
                <w:sz w:val="21"/>
                <w:szCs w:val="21"/>
                <w:highlight w:val="none"/>
              </w:rPr>
            </w:pPr>
          </w:p>
        </w:tc>
      </w:tr>
      <w:tr w14:paraId="5DEF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68" w:type="dxa"/>
            <w:gridSpan w:val="8"/>
            <w:shd w:val="clear" w:color="auto" w:fill="BEBEBE" w:themeFill="background1" w:themeFillShade="BF"/>
            <w:vAlign w:val="center"/>
          </w:tcPr>
          <w:p w14:paraId="5A622420">
            <w:pPr>
              <w:jc w:val="left"/>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（1F）、办案区出入口控制系统</w:t>
            </w:r>
          </w:p>
        </w:tc>
      </w:tr>
      <w:tr w14:paraId="49ABF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456B4B3B">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19</w:t>
            </w:r>
          </w:p>
        </w:tc>
        <w:tc>
          <w:tcPr>
            <w:tcW w:w="2035" w:type="dxa"/>
            <w:vAlign w:val="center"/>
          </w:tcPr>
          <w:p w14:paraId="1FEF9793">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出入口目标识别设备</w:t>
            </w:r>
          </w:p>
        </w:tc>
        <w:tc>
          <w:tcPr>
            <w:tcW w:w="1282" w:type="dxa"/>
            <w:vAlign w:val="center"/>
          </w:tcPr>
          <w:p w14:paraId="2C7E7663">
            <w:pPr>
              <w:widowControl/>
              <w:jc w:val="center"/>
              <w:rPr>
                <w:rFonts w:hint="eastAsia" w:ascii="宋体" w:hAnsi="宋体" w:cs="宋体"/>
                <w:color w:val="auto"/>
                <w:kern w:val="0"/>
                <w:sz w:val="21"/>
                <w:szCs w:val="21"/>
                <w:highlight w:val="none"/>
              </w:rPr>
            </w:pPr>
          </w:p>
        </w:tc>
        <w:tc>
          <w:tcPr>
            <w:tcW w:w="829" w:type="dxa"/>
            <w:vAlign w:val="center"/>
          </w:tcPr>
          <w:p w14:paraId="485DD1BF">
            <w:pPr>
              <w:widowControl/>
              <w:jc w:val="center"/>
              <w:rPr>
                <w:rFonts w:hint="eastAsia" w:ascii="宋体" w:hAnsi="宋体" w:cs="宋体"/>
                <w:color w:val="auto"/>
                <w:kern w:val="0"/>
                <w:sz w:val="21"/>
                <w:szCs w:val="21"/>
                <w:highlight w:val="none"/>
              </w:rPr>
            </w:pPr>
          </w:p>
        </w:tc>
        <w:tc>
          <w:tcPr>
            <w:tcW w:w="846" w:type="dxa"/>
            <w:vAlign w:val="center"/>
          </w:tcPr>
          <w:p w14:paraId="0BF91FA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18</w:t>
            </w:r>
          </w:p>
        </w:tc>
        <w:tc>
          <w:tcPr>
            <w:tcW w:w="839" w:type="dxa"/>
            <w:vAlign w:val="center"/>
          </w:tcPr>
          <w:p w14:paraId="0463A279">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1225" w:type="dxa"/>
            <w:vAlign w:val="center"/>
          </w:tcPr>
          <w:p w14:paraId="5D31ECDD">
            <w:pPr>
              <w:widowControl/>
              <w:jc w:val="center"/>
              <w:rPr>
                <w:rFonts w:ascii="宋体" w:hAnsi="宋体" w:cs="宋体"/>
                <w:color w:val="auto"/>
                <w:kern w:val="0"/>
                <w:sz w:val="21"/>
                <w:szCs w:val="21"/>
                <w:highlight w:val="none"/>
              </w:rPr>
            </w:pPr>
          </w:p>
        </w:tc>
        <w:tc>
          <w:tcPr>
            <w:tcW w:w="1226" w:type="dxa"/>
            <w:vAlign w:val="center"/>
          </w:tcPr>
          <w:p w14:paraId="103AB960">
            <w:pPr>
              <w:widowControl/>
              <w:jc w:val="center"/>
              <w:rPr>
                <w:rFonts w:ascii="宋体" w:hAnsi="宋体" w:cs="宋体"/>
                <w:color w:val="auto"/>
                <w:kern w:val="0"/>
                <w:sz w:val="21"/>
                <w:szCs w:val="21"/>
                <w:highlight w:val="none"/>
              </w:rPr>
            </w:pPr>
          </w:p>
        </w:tc>
      </w:tr>
      <w:tr w14:paraId="0AFA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4CA8E415">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w:t>
            </w:r>
          </w:p>
        </w:tc>
        <w:tc>
          <w:tcPr>
            <w:tcW w:w="2035" w:type="dxa"/>
            <w:vAlign w:val="center"/>
          </w:tcPr>
          <w:p w14:paraId="71FD19B9">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出入口目标识别设备</w:t>
            </w:r>
          </w:p>
        </w:tc>
        <w:tc>
          <w:tcPr>
            <w:tcW w:w="1282" w:type="dxa"/>
            <w:vAlign w:val="center"/>
          </w:tcPr>
          <w:p w14:paraId="49B305BF">
            <w:pPr>
              <w:widowControl/>
              <w:jc w:val="center"/>
              <w:rPr>
                <w:rFonts w:hint="eastAsia" w:ascii="宋体" w:hAnsi="宋体" w:cs="宋体"/>
                <w:color w:val="auto"/>
                <w:kern w:val="0"/>
                <w:sz w:val="21"/>
                <w:szCs w:val="21"/>
                <w:highlight w:val="none"/>
              </w:rPr>
            </w:pPr>
          </w:p>
        </w:tc>
        <w:tc>
          <w:tcPr>
            <w:tcW w:w="829" w:type="dxa"/>
            <w:vAlign w:val="center"/>
          </w:tcPr>
          <w:p w14:paraId="267B8F6D">
            <w:pPr>
              <w:widowControl/>
              <w:jc w:val="center"/>
              <w:rPr>
                <w:rFonts w:hint="eastAsia" w:ascii="宋体" w:hAnsi="宋体" w:cs="宋体"/>
                <w:color w:val="auto"/>
                <w:kern w:val="0"/>
                <w:sz w:val="21"/>
                <w:szCs w:val="21"/>
                <w:highlight w:val="none"/>
              </w:rPr>
            </w:pPr>
          </w:p>
        </w:tc>
        <w:tc>
          <w:tcPr>
            <w:tcW w:w="846" w:type="dxa"/>
            <w:vAlign w:val="center"/>
          </w:tcPr>
          <w:p w14:paraId="7BB89453">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839" w:type="dxa"/>
            <w:vAlign w:val="center"/>
          </w:tcPr>
          <w:p w14:paraId="7489A970">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1225" w:type="dxa"/>
            <w:vAlign w:val="center"/>
          </w:tcPr>
          <w:p w14:paraId="62D99010">
            <w:pPr>
              <w:widowControl/>
              <w:jc w:val="center"/>
              <w:rPr>
                <w:rFonts w:ascii="宋体" w:hAnsi="宋体" w:cs="宋体"/>
                <w:color w:val="auto"/>
                <w:kern w:val="0"/>
                <w:sz w:val="21"/>
                <w:szCs w:val="21"/>
                <w:highlight w:val="none"/>
              </w:rPr>
            </w:pPr>
          </w:p>
        </w:tc>
        <w:tc>
          <w:tcPr>
            <w:tcW w:w="1226" w:type="dxa"/>
            <w:vAlign w:val="center"/>
          </w:tcPr>
          <w:p w14:paraId="79D0C4DA">
            <w:pPr>
              <w:widowControl/>
              <w:jc w:val="center"/>
              <w:rPr>
                <w:rFonts w:ascii="宋体" w:hAnsi="宋体" w:cs="宋体"/>
                <w:color w:val="auto"/>
                <w:kern w:val="0"/>
                <w:sz w:val="21"/>
                <w:szCs w:val="21"/>
                <w:highlight w:val="none"/>
              </w:rPr>
            </w:pPr>
          </w:p>
        </w:tc>
      </w:tr>
      <w:tr w14:paraId="18319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605DE602">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21</w:t>
            </w:r>
          </w:p>
        </w:tc>
        <w:tc>
          <w:tcPr>
            <w:tcW w:w="2035" w:type="dxa"/>
            <w:vAlign w:val="center"/>
          </w:tcPr>
          <w:p w14:paraId="37EFB453">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出入口目标识别设备</w:t>
            </w:r>
          </w:p>
        </w:tc>
        <w:tc>
          <w:tcPr>
            <w:tcW w:w="1282" w:type="dxa"/>
            <w:vAlign w:val="center"/>
          </w:tcPr>
          <w:p w14:paraId="06D7ED4C">
            <w:pPr>
              <w:widowControl/>
              <w:jc w:val="center"/>
              <w:rPr>
                <w:rFonts w:hint="eastAsia" w:ascii="宋体" w:hAnsi="宋体" w:cs="宋体"/>
                <w:color w:val="auto"/>
                <w:kern w:val="0"/>
                <w:sz w:val="21"/>
                <w:szCs w:val="21"/>
                <w:highlight w:val="none"/>
              </w:rPr>
            </w:pPr>
          </w:p>
        </w:tc>
        <w:tc>
          <w:tcPr>
            <w:tcW w:w="829" w:type="dxa"/>
            <w:vAlign w:val="center"/>
          </w:tcPr>
          <w:p w14:paraId="529B388C">
            <w:pPr>
              <w:widowControl/>
              <w:jc w:val="center"/>
              <w:rPr>
                <w:rFonts w:hint="eastAsia" w:ascii="宋体" w:hAnsi="宋体" w:cs="宋体"/>
                <w:color w:val="auto"/>
                <w:kern w:val="0"/>
                <w:sz w:val="21"/>
                <w:szCs w:val="21"/>
                <w:highlight w:val="none"/>
              </w:rPr>
            </w:pPr>
          </w:p>
        </w:tc>
        <w:tc>
          <w:tcPr>
            <w:tcW w:w="846" w:type="dxa"/>
            <w:vAlign w:val="center"/>
          </w:tcPr>
          <w:p w14:paraId="2DD4D38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839" w:type="dxa"/>
            <w:vAlign w:val="center"/>
          </w:tcPr>
          <w:p w14:paraId="2076AE62">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1225" w:type="dxa"/>
            <w:vAlign w:val="center"/>
          </w:tcPr>
          <w:p w14:paraId="7FD98059">
            <w:pPr>
              <w:widowControl/>
              <w:jc w:val="center"/>
              <w:rPr>
                <w:rFonts w:ascii="宋体" w:hAnsi="宋体" w:cs="宋体"/>
                <w:color w:val="auto"/>
                <w:kern w:val="0"/>
                <w:sz w:val="21"/>
                <w:szCs w:val="21"/>
                <w:highlight w:val="none"/>
              </w:rPr>
            </w:pPr>
          </w:p>
        </w:tc>
        <w:tc>
          <w:tcPr>
            <w:tcW w:w="1226" w:type="dxa"/>
            <w:vAlign w:val="center"/>
          </w:tcPr>
          <w:p w14:paraId="714B3839">
            <w:pPr>
              <w:widowControl/>
              <w:jc w:val="center"/>
              <w:rPr>
                <w:rFonts w:ascii="宋体" w:hAnsi="宋体" w:cs="宋体"/>
                <w:color w:val="auto"/>
                <w:kern w:val="0"/>
                <w:sz w:val="21"/>
                <w:szCs w:val="21"/>
                <w:highlight w:val="none"/>
              </w:rPr>
            </w:pPr>
          </w:p>
        </w:tc>
      </w:tr>
      <w:tr w14:paraId="4724B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04453A93">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22</w:t>
            </w:r>
          </w:p>
        </w:tc>
        <w:tc>
          <w:tcPr>
            <w:tcW w:w="2035" w:type="dxa"/>
            <w:vAlign w:val="center"/>
          </w:tcPr>
          <w:p w14:paraId="06075308">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出入口目标识别设备</w:t>
            </w:r>
          </w:p>
        </w:tc>
        <w:tc>
          <w:tcPr>
            <w:tcW w:w="1282" w:type="dxa"/>
            <w:vAlign w:val="center"/>
          </w:tcPr>
          <w:p w14:paraId="60F622D2">
            <w:pPr>
              <w:widowControl/>
              <w:jc w:val="center"/>
              <w:rPr>
                <w:rFonts w:hint="eastAsia" w:ascii="宋体" w:hAnsi="宋体" w:cs="宋体"/>
                <w:color w:val="auto"/>
                <w:kern w:val="0"/>
                <w:sz w:val="21"/>
                <w:szCs w:val="21"/>
                <w:highlight w:val="none"/>
              </w:rPr>
            </w:pPr>
          </w:p>
        </w:tc>
        <w:tc>
          <w:tcPr>
            <w:tcW w:w="829" w:type="dxa"/>
            <w:vAlign w:val="center"/>
          </w:tcPr>
          <w:p w14:paraId="6533F59D">
            <w:pPr>
              <w:widowControl/>
              <w:jc w:val="center"/>
              <w:rPr>
                <w:rFonts w:hint="eastAsia" w:ascii="宋体" w:hAnsi="宋体" w:cs="宋体"/>
                <w:color w:val="auto"/>
                <w:kern w:val="0"/>
                <w:sz w:val="21"/>
                <w:szCs w:val="21"/>
                <w:highlight w:val="none"/>
              </w:rPr>
            </w:pPr>
          </w:p>
        </w:tc>
        <w:tc>
          <w:tcPr>
            <w:tcW w:w="846" w:type="dxa"/>
            <w:vAlign w:val="center"/>
          </w:tcPr>
          <w:p w14:paraId="16EF3136">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839" w:type="dxa"/>
            <w:vAlign w:val="center"/>
          </w:tcPr>
          <w:p w14:paraId="712124E5">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1225" w:type="dxa"/>
            <w:vAlign w:val="center"/>
          </w:tcPr>
          <w:p w14:paraId="4B8AF881">
            <w:pPr>
              <w:widowControl/>
              <w:jc w:val="center"/>
              <w:rPr>
                <w:rFonts w:ascii="宋体" w:hAnsi="宋体" w:cs="宋体"/>
                <w:color w:val="auto"/>
                <w:kern w:val="0"/>
                <w:sz w:val="21"/>
                <w:szCs w:val="21"/>
                <w:highlight w:val="none"/>
              </w:rPr>
            </w:pPr>
          </w:p>
        </w:tc>
        <w:tc>
          <w:tcPr>
            <w:tcW w:w="1226" w:type="dxa"/>
            <w:vAlign w:val="center"/>
          </w:tcPr>
          <w:p w14:paraId="0AEB5639">
            <w:pPr>
              <w:widowControl/>
              <w:jc w:val="center"/>
              <w:rPr>
                <w:rFonts w:ascii="宋体" w:hAnsi="宋体" w:cs="宋体"/>
                <w:color w:val="auto"/>
                <w:kern w:val="0"/>
                <w:sz w:val="21"/>
                <w:szCs w:val="21"/>
                <w:highlight w:val="none"/>
              </w:rPr>
            </w:pPr>
          </w:p>
        </w:tc>
      </w:tr>
      <w:tr w14:paraId="1C2CD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5BCA1666">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23</w:t>
            </w:r>
          </w:p>
        </w:tc>
        <w:tc>
          <w:tcPr>
            <w:tcW w:w="2035" w:type="dxa"/>
            <w:vAlign w:val="center"/>
          </w:tcPr>
          <w:p w14:paraId="5102F4F5">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其他电源设备安装</w:t>
            </w:r>
          </w:p>
        </w:tc>
        <w:tc>
          <w:tcPr>
            <w:tcW w:w="1282" w:type="dxa"/>
            <w:vAlign w:val="center"/>
          </w:tcPr>
          <w:p w14:paraId="1D12DB64">
            <w:pPr>
              <w:widowControl/>
              <w:jc w:val="center"/>
              <w:rPr>
                <w:rFonts w:hint="eastAsia" w:ascii="宋体" w:hAnsi="宋体" w:cs="宋体"/>
                <w:color w:val="auto"/>
                <w:kern w:val="0"/>
                <w:sz w:val="21"/>
                <w:szCs w:val="21"/>
                <w:highlight w:val="none"/>
              </w:rPr>
            </w:pPr>
          </w:p>
        </w:tc>
        <w:tc>
          <w:tcPr>
            <w:tcW w:w="829" w:type="dxa"/>
            <w:vAlign w:val="center"/>
          </w:tcPr>
          <w:p w14:paraId="4FFBCB4C">
            <w:pPr>
              <w:widowControl/>
              <w:jc w:val="center"/>
              <w:rPr>
                <w:rFonts w:hint="eastAsia" w:ascii="宋体" w:hAnsi="宋体" w:cs="宋体"/>
                <w:color w:val="auto"/>
                <w:kern w:val="0"/>
                <w:sz w:val="21"/>
                <w:szCs w:val="21"/>
                <w:highlight w:val="none"/>
              </w:rPr>
            </w:pPr>
          </w:p>
        </w:tc>
        <w:tc>
          <w:tcPr>
            <w:tcW w:w="846" w:type="dxa"/>
            <w:vAlign w:val="center"/>
          </w:tcPr>
          <w:p w14:paraId="2813B7DD">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839" w:type="dxa"/>
            <w:vAlign w:val="center"/>
          </w:tcPr>
          <w:p w14:paraId="418E865C">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1225" w:type="dxa"/>
            <w:vAlign w:val="center"/>
          </w:tcPr>
          <w:p w14:paraId="1FFE0B35">
            <w:pPr>
              <w:widowControl/>
              <w:jc w:val="center"/>
              <w:rPr>
                <w:rFonts w:ascii="宋体" w:hAnsi="宋体" w:cs="宋体"/>
                <w:color w:val="auto"/>
                <w:kern w:val="0"/>
                <w:sz w:val="21"/>
                <w:szCs w:val="21"/>
                <w:highlight w:val="none"/>
              </w:rPr>
            </w:pPr>
          </w:p>
        </w:tc>
        <w:tc>
          <w:tcPr>
            <w:tcW w:w="1226" w:type="dxa"/>
            <w:vAlign w:val="center"/>
          </w:tcPr>
          <w:p w14:paraId="3D744A31">
            <w:pPr>
              <w:widowControl/>
              <w:jc w:val="center"/>
              <w:rPr>
                <w:rFonts w:ascii="宋体" w:hAnsi="宋体" w:cs="宋体"/>
                <w:color w:val="auto"/>
                <w:kern w:val="0"/>
                <w:sz w:val="21"/>
                <w:szCs w:val="21"/>
                <w:highlight w:val="none"/>
              </w:rPr>
            </w:pPr>
          </w:p>
        </w:tc>
      </w:tr>
      <w:tr w14:paraId="1564A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6E5EB811">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24</w:t>
            </w:r>
          </w:p>
        </w:tc>
        <w:tc>
          <w:tcPr>
            <w:tcW w:w="2035" w:type="dxa"/>
            <w:vAlign w:val="center"/>
          </w:tcPr>
          <w:p w14:paraId="59BD903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机柜</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机架</w:t>
            </w:r>
          </w:p>
        </w:tc>
        <w:tc>
          <w:tcPr>
            <w:tcW w:w="1282" w:type="dxa"/>
            <w:vAlign w:val="center"/>
          </w:tcPr>
          <w:p w14:paraId="3F906FC5">
            <w:pPr>
              <w:widowControl/>
              <w:jc w:val="center"/>
              <w:rPr>
                <w:rFonts w:hint="eastAsia" w:ascii="宋体" w:hAnsi="宋体" w:cs="宋体"/>
                <w:color w:val="auto"/>
                <w:kern w:val="0"/>
                <w:sz w:val="21"/>
                <w:szCs w:val="21"/>
                <w:highlight w:val="none"/>
              </w:rPr>
            </w:pPr>
          </w:p>
        </w:tc>
        <w:tc>
          <w:tcPr>
            <w:tcW w:w="829" w:type="dxa"/>
            <w:vAlign w:val="center"/>
          </w:tcPr>
          <w:p w14:paraId="671A16F2">
            <w:pPr>
              <w:widowControl/>
              <w:jc w:val="center"/>
              <w:rPr>
                <w:rFonts w:hint="eastAsia" w:ascii="宋体" w:hAnsi="宋体" w:cs="宋体"/>
                <w:color w:val="auto"/>
                <w:kern w:val="0"/>
                <w:sz w:val="21"/>
                <w:szCs w:val="21"/>
                <w:highlight w:val="none"/>
              </w:rPr>
            </w:pPr>
          </w:p>
        </w:tc>
        <w:tc>
          <w:tcPr>
            <w:tcW w:w="846" w:type="dxa"/>
            <w:vAlign w:val="center"/>
          </w:tcPr>
          <w:p w14:paraId="5E1CE20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839" w:type="dxa"/>
            <w:vAlign w:val="center"/>
          </w:tcPr>
          <w:p w14:paraId="2E844EAC">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1225" w:type="dxa"/>
            <w:vAlign w:val="center"/>
          </w:tcPr>
          <w:p w14:paraId="67A766B2">
            <w:pPr>
              <w:widowControl/>
              <w:jc w:val="center"/>
              <w:rPr>
                <w:rFonts w:ascii="宋体" w:hAnsi="宋体" w:cs="宋体"/>
                <w:color w:val="auto"/>
                <w:kern w:val="0"/>
                <w:sz w:val="21"/>
                <w:szCs w:val="21"/>
                <w:highlight w:val="none"/>
              </w:rPr>
            </w:pPr>
          </w:p>
        </w:tc>
        <w:tc>
          <w:tcPr>
            <w:tcW w:w="1226" w:type="dxa"/>
            <w:vAlign w:val="center"/>
          </w:tcPr>
          <w:p w14:paraId="09B038DE">
            <w:pPr>
              <w:widowControl/>
              <w:jc w:val="center"/>
              <w:rPr>
                <w:rFonts w:ascii="宋体" w:hAnsi="宋体" w:cs="宋体"/>
                <w:color w:val="auto"/>
                <w:kern w:val="0"/>
                <w:sz w:val="21"/>
                <w:szCs w:val="21"/>
                <w:highlight w:val="none"/>
              </w:rPr>
            </w:pPr>
          </w:p>
        </w:tc>
      </w:tr>
      <w:tr w14:paraId="360D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78B8CC9D">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25</w:t>
            </w:r>
          </w:p>
        </w:tc>
        <w:tc>
          <w:tcPr>
            <w:tcW w:w="2035" w:type="dxa"/>
            <w:vAlign w:val="center"/>
          </w:tcPr>
          <w:p w14:paraId="4642D66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交换机</w:t>
            </w:r>
          </w:p>
        </w:tc>
        <w:tc>
          <w:tcPr>
            <w:tcW w:w="1282" w:type="dxa"/>
            <w:vAlign w:val="center"/>
          </w:tcPr>
          <w:p w14:paraId="023A34F7">
            <w:pPr>
              <w:widowControl/>
              <w:jc w:val="center"/>
              <w:rPr>
                <w:rFonts w:hint="eastAsia" w:ascii="宋体" w:hAnsi="宋体" w:cs="宋体"/>
                <w:color w:val="auto"/>
                <w:kern w:val="0"/>
                <w:sz w:val="21"/>
                <w:szCs w:val="21"/>
                <w:highlight w:val="none"/>
              </w:rPr>
            </w:pPr>
          </w:p>
        </w:tc>
        <w:tc>
          <w:tcPr>
            <w:tcW w:w="829" w:type="dxa"/>
            <w:vAlign w:val="center"/>
          </w:tcPr>
          <w:p w14:paraId="0C3613E5">
            <w:pPr>
              <w:widowControl/>
              <w:jc w:val="center"/>
              <w:rPr>
                <w:rFonts w:hint="eastAsia" w:ascii="宋体" w:hAnsi="宋体" w:cs="宋体"/>
                <w:color w:val="auto"/>
                <w:kern w:val="0"/>
                <w:sz w:val="21"/>
                <w:szCs w:val="21"/>
                <w:highlight w:val="none"/>
              </w:rPr>
            </w:pPr>
          </w:p>
        </w:tc>
        <w:tc>
          <w:tcPr>
            <w:tcW w:w="846" w:type="dxa"/>
            <w:vAlign w:val="center"/>
          </w:tcPr>
          <w:p w14:paraId="77F2DEC8">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839" w:type="dxa"/>
            <w:vAlign w:val="center"/>
          </w:tcPr>
          <w:p w14:paraId="04D792E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1225" w:type="dxa"/>
            <w:vAlign w:val="center"/>
          </w:tcPr>
          <w:p w14:paraId="5B392D9F">
            <w:pPr>
              <w:widowControl/>
              <w:jc w:val="center"/>
              <w:rPr>
                <w:rFonts w:ascii="宋体" w:hAnsi="宋体" w:cs="宋体"/>
                <w:color w:val="auto"/>
                <w:kern w:val="0"/>
                <w:sz w:val="21"/>
                <w:szCs w:val="21"/>
                <w:highlight w:val="none"/>
              </w:rPr>
            </w:pPr>
          </w:p>
        </w:tc>
        <w:tc>
          <w:tcPr>
            <w:tcW w:w="1226" w:type="dxa"/>
            <w:vAlign w:val="center"/>
          </w:tcPr>
          <w:p w14:paraId="29281589">
            <w:pPr>
              <w:widowControl/>
              <w:jc w:val="center"/>
              <w:rPr>
                <w:rFonts w:ascii="宋体" w:hAnsi="宋体" w:cs="宋体"/>
                <w:color w:val="auto"/>
                <w:kern w:val="0"/>
                <w:sz w:val="21"/>
                <w:szCs w:val="21"/>
                <w:highlight w:val="none"/>
              </w:rPr>
            </w:pPr>
          </w:p>
        </w:tc>
      </w:tr>
      <w:tr w14:paraId="71940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9068" w:type="dxa"/>
            <w:gridSpan w:val="8"/>
            <w:shd w:val="clear" w:color="auto" w:fill="BEBEBE" w:themeFill="background1" w:themeFillShade="BF"/>
            <w:vAlign w:val="center"/>
          </w:tcPr>
          <w:p w14:paraId="782812E6">
            <w:pPr>
              <w:jc w:val="left"/>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（1F）、办案区综合布线系统</w:t>
            </w:r>
          </w:p>
        </w:tc>
      </w:tr>
      <w:tr w14:paraId="5FA17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168491B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26</w:t>
            </w:r>
          </w:p>
        </w:tc>
        <w:tc>
          <w:tcPr>
            <w:tcW w:w="2035" w:type="dxa"/>
            <w:vAlign w:val="center"/>
          </w:tcPr>
          <w:p w14:paraId="3AE2594D">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配电箱</w:t>
            </w:r>
          </w:p>
        </w:tc>
        <w:tc>
          <w:tcPr>
            <w:tcW w:w="1282" w:type="dxa"/>
            <w:vAlign w:val="center"/>
          </w:tcPr>
          <w:p w14:paraId="6DFB2683">
            <w:pPr>
              <w:widowControl/>
              <w:jc w:val="center"/>
              <w:rPr>
                <w:rFonts w:hint="eastAsia" w:ascii="宋体" w:hAnsi="宋体" w:cs="宋体"/>
                <w:color w:val="auto"/>
                <w:kern w:val="0"/>
                <w:sz w:val="21"/>
                <w:szCs w:val="21"/>
                <w:highlight w:val="none"/>
              </w:rPr>
            </w:pPr>
          </w:p>
        </w:tc>
        <w:tc>
          <w:tcPr>
            <w:tcW w:w="829" w:type="dxa"/>
            <w:vAlign w:val="center"/>
          </w:tcPr>
          <w:p w14:paraId="6B892423">
            <w:pPr>
              <w:widowControl/>
              <w:jc w:val="center"/>
              <w:rPr>
                <w:rFonts w:hint="eastAsia" w:ascii="宋体" w:hAnsi="宋体" w:cs="宋体"/>
                <w:color w:val="auto"/>
                <w:kern w:val="0"/>
                <w:sz w:val="21"/>
                <w:szCs w:val="21"/>
                <w:highlight w:val="none"/>
              </w:rPr>
            </w:pPr>
          </w:p>
        </w:tc>
        <w:tc>
          <w:tcPr>
            <w:tcW w:w="846" w:type="dxa"/>
            <w:vAlign w:val="center"/>
          </w:tcPr>
          <w:p w14:paraId="2DF57253">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839" w:type="dxa"/>
            <w:vAlign w:val="center"/>
          </w:tcPr>
          <w:p w14:paraId="720B6C38">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1225" w:type="dxa"/>
            <w:vAlign w:val="center"/>
          </w:tcPr>
          <w:p w14:paraId="40102D38">
            <w:pPr>
              <w:widowControl/>
              <w:jc w:val="center"/>
              <w:rPr>
                <w:rFonts w:ascii="宋体" w:hAnsi="宋体" w:cs="宋体"/>
                <w:color w:val="auto"/>
                <w:kern w:val="0"/>
                <w:sz w:val="21"/>
                <w:szCs w:val="21"/>
                <w:highlight w:val="none"/>
              </w:rPr>
            </w:pPr>
          </w:p>
        </w:tc>
        <w:tc>
          <w:tcPr>
            <w:tcW w:w="1226" w:type="dxa"/>
            <w:vAlign w:val="center"/>
          </w:tcPr>
          <w:p w14:paraId="16307A3D">
            <w:pPr>
              <w:widowControl/>
              <w:jc w:val="center"/>
              <w:rPr>
                <w:rFonts w:ascii="宋体" w:hAnsi="宋体" w:cs="宋体"/>
                <w:color w:val="auto"/>
                <w:kern w:val="0"/>
                <w:sz w:val="21"/>
                <w:szCs w:val="21"/>
                <w:highlight w:val="none"/>
              </w:rPr>
            </w:pPr>
          </w:p>
        </w:tc>
      </w:tr>
      <w:tr w14:paraId="530A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7036BAEC">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27</w:t>
            </w:r>
          </w:p>
        </w:tc>
        <w:tc>
          <w:tcPr>
            <w:tcW w:w="2035" w:type="dxa"/>
            <w:vAlign w:val="center"/>
          </w:tcPr>
          <w:p w14:paraId="63C21783">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配线架</w:t>
            </w:r>
          </w:p>
        </w:tc>
        <w:tc>
          <w:tcPr>
            <w:tcW w:w="1282" w:type="dxa"/>
            <w:vAlign w:val="center"/>
          </w:tcPr>
          <w:p w14:paraId="3804A15A">
            <w:pPr>
              <w:widowControl/>
              <w:jc w:val="center"/>
              <w:rPr>
                <w:rFonts w:hint="eastAsia" w:ascii="宋体" w:hAnsi="宋体" w:cs="宋体"/>
                <w:color w:val="auto"/>
                <w:kern w:val="0"/>
                <w:sz w:val="21"/>
                <w:szCs w:val="21"/>
                <w:highlight w:val="none"/>
              </w:rPr>
            </w:pPr>
          </w:p>
        </w:tc>
        <w:tc>
          <w:tcPr>
            <w:tcW w:w="829" w:type="dxa"/>
            <w:vAlign w:val="center"/>
          </w:tcPr>
          <w:p w14:paraId="02662E03">
            <w:pPr>
              <w:widowControl/>
              <w:jc w:val="center"/>
              <w:rPr>
                <w:rFonts w:hint="eastAsia" w:ascii="宋体" w:hAnsi="宋体" w:cs="宋体"/>
                <w:color w:val="auto"/>
                <w:kern w:val="0"/>
                <w:sz w:val="21"/>
                <w:szCs w:val="21"/>
                <w:highlight w:val="none"/>
              </w:rPr>
            </w:pPr>
          </w:p>
        </w:tc>
        <w:tc>
          <w:tcPr>
            <w:tcW w:w="846" w:type="dxa"/>
            <w:vAlign w:val="center"/>
          </w:tcPr>
          <w:p w14:paraId="05745443">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839" w:type="dxa"/>
            <w:vAlign w:val="center"/>
          </w:tcPr>
          <w:p w14:paraId="1689E5B1">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1225" w:type="dxa"/>
            <w:vAlign w:val="center"/>
          </w:tcPr>
          <w:p w14:paraId="40150583">
            <w:pPr>
              <w:widowControl/>
              <w:jc w:val="center"/>
              <w:rPr>
                <w:rFonts w:ascii="宋体" w:hAnsi="宋体" w:cs="宋体"/>
                <w:color w:val="auto"/>
                <w:kern w:val="0"/>
                <w:sz w:val="21"/>
                <w:szCs w:val="21"/>
                <w:highlight w:val="none"/>
              </w:rPr>
            </w:pPr>
          </w:p>
        </w:tc>
        <w:tc>
          <w:tcPr>
            <w:tcW w:w="1226" w:type="dxa"/>
            <w:vAlign w:val="center"/>
          </w:tcPr>
          <w:p w14:paraId="1353611D">
            <w:pPr>
              <w:widowControl/>
              <w:jc w:val="center"/>
              <w:rPr>
                <w:rFonts w:ascii="宋体" w:hAnsi="宋体" w:cs="宋体"/>
                <w:color w:val="auto"/>
                <w:kern w:val="0"/>
                <w:sz w:val="21"/>
                <w:szCs w:val="21"/>
                <w:highlight w:val="none"/>
              </w:rPr>
            </w:pPr>
          </w:p>
        </w:tc>
      </w:tr>
      <w:tr w14:paraId="72E5F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51286090">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28</w:t>
            </w:r>
          </w:p>
        </w:tc>
        <w:tc>
          <w:tcPr>
            <w:tcW w:w="2035" w:type="dxa"/>
            <w:vAlign w:val="center"/>
          </w:tcPr>
          <w:p w14:paraId="797FED63">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交换机</w:t>
            </w:r>
          </w:p>
        </w:tc>
        <w:tc>
          <w:tcPr>
            <w:tcW w:w="1282" w:type="dxa"/>
            <w:vAlign w:val="center"/>
          </w:tcPr>
          <w:p w14:paraId="75B7A612">
            <w:pPr>
              <w:widowControl/>
              <w:jc w:val="center"/>
              <w:rPr>
                <w:rFonts w:hint="eastAsia" w:ascii="宋体" w:hAnsi="宋体" w:cs="宋体"/>
                <w:color w:val="auto"/>
                <w:kern w:val="0"/>
                <w:sz w:val="21"/>
                <w:szCs w:val="21"/>
                <w:highlight w:val="none"/>
              </w:rPr>
            </w:pPr>
          </w:p>
        </w:tc>
        <w:tc>
          <w:tcPr>
            <w:tcW w:w="829" w:type="dxa"/>
            <w:vAlign w:val="center"/>
          </w:tcPr>
          <w:p w14:paraId="55EAF16C">
            <w:pPr>
              <w:widowControl/>
              <w:jc w:val="center"/>
              <w:rPr>
                <w:rFonts w:hint="eastAsia" w:ascii="宋体" w:hAnsi="宋体" w:cs="宋体"/>
                <w:color w:val="auto"/>
                <w:kern w:val="0"/>
                <w:sz w:val="21"/>
                <w:szCs w:val="21"/>
                <w:highlight w:val="none"/>
              </w:rPr>
            </w:pPr>
          </w:p>
        </w:tc>
        <w:tc>
          <w:tcPr>
            <w:tcW w:w="846" w:type="dxa"/>
            <w:vAlign w:val="center"/>
          </w:tcPr>
          <w:p w14:paraId="5A8AEC0F">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839" w:type="dxa"/>
            <w:vAlign w:val="center"/>
          </w:tcPr>
          <w:p w14:paraId="29DFC148">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1225" w:type="dxa"/>
            <w:vAlign w:val="center"/>
          </w:tcPr>
          <w:p w14:paraId="3A42F82D">
            <w:pPr>
              <w:widowControl/>
              <w:jc w:val="center"/>
              <w:rPr>
                <w:rFonts w:ascii="宋体" w:hAnsi="宋体" w:cs="宋体"/>
                <w:color w:val="auto"/>
                <w:kern w:val="0"/>
                <w:sz w:val="21"/>
                <w:szCs w:val="21"/>
                <w:highlight w:val="none"/>
              </w:rPr>
            </w:pPr>
          </w:p>
        </w:tc>
        <w:tc>
          <w:tcPr>
            <w:tcW w:w="1226" w:type="dxa"/>
            <w:vAlign w:val="center"/>
          </w:tcPr>
          <w:p w14:paraId="4BCA12BF">
            <w:pPr>
              <w:widowControl/>
              <w:jc w:val="center"/>
              <w:rPr>
                <w:rFonts w:ascii="宋体" w:hAnsi="宋体" w:cs="宋体"/>
                <w:color w:val="auto"/>
                <w:kern w:val="0"/>
                <w:sz w:val="21"/>
                <w:szCs w:val="21"/>
                <w:highlight w:val="none"/>
              </w:rPr>
            </w:pPr>
          </w:p>
        </w:tc>
      </w:tr>
      <w:tr w14:paraId="24CD2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16F9F8B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29</w:t>
            </w:r>
          </w:p>
        </w:tc>
        <w:tc>
          <w:tcPr>
            <w:tcW w:w="2035" w:type="dxa"/>
            <w:vAlign w:val="center"/>
          </w:tcPr>
          <w:p w14:paraId="7098BED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配线架</w:t>
            </w:r>
          </w:p>
        </w:tc>
        <w:tc>
          <w:tcPr>
            <w:tcW w:w="1282" w:type="dxa"/>
            <w:vAlign w:val="center"/>
          </w:tcPr>
          <w:p w14:paraId="37CAC6F5">
            <w:pPr>
              <w:widowControl/>
              <w:jc w:val="center"/>
              <w:rPr>
                <w:rFonts w:hint="eastAsia" w:ascii="宋体" w:hAnsi="宋体" w:cs="宋体"/>
                <w:color w:val="auto"/>
                <w:kern w:val="0"/>
                <w:sz w:val="21"/>
                <w:szCs w:val="21"/>
                <w:highlight w:val="none"/>
              </w:rPr>
            </w:pPr>
          </w:p>
        </w:tc>
        <w:tc>
          <w:tcPr>
            <w:tcW w:w="829" w:type="dxa"/>
            <w:vAlign w:val="center"/>
          </w:tcPr>
          <w:p w14:paraId="71403476">
            <w:pPr>
              <w:widowControl/>
              <w:jc w:val="center"/>
              <w:rPr>
                <w:rFonts w:hint="eastAsia" w:ascii="宋体" w:hAnsi="宋体" w:cs="宋体"/>
                <w:color w:val="auto"/>
                <w:kern w:val="0"/>
                <w:sz w:val="21"/>
                <w:szCs w:val="21"/>
                <w:highlight w:val="none"/>
              </w:rPr>
            </w:pPr>
          </w:p>
        </w:tc>
        <w:tc>
          <w:tcPr>
            <w:tcW w:w="846" w:type="dxa"/>
            <w:vAlign w:val="center"/>
          </w:tcPr>
          <w:p w14:paraId="3EA7410B">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839" w:type="dxa"/>
            <w:vAlign w:val="center"/>
          </w:tcPr>
          <w:p w14:paraId="4DF3F95C">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1225" w:type="dxa"/>
            <w:vAlign w:val="center"/>
          </w:tcPr>
          <w:p w14:paraId="5DCFAD99">
            <w:pPr>
              <w:widowControl/>
              <w:jc w:val="center"/>
              <w:rPr>
                <w:rFonts w:ascii="宋体" w:hAnsi="宋体" w:cs="宋体"/>
                <w:color w:val="auto"/>
                <w:kern w:val="0"/>
                <w:sz w:val="21"/>
                <w:szCs w:val="21"/>
                <w:highlight w:val="none"/>
              </w:rPr>
            </w:pPr>
          </w:p>
        </w:tc>
        <w:tc>
          <w:tcPr>
            <w:tcW w:w="1226" w:type="dxa"/>
            <w:vAlign w:val="center"/>
          </w:tcPr>
          <w:p w14:paraId="3409AA37">
            <w:pPr>
              <w:widowControl/>
              <w:jc w:val="center"/>
              <w:rPr>
                <w:rFonts w:ascii="宋体" w:hAnsi="宋体" w:cs="宋体"/>
                <w:color w:val="auto"/>
                <w:kern w:val="0"/>
                <w:sz w:val="21"/>
                <w:szCs w:val="21"/>
                <w:highlight w:val="none"/>
              </w:rPr>
            </w:pPr>
          </w:p>
        </w:tc>
      </w:tr>
      <w:tr w14:paraId="01AB1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064F21EB">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w:t>
            </w:r>
          </w:p>
        </w:tc>
        <w:tc>
          <w:tcPr>
            <w:tcW w:w="2035" w:type="dxa"/>
            <w:vAlign w:val="center"/>
          </w:tcPr>
          <w:p w14:paraId="475EFCC2">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配线架</w:t>
            </w:r>
          </w:p>
        </w:tc>
        <w:tc>
          <w:tcPr>
            <w:tcW w:w="1282" w:type="dxa"/>
            <w:vAlign w:val="center"/>
          </w:tcPr>
          <w:p w14:paraId="23C4258C">
            <w:pPr>
              <w:widowControl/>
              <w:jc w:val="center"/>
              <w:rPr>
                <w:rFonts w:hint="eastAsia" w:ascii="宋体" w:hAnsi="宋体" w:cs="宋体"/>
                <w:color w:val="auto"/>
                <w:kern w:val="0"/>
                <w:sz w:val="21"/>
                <w:szCs w:val="21"/>
                <w:highlight w:val="none"/>
              </w:rPr>
            </w:pPr>
          </w:p>
        </w:tc>
        <w:tc>
          <w:tcPr>
            <w:tcW w:w="829" w:type="dxa"/>
            <w:vAlign w:val="center"/>
          </w:tcPr>
          <w:p w14:paraId="2CE1B75C">
            <w:pPr>
              <w:widowControl/>
              <w:jc w:val="center"/>
              <w:rPr>
                <w:rFonts w:hint="eastAsia" w:ascii="宋体" w:hAnsi="宋体" w:cs="宋体"/>
                <w:color w:val="auto"/>
                <w:kern w:val="0"/>
                <w:sz w:val="21"/>
                <w:szCs w:val="21"/>
                <w:highlight w:val="none"/>
              </w:rPr>
            </w:pPr>
          </w:p>
        </w:tc>
        <w:tc>
          <w:tcPr>
            <w:tcW w:w="846" w:type="dxa"/>
            <w:vAlign w:val="center"/>
          </w:tcPr>
          <w:p w14:paraId="5BFE121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24</w:t>
            </w:r>
          </w:p>
        </w:tc>
        <w:tc>
          <w:tcPr>
            <w:tcW w:w="839" w:type="dxa"/>
            <w:vAlign w:val="center"/>
          </w:tcPr>
          <w:p w14:paraId="0CDE18AB">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1225" w:type="dxa"/>
            <w:vAlign w:val="center"/>
          </w:tcPr>
          <w:p w14:paraId="5C83D3F6">
            <w:pPr>
              <w:widowControl/>
              <w:jc w:val="center"/>
              <w:rPr>
                <w:rFonts w:ascii="宋体" w:hAnsi="宋体" w:cs="宋体"/>
                <w:color w:val="auto"/>
                <w:kern w:val="0"/>
                <w:sz w:val="21"/>
                <w:szCs w:val="21"/>
                <w:highlight w:val="none"/>
              </w:rPr>
            </w:pPr>
          </w:p>
        </w:tc>
        <w:tc>
          <w:tcPr>
            <w:tcW w:w="1226" w:type="dxa"/>
            <w:vAlign w:val="center"/>
          </w:tcPr>
          <w:p w14:paraId="0F2D6363">
            <w:pPr>
              <w:widowControl/>
              <w:jc w:val="center"/>
              <w:rPr>
                <w:rFonts w:ascii="宋体" w:hAnsi="宋体" w:cs="宋体"/>
                <w:color w:val="auto"/>
                <w:kern w:val="0"/>
                <w:sz w:val="21"/>
                <w:szCs w:val="21"/>
                <w:highlight w:val="none"/>
              </w:rPr>
            </w:pPr>
          </w:p>
        </w:tc>
      </w:tr>
      <w:tr w14:paraId="2BAF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78F366F8">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31</w:t>
            </w:r>
          </w:p>
        </w:tc>
        <w:tc>
          <w:tcPr>
            <w:tcW w:w="2035" w:type="dxa"/>
            <w:vAlign w:val="center"/>
          </w:tcPr>
          <w:p w14:paraId="0B35DB05">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信息插座</w:t>
            </w:r>
          </w:p>
        </w:tc>
        <w:tc>
          <w:tcPr>
            <w:tcW w:w="1282" w:type="dxa"/>
            <w:vAlign w:val="center"/>
          </w:tcPr>
          <w:p w14:paraId="2A83D694">
            <w:pPr>
              <w:widowControl/>
              <w:jc w:val="center"/>
              <w:rPr>
                <w:rFonts w:hint="eastAsia" w:ascii="宋体" w:hAnsi="宋体" w:cs="宋体"/>
                <w:color w:val="auto"/>
                <w:kern w:val="0"/>
                <w:sz w:val="21"/>
                <w:szCs w:val="21"/>
                <w:highlight w:val="none"/>
              </w:rPr>
            </w:pPr>
          </w:p>
        </w:tc>
        <w:tc>
          <w:tcPr>
            <w:tcW w:w="829" w:type="dxa"/>
            <w:vAlign w:val="center"/>
          </w:tcPr>
          <w:p w14:paraId="47A0B69D">
            <w:pPr>
              <w:widowControl/>
              <w:jc w:val="center"/>
              <w:rPr>
                <w:rFonts w:hint="eastAsia" w:ascii="宋体" w:hAnsi="宋体" w:cs="宋体"/>
                <w:color w:val="auto"/>
                <w:kern w:val="0"/>
                <w:sz w:val="21"/>
                <w:szCs w:val="21"/>
                <w:highlight w:val="none"/>
              </w:rPr>
            </w:pPr>
          </w:p>
        </w:tc>
        <w:tc>
          <w:tcPr>
            <w:tcW w:w="846" w:type="dxa"/>
            <w:vAlign w:val="center"/>
          </w:tcPr>
          <w:p w14:paraId="35F6EE7C">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839" w:type="dxa"/>
            <w:vAlign w:val="center"/>
          </w:tcPr>
          <w:p w14:paraId="09F4F19F">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1225" w:type="dxa"/>
            <w:vAlign w:val="center"/>
          </w:tcPr>
          <w:p w14:paraId="2152908B">
            <w:pPr>
              <w:widowControl/>
              <w:jc w:val="center"/>
              <w:rPr>
                <w:rFonts w:ascii="宋体" w:hAnsi="宋体" w:cs="宋体"/>
                <w:color w:val="auto"/>
                <w:kern w:val="0"/>
                <w:sz w:val="21"/>
                <w:szCs w:val="21"/>
                <w:highlight w:val="none"/>
              </w:rPr>
            </w:pPr>
          </w:p>
        </w:tc>
        <w:tc>
          <w:tcPr>
            <w:tcW w:w="1226" w:type="dxa"/>
            <w:vAlign w:val="center"/>
          </w:tcPr>
          <w:p w14:paraId="5472F755">
            <w:pPr>
              <w:widowControl/>
              <w:jc w:val="center"/>
              <w:rPr>
                <w:rFonts w:ascii="宋体" w:hAnsi="宋体" w:cs="宋体"/>
                <w:color w:val="auto"/>
                <w:kern w:val="0"/>
                <w:sz w:val="21"/>
                <w:szCs w:val="21"/>
                <w:highlight w:val="none"/>
              </w:rPr>
            </w:pPr>
          </w:p>
        </w:tc>
      </w:tr>
      <w:tr w14:paraId="1F2E4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0CAEF769">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32</w:t>
            </w:r>
          </w:p>
        </w:tc>
        <w:tc>
          <w:tcPr>
            <w:tcW w:w="2035" w:type="dxa"/>
            <w:vAlign w:val="center"/>
          </w:tcPr>
          <w:p w14:paraId="1CF8E6F0">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信息插座</w:t>
            </w:r>
          </w:p>
        </w:tc>
        <w:tc>
          <w:tcPr>
            <w:tcW w:w="1282" w:type="dxa"/>
            <w:vAlign w:val="center"/>
          </w:tcPr>
          <w:p w14:paraId="78787311">
            <w:pPr>
              <w:widowControl/>
              <w:jc w:val="center"/>
              <w:rPr>
                <w:rFonts w:hint="eastAsia" w:ascii="宋体" w:hAnsi="宋体" w:cs="宋体"/>
                <w:color w:val="auto"/>
                <w:kern w:val="0"/>
                <w:sz w:val="21"/>
                <w:szCs w:val="21"/>
                <w:highlight w:val="none"/>
              </w:rPr>
            </w:pPr>
          </w:p>
        </w:tc>
        <w:tc>
          <w:tcPr>
            <w:tcW w:w="829" w:type="dxa"/>
            <w:vAlign w:val="center"/>
          </w:tcPr>
          <w:p w14:paraId="13A4C9EB">
            <w:pPr>
              <w:widowControl/>
              <w:jc w:val="center"/>
              <w:rPr>
                <w:rFonts w:hint="eastAsia" w:ascii="宋体" w:hAnsi="宋体" w:cs="宋体"/>
                <w:color w:val="auto"/>
                <w:kern w:val="0"/>
                <w:sz w:val="21"/>
                <w:szCs w:val="21"/>
                <w:highlight w:val="none"/>
              </w:rPr>
            </w:pPr>
          </w:p>
        </w:tc>
        <w:tc>
          <w:tcPr>
            <w:tcW w:w="846" w:type="dxa"/>
            <w:vAlign w:val="center"/>
          </w:tcPr>
          <w:p w14:paraId="77C455B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839" w:type="dxa"/>
            <w:vAlign w:val="center"/>
          </w:tcPr>
          <w:p w14:paraId="2AC2189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1225" w:type="dxa"/>
            <w:vAlign w:val="center"/>
          </w:tcPr>
          <w:p w14:paraId="4FC70E94">
            <w:pPr>
              <w:widowControl/>
              <w:jc w:val="center"/>
              <w:rPr>
                <w:rFonts w:ascii="宋体" w:hAnsi="宋体" w:cs="宋体"/>
                <w:color w:val="auto"/>
                <w:kern w:val="0"/>
                <w:sz w:val="21"/>
                <w:szCs w:val="21"/>
                <w:highlight w:val="none"/>
              </w:rPr>
            </w:pPr>
          </w:p>
        </w:tc>
        <w:tc>
          <w:tcPr>
            <w:tcW w:w="1226" w:type="dxa"/>
            <w:vAlign w:val="center"/>
          </w:tcPr>
          <w:p w14:paraId="0E887536">
            <w:pPr>
              <w:widowControl/>
              <w:jc w:val="center"/>
              <w:rPr>
                <w:rFonts w:ascii="宋体" w:hAnsi="宋体" w:cs="宋体"/>
                <w:color w:val="auto"/>
                <w:kern w:val="0"/>
                <w:sz w:val="21"/>
                <w:szCs w:val="21"/>
                <w:highlight w:val="none"/>
              </w:rPr>
            </w:pPr>
          </w:p>
        </w:tc>
      </w:tr>
      <w:tr w14:paraId="1266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55E9441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33</w:t>
            </w:r>
          </w:p>
        </w:tc>
        <w:tc>
          <w:tcPr>
            <w:tcW w:w="2035" w:type="dxa"/>
            <w:vAlign w:val="center"/>
          </w:tcPr>
          <w:p w14:paraId="1D23D8EB">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信息插座</w:t>
            </w:r>
          </w:p>
        </w:tc>
        <w:tc>
          <w:tcPr>
            <w:tcW w:w="1282" w:type="dxa"/>
            <w:vAlign w:val="center"/>
          </w:tcPr>
          <w:p w14:paraId="20DC2084">
            <w:pPr>
              <w:widowControl/>
              <w:jc w:val="center"/>
              <w:rPr>
                <w:rFonts w:hint="eastAsia" w:ascii="宋体" w:hAnsi="宋体" w:cs="宋体"/>
                <w:color w:val="auto"/>
                <w:kern w:val="0"/>
                <w:sz w:val="21"/>
                <w:szCs w:val="21"/>
                <w:highlight w:val="none"/>
              </w:rPr>
            </w:pPr>
          </w:p>
        </w:tc>
        <w:tc>
          <w:tcPr>
            <w:tcW w:w="829" w:type="dxa"/>
            <w:vAlign w:val="center"/>
          </w:tcPr>
          <w:p w14:paraId="2791FD5D">
            <w:pPr>
              <w:widowControl/>
              <w:jc w:val="center"/>
              <w:rPr>
                <w:rFonts w:hint="eastAsia" w:ascii="宋体" w:hAnsi="宋体" w:cs="宋体"/>
                <w:color w:val="auto"/>
                <w:kern w:val="0"/>
                <w:sz w:val="21"/>
                <w:szCs w:val="21"/>
                <w:highlight w:val="none"/>
              </w:rPr>
            </w:pPr>
          </w:p>
        </w:tc>
        <w:tc>
          <w:tcPr>
            <w:tcW w:w="846" w:type="dxa"/>
            <w:vAlign w:val="center"/>
          </w:tcPr>
          <w:p w14:paraId="1D93BAEB">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w:t>
            </w:r>
          </w:p>
        </w:tc>
        <w:tc>
          <w:tcPr>
            <w:tcW w:w="839" w:type="dxa"/>
            <w:vAlign w:val="center"/>
          </w:tcPr>
          <w:p w14:paraId="2EFEB8AB">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1225" w:type="dxa"/>
            <w:vAlign w:val="center"/>
          </w:tcPr>
          <w:p w14:paraId="46660165">
            <w:pPr>
              <w:widowControl/>
              <w:jc w:val="center"/>
              <w:rPr>
                <w:rFonts w:ascii="宋体" w:hAnsi="宋体" w:cs="宋体"/>
                <w:color w:val="auto"/>
                <w:kern w:val="0"/>
                <w:sz w:val="21"/>
                <w:szCs w:val="21"/>
                <w:highlight w:val="none"/>
              </w:rPr>
            </w:pPr>
          </w:p>
        </w:tc>
        <w:tc>
          <w:tcPr>
            <w:tcW w:w="1226" w:type="dxa"/>
            <w:vAlign w:val="center"/>
          </w:tcPr>
          <w:p w14:paraId="4AF14B2B">
            <w:pPr>
              <w:widowControl/>
              <w:jc w:val="center"/>
              <w:rPr>
                <w:rFonts w:ascii="宋体" w:hAnsi="宋体" w:cs="宋体"/>
                <w:color w:val="auto"/>
                <w:kern w:val="0"/>
                <w:sz w:val="21"/>
                <w:szCs w:val="21"/>
                <w:highlight w:val="none"/>
              </w:rPr>
            </w:pPr>
          </w:p>
        </w:tc>
      </w:tr>
      <w:tr w14:paraId="1AA6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7CA8ED61">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34</w:t>
            </w:r>
          </w:p>
        </w:tc>
        <w:tc>
          <w:tcPr>
            <w:tcW w:w="2035" w:type="dxa"/>
            <w:vAlign w:val="center"/>
          </w:tcPr>
          <w:p w14:paraId="557CE085">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信息插座</w:t>
            </w:r>
          </w:p>
        </w:tc>
        <w:tc>
          <w:tcPr>
            <w:tcW w:w="1282" w:type="dxa"/>
            <w:vAlign w:val="center"/>
          </w:tcPr>
          <w:p w14:paraId="75D54A8C">
            <w:pPr>
              <w:widowControl/>
              <w:jc w:val="center"/>
              <w:rPr>
                <w:rFonts w:hint="eastAsia" w:ascii="宋体" w:hAnsi="宋体" w:cs="宋体"/>
                <w:color w:val="auto"/>
                <w:kern w:val="0"/>
                <w:sz w:val="21"/>
                <w:szCs w:val="21"/>
                <w:highlight w:val="none"/>
              </w:rPr>
            </w:pPr>
          </w:p>
        </w:tc>
        <w:tc>
          <w:tcPr>
            <w:tcW w:w="829" w:type="dxa"/>
            <w:vAlign w:val="center"/>
          </w:tcPr>
          <w:p w14:paraId="0066E8A8">
            <w:pPr>
              <w:widowControl/>
              <w:jc w:val="center"/>
              <w:rPr>
                <w:rFonts w:hint="eastAsia" w:ascii="宋体" w:hAnsi="宋体" w:cs="宋体"/>
                <w:color w:val="auto"/>
                <w:kern w:val="0"/>
                <w:sz w:val="21"/>
                <w:szCs w:val="21"/>
                <w:highlight w:val="none"/>
              </w:rPr>
            </w:pPr>
          </w:p>
        </w:tc>
        <w:tc>
          <w:tcPr>
            <w:tcW w:w="846" w:type="dxa"/>
            <w:vAlign w:val="center"/>
          </w:tcPr>
          <w:p w14:paraId="56468625">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13</w:t>
            </w:r>
          </w:p>
        </w:tc>
        <w:tc>
          <w:tcPr>
            <w:tcW w:w="839" w:type="dxa"/>
            <w:vAlign w:val="center"/>
          </w:tcPr>
          <w:p w14:paraId="162742DC">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1225" w:type="dxa"/>
            <w:vAlign w:val="center"/>
          </w:tcPr>
          <w:p w14:paraId="6493D0E4">
            <w:pPr>
              <w:widowControl/>
              <w:jc w:val="center"/>
              <w:rPr>
                <w:rFonts w:ascii="宋体" w:hAnsi="宋体" w:cs="宋体"/>
                <w:color w:val="auto"/>
                <w:kern w:val="0"/>
                <w:sz w:val="21"/>
                <w:szCs w:val="21"/>
                <w:highlight w:val="none"/>
              </w:rPr>
            </w:pPr>
          </w:p>
        </w:tc>
        <w:tc>
          <w:tcPr>
            <w:tcW w:w="1226" w:type="dxa"/>
            <w:vAlign w:val="center"/>
          </w:tcPr>
          <w:p w14:paraId="5DDE295E">
            <w:pPr>
              <w:widowControl/>
              <w:jc w:val="center"/>
              <w:rPr>
                <w:rFonts w:ascii="宋体" w:hAnsi="宋体" w:cs="宋体"/>
                <w:color w:val="auto"/>
                <w:kern w:val="0"/>
                <w:sz w:val="21"/>
                <w:szCs w:val="21"/>
                <w:highlight w:val="none"/>
              </w:rPr>
            </w:pPr>
          </w:p>
        </w:tc>
      </w:tr>
      <w:tr w14:paraId="5E1E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05D1A036">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35</w:t>
            </w:r>
          </w:p>
        </w:tc>
        <w:tc>
          <w:tcPr>
            <w:tcW w:w="2035" w:type="dxa"/>
            <w:vAlign w:val="center"/>
          </w:tcPr>
          <w:p w14:paraId="7E716EDF">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信息插座</w:t>
            </w:r>
          </w:p>
        </w:tc>
        <w:tc>
          <w:tcPr>
            <w:tcW w:w="1282" w:type="dxa"/>
            <w:vAlign w:val="center"/>
          </w:tcPr>
          <w:p w14:paraId="3F379FEA">
            <w:pPr>
              <w:widowControl/>
              <w:jc w:val="center"/>
              <w:rPr>
                <w:rFonts w:hint="eastAsia" w:ascii="宋体" w:hAnsi="宋体" w:cs="宋体"/>
                <w:color w:val="auto"/>
                <w:kern w:val="0"/>
                <w:sz w:val="21"/>
                <w:szCs w:val="21"/>
                <w:highlight w:val="none"/>
              </w:rPr>
            </w:pPr>
          </w:p>
        </w:tc>
        <w:tc>
          <w:tcPr>
            <w:tcW w:w="829" w:type="dxa"/>
            <w:vAlign w:val="center"/>
          </w:tcPr>
          <w:p w14:paraId="5DC326F9">
            <w:pPr>
              <w:widowControl/>
              <w:jc w:val="center"/>
              <w:rPr>
                <w:rFonts w:hint="eastAsia" w:ascii="宋体" w:hAnsi="宋体" w:cs="宋体"/>
                <w:color w:val="auto"/>
                <w:kern w:val="0"/>
                <w:sz w:val="21"/>
                <w:szCs w:val="21"/>
                <w:highlight w:val="none"/>
              </w:rPr>
            </w:pPr>
          </w:p>
        </w:tc>
        <w:tc>
          <w:tcPr>
            <w:tcW w:w="846" w:type="dxa"/>
            <w:vAlign w:val="center"/>
          </w:tcPr>
          <w:p w14:paraId="2F04E8E3">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839" w:type="dxa"/>
            <w:vAlign w:val="center"/>
          </w:tcPr>
          <w:p w14:paraId="52E7ACE9">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1225" w:type="dxa"/>
            <w:vAlign w:val="center"/>
          </w:tcPr>
          <w:p w14:paraId="0F3D564F">
            <w:pPr>
              <w:widowControl/>
              <w:jc w:val="center"/>
              <w:rPr>
                <w:rFonts w:ascii="宋体" w:hAnsi="宋体" w:cs="宋体"/>
                <w:color w:val="auto"/>
                <w:kern w:val="0"/>
                <w:sz w:val="21"/>
                <w:szCs w:val="21"/>
                <w:highlight w:val="none"/>
              </w:rPr>
            </w:pPr>
          </w:p>
        </w:tc>
        <w:tc>
          <w:tcPr>
            <w:tcW w:w="1226" w:type="dxa"/>
            <w:vAlign w:val="center"/>
          </w:tcPr>
          <w:p w14:paraId="6E416701">
            <w:pPr>
              <w:widowControl/>
              <w:jc w:val="center"/>
              <w:rPr>
                <w:rFonts w:ascii="宋体" w:hAnsi="宋体" w:cs="宋体"/>
                <w:color w:val="auto"/>
                <w:kern w:val="0"/>
                <w:sz w:val="21"/>
                <w:szCs w:val="21"/>
                <w:highlight w:val="none"/>
              </w:rPr>
            </w:pPr>
          </w:p>
        </w:tc>
      </w:tr>
      <w:tr w14:paraId="7DC4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4C2551B8">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36</w:t>
            </w:r>
          </w:p>
        </w:tc>
        <w:tc>
          <w:tcPr>
            <w:tcW w:w="2035" w:type="dxa"/>
            <w:vAlign w:val="center"/>
          </w:tcPr>
          <w:p w14:paraId="780BB281">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信息插座</w:t>
            </w:r>
          </w:p>
        </w:tc>
        <w:tc>
          <w:tcPr>
            <w:tcW w:w="1282" w:type="dxa"/>
            <w:vAlign w:val="center"/>
          </w:tcPr>
          <w:p w14:paraId="3A0FF95E">
            <w:pPr>
              <w:widowControl/>
              <w:jc w:val="center"/>
              <w:rPr>
                <w:rFonts w:hint="eastAsia" w:ascii="宋体" w:hAnsi="宋体" w:cs="宋体"/>
                <w:color w:val="auto"/>
                <w:kern w:val="0"/>
                <w:sz w:val="21"/>
                <w:szCs w:val="21"/>
                <w:highlight w:val="none"/>
              </w:rPr>
            </w:pPr>
          </w:p>
        </w:tc>
        <w:tc>
          <w:tcPr>
            <w:tcW w:w="829" w:type="dxa"/>
            <w:vAlign w:val="center"/>
          </w:tcPr>
          <w:p w14:paraId="15E67CA0">
            <w:pPr>
              <w:widowControl/>
              <w:jc w:val="center"/>
              <w:rPr>
                <w:rFonts w:hint="eastAsia" w:ascii="宋体" w:hAnsi="宋体" w:cs="宋体"/>
                <w:color w:val="auto"/>
                <w:kern w:val="0"/>
                <w:sz w:val="21"/>
                <w:szCs w:val="21"/>
                <w:highlight w:val="none"/>
              </w:rPr>
            </w:pPr>
          </w:p>
        </w:tc>
        <w:tc>
          <w:tcPr>
            <w:tcW w:w="846" w:type="dxa"/>
            <w:vAlign w:val="center"/>
          </w:tcPr>
          <w:p w14:paraId="5A5CD10C">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35</w:t>
            </w:r>
          </w:p>
        </w:tc>
        <w:tc>
          <w:tcPr>
            <w:tcW w:w="839" w:type="dxa"/>
            <w:vAlign w:val="center"/>
          </w:tcPr>
          <w:p w14:paraId="73E19CB0">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1225" w:type="dxa"/>
            <w:vAlign w:val="center"/>
          </w:tcPr>
          <w:p w14:paraId="42AAAA99">
            <w:pPr>
              <w:widowControl/>
              <w:jc w:val="center"/>
              <w:rPr>
                <w:rFonts w:ascii="宋体" w:hAnsi="宋体" w:cs="宋体"/>
                <w:color w:val="auto"/>
                <w:kern w:val="0"/>
                <w:sz w:val="21"/>
                <w:szCs w:val="21"/>
                <w:highlight w:val="none"/>
              </w:rPr>
            </w:pPr>
          </w:p>
        </w:tc>
        <w:tc>
          <w:tcPr>
            <w:tcW w:w="1226" w:type="dxa"/>
            <w:vAlign w:val="center"/>
          </w:tcPr>
          <w:p w14:paraId="0B996A8A">
            <w:pPr>
              <w:widowControl/>
              <w:jc w:val="center"/>
              <w:rPr>
                <w:rFonts w:ascii="宋体" w:hAnsi="宋体" w:cs="宋体"/>
                <w:color w:val="auto"/>
                <w:kern w:val="0"/>
                <w:sz w:val="21"/>
                <w:szCs w:val="21"/>
                <w:highlight w:val="none"/>
              </w:rPr>
            </w:pPr>
          </w:p>
        </w:tc>
      </w:tr>
      <w:tr w14:paraId="30B3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4EE2463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37</w:t>
            </w:r>
          </w:p>
        </w:tc>
        <w:tc>
          <w:tcPr>
            <w:tcW w:w="2035" w:type="dxa"/>
            <w:vAlign w:val="center"/>
          </w:tcPr>
          <w:p w14:paraId="0F4C8F56">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跳线</w:t>
            </w:r>
          </w:p>
        </w:tc>
        <w:tc>
          <w:tcPr>
            <w:tcW w:w="1282" w:type="dxa"/>
            <w:vAlign w:val="center"/>
          </w:tcPr>
          <w:p w14:paraId="67DF8546">
            <w:pPr>
              <w:widowControl/>
              <w:jc w:val="center"/>
              <w:rPr>
                <w:rFonts w:hint="eastAsia" w:ascii="宋体" w:hAnsi="宋体" w:cs="宋体"/>
                <w:color w:val="auto"/>
                <w:kern w:val="0"/>
                <w:sz w:val="21"/>
                <w:szCs w:val="21"/>
                <w:highlight w:val="none"/>
              </w:rPr>
            </w:pPr>
          </w:p>
        </w:tc>
        <w:tc>
          <w:tcPr>
            <w:tcW w:w="829" w:type="dxa"/>
            <w:vAlign w:val="center"/>
          </w:tcPr>
          <w:p w14:paraId="450341B6">
            <w:pPr>
              <w:widowControl/>
              <w:jc w:val="center"/>
              <w:rPr>
                <w:rFonts w:hint="eastAsia" w:ascii="宋体" w:hAnsi="宋体" w:cs="宋体"/>
                <w:color w:val="auto"/>
                <w:kern w:val="0"/>
                <w:sz w:val="21"/>
                <w:szCs w:val="21"/>
                <w:highlight w:val="none"/>
              </w:rPr>
            </w:pPr>
          </w:p>
        </w:tc>
        <w:tc>
          <w:tcPr>
            <w:tcW w:w="846" w:type="dxa"/>
            <w:vAlign w:val="center"/>
          </w:tcPr>
          <w:p w14:paraId="431F472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48</w:t>
            </w:r>
          </w:p>
        </w:tc>
        <w:tc>
          <w:tcPr>
            <w:tcW w:w="839" w:type="dxa"/>
            <w:vAlign w:val="center"/>
          </w:tcPr>
          <w:p w14:paraId="73B08A56">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条</w:t>
            </w:r>
          </w:p>
        </w:tc>
        <w:tc>
          <w:tcPr>
            <w:tcW w:w="1225" w:type="dxa"/>
            <w:vAlign w:val="center"/>
          </w:tcPr>
          <w:p w14:paraId="2115D39D">
            <w:pPr>
              <w:widowControl/>
              <w:jc w:val="center"/>
              <w:rPr>
                <w:rFonts w:ascii="宋体" w:hAnsi="宋体" w:cs="宋体"/>
                <w:color w:val="auto"/>
                <w:kern w:val="0"/>
                <w:sz w:val="21"/>
                <w:szCs w:val="21"/>
                <w:highlight w:val="none"/>
              </w:rPr>
            </w:pPr>
          </w:p>
        </w:tc>
        <w:tc>
          <w:tcPr>
            <w:tcW w:w="1226" w:type="dxa"/>
            <w:vAlign w:val="center"/>
          </w:tcPr>
          <w:p w14:paraId="4ABCCBA6">
            <w:pPr>
              <w:widowControl/>
              <w:jc w:val="center"/>
              <w:rPr>
                <w:rFonts w:ascii="宋体" w:hAnsi="宋体" w:cs="宋体"/>
                <w:color w:val="auto"/>
                <w:kern w:val="0"/>
                <w:sz w:val="21"/>
                <w:szCs w:val="21"/>
                <w:highlight w:val="none"/>
              </w:rPr>
            </w:pPr>
          </w:p>
        </w:tc>
      </w:tr>
      <w:tr w14:paraId="082D7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0CA8AF2B">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38</w:t>
            </w:r>
          </w:p>
        </w:tc>
        <w:tc>
          <w:tcPr>
            <w:tcW w:w="2035" w:type="dxa"/>
            <w:vAlign w:val="center"/>
          </w:tcPr>
          <w:p w14:paraId="05CB7BEF">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光纤盒</w:t>
            </w:r>
          </w:p>
        </w:tc>
        <w:tc>
          <w:tcPr>
            <w:tcW w:w="1282" w:type="dxa"/>
            <w:vAlign w:val="center"/>
          </w:tcPr>
          <w:p w14:paraId="279CD3A3">
            <w:pPr>
              <w:widowControl/>
              <w:jc w:val="center"/>
              <w:rPr>
                <w:rFonts w:hint="eastAsia" w:ascii="宋体" w:hAnsi="宋体" w:cs="宋体"/>
                <w:color w:val="auto"/>
                <w:kern w:val="0"/>
                <w:sz w:val="21"/>
                <w:szCs w:val="21"/>
                <w:highlight w:val="none"/>
              </w:rPr>
            </w:pPr>
          </w:p>
        </w:tc>
        <w:tc>
          <w:tcPr>
            <w:tcW w:w="829" w:type="dxa"/>
            <w:vAlign w:val="center"/>
          </w:tcPr>
          <w:p w14:paraId="555D0324">
            <w:pPr>
              <w:widowControl/>
              <w:jc w:val="center"/>
              <w:rPr>
                <w:rFonts w:hint="eastAsia" w:ascii="宋体" w:hAnsi="宋体" w:cs="宋体"/>
                <w:color w:val="auto"/>
                <w:kern w:val="0"/>
                <w:sz w:val="21"/>
                <w:szCs w:val="21"/>
                <w:highlight w:val="none"/>
              </w:rPr>
            </w:pPr>
          </w:p>
        </w:tc>
        <w:tc>
          <w:tcPr>
            <w:tcW w:w="846" w:type="dxa"/>
            <w:vAlign w:val="center"/>
          </w:tcPr>
          <w:p w14:paraId="0F5FBE37">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48</w:t>
            </w:r>
          </w:p>
        </w:tc>
        <w:tc>
          <w:tcPr>
            <w:tcW w:w="839" w:type="dxa"/>
            <w:vAlign w:val="center"/>
          </w:tcPr>
          <w:p w14:paraId="48C53B16">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1225" w:type="dxa"/>
            <w:vAlign w:val="center"/>
          </w:tcPr>
          <w:p w14:paraId="2186C752">
            <w:pPr>
              <w:widowControl/>
              <w:jc w:val="center"/>
              <w:rPr>
                <w:rFonts w:ascii="宋体" w:hAnsi="宋体" w:cs="宋体"/>
                <w:color w:val="auto"/>
                <w:kern w:val="0"/>
                <w:sz w:val="21"/>
                <w:szCs w:val="21"/>
                <w:highlight w:val="none"/>
              </w:rPr>
            </w:pPr>
          </w:p>
        </w:tc>
        <w:tc>
          <w:tcPr>
            <w:tcW w:w="1226" w:type="dxa"/>
            <w:vAlign w:val="center"/>
          </w:tcPr>
          <w:p w14:paraId="2FCC22EE">
            <w:pPr>
              <w:widowControl/>
              <w:jc w:val="center"/>
              <w:rPr>
                <w:rFonts w:ascii="宋体" w:hAnsi="宋体" w:cs="宋体"/>
                <w:color w:val="auto"/>
                <w:kern w:val="0"/>
                <w:sz w:val="21"/>
                <w:szCs w:val="21"/>
                <w:highlight w:val="none"/>
              </w:rPr>
            </w:pPr>
          </w:p>
        </w:tc>
      </w:tr>
      <w:tr w14:paraId="0285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15C17341">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39</w:t>
            </w:r>
          </w:p>
        </w:tc>
        <w:tc>
          <w:tcPr>
            <w:tcW w:w="2035" w:type="dxa"/>
            <w:vAlign w:val="center"/>
          </w:tcPr>
          <w:p w14:paraId="13A61918">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布放</w:t>
            </w:r>
            <w:r>
              <w:rPr>
                <w:rFonts w:hint="eastAsia" w:ascii="宋体" w:hAnsi="宋体" w:cs="宋体"/>
                <w:color w:val="auto"/>
                <w:kern w:val="0"/>
                <w:sz w:val="21"/>
                <w:szCs w:val="21"/>
                <w:highlight w:val="none"/>
              </w:rPr>
              <w:t>尾纤</w:t>
            </w:r>
          </w:p>
        </w:tc>
        <w:tc>
          <w:tcPr>
            <w:tcW w:w="1282" w:type="dxa"/>
            <w:vAlign w:val="center"/>
          </w:tcPr>
          <w:p w14:paraId="736E53AE">
            <w:pPr>
              <w:widowControl/>
              <w:jc w:val="center"/>
              <w:rPr>
                <w:rFonts w:hint="eastAsia" w:ascii="宋体" w:hAnsi="宋体" w:cs="宋体"/>
                <w:color w:val="auto"/>
                <w:kern w:val="0"/>
                <w:sz w:val="21"/>
                <w:szCs w:val="21"/>
                <w:highlight w:val="none"/>
              </w:rPr>
            </w:pPr>
          </w:p>
        </w:tc>
        <w:tc>
          <w:tcPr>
            <w:tcW w:w="829" w:type="dxa"/>
            <w:vAlign w:val="center"/>
          </w:tcPr>
          <w:p w14:paraId="59AD78C9">
            <w:pPr>
              <w:widowControl/>
              <w:jc w:val="center"/>
              <w:rPr>
                <w:rFonts w:hint="eastAsia" w:ascii="宋体" w:hAnsi="宋体" w:cs="宋体"/>
                <w:color w:val="auto"/>
                <w:kern w:val="0"/>
                <w:sz w:val="21"/>
                <w:szCs w:val="21"/>
                <w:highlight w:val="none"/>
              </w:rPr>
            </w:pPr>
          </w:p>
        </w:tc>
        <w:tc>
          <w:tcPr>
            <w:tcW w:w="846" w:type="dxa"/>
            <w:vAlign w:val="center"/>
          </w:tcPr>
          <w:p w14:paraId="0F1D36F5">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48</w:t>
            </w:r>
          </w:p>
        </w:tc>
        <w:tc>
          <w:tcPr>
            <w:tcW w:w="839" w:type="dxa"/>
            <w:vAlign w:val="center"/>
          </w:tcPr>
          <w:p w14:paraId="6361A08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条</w:t>
            </w:r>
          </w:p>
        </w:tc>
        <w:tc>
          <w:tcPr>
            <w:tcW w:w="1225" w:type="dxa"/>
            <w:vAlign w:val="center"/>
          </w:tcPr>
          <w:p w14:paraId="065FBEDA">
            <w:pPr>
              <w:widowControl/>
              <w:jc w:val="center"/>
              <w:rPr>
                <w:rFonts w:ascii="宋体" w:hAnsi="宋体" w:cs="宋体"/>
                <w:color w:val="auto"/>
                <w:kern w:val="0"/>
                <w:sz w:val="21"/>
                <w:szCs w:val="21"/>
                <w:highlight w:val="none"/>
              </w:rPr>
            </w:pPr>
          </w:p>
        </w:tc>
        <w:tc>
          <w:tcPr>
            <w:tcW w:w="1226" w:type="dxa"/>
            <w:vAlign w:val="center"/>
          </w:tcPr>
          <w:p w14:paraId="7BF92C95">
            <w:pPr>
              <w:widowControl/>
              <w:jc w:val="center"/>
              <w:rPr>
                <w:rFonts w:ascii="宋体" w:hAnsi="宋体" w:cs="宋体"/>
                <w:color w:val="auto"/>
                <w:kern w:val="0"/>
                <w:sz w:val="21"/>
                <w:szCs w:val="21"/>
                <w:highlight w:val="none"/>
              </w:rPr>
            </w:pPr>
          </w:p>
        </w:tc>
      </w:tr>
      <w:tr w14:paraId="6217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5C27089F">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40</w:t>
            </w:r>
          </w:p>
        </w:tc>
        <w:tc>
          <w:tcPr>
            <w:tcW w:w="2035" w:type="dxa"/>
            <w:vAlign w:val="center"/>
          </w:tcPr>
          <w:p w14:paraId="1179E7AF">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机柜</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机架</w:t>
            </w:r>
          </w:p>
        </w:tc>
        <w:tc>
          <w:tcPr>
            <w:tcW w:w="1282" w:type="dxa"/>
            <w:vAlign w:val="center"/>
          </w:tcPr>
          <w:p w14:paraId="58E449E8">
            <w:pPr>
              <w:widowControl/>
              <w:jc w:val="center"/>
              <w:rPr>
                <w:rFonts w:hint="eastAsia" w:ascii="宋体" w:hAnsi="宋体" w:cs="宋体"/>
                <w:color w:val="auto"/>
                <w:kern w:val="0"/>
                <w:sz w:val="21"/>
                <w:szCs w:val="21"/>
                <w:highlight w:val="none"/>
              </w:rPr>
            </w:pPr>
          </w:p>
        </w:tc>
        <w:tc>
          <w:tcPr>
            <w:tcW w:w="829" w:type="dxa"/>
            <w:vAlign w:val="center"/>
          </w:tcPr>
          <w:p w14:paraId="33D9DC1A">
            <w:pPr>
              <w:widowControl/>
              <w:jc w:val="center"/>
              <w:rPr>
                <w:rFonts w:hint="eastAsia" w:ascii="宋体" w:hAnsi="宋体" w:cs="宋体"/>
                <w:color w:val="auto"/>
                <w:kern w:val="0"/>
                <w:sz w:val="21"/>
                <w:szCs w:val="21"/>
                <w:highlight w:val="none"/>
              </w:rPr>
            </w:pPr>
          </w:p>
        </w:tc>
        <w:tc>
          <w:tcPr>
            <w:tcW w:w="846" w:type="dxa"/>
            <w:vAlign w:val="center"/>
          </w:tcPr>
          <w:p w14:paraId="2927416B">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839" w:type="dxa"/>
            <w:vAlign w:val="center"/>
          </w:tcPr>
          <w:p w14:paraId="6D63951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1225" w:type="dxa"/>
            <w:vAlign w:val="center"/>
          </w:tcPr>
          <w:p w14:paraId="7FC7B80D">
            <w:pPr>
              <w:widowControl/>
              <w:jc w:val="center"/>
              <w:rPr>
                <w:rFonts w:ascii="宋体" w:hAnsi="宋体" w:cs="宋体"/>
                <w:color w:val="auto"/>
                <w:kern w:val="0"/>
                <w:sz w:val="21"/>
                <w:szCs w:val="21"/>
                <w:highlight w:val="none"/>
              </w:rPr>
            </w:pPr>
          </w:p>
        </w:tc>
        <w:tc>
          <w:tcPr>
            <w:tcW w:w="1226" w:type="dxa"/>
            <w:vAlign w:val="center"/>
          </w:tcPr>
          <w:p w14:paraId="59C42A4F">
            <w:pPr>
              <w:widowControl/>
              <w:jc w:val="center"/>
              <w:rPr>
                <w:rFonts w:ascii="宋体" w:hAnsi="宋体" w:cs="宋体"/>
                <w:color w:val="auto"/>
                <w:kern w:val="0"/>
                <w:sz w:val="21"/>
                <w:szCs w:val="21"/>
                <w:highlight w:val="none"/>
              </w:rPr>
            </w:pPr>
          </w:p>
        </w:tc>
      </w:tr>
      <w:tr w14:paraId="30FA6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0DB9BCB7">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r>
              <w:rPr>
                <w:rFonts w:hint="eastAsia" w:ascii="宋体" w:hAnsi="宋体" w:cs="宋体"/>
                <w:color w:val="auto"/>
                <w:kern w:val="0"/>
                <w:sz w:val="21"/>
                <w:szCs w:val="21"/>
                <w:highlight w:val="none"/>
                <w:lang w:val="en-US" w:eastAsia="zh-CN"/>
              </w:rPr>
              <w:t>1</w:t>
            </w:r>
          </w:p>
        </w:tc>
        <w:tc>
          <w:tcPr>
            <w:tcW w:w="2035" w:type="dxa"/>
            <w:vAlign w:val="center"/>
          </w:tcPr>
          <w:p w14:paraId="464E6EF2">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光纤测试</w:t>
            </w:r>
          </w:p>
        </w:tc>
        <w:tc>
          <w:tcPr>
            <w:tcW w:w="1282" w:type="dxa"/>
            <w:vAlign w:val="center"/>
          </w:tcPr>
          <w:p w14:paraId="06DE4420">
            <w:pPr>
              <w:widowControl/>
              <w:jc w:val="center"/>
              <w:rPr>
                <w:rFonts w:hint="eastAsia" w:ascii="宋体" w:hAnsi="宋体" w:cs="宋体"/>
                <w:color w:val="auto"/>
                <w:kern w:val="0"/>
                <w:sz w:val="21"/>
                <w:szCs w:val="21"/>
                <w:highlight w:val="none"/>
              </w:rPr>
            </w:pPr>
          </w:p>
        </w:tc>
        <w:tc>
          <w:tcPr>
            <w:tcW w:w="829" w:type="dxa"/>
            <w:vAlign w:val="center"/>
          </w:tcPr>
          <w:p w14:paraId="529C450D">
            <w:pPr>
              <w:widowControl/>
              <w:jc w:val="center"/>
              <w:rPr>
                <w:rFonts w:hint="eastAsia" w:ascii="宋体" w:hAnsi="宋体" w:cs="宋体"/>
                <w:color w:val="auto"/>
                <w:kern w:val="0"/>
                <w:sz w:val="21"/>
                <w:szCs w:val="21"/>
                <w:highlight w:val="none"/>
              </w:rPr>
            </w:pPr>
          </w:p>
        </w:tc>
        <w:tc>
          <w:tcPr>
            <w:tcW w:w="846" w:type="dxa"/>
            <w:vAlign w:val="center"/>
          </w:tcPr>
          <w:p w14:paraId="2547385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24</w:t>
            </w:r>
          </w:p>
        </w:tc>
        <w:tc>
          <w:tcPr>
            <w:tcW w:w="839" w:type="dxa"/>
            <w:vAlign w:val="center"/>
          </w:tcPr>
          <w:p w14:paraId="7806053C">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链路</w:t>
            </w:r>
          </w:p>
        </w:tc>
        <w:tc>
          <w:tcPr>
            <w:tcW w:w="1225" w:type="dxa"/>
            <w:vAlign w:val="center"/>
          </w:tcPr>
          <w:p w14:paraId="57E2E949">
            <w:pPr>
              <w:widowControl/>
              <w:jc w:val="center"/>
              <w:rPr>
                <w:rFonts w:hint="default" w:ascii="宋体" w:hAnsi="宋体" w:eastAsia="宋体" w:cs="宋体"/>
                <w:color w:val="auto"/>
                <w:kern w:val="0"/>
                <w:sz w:val="21"/>
                <w:szCs w:val="21"/>
                <w:highlight w:val="none"/>
                <w:lang w:val="en-US" w:eastAsia="zh-CN"/>
              </w:rPr>
            </w:pPr>
          </w:p>
        </w:tc>
        <w:tc>
          <w:tcPr>
            <w:tcW w:w="1226" w:type="dxa"/>
            <w:vAlign w:val="center"/>
          </w:tcPr>
          <w:p w14:paraId="27084C4F">
            <w:pPr>
              <w:widowControl/>
              <w:jc w:val="center"/>
              <w:rPr>
                <w:rFonts w:hint="default" w:ascii="宋体" w:hAnsi="宋体" w:eastAsia="宋体" w:cs="宋体"/>
                <w:color w:val="auto"/>
                <w:kern w:val="0"/>
                <w:sz w:val="21"/>
                <w:szCs w:val="21"/>
                <w:highlight w:val="none"/>
                <w:lang w:val="en-US" w:eastAsia="zh-CN"/>
              </w:rPr>
            </w:pPr>
          </w:p>
        </w:tc>
      </w:tr>
      <w:tr w14:paraId="42EB3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86" w:type="dxa"/>
            <w:vAlign w:val="center"/>
          </w:tcPr>
          <w:p w14:paraId="10120820">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r>
              <w:rPr>
                <w:rFonts w:hint="eastAsia" w:ascii="宋体" w:hAnsi="宋体" w:cs="宋体"/>
                <w:color w:val="auto"/>
                <w:kern w:val="0"/>
                <w:sz w:val="21"/>
                <w:szCs w:val="21"/>
                <w:highlight w:val="none"/>
                <w:lang w:val="en-US" w:eastAsia="zh-CN"/>
              </w:rPr>
              <w:t>2</w:t>
            </w:r>
          </w:p>
        </w:tc>
        <w:tc>
          <w:tcPr>
            <w:tcW w:w="2035" w:type="dxa"/>
            <w:vAlign w:val="center"/>
          </w:tcPr>
          <w:p w14:paraId="0337B84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光纤熔接</w:t>
            </w:r>
          </w:p>
        </w:tc>
        <w:tc>
          <w:tcPr>
            <w:tcW w:w="1282" w:type="dxa"/>
            <w:vAlign w:val="center"/>
          </w:tcPr>
          <w:p w14:paraId="17C582E3">
            <w:pPr>
              <w:widowControl/>
              <w:jc w:val="center"/>
              <w:rPr>
                <w:rFonts w:hint="eastAsia" w:ascii="宋体" w:hAnsi="宋体" w:cs="宋体"/>
                <w:color w:val="auto"/>
                <w:kern w:val="0"/>
                <w:sz w:val="21"/>
                <w:szCs w:val="21"/>
                <w:highlight w:val="none"/>
              </w:rPr>
            </w:pPr>
          </w:p>
        </w:tc>
        <w:tc>
          <w:tcPr>
            <w:tcW w:w="829" w:type="dxa"/>
            <w:vAlign w:val="center"/>
          </w:tcPr>
          <w:p w14:paraId="60DB6D44">
            <w:pPr>
              <w:widowControl/>
              <w:jc w:val="center"/>
              <w:rPr>
                <w:rFonts w:hint="eastAsia" w:ascii="宋体" w:hAnsi="宋体" w:cs="宋体"/>
                <w:color w:val="auto"/>
                <w:kern w:val="0"/>
                <w:sz w:val="21"/>
                <w:szCs w:val="21"/>
                <w:highlight w:val="none"/>
              </w:rPr>
            </w:pPr>
          </w:p>
        </w:tc>
        <w:tc>
          <w:tcPr>
            <w:tcW w:w="846" w:type="dxa"/>
            <w:vAlign w:val="center"/>
          </w:tcPr>
          <w:p w14:paraId="0A0DA07D">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48</w:t>
            </w:r>
          </w:p>
        </w:tc>
        <w:tc>
          <w:tcPr>
            <w:tcW w:w="839" w:type="dxa"/>
            <w:vAlign w:val="center"/>
          </w:tcPr>
          <w:p w14:paraId="15ED5E55">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芯</w:t>
            </w:r>
          </w:p>
        </w:tc>
        <w:tc>
          <w:tcPr>
            <w:tcW w:w="1225" w:type="dxa"/>
            <w:vAlign w:val="center"/>
          </w:tcPr>
          <w:p w14:paraId="594DC70F">
            <w:pPr>
              <w:widowControl/>
              <w:jc w:val="center"/>
              <w:rPr>
                <w:rFonts w:ascii="宋体" w:hAnsi="宋体" w:cs="宋体"/>
                <w:color w:val="auto"/>
                <w:kern w:val="0"/>
                <w:sz w:val="21"/>
                <w:szCs w:val="21"/>
                <w:highlight w:val="none"/>
              </w:rPr>
            </w:pPr>
          </w:p>
        </w:tc>
        <w:tc>
          <w:tcPr>
            <w:tcW w:w="1226" w:type="dxa"/>
            <w:vAlign w:val="center"/>
          </w:tcPr>
          <w:p w14:paraId="7AAA4AB3">
            <w:pPr>
              <w:widowControl/>
              <w:jc w:val="center"/>
              <w:rPr>
                <w:rFonts w:ascii="宋体" w:hAnsi="宋体" w:cs="宋体"/>
                <w:color w:val="auto"/>
                <w:kern w:val="0"/>
                <w:sz w:val="21"/>
                <w:szCs w:val="21"/>
                <w:highlight w:val="none"/>
              </w:rPr>
            </w:pPr>
          </w:p>
        </w:tc>
      </w:tr>
      <w:tr w14:paraId="2C491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9068" w:type="dxa"/>
            <w:gridSpan w:val="8"/>
            <w:shd w:val="clear" w:color="auto" w:fill="BEBEBE" w:themeFill="background1" w:themeFillShade="BF"/>
            <w:vAlign w:val="center"/>
          </w:tcPr>
          <w:p w14:paraId="3E3AF5B0">
            <w:pPr>
              <w:jc w:val="left"/>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（1F）、办案区人员定位系统</w:t>
            </w:r>
          </w:p>
        </w:tc>
      </w:tr>
      <w:tr w14:paraId="5301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245CC26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43</w:t>
            </w:r>
          </w:p>
        </w:tc>
        <w:tc>
          <w:tcPr>
            <w:tcW w:w="2035" w:type="dxa"/>
            <w:vAlign w:val="center"/>
          </w:tcPr>
          <w:p w14:paraId="07237B49">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交换机</w:t>
            </w:r>
          </w:p>
        </w:tc>
        <w:tc>
          <w:tcPr>
            <w:tcW w:w="1282" w:type="dxa"/>
            <w:vAlign w:val="center"/>
          </w:tcPr>
          <w:p w14:paraId="537AA6C0">
            <w:pPr>
              <w:widowControl/>
              <w:jc w:val="center"/>
              <w:rPr>
                <w:rFonts w:hint="eastAsia" w:ascii="宋体" w:hAnsi="宋体" w:cs="宋体"/>
                <w:color w:val="auto"/>
                <w:kern w:val="0"/>
                <w:sz w:val="21"/>
                <w:szCs w:val="21"/>
                <w:highlight w:val="none"/>
              </w:rPr>
            </w:pPr>
          </w:p>
        </w:tc>
        <w:tc>
          <w:tcPr>
            <w:tcW w:w="829" w:type="dxa"/>
            <w:vAlign w:val="center"/>
          </w:tcPr>
          <w:p w14:paraId="3A9389B0">
            <w:pPr>
              <w:widowControl/>
              <w:jc w:val="center"/>
              <w:rPr>
                <w:rFonts w:hint="eastAsia" w:ascii="宋体" w:hAnsi="宋体" w:cs="宋体"/>
                <w:color w:val="auto"/>
                <w:kern w:val="0"/>
                <w:sz w:val="21"/>
                <w:szCs w:val="21"/>
                <w:highlight w:val="none"/>
              </w:rPr>
            </w:pPr>
          </w:p>
        </w:tc>
        <w:tc>
          <w:tcPr>
            <w:tcW w:w="846" w:type="dxa"/>
            <w:vAlign w:val="center"/>
          </w:tcPr>
          <w:p w14:paraId="61D80D45">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839" w:type="dxa"/>
            <w:vAlign w:val="center"/>
          </w:tcPr>
          <w:p w14:paraId="5C3C78B8">
            <w:pPr>
              <w:widowControl/>
              <w:jc w:val="center"/>
              <w:textAlignment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bidi="ar"/>
              </w:rPr>
              <w:t>台</w:t>
            </w:r>
          </w:p>
        </w:tc>
        <w:tc>
          <w:tcPr>
            <w:tcW w:w="1225" w:type="dxa"/>
            <w:vAlign w:val="center"/>
          </w:tcPr>
          <w:p w14:paraId="6DE6C361">
            <w:pPr>
              <w:widowControl/>
              <w:jc w:val="center"/>
              <w:rPr>
                <w:rFonts w:ascii="宋体" w:hAnsi="宋体" w:cs="宋体"/>
                <w:color w:val="auto"/>
                <w:kern w:val="0"/>
                <w:sz w:val="21"/>
                <w:szCs w:val="21"/>
                <w:highlight w:val="none"/>
              </w:rPr>
            </w:pPr>
          </w:p>
        </w:tc>
        <w:tc>
          <w:tcPr>
            <w:tcW w:w="1226" w:type="dxa"/>
            <w:vAlign w:val="center"/>
          </w:tcPr>
          <w:p w14:paraId="1074D728">
            <w:pPr>
              <w:widowControl/>
              <w:jc w:val="center"/>
              <w:rPr>
                <w:rFonts w:ascii="宋体" w:hAnsi="宋体" w:cs="宋体"/>
                <w:color w:val="auto"/>
                <w:kern w:val="0"/>
                <w:sz w:val="21"/>
                <w:szCs w:val="21"/>
                <w:highlight w:val="none"/>
              </w:rPr>
            </w:pPr>
          </w:p>
        </w:tc>
      </w:tr>
      <w:tr w14:paraId="37B2D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786723CF">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44</w:t>
            </w:r>
          </w:p>
        </w:tc>
        <w:tc>
          <w:tcPr>
            <w:tcW w:w="2035" w:type="dxa"/>
            <w:vAlign w:val="center"/>
          </w:tcPr>
          <w:p w14:paraId="378CB080">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声光报警器</w:t>
            </w:r>
          </w:p>
        </w:tc>
        <w:tc>
          <w:tcPr>
            <w:tcW w:w="1282" w:type="dxa"/>
            <w:vAlign w:val="center"/>
          </w:tcPr>
          <w:p w14:paraId="67562674">
            <w:pPr>
              <w:widowControl/>
              <w:jc w:val="center"/>
              <w:rPr>
                <w:rFonts w:hint="eastAsia" w:ascii="宋体" w:hAnsi="宋体" w:cs="宋体"/>
                <w:color w:val="auto"/>
                <w:kern w:val="0"/>
                <w:sz w:val="21"/>
                <w:szCs w:val="21"/>
                <w:highlight w:val="none"/>
              </w:rPr>
            </w:pPr>
          </w:p>
        </w:tc>
        <w:tc>
          <w:tcPr>
            <w:tcW w:w="829" w:type="dxa"/>
            <w:vAlign w:val="center"/>
          </w:tcPr>
          <w:p w14:paraId="2BD842D0">
            <w:pPr>
              <w:widowControl/>
              <w:jc w:val="center"/>
              <w:rPr>
                <w:rFonts w:hint="eastAsia" w:ascii="宋体" w:hAnsi="宋体" w:cs="宋体"/>
                <w:color w:val="auto"/>
                <w:kern w:val="0"/>
                <w:sz w:val="21"/>
                <w:szCs w:val="21"/>
                <w:highlight w:val="none"/>
              </w:rPr>
            </w:pPr>
          </w:p>
        </w:tc>
        <w:tc>
          <w:tcPr>
            <w:tcW w:w="846" w:type="dxa"/>
            <w:vAlign w:val="center"/>
          </w:tcPr>
          <w:p w14:paraId="541593EC">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839" w:type="dxa"/>
            <w:vAlign w:val="center"/>
          </w:tcPr>
          <w:p w14:paraId="152664A6">
            <w:pPr>
              <w:widowControl/>
              <w:jc w:val="center"/>
              <w:textAlignment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bidi="ar"/>
              </w:rPr>
              <w:t>个</w:t>
            </w:r>
          </w:p>
        </w:tc>
        <w:tc>
          <w:tcPr>
            <w:tcW w:w="1225" w:type="dxa"/>
            <w:vAlign w:val="center"/>
          </w:tcPr>
          <w:p w14:paraId="7BE635A4">
            <w:pPr>
              <w:widowControl/>
              <w:jc w:val="center"/>
              <w:rPr>
                <w:rFonts w:ascii="宋体" w:hAnsi="宋体" w:cs="宋体"/>
                <w:color w:val="auto"/>
                <w:kern w:val="0"/>
                <w:sz w:val="21"/>
                <w:szCs w:val="21"/>
                <w:highlight w:val="none"/>
              </w:rPr>
            </w:pPr>
          </w:p>
        </w:tc>
        <w:tc>
          <w:tcPr>
            <w:tcW w:w="1226" w:type="dxa"/>
            <w:vAlign w:val="center"/>
          </w:tcPr>
          <w:p w14:paraId="519B9A89">
            <w:pPr>
              <w:widowControl/>
              <w:jc w:val="center"/>
              <w:rPr>
                <w:rFonts w:ascii="宋体" w:hAnsi="宋体" w:cs="宋体"/>
                <w:color w:val="auto"/>
                <w:kern w:val="0"/>
                <w:sz w:val="21"/>
                <w:szCs w:val="21"/>
                <w:highlight w:val="none"/>
              </w:rPr>
            </w:pPr>
          </w:p>
        </w:tc>
      </w:tr>
      <w:tr w14:paraId="3FC4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182B2F74">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45</w:t>
            </w:r>
          </w:p>
        </w:tc>
        <w:tc>
          <w:tcPr>
            <w:tcW w:w="2035" w:type="dxa"/>
            <w:vAlign w:val="center"/>
          </w:tcPr>
          <w:p w14:paraId="64B3D19D">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小电器</w:t>
            </w:r>
          </w:p>
        </w:tc>
        <w:tc>
          <w:tcPr>
            <w:tcW w:w="1282" w:type="dxa"/>
            <w:vAlign w:val="center"/>
          </w:tcPr>
          <w:p w14:paraId="5D59202D">
            <w:pPr>
              <w:widowControl/>
              <w:jc w:val="center"/>
              <w:rPr>
                <w:rFonts w:hint="eastAsia" w:ascii="宋体" w:hAnsi="宋体" w:cs="宋体"/>
                <w:color w:val="auto"/>
                <w:kern w:val="0"/>
                <w:sz w:val="21"/>
                <w:szCs w:val="21"/>
                <w:highlight w:val="none"/>
              </w:rPr>
            </w:pPr>
          </w:p>
        </w:tc>
        <w:tc>
          <w:tcPr>
            <w:tcW w:w="829" w:type="dxa"/>
            <w:vAlign w:val="center"/>
          </w:tcPr>
          <w:p w14:paraId="583BB7C5">
            <w:pPr>
              <w:widowControl/>
              <w:jc w:val="center"/>
              <w:rPr>
                <w:rFonts w:hint="eastAsia" w:ascii="宋体" w:hAnsi="宋体" w:cs="宋体"/>
                <w:color w:val="auto"/>
                <w:kern w:val="0"/>
                <w:sz w:val="21"/>
                <w:szCs w:val="21"/>
                <w:highlight w:val="none"/>
              </w:rPr>
            </w:pPr>
          </w:p>
        </w:tc>
        <w:tc>
          <w:tcPr>
            <w:tcW w:w="846" w:type="dxa"/>
            <w:vAlign w:val="center"/>
          </w:tcPr>
          <w:p w14:paraId="3A33C4DD">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839" w:type="dxa"/>
            <w:shd w:val="clear" w:color="FFFFFF" w:fill="FFFFFF"/>
            <w:vAlign w:val="center"/>
          </w:tcPr>
          <w:p w14:paraId="0E975590">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个</w:t>
            </w:r>
          </w:p>
        </w:tc>
        <w:tc>
          <w:tcPr>
            <w:tcW w:w="1225" w:type="dxa"/>
            <w:vAlign w:val="center"/>
          </w:tcPr>
          <w:p w14:paraId="45F84CD6">
            <w:pPr>
              <w:widowControl/>
              <w:jc w:val="center"/>
              <w:rPr>
                <w:rFonts w:ascii="宋体" w:hAnsi="宋体" w:cs="宋体"/>
                <w:color w:val="auto"/>
                <w:kern w:val="0"/>
                <w:sz w:val="21"/>
                <w:szCs w:val="21"/>
                <w:highlight w:val="none"/>
              </w:rPr>
            </w:pPr>
          </w:p>
        </w:tc>
        <w:tc>
          <w:tcPr>
            <w:tcW w:w="1226" w:type="dxa"/>
            <w:vAlign w:val="center"/>
          </w:tcPr>
          <w:p w14:paraId="7D359F12">
            <w:pPr>
              <w:widowControl/>
              <w:jc w:val="center"/>
              <w:rPr>
                <w:rFonts w:ascii="宋体" w:hAnsi="宋体" w:cs="宋体"/>
                <w:color w:val="auto"/>
                <w:kern w:val="0"/>
                <w:sz w:val="21"/>
                <w:szCs w:val="21"/>
                <w:highlight w:val="none"/>
              </w:rPr>
            </w:pPr>
          </w:p>
        </w:tc>
      </w:tr>
      <w:tr w14:paraId="364F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68" w:type="dxa"/>
            <w:gridSpan w:val="8"/>
            <w:shd w:val="clear" w:color="auto" w:fill="BEBEBE" w:themeFill="background1" w:themeFillShade="BF"/>
            <w:vAlign w:val="center"/>
          </w:tcPr>
          <w:p w14:paraId="712B038F">
            <w:pPr>
              <w:jc w:val="left"/>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（1F）、办案区</w:t>
            </w:r>
            <w:r>
              <w:rPr>
                <w:rFonts w:hint="eastAsia" w:ascii="宋体" w:hAnsi="宋体" w:cs="宋体"/>
                <w:b/>
                <w:bCs/>
                <w:color w:val="auto"/>
                <w:sz w:val="21"/>
                <w:szCs w:val="21"/>
                <w:highlight w:val="none"/>
                <w:lang w:val="en-US" w:eastAsia="zh-CN"/>
              </w:rPr>
              <w:t>对讲</w:t>
            </w:r>
            <w:r>
              <w:rPr>
                <w:rFonts w:hint="eastAsia" w:ascii="宋体" w:hAnsi="宋体" w:cs="宋体"/>
                <w:b/>
                <w:bCs/>
                <w:color w:val="auto"/>
                <w:sz w:val="21"/>
                <w:szCs w:val="21"/>
                <w:highlight w:val="none"/>
              </w:rPr>
              <w:t>系统</w:t>
            </w:r>
          </w:p>
        </w:tc>
      </w:tr>
      <w:tr w14:paraId="39D8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306AA756">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46</w:t>
            </w:r>
          </w:p>
        </w:tc>
        <w:tc>
          <w:tcPr>
            <w:tcW w:w="2035" w:type="dxa"/>
            <w:vAlign w:val="center"/>
          </w:tcPr>
          <w:p w14:paraId="48C5DA5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交换机</w:t>
            </w:r>
          </w:p>
        </w:tc>
        <w:tc>
          <w:tcPr>
            <w:tcW w:w="1282" w:type="dxa"/>
            <w:vAlign w:val="center"/>
          </w:tcPr>
          <w:p w14:paraId="4AE3A8A3">
            <w:pPr>
              <w:widowControl/>
              <w:jc w:val="center"/>
              <w:rPr>
                <w:rFonts w:hint="eastAsia" w:ascii="宋体" w:hAnsi="宋体" w:cs="宋体"/>
                <w:color w:val="auto"/>
                <w:kern w:val="0"/>
                <w:sz w:val="21"/>
                <w:szCs w:val="21"/>
                <w:highlight w:val="none"/>
              </w:rPr>
            </w:pPr>
          </w:p>
        </w:tc>
        <w:tc>
          <w:tcPr>
            <w:tcW w:w="829" w:type="dxa"/>
            <w:vAlign w:val="center"/>
          </w:tcPr>
          <w:p w14:paraId="2E88BB9D">
            <w:pPr>
              <w:widowControl/>
              <w:jc w:val="center"/>
              <w:rPr>
                <w:rFonts w:hint="eastAsia" w:ascii="宋体" w:hAnsi="宋体" w:cs="宋体"/>
                <w:color w:val="auto"/>
                <w:kern w:val="0"/>
                <w:sz w:val="21"/>
                <w:szCs w:val="21"/>
                <w:highlight w:val="none"/>
              </w:rPr>
            </w:pPr>
          </w:p>
        </w:tc>
        <w:tc>
          <w:tcPr>
            <w:tcW w:w="846" w:type="dxa"/>
            <w:vAlign w:val="center"/>
          </w:tcPr>
          <w:p w14:paraId="040C33A7">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839" w:type="dxa"/>
            <w:vAlign w:val="center"/>
          </w:tcPr>
          <w:p w14:paraId="5AEE6E9B">
            <w:pPr>
              <w:widowControl/>
              <w:jc w:val="center"/>
              <w:textAlignment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bidi="ar"/>
              </w:rPr>
              <w:t>台</w:t>
            </w:r>
          </w:p>
        </w:tc>
        <w:tc>
          <w:tcPr>
            <w:tcW w:w="1225" w:type="dxa"/>
            <w:vAlign w:val="center"/>
          </w:tcPr>
          <w:p w14:paraId="6A14C7D2">
            <w:pPr>
              <w:widowControl/>
              <w:jc w:val="center"/>
              <w:rPr>
                <w:rFonts w:ascii="宋体" w:hAnsi="宋体" w:cs="宋体"/>
                <w:color w:val="auto"/>
                <w:kern w:val="0"/>
                <w:sz w:val="21"/>
                <w:szCs w:val="21"/>
                <w:highlight w:val="none"/>
              </w:rPr>
            </w:pPr>
          </w:p>
        </w:tc>
        <w:tc>
          <w:tcPr>
            <w:tcW w:w="1226" w:type="dxa"/>
            <w:vAlign w:val="center"/>
          </w:tcPr>
          <w:p w14:paraId="189BC77B">
            <w:pPr>
              <w:widowControl/>
              <w:jc w:val="center"/>
              <w:rPr>
                <w:rFonts w:ascii="宋体" w:hAnsi="宋体" w:cs="宋体"/>
                <w:color w:val="auto"/>
                <w:kern w:val="0"/>
                <w:sz w:val="21"/>
                <w:szCs w:val="21"/>
                <w:highlight w:val="none"/>
              </w:rPr>
            </w:pPr>
          </w:p>
        </w:tc>
      </w:tr>
      <w:tr w14:paraId="079C8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0FFB29A2">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47</w:t>
            </w:r>
          </w:p>
        </w:tc>
        <w:tc>
          <w:tcPr>
            <w:tcW w:w="2035" w:type="dxa"/>
            <w:vAlign w:val="center"/>
          </w:tcPr>
          <w:p w14:paraId="14EE8FF1">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入侵报警控制器</w:t>
            </w:r>
          </w:p>
        </w:tc>
        <w:tc>
          <w:tcPr>
            <w:tcW w:w="1282" w:type="dxa"/>
            <w:vAlign w:val="center"/>
          </w:tcPr>
          <w:p w14:paraId="4037729F">
            <w:pPr>
              <w:widowControl/>
              <w:jc w:val="center"/>
              <w:rPr>
                <w:rFonts w:hint="eastAsia" w:ascii="宋体" w:hAnsi="宋体" w:cs="宋体"/>
                <w:color w:val="auto"/>
                <w:kern w:val="0"/>
                <w:sz w:val="21"/>
                <w:szCs w:val="21"/>
                <w:highlight w:val="none"/>
              </w:rPr>
            </w:pPr>
          </w:p>
        </w:tc>
        <w:tc>
          <w:tcPr>
            <w:tcW w:w="829" w:type="dxa"/>
            <w:vAlign w:val="center"/>
          </w:tcPr>
          <w:p w14:paraId="0C923F08">
            <w:pPr>
              <w:widowControl/>
              <w:jc w:val="center"/>
              <w:rPr>
                <w:rFonts w:hint="eastAsia" w:ascii="宋体" w:hAnsi="宋体" w:cs="宋体"/>
                <w:color w:val="auto"/>
                <w:kern w:val="0"/>
                <w:sz w:val="21"/>
                <w:szCs w:val="21"/>
                <w:highlight w:val="none"/>
              </w:rPr>
            </w:pPr>
          </w:p>
        </w:tc>
        <w:tc>
          <w:tcPr>
            <w:tcW w:w="846" w:type="dxa"/>
            <w:vAlign w:val="center"/>
          </w:tcPr>
          <w:p w14:paraId="25F058E0">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839" w:type="dxa"/>
            <w:vAlign w:val="center"/>
          </w:tcPr>
          <w:p w14:paraId="102F5BDA">
            <w:pPr>
              <w:widowControl/>
              <w:jc w:val="center"/>
              <w:textAlignment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bidi="ar"/>
              </w:rPr>
              <w:t>套</w:t>
            </w:r>
          </w:p>
        </w:tc>
        <w:tc>
          <w:tcPr>
            <w:tcW w:w="1225" w:type="dxa"/>
            <w:vAlign w:val="center"/>
          </w:tcPr>
          <w:p w14:paraId="432D78B2">
            <w:pPr>
              <w:widowControl/>
              <w:jc w:val="center"/>
              <w:rPr>
                <w:rFonts w:ascii="宋体" w:hAnsi="宋体" w:cs="宋体"/>
                <w:color w:val="auto"/>
                <w:kern w:val="0"/>
                <w:sz w:val="21"/>
                <w:szCs w:val="21"/>
                <w:highlight w:val="none"/>
              </w:rPr>
            </w:pPr>
          </w:p>
        </w:tc>
        <w:tc>
          <w:tcPr>
            <w:tcW w:w="1226" w:type="dxa"/>
            <w:vAlign w:val="center"/>
          </w:tcPr>
          <w:p w14:paraId="116B6F5D">
            <w:pPr>
              <w:widowControl/>
              <w:jc w:val="center"/>
              <w:rPr>
                <w:rFonts w:ascii="宋体" w:hAnsi="宋体" w:cs="宋体"/>
                <w:color w:val="auto"/>
                <w:kern w:val="0"/>
                <w:sz w:val="21"/>
                <w:szCs w:val="21"/>
                <w:highlight w:val="none"/>
              </w:rPr>
            </w:pPr>
          </w:p>
        </w:tc>
      </w:tr>
      <w:tr w14:paraId="5DDCC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6" w:type="dxa"/>
            <w:vAlign w:val="center"/>
          </w:tcPr>
          <w:p w14:paraId="360D5D00">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48</w:t>
            </w:r>
          </w:p>
        </w:tc>
        <w:tc>
          <w:tcPr>
            <w:tcW w:w="2035" w:type="dxa"/>
            <w:vAlign w:val="center"/>
          </w:tcPr>
          <w:p w14:paraId="2053637C">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入侵报警控制器</w:t>
            </w:r>
          </w:p>
        </w:tc>
        <w:tc>
          <w:tcPr>
            <w:tcW w:w="1282" w:type="dxa"/>
            <w:vAlign w:val="center"/>
          </w:tcPr>
          <w:p w14:paraId="3894CE08">
            <w:pPr>
              <w:widowControl/>
              <w:jc w:val="center"/>
              <w:rPr>
                <w:rFonts w:hint="eastAsia" w:ascii="宋体" w:hAnsi="宋体" w:cs="宋体"/>
                <w:color w:val="auto"/>
                <w:kern w:val="0"/>
                <w:sz w:val="21"/>
                <w:szCs w:val="21"/>
                <w:highlight w:val="none"/>
              </w:rPr>
            </w:pPr>
          </w:p>
        </w:tc>
        <w:tc>
          <w:tcPr>
            <w:tcW w:w="829" w:type="dxa"/>
            <w:vAlign w:val="center"/>
          </w:tcPr>
          <w:p w14:paraId="15FE4355">
            <w:pPr>
              <w:widowControl/>
              <w:jc w:val="center"/>
              <w:rPr>
                <w:rFonts w:hint="eastAsia" w:ascii="宋体" w:hAnsi="宋体" w:cs="宋体"/>
                <w:color w:val="auto"/>
                <w:kern w:val="0"/>
                <w:sz w:val="21"/>
                <w:szCs w:val="21"/>
                <w:highlight w:val="none"/>
              </w:rPr>
            </w:pPr>
          </w:p>
        </w:tc>
        <w:tc>
          <w:tcPr>
            <w:tcW w:w="846" w:type="dxa"/>
            <w:vAlign w:val="center"/>
          </w:tcPr>
          <w:p w14:paraId="71049A72">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839" w:type="dxa"/>
            <w:vAlign w:val="center"/>
          </w:tcPr>
          <w:p w14:paraId="22B3A5ED">
            <w:pPr>
              <w:widowControl/>
              <w:jc w:val="center"/>
              <w:textAlignment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bidi="ar"/>
              </w:rPr>
              <w:t>套</w:t>
            </w:r>
          </w:p>
        </w:tc>
        <w:tc>
          <w:tcPr>
            <w:tcW w:w="1225" w:type="dxa"/>
            <w:vAlign w:val="center"/>
          </w:tcPr>
          <w:p w14:paraId="66442273">
            <w:pPr>
              <w:widowControl/>
              <w:jc w:val="center"/>
              <w:rPr>
                <w:rFonts w:ascii="宋体" w:hAnsi="宋体" w:cs="宋体"/>
                <w:color w:val="auto"/>
                <w:kern w:val="0"/>
                <w:sz w:val="21"/>
                <w:szCs w:val="21"/>
                <w:highlight w:val="none"/>
              </w:rPr>
            </w:pPr>
          </w:p>
        </w:tc>
        <w:tc>
          <w:tcPr>
            <w:tcW w:w="1226" w:type="dxa"/>
            <w:vAlign w:val="center"/>
          </w:tcPr>
          <w:p w14:paraId="1B481D26">
            <w:pPr>
              <w:widowControl/>
              <w:jc w:val="center"/>
              <w:rPr>
                <w:rFonts w:ascii="宋体" w:hAnsi="宋体" w:cs="宋体"/>
                <w:color w:val="auto"/>
                <w:kern w:val="0"/>
                <w:sz w:val="21"/>
                <w:szCs w:val="21"/>
                <w:highlight w:val="none"/>
              </w:rPr>
            </w:pPr>
          </w:p>
        </w:tc>
      </w:tr>
      <w:tr w14:paraId="3B0B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9068" w:type="dxa"/>
            <w:gridSpan w:val="8"/>
            <w:shd w:val="clear" w:color="auto" w:fill="BEBEBE" w:themeFill="background1" w:themeFillShade="BF"/>
            <w:vAlign w:val="center"/>
          </w:tcPr>
          <w:p w14:paraId="69DAFAA4">
            <w:pPr>
              <w:jc w:val="left"/>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（1F）、办案区区域状态显示系统</w:t>
            </w:r>
          </w:p>
        </w:tc>
      </w:tr>
      <w:tr w14:paraId="0D702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4A4A93A4">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49</w:t>
            </w:r>
          </w:p>
        </w:tc>
        <w:tc>
          <w:tcPr>
            <w:tcW w:w="2035" w:type="dxa"/>
            <w:vAlign w:val="center"/>
          </w:tcPr>
          <w:p w14:paraId="64CDFFC5">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交换机</w:t>
            </w:r>
          </w:p>
        </w:tc>
        <w:tc>
          <w:tcPr>
            <w:tcW w:w="1282" w:type="dxa"/>
            <w:vAlign w:val="center"/>
          </w:tcPr>
          <w:p w14:paraId="098FB404">
            <w:pPr>
              <w:widowControl/>
              <w:jc w:val="center"/>
              <w:rPr>
                <w:rFonts w:hint="eastAsia" w:ascii="宋体" w:hAnsi="宋体" w:cs="宋体"/>
                <w:color w:val="auto"/>
                <w:kern w:val="0"/>
                <w:sz w:val="21"/>
                <w:szCs w:val="21"/>
                <w:highlight w:val="none"/>
              </w:rPr>
            </w:pPr>
          </w:p>
        </w:tc>
        <w:tc>
          <w:tcPr>
            <w:tcW w:w="829" w:type="dxa"/>
            <w:vAlign w:val="center"/>
          </w:tcPr>
          <w:p w14:paraId="009224CC">
            <w:pPr>
              <w:widowControl/>
              <w:jc w:val="center"/>
              <w:rPr>
                <w:rFonts w:hint="eastAsia" w:ascii="宋体" w:hAnsi="宋体" w:cs="宋体"/>
                <w:color w:val="auto"/>
                <w:kern w:val="0"/>
                <w:sz w:val="21"/>
                <w:szCs w:val="21"/>
                <w:highlight w:val="none"/>
              </w:rPr>
            </w:pPr>
          </w:p>
        </w:tc>
        <w:tc>
          <w:tcPr>
            <w:tcW w:w="846" w:type="dxa"/>
            <w:vAlign w:val="center"/>
          </w:tcPr>
          <w:p w14:paraId="4C43B9FB">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839" w:type="dxa"/>
            <w:vAlign w:val="center"/>
          </w:tcPr>
          <w:p w14:paraId="6E6D6215">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1225" w:type="dxa"/>
            <w:vAlign w:val="center"/>
          </w:tcPr>
          <w:p w14:paraId="2CB73403">
            <w:pPr>
              <w:widowControl/>
              <w:jc w:val="center"/>
              <w:rPr>
                <w:rFonts w:ascii="宋体" w:hAnsi="宋体" w:cs="宋体"/>
                <w:color w:val="auto"/>
                <w:kern w:val="0"/>
                <w:sz w:val="21"/>
                <w:szCs w:val="21"/>
                <w:highlight w:val="none"/>
              </w:rPr>
            </w:pPr>
          </w:p>
        </w:tc>
        <w:tc>
          <w:tcPr>
            <w:tcW w:w="1226" w:type="dxa"/>
            <w:vAlign w:val="center"/>
          </w:tcPr>
          <w:p w14:paraId="39EC4896">
            <w:pPr>
              <w:widowControl/>
              <w:jc w:val="center"/>
              <w:rPr>
                <w:rFonts w:ascii="宋体" w:hAnsi="宋体" w:cs="宋体"/>
                <w:color w:val="auto"/>
                <w:kern w:val="0"/>
                <w:sz w:val="21"/>
                <w:szCs w:val="21"/>
                <w:highlight w:val="none"/>
              </w:rPr>
            </w:pPr>
          </w:p>
        </w:tc>
      </w:tr>
      <w:tr w14:paraId="2012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68" w:type="dxa"/>
            <w:gridSpan w:val="8"/>
            <w:shd w:val="clear" w:color="auto" w:fill="BEBEBE" w:themeFill="background1" w:themeFillShade="BF"/>
            <w:vAlign w:val="center"/>
          </w:tcPr>
          <w:p w14:paraId="35EC26FE">
            <w:pPr>
              <w:widowControl/>
              <w:jc w:val="left"/>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（1F）、办案区应急报警系统</w:t>
            </w:r>
          </w:p>
        </w:tc>
      </w:tr>
      <w:tr w14:paraId="3E8B7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00F0D304">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50</w:t>
            </w:r>
          </w:p>
        </w:tc>
        <w:tc>
          <w:tcPr>
            <w:tcW w:w="2035" w:type="dxa"/>
            <w:vAlign w:val="center"/>
          </w:tcPr>
          <w:p w14:paraId="48B0F60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视频控制设备</w:t>
            </w:r>
          </w:p>
        </w:tc>
        <w:tc>
          <w:tcPr>
            <w:tcW w:w="1282" w:type="dxa"/>
            <w:vAlign w:val="center"/>
          </w:tcPr>
          <w:p w14:paraId="1E24F2CF">
            <w:pPr>
              <w:widowControl/>
              <w:jc w:val="center"/>
              <w:rPr>
                <w:rFonts w:hint="eastAsia" w:ascii="宋体" w:hAnsi="宋体" w:cs="宋体"/>
                <w:color w:val="auto"/>
                <w:kern w:val="0"/>
                <w:sz w:val="21"/>
                <w:szCs w:val="21"/>
                <w:highlight w:val="none"/>
              </w:rPr>
            </w:pPr>
          </w:p>
        </w:tc>
        <w:tc>
          <w:tcPr>
            <w:tcW w:w="829" w:type="dxa"/>
            <w:vAlign w:val="center"/>
          </w:tcPr>
          <w:p w14:paraId="6D58E2FB">
            <w:pPr>
              <w:widowControl/>
              <w:jc w:val="center"/>
              <w:rPr>
                <w:rFonts w:hint="eastAsia" w:ascii="宋体" w:hAnsi="宋体" w:cs="宋体"/>
                <w:color w:val="auto"/>
                <w:kern w:val="0"/>
                <w:sz w:val="21"/>
                <w:szCs w:val="21"/>
                <w:highlight w:val="none"/>
              </w:rPr>
            </w:pPr>
          </w:p>
        </w:tc>
        <w:tc>
          <w:tcPr>
            <w:tcW w:w="846" w:type="dxa"/>
            <w:vAlign w:val="center"/>
          </w:tcPr>
          <w:p w14:paraId="5BFCB9A0">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839" w:type="dxa"/>
            <w:vAlign w:val="center"/>
          </w:tcPr>
          <w:p w14:paraId="73F4E292">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1225" w:type="dxa"/>
            <w:vAlign w:val="center"/>
          </w:tcPr>
          <w:p w14:paraId="08AB81E6">
            <w:pPr>
              <w:widowControl/>
              <w:jc w:val="center"/>
              <w:rPr>
                <w:rFonts w:ascii="宋体" w:hAnsi="宋体" w:cs="宋体"/>
                <w:color w:val="auto"/>
                <w:kern w:val="0"/>
                <w:sz w:val="21"/>
                <w:szCs w:val="21"/>
                <w:highlight w:val="none"/>
              </w:rPr>
            </w:pPr>
          </w:p>
        </w:tc>
        <w:tc>
          <w:tcPr>
            <w:tcW w:w="1226" w:type="dxa"/>
            <w:vAlign w:val="center"/>
          </w:tcPr>
          <w:p w14:paraId="7F6D7993">
            <w:pPr>
              <w:widowControl/>
              <w:jc w:val="center"/>
              <w:rPr>
                <w:rFonts w:ascii="宋体" w:hAnsi="宋体" w:cs="宋体"/>
                <w:color w:val="auto"/>
                <w:kern w:val="0"/>
                <w:sz w:val="21"/>
                <w:szCs w:val="21"/>
                <w:highlight w:val="none"/>
              </w:rPr>
            </w:pPr>
          </w:p>
        </w:tc>
      </w:tr>
      <w:tr w14:paraId="5FC06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674D00F7">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51</w:t>
            </w:r>
          </w:p>
        </w:tc>
        <w:tc>
          <w:tcPr>
            <w:tcW w:w="2035" w:type="dxa"/>
            <w:vAlign w:val="center"/>
          </w:tcPr>
          <w:p w14:paraId="3A06ADB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按钮</w:t>
            </w:r>
          </w:p>
        </w:tc>
        <w:tc>
          <w:tcPr>
            <w:tcW w:w="1282" w:type="dxa"/>
            <w:vAlign w:val="center"/>
          </w:tcPr>
          <w:p w14:paraId="5A3C6EE6">
            <w:pPr>
              <w:widowControl/>
              <w:jc w:val="center"/>
              <w:rPr>
                <w:rFonts w:hint="eastAsia" w:ascii="宋体" w:hAnsi="宋体" w:cs="宋体"/>
                <w:color w:val="auto"/>
                <w:kern w:val="0"/>
                <w:sz w:val="21"/>
                <w:szCs w:val="21"/>
                <w:highlight w:val="none"/>
              </w:rPr>
            </w:pPr>
          </w:p>
        </w:tc>
        <w:tc>
          <w:tcPr>
            <w:tcW w:w="829" w:type="dxa"/>
            <w:vAlign w:val="center"/>
          </w:tcPr>
          <w:p w14:paraId="0D766C3C">
            <w:pPr>
              <w:widowControl/>
              <w:jc w:val="center"/>
              <w:rPr>
                <w:rFonts w:hint="eastAsia" w:ascii="宋体" w:hAnsi="宋体" w:cs="宋体"/>
                <w:color w:val="auto"/>
                <w:kern w:val="0"/>
                <w:sz w:val="21"/>
                <w:szCs w:val="21"/>
                <w:highlight w:val="none"/>
              </w:rPr>
            </w:pPr>
          </w:p>
        </w:tc>
        <w:tc>
          <w:tcPr>
            <w:tcW w:w="846" w:type="dxa"/>
            <w:vAlign w:val="center"/>
          </w:tcPr>
          <w:p w14:paraId="41BCE7AB">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19</w:t>
            </w:r>
          </w:p>
        </w:tc>
        <w:tc>
          <w:tcPr>
            <w:tcW w:w="839" w:type="dxa"/>
            <w:vAlign w:val="center"/>
          </w:tcPr>
          <w:p w14:paraId="3288EDE1">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1225" w:type="dxa"/>
            <w:vAlign w:val="center"/>
          </w:tcPr>
          <w:p w14:paraId="24D8F2DF">
            <w:pPr>
              <w:widowControl/>
              <w:jc w:val="center"/>
              <w:rPr>
                <w:rFonts w:ascii="宋体" w:hAnsi="宋体" w:cs="宋体"/>
                <w:color w:val="auto"/>
                <w:kern w:val="0"/>
                <w:sz w:val="21"/>
                <w:szCs w:val="21"/>
                <w:highlight w:val="none"/>
              </w:rPr>
            </w:pPr>
          </w:p>
        </w:tc>
        <w:tc>
          <w:tcPr>
            <w:tcW w:w="1226" w:type="dxa"/>
            <w:vAlign w:val="center"/>
          </w:tcPr>
          <w:p w14:paraId="58727BE4">
            <w:pPr>
              <w:widowControl/>
              <w:jc w:val="center"/>
              <w:rPr>
                <w:rFonts w:ascii="宋体" w:hAnsi="宋体" w:cs="宋体"/>
                <w:color w:val="auto"/>
                <w:kern w:val="0"/>
                <w:sz w:val="21"/>
                <w:szCs w:val="21"/>
                <w:highlight w:val="none"/>
              </w:rPr>
            </w:pPr>
          </w:p>
        </w:tc>
      </w:tr>
      <w:tr w14:paraId="504D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1CC125B7">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52</w:t>
            </w:r>
          </w:p>
        </w:tc>
        <w:tc>
          <w:tcPr>
            <w:tcW w:w="2035" w:type="dxa"/>
            <w:vAlign w:val="center"/>
          </w:tcPr>
          <w:p w14:paraId="6BADFAB0">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火灾报警系统控制主机</w:t>
            </w:r>
          </w:p>
        </w:tc>
        <w:tc>
          <w:tcPr>
            <w:tcW w:w="1282" w:type="dxa"/>
            <w:vAlign w:val="center"/>
          </w:tcPr>
          <w:p w14:paraId="635B28CB">
            <w:pPr>
              <w:widowControl/>
              <w:jc w:val="center"/>
              <w:rPr>
                <w:rFonts w:hint="eastAsia" w:ascii="宋体" w:hAnsi="宋体" w:cs="宋体"/>
                <w:color w:val="auto"/>
                <w:kern w:val="0"/>
                <w:sz w:val="21"/>
                <w:szCs w:val="21"/>
                <w:highlight w:val="none"/>
              </w:rPr>
            </w:pPr>
          </w:p>
        </w:tc>
        <w:tc>
          <w:tcPr>
            <w:tcW w:w="829" w:type="dxa"/>
            <w:vAlign w:val="center"/>
          </w:tcPr>
          <w:p w14:paraId="3A5143C1">
            <w:pPr>
              <w:widowControl/>
              <w:jc w:val="center"/>
              <w:rPr>
                <w:rFonts w:hint="eastAsia" w:ascii="宋体" w:hAnsi="宋体" w:cs="宋体"/>
                <w:color w:val="auto"/>
                <w:kern w:val="0"/>
                <w:sz w:val="21"/>
                <w:szCs w:val="21"/>
                <w:highlight w:val="none"/>
              </w:rPr>
            </w:pPr>
          </w:p>
        </w:tc>
        <w:tc>
          <w:tcPr>
            <w:tcW w:w="846" w:type="dxa"/>
            <w:vAlign w:val="center"/>
          </w:tcPr>
          <w:p w14:paraId="1EA32346">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839" w:type="dxa"/>
            <w:vAlign w:val="center"/>
          </w:tcPr>
          <w:p w14:paraId="1BAD50B2">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1225" w:type="dxa"/>
            <w:vAlign w:val="center"/>
          </w:tcPr>
          <w:p w14:paraId="316CA06D">
            <w:pPr>
              <w:widowControl/>
              <w:jc w:val="center"/>
              <w:rPr>
                <w:rFonts w:ascii="宋体" w:hAnsi="宋体" w:cs="宋体"/>
                <w:color w:val="auto"/>
                <w:kern w:val="0"/>
                <w:sz w:val="21"/>
                <w:szCs w:val="21"/>
                <w:highlight w:val="none"/>
              </w:rPr>
            </w:pPr>
          </w:p>
        </w:tc>
        <w:tc>
          <w:tcPr>
            <w:tcW w:w="1226" w:type="dxa"/>
            <w:vAlign w:val="center"/>
          </w:tcPr>
          <w:p w14:paraId="13C5BB9D">
            <w:pPr>
              <w:widowControl/>
              <w:jc w:val="center"/>
              <w:rPr>
                <w:rFonts w:ascii="宋体" w:hAnsi="宋体" w:cs="宋体"/>
                <w:color w:val="auto"/>
                <w:kern w:val="0"/>
                <w:sz w:val="21"/>
                <w:szCs w:val="21"/>
                <w:highlight w:val="none"/>
              </w:rPr>
            </w:pPr>
          </w:p>
        </w:tc>
      </w:tr>
      <w:tr w14:paraId="5ED1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68" w:type="dxa"/>
            <w:gridSpan w:val="8"/>
            <w:shd w:val="clear" w:color="auto" w:fill="BEBEBE" w:themeFill="background1" w:themeFillShade="BF"/>
            <w:vAlign w:val="center"/>
          </w:tcPr>
          <w:p w14:paraId="7493E936">
            <w:pPr>
              <w:widowControl/>
              <w:jc w:val="left"/>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（1F）、UPS3配电箱</w:t>
            </w:r>
          </w:p>
        </w:tc>
      </w:tr>
      <w:tr w14:paraId="5B76B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86" w:type="dxa"/>
            <w:vAlign w:val="center"/>
          </w:tcPr>
          <w:p w14:paraId="0C49B53D">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53</w:t>
            </w:r>
          </w:p>
        </w:tc>
        <w:tc>
          <w:tcPr>
            <w:tcW w:w="2035" w:type="dxa"/>
            <w:vAlign w:val="center"/>
          </w:tcPr>
          <w:p w14:paraId="79E84682">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机柜</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机架</w:t>
            </w:r>
          </w:p>
        </w:tc>
        <w:tc>
          <w:tcPr>
            <w:tcW w:w="1282" w:type="dxa"/>
            <w:vAlign w:val="center"/>
          </w:tcPr>
          <w:p w14:paraId="43B200FA">
            <w:pPr>
              <w:widowControl/>
              <w:jc w:val="center"/>
              <w:rPr>
                <w:rFonts w:hint="eastAsia" w:ascii="宋体" w:hAnsi="宋体" w:cs="宋体"/>
                <w:color w:val="auto"/>
                <w:kern w:val="0"/>
                <w:sz w:val="21"/>
                <w:szCs w:val="21"/>
                <w:highlight w:val="none"/>
              </w:rPr>
            </w:pPr>
          </w:p>
        </w:tc>
        <w:tc>
          <w:tcPr>
            <w:tcW w:w="829" w:type="dxa"/>
            <w:vAlign w:val="center"/>
          </w:tcPr>
          <w:p w14:paraId="5D47F320">
            <w:pPr>
              <w:widowControl/>
              <w:jc w:val="center"/>
              <w:rPr>
                <w:rFonts w:hint="eastAsia" w:ascii="宋体" w:hAnsi="宋体" w:cs="宋体"/>
                <w:color w:val="auto"/>
                <w:kern w:val="0"/>
                <w:sz w:val="21"/>
                <w:szCs w:val="21"/>
                <w:highlight w:val="none"/>
              </w:rPr>
            </w:pPr>
          </w:p>
        </w:tc>
        <w:tc>
          <w:tcPr>
            <w:tcW w:w="846" w:type="dxa"/>
            <w:vAlign w:val="center"/>
          </w:tcPr>
          <w:p w14:paraId="72D2AE6C">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839" w:type="dxa"/>
            <w:vAlign w:val="center"/>
          </w:tcPr>
          <w:p w14:paraId="4CDFCF1B">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1225" w:type="dxa"/>
            <w:vAlign w:val="center"/>
          </w:tcPr>
          <w:p w14:paraId="37F152E1">
            <w:pPr>
              <w:widowControl/>
              <w:jc w:val="center"/>
              <w:rPr>
                <w:rFonts w:ascii="宋体" w:hAnsi="宋体" w:cs="宋体"/>
                <w:color w:val="auto"/>
                <w:kern w:val="0"/>
                <w:sz w:val="21"/>
                <w:szCs w:val="21"/>
                <w:highlight w:val="none"/>
              </w:rPr>
            </w:pPr>
          </w:p>
        </w:tc>
        <w:tc>
          <w:tcPr>
            <w:tcW w:w="1226" w:type="dxa"/>
            <w:vAlign w:val="center"/>
          </w:tcPr>
          <w:p w14:paraId="3EADC202">
            <w:pPr>
              <w:widowControl/>
              <w:jc w:val="center"/>
              <w:rPr>
                <w:rFonts w:ascii="宋体" w:hAnsi="宋体" w:cs="宋体"/>
                <w:color w:val="auto"/>
                <w:kern w:val="0"/>
                <w:sz w:val="21"/>
                <w:szCs w:val="21"/>
                <w:highlight w:val="none"/>
              </w:rPr>
            </w:pPr>
          </w:p>
        </w:tc>
      </w:tr>
      <w:tr w14:paraId="5635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6" w:type="dxa"/>
            <w:vAlign w:val="center"/>
          </w:tcPr>
          <w:p w14:paraId="51C338E3">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54</w:t>
            </w:r>
          </w:p>
        </w:tc>
        <w:tc>
          <w:tcPr>
            <w:tcW w:w="2035" w:type="dxa"/>
            <w:vAlign w:val="center"/>
          </w:tcPr>
          <w:p w14:paraId="558FF276">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机柜</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机架</w:t>
            </w:r>
          </w:p>
        </w:tc>
        <w:tc>
          <w:tcPr>
            <w:tcW w:w="1282" w:type="dxa"/>
            <w:vAlign w:val="center"/>
          </w:tcPr>
          <w:p w14:paraId="49AC1700">
            <w:pPr>
              <w:widowControl/>
              <w:jc w:val="center"/>
              <w:rPr>
                <w:rFonts w:hint="eastAsia" w:ascii="宋体" w:hAnsi="宋体" w:cs="宋体"/>
                <w:color w:val="auto"/>
                <w:kern w:val="0"/>
                <w:sz w:val="21"/>
                <w:szCs w:val="21"/>
                <w:highlight w:val="none"/>
              </w:rPr>
            </w:pPr>
          </w:p>
        </w:tc>
        <w:tc>
          <w:tcPr>
            <w:tcW w:w="829" w:type="dxa"/>
            <w:vAlign w:val="center"/>
          </w:tcPr>
          <w:p w14:paraId="704FDF73">
            <w:pPr>
              <w:widowControl/>
              <w:jc w:val="center"/>
              <w:rPr>
                <w:rFonts w:hint="eastAsia" w:ascii="宋体" w:hAnsi="宋体" w:cs="宋体"/>
                <w:color w:val="auto"/>
                <w:kern w:val="0"/>
                <w:sz w:val="21"/>
                <w:szCs w:val="21"/>
                <w:highlight w:val="none"/>
              </w:rPr>
            </w:pPr>
          </w:p>
        </w:tc>
        <w:tc>
          <w:tcPr>
            <w:tcW w:w="846" w:type="dxa"/>
            <w:vAlign w:val="center"/>
          </w:tcPr>
          <w:p w14:paraId="2D4B50D8">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839" w:type="dxa"/>
            <w:vAlign w:val="center"/>
          </w:tcPr>
          <w:p w14:paraId="606A18B3">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1225" w:type="dxa"/>
            <w:vAlign w:val="center"/>
          </w:tcPr>
          <w:p w14:paraId="6CE87601">
            <w:pPr>
              <w:widowControl/>
              <w:jc w:val="center"/>
              <w:rPr>
                <w:rFonts w:ascii="宋体" w:hAnsi="宋体" w:cs="宋体"/>
                <w:color w:val="auto"/>
                <w:kern w:val="0"/>
                <w:sz w:val="21"/>
                <w:szCs w:val="21"/>
                <w:highlight w:val="none"/>
              </w:rPr>
            </w:pPr>
          </w:p>
        </w:tc>
        <w:tc>
          <w:tcPr>
            <w:tcW w:w="1226" w:type="dxa"/>
            <w:vAlign w:val="center"/>
          </w:tcPr>
          <w:p w14:paraId="7350B619">
            <w:pPr>
              <w:widowControl/>
              <w:jc w:val="center"/>
              <w:rPr>
                <w:rFonts w:ascii="宋体" w:hAnsi="宋体" w:cs="宋体"/>
                <w:color w:val="auto"/>
                <w:kern w:val="0"/>
                <w:sz w:val="21"/>
                <w:szCs w:val="21"/>
                <w:highlight w:val="none"/>
              </w:rPr>
            </w:pPr>
          </w:p>
        </w:tc>
      </w:tr>
      <w:tr w14:paraId="50079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34B746A2">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55</w:t>
            </w:r>
          </w:p>
        </w:tc>
        <w:tc>
          <w:tcPr>
            <w:tcW w:w="2035" w:type="dxa"/>
            <w:vAlign w:val="center"/>
          </w:tcPr>
          <w:p w14:paraId="323CB498">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机柜</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机架</w:t>
            </w:r>
          </w:p>
        </w:tc>
        <w:tc>
          <w:tcPr>
            <w:tcW w:w="1282" w:type="dxa"/>
            <w:vAlign w:val="center"/>
          </w:tcPr>
          <w:p w14:paraId="677FF404">
            <w:pPr>
              <w:widowControl/>
              <w:jc w:val="center"/>
              <w:rPr>
                <w:rFonts w:hint="eastAsia" w:ascii="宋体" w:hAnsi="宋体" w:cs="宋体"/>
                <w:color w:val="auto"/>
                <w:kern w:val="0"/>
                <w:sz w:val="21"/>
                <w:szCs w:val="21"/>
                <w:highlight w:val="none"/>
              </w:rPr>
            </w:pPr>
          </w:p>
        </w:tc>
        <w:tc>
          <w:tcPr>
            <w:tcW w:w="829" w:type="dxa"/>
            <w:vAlign w:val="center"/>
          </w:tcPr>
          <w:p w14:paraId="3FBC39CB">
            <w:pPr>
              <w:widowControl/>
              <w:jc w:val="center"/>
              <w:rPr>
                <w:rFonts w:hint="eastAsia" w:ascii="宋体" w:hAnsi="宋体" w:cs="宋体"/>
                <w:color w:val="auto"/>
                <w:kern w:val="0"/>
                <w:sz w:val="21"/>
                <w:szCs w:val="21"/>
                <w:highlight w:val="none"/>
              </w:rPr>
            </w:pPr>
          </w:p>
        </w:tc>
        <w:tc>
          <w:tcPr>
            <w:tcW w:w="846" w:type="dxa"/>
            <w:vAlign w:val="center"/>
          </w:tcPr>
          <w:p w14:paraId="616A3608">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839" w:type="dxa"/>
            <w:vAlign w:val="center"/>
          </w:tcPr>
          <w:p w14:paraId="2AEEBD83">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1225" w:type="dxa"/>
            <w:vAlign w:val="center"/>
          </w:tcPr>
          <w:p w14:paraId="78D50291">
            <w:pPr>
              <w:widowControl/>
              <w:jc w:val="center"/>
              <w:rPr>
                <w:rFonts w:ascii="宋体" w:hAnsi="宋体" w:cs="宋体"/>
                <w:color w:val="auto"/>
                <w:kern w:val="0"/>
                <w:sz w:val="21"/>
                <w:szCs w:val="21"/>
                <w:highlight w:val="none"/>
              </w:rPr>
            </w:pPr>
          </w:p>
        </w:tc>
        <w:tc>
          <w:tcPr>
            <w:tcW w:w="1226" w:type="dxa"/>
            <w:vAlign w:val="center"/>
          </w:tcPr>
          <w:p w14:paraId="1CC5B613">
            <w:pPr>
              <w:widowControl/>
              <w:jc w:val="center"/>
              <w:rPr>
                <w:rFonts w:ascii="宋体" w:hAnsi="宋体" w:cs="宋体"/>
                <w:color w:val="auto"/>
                <w:kern w:val="0"/>
                <w:sz w:val="21"/>
                <w:szCs w:val="21"/>
                <w:highlight w:val="none"/>
              </w:rPr>
            </w:pPr>
          </w:p>
        </w:tc>
      </w:tr>
      <w:tr w14:paraId="6A6E2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3B69DEDB">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56</w:t>
            </w:r>
          </w:p>
        </w:tc>
        <w:tc>
          <w:tcPr>
            <w:tcW w:w="2035" w:type="dxa"/>
            <w:vAlign w:val="center"/>
          </w:tcPr>
          <w:p w14:paraId="128C7216">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机柜</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机架</w:t>
            </w:r>
          </w:p>
        </w:tc>
        <w:tc>
          <w:tcPr>
            <w:tcW w:w="1282" w:type="dxa"/>
            <w:vAlign w:val="center"/>
          </w:tcPr>
          <w:p w14:paraId="1DF66F46">
            <w:pPr>
              <w:widowControl/>
              <w:jc w:val="center"/>
              <w:rPr>
                <w:rFonts w:hint="eastAsia" w:ascii="宋体" w:hAnsi="宋体" w:cs="宋体"/>
                <w:color w:val="auto"/>
                <w:kern w:val="0"/>
                <w:sz w:val="21"/>
                <w:szCs w:val="21"/>
                <w:highlight w:val="none"/>
              </w:rPr>
            </w:pPr>
          </w:p>
        </w:tc>
        <w:tc>
          <w:tcPr>
            <w:tcW w:w="829" w:type="dxa"/>
            <w:vAlign w:val="center"/>
          </w:tcPr>
          <w:p w14:paraId="7C663C33">
            <w:pPr>
              <w:widowControl/>
              <w:jc w:val="center"/>
              <w:rPr>
                <w:rFonts w:hint="eastAsia" w:ascii="宋体" w:hAnsi="宋体" w:cs="宋体"/>
                <w:color w:val="auto"/>
                <w:kern w:val="0"/>
                <w:sz w:val="21"/>
                <w:szCs w:val="21"/>
                <w:highlight w:val="none"/>
              </w:rPr>
            </w:pPr>
          </w:p>
        </w:tc>
        <w:tc>
          <w:tcPr>
            <w:tcW w:w="846" w:type="dxa"/>
            <w:vAlign w:val="center"/>
          </w:tcPr>
          <w:p w14:paraId="421E589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839" w:type="dxa"/>
            <w:vAlign w:val="center"/>
          </w:tcPr>
          <w:p w14:paraId="1C6090E0">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1225" w:type="dxa"/>
            <w:vAlign w:val="center"/>
          </w:tcPr>
          <w:p w14:paraId="3B728034">
            <w:pPr>
              <w:widowControl/>
              <w:jc w:val="center"/>
              <w:rPr>
                <w:rFonts w:ascii="宋体" w:hAnsi="宋体" w:cs="宋体"/>
                <w:color w:val="auto"/>
                <w:kern w:val="0"/>
                <w:sz w:val="21"/>
                <w:szCs w:val="21"/>
                <w:highlight w:val="none"/>
              </w:rPr>
            </w:pPr>
          </w:p>
        </w:tc>
        <w:tc>
          <w:tcPr>
            <w:tcW w:w="1226" w:type="dxa"/>
            <w:vAlign w:val="center"/>
          </w:tcPr>
          <w:p w14:paraId="08A6DC60">
            <w:pPr>
              <w:widowControl/>
              <w:jc w:val="center"/>
              <w:rPr>
                <w:rFonts w:ascii="宋体" w:hAnsi="宋体" w:cs="宋体"/>
                <w:color w:val="auto"/>
                <w:kern w:val="0"/>
                <w:sz w:val="21"/>
                <w:szCs w:val="21"/>
                <w:highlight w:val="none"/>
              </w:rPr>
            </w:pPr>
          </w:p>
        </w:tc>
      </w:tr>
      <w:tr w14:paraId="05ECD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54F53A7F">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57</w:t>
            </w:r>
          </w:p>
        </w:tc>
        <w:tc>
          <w:tcPr>
            <w:tcW w:w="2035" w:type="dxa"/>
            <w:vAlign w:val="center"/>
          </w:tcPr>
          <w:p w14:paraId="57FECE1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机柜</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机架</w:t>
            </w:r>
          </w:p>
        </w:tc>
        <w:tc>
          <w:tcPr>
            <w:tcW w:w="1282" w:type="dxa"/>
            <w:vAlign w:val="center"/>
          </w:tcPr>
          <w:p w14:paraId="64C459EF">
            <w:pPr>
              <w:widowControl/>
              <w:jc w:val="center"/>
              <w:rPr>
                <w:rFonts w:hint="eastAsia" w:ascii="宋体" w:hAnsi="宋体" w:cs="宋体"/>
                <w:color w:val="auto"/>
                <w:kern w:val="0"/>
                <w:sz w:val="21"/>
                <w:szCs w:val="21"/>
                <w:highlight w:val="none"/>
              </w:rPr>
            </w:pPr>
          </w:p>
        </w:tc>
        <w:tc>
          <w:tcPr>
            <w:tcW w:w="829" w:type="dxa"/>
            <w:vAlign w:val="center"/>
          </w:tcPr>
          <w:p w14:paraId="1F5309DE">
            <w:pPr>
              <w:widowControl/>
              <w:jc w:val="center"/>
              <w:rPr>
                <w:rFonts w:hint="eastAsia" w:ascii="宋体" w:hAnsi="宋体" w:cs="宋体"/>
                <w:color w:val="auto"/>
                <w:kern w:val="0"/>
                <w:sz w:val="21"/>
                <w:szCs w:val="21"/>
                <w:highlight w:val="none"/>
              </w:rPr>
            </w:pPr>
          </w:p>
        </w:tc>
        <w:tc>
          <w:tcPr>
            <w:tcW w:w="846" w:type="dxa"/>
            <w:vAlign w:val="center"/>
          </w:tcPr>
          <w:p w14:paraId="2961F54D">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839" w:type="dxa"/>
            <w:vAlign w:val="center"/>
          </w:tcPr>
          <w:p w14:paraId="7213F06C">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1225" w:type="dxa"/>
            <w:vAlign w:val="center"/>
          </w:tcPr>
          <w:p w14:paraId="5AC317C5">
            <w:pPr>
              <w:widowControl/>
              <w:jc w:val="center"/>
              <w:rPr>
                <w:rFonts w:ascii="宋体" w:hAnsi="宋体" w:cs="宋体"/>
                <w:color w:val="auto"/>
                <w:kern w:val="0"/>
                <w:sz w:val="21"/>
                <w:szCs w:val="21"/>
                <w:highlight w:val="none"/>
              </w:rPr>
            </w:pPr>
          </w:p>
        </w:tc>
        <w:tc>
          <w:tcPr>
            <w:tcW w:w="1226" w:type="dxa"/>
            <w:vAlign w:val="center"/>
          </w:tcPr>
          <w:p w14:paraId="1644732C">
            <w:pPr>
              <w:widowControl/>
              <w:jc w:val="center"/>
              <w:rPr>
                <w:rFonts w:ascii="宋体" w:hAnsi="宋体" w:cs="宋体"/>
                <w:color w:val="auto"/>
                <w:kern w:val="0"/>
                <w:sz w:val="21"/>
                <w:szCs w:val="21"/>
                <w:highlight w:val="none"/>
              </w:rPr>
            </w:pPr>
          </w:p>
        </w:tc>
      </w:tr>
      <w:tr w14:paraId="19B51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24A70D9B">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r>
              <w:rPr>
                <w:rFonts w:hint="eastAsia" w:ascii="宋体" w:hAnsi="宋体" w:cs="宋体"/>
                <w:color w:val="auto"/>
                <w:kern w:val="0"/>
                <w:sz w:val="21"/>
                <w:szCs w:val="21"/>
                <w:highlight w:val="none"/>
                <w:lang w:val="en-US" w:eastAsia="zh-CN"/>
              </w:rPr>
              <w:t>8</w:t>
            </w:r>
          </w:p>
        </w:tc>
        <w:tc>
          <w:tcPr>
            <w:tcW w:w="2035" w:type="dxa"/>
            <w:vAlign w:val="center"/>
          </w:tcPr>
          <w:p w14:paraId="62AD5F3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机柜</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机架</w:t>
            </w:r>
          </w:p>
        </w:tc>
        <w:tc>
          <w:tcPr>
            <w:tcW w:w="1282" w:type="dxa"/>
            <w:vAlign w:val="center"/>
          </w:tcPr>
          <w:p w14:paraId="68326951">
            <w:pPr>
              <w:widowControl/>
              <w:jc w:val="center"/>
              <w:rPr>
                <w:rFonts w:hint="eastAsia" w:ascii="宋体" w:hAnsi="宋体" w:cs="宋体"/>
                <w:color w:val="auto"/>
                <w:kern w:val="0"/>
                <w:sz w:val="21"/>
                <w:szCs w:val="21"/>
                <w:highlight w:val="none"/>
              </w:rPr>
            </w:pPr>
          </w:p>
        </w:tc>
        <w:tc>
          <w:tcPr>
            <w:tcW w:w="829" w:type="dxa"/>
            <w:vAlign w:val="center"/>
          </w:tcPr>
          <w:p w14:paraId="404AC277">
            <w:pPr>
              <w:widowControl/>
              <w:jc w:val="center"/>
              <w:rPr>
                <w:rFonts w:hint="eastAsia" w:ascii="宋体" w:hAnsi="宋体" w:cs="宋体"/>
                <w:color w:val="auto"/>
                <w:kern w:val="0"/>
                <w:sz w:val="21"/>
                <w:szCs w:val="21"/>
                <w:highlight w:val="none"/>
              </w:rPr>
            </w:pPr>
          </w:p>
        </w:tc>
        <w:tc>
          <w:tcPr>
            <w:tcW w:w="846" w:type="dxa"/>
            <w:vAlign w:val="center"/>
          </w:tcPr>
          <w:p w14:paraId="4DA4EA39">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839" w:type="dxa"/>
            <w:vAlign w:val="center"/>
          </w:tcPr>
          <w:p w14:paraId="5059B450">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1225" w:type="dxa"/>
            <w:vAlign w:val="center"/>
          </w:tcPr>
          <w:p w14:paraId="166E607E">
            <w:pPr>
              <w:widowControl/>
              <w:jc w:val="center"/>
              <w:rPr>
                <w:rFonts w:ascii="宋体" w:hAnsi="宋体" w:cs="宋体"/>
                <w:color w:val="auto"/>
                <w:kern w:val="0"/>
                <w:sz w:val="21"/>
                <w:szCs w:val="21"/>
                <w:highlight w:val="none"/>
              </w:rPr>
            </w:pPr>
          </w:p>
        </w:tc>
        <w:tc>
          <w:tcPr>
            <w:tcW w:w="1226" w:type="dxa"/>
            <w:vAlign w:val="center"/>
          </w:tcPr>
          <w:p w14:paraId="4F6F3F17">
            <w:pPr>
              <w:widowControl/>
              <w:jc w:val="center"/>
              <w:rPr>
                <w:rFonts w:ascii="宋体" w:hAnsi="宋体" w:cs="宋体"/>
                <w:color w:val="auto"/>
                <w:kern w:val="0"/>
                <w:sz w:val="21"/>
                <w:szCs w:val="21"/>
                <w:highlight w:val="none"/>
              </w:rPr>
            </w:pPr>
          </w:p>
        </w:tc>
      </w:tr>
      <w:tr w14:paraId="4C9FD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2DE8C272">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r>
              <w:rPr>
                <w:rFonts w:hint="eastAsia" w:ascii="宋体" w:hAnsi="宋体" w:cs="宋体"/>
                <w:color w:val="auto"/>
                <w:kern w:val="0"/>
                <w:sz w:val="21"/>
                <w:szCs w:val="21"/>
                <w:highlight w:val="none"/>
                <w:lang w:val="en-US" w:eastAsia="zh-CN"/>
              </w:rPr>
              <w:t>9</w:t>
            </w:r>
          </w:p>
        </w:tc>
        <w:tc>
          <w:tcPr>
            <w:tcW w:w="2035" w:type="dxa"/>
            <w:vAlign w:val="center"/>
          </w:tcPr>
          <w:p w14:paraId="3C814C4F">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电池柜</w:t>
            </w:r>
          </w:p>
        </w:tc>
        <w:tc>
          <w:tcPr>
            <w:tcW w:w="1282" w:type="dxa"/>
            <w:vAlign w:val="center"/>
          </w:tcPr>
          <w:p w14:paraId="1CF17654">
            <w:pPr>
              <w:widowControl/>
              <w:jc w:val="center"/>
              <w:rPr>
                <w:rFonts w:hint="eastAsia" w:ascii="宋体" w:hAnsi="宋体" w:cs="宋体"/>
                <w:color w:val="auto"/>
                <w:kern w:val="0"/>
                <w:sz w:val="21"/>
                <w:szCs w:val="21"/>
                <w:highlight w:val="none"/>
              </w:rPr>
            </w:pPr>
          </w:p>
        </w:tc>
        <w:tc>
          <w:tcPr>
            <w:tcW w:w="829" w:type="dxa"/>
            <w:vAlign w:val="center"/>
          </w:tcPr>
          <w:p w14:paraId="25389E36">
            <w:pPr>
              <w:widowControl/>
              <w:jc w:val="center"/>
              <w:rPr>
                <w:rFonts w:hint="eastAsia" w:ascii="宋体" w:hAnsi="宋体" w:cs="宋体"/>
                <w:color w:val="auto"/>
                <w:kern w:val="0"/>
                <w:sz w:val="21"/>
                <w:szCs w:val="21"/>
                <w:highlight w:val="none"/>
              </w:rPr>
            </w:pPr>
          </w:p>
        </w:tc>
        <w:tc>
          <w:tcPr>
            <w:tcW w:w="846" w:type="dxa"/>
            <w:vAlign w:val="center"/>
          </w:tcPr>
          <w:p w14:paraId="10A81911">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839" w:type="dxa"/>
            <w:vAlign w:val="center"/>
          </w:tcPr>
          <w:p w14:paraId="10C11966">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1225" w:type="dxa"/>
            <w:vAlign w:val="center"/>
          </w:tcPr>
          <w:p w14:paraId="36A28D69">
            <w:pPr>
              <w:widowControl/>
              <w:jc w:val="center"/>
              <w:rPr>
                <w:rFonts w:ascii="宋体" w:hAnsi="宋体" w:cs="宋体"/>
                <w:color w:val="auto"/>
                <w:kern w:val="0"/>
                <w:sz w:val="21"/>
                <w:szCs w:val="21"/>
                <w:highlight w:val="none"/>
              </w:rPr>
            </w:pPr>
          </w:p>
        </w:tc>
        <w:tc>
          <w:tcPr>
            <w:tcW w:w="1226" w:type="dxa"/>
            <w:vAlign w:val="center"/>
          </w:tcPr>
          <w:p w14:paraId="1AAD5D63">
            <w:pPr>
              <w:widowControl/>
              <w:jc w:val="center"/>
              <w:rPr>
                <w:rFonts w:ascii="宋体" w:hAnsi="宋体" w:cs="宋体"/>
                <w:color w:val="auto"/>
                <w:kern w:val="0"/>
                <w:sz w:val="21"/>
                <w:szCs w:val="21"/>
                <w:highlight w:val="none"/>
              </w:rPr>
            </w:pPr>
          </w:p>
        </w:tc>
      </w:tr>
      <w:tr w14:paraId="6524D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3DF04A61">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60</w:t>
            </w:r>
          </w:p>
        </w:tc>
        <w:tc>
          <w:tcPr>
            <w:tcW w:w="2035" w:type="dxa"/>
            <w:vAlign w:val="center"/>
          </w:tcPr>
          <w:p w14:paraId="21882F9D">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蓄电池</w:t>
            </w:r>
          </w:p>
        </w:tc>
        <w:tc>
          <w:tcPr>
            <w:tcW w:w="1282" w:type="dxa"/>
            <w:vAlign w:val="center"/>
          </w:tcPr>
          <w:p w14:paraId="5C237365">
            <w:pPr>
              <w:widowControl/>
              <w:jc w:val="center"/>
              <w:rPr>
                <w:rFonts w:hint="eastAsia" w:ascii="宋体" w:hAnsi="宋体" w:cs="宋体"/>
                <w:color w:val="auto"/>
                <w:kern w:val="0"/>
                <w:sz w:val="21"/>
                <w:szCs w:val="21"/>
                <w:highlight w:val="none"/>
              </w:rPr>
            </w:pPr>
          </w:p>
        </w:tc>
        <w:tc>
          <w:tcPr>
            <w:tcW w:w="829" w:type="dxa"/>
            <w:vAlign w:val="center"/>
          </w:tcPr>
          <w:p w14:paraId="54F3C502">
            <w:pPr>
              <w:widowControl/>
              <w:jc w:val="center"/>
              <w:rPr>
                <w:rFonts w:hint="eastAsia" w:ascii="宋体" w:hAnsi="宋体" w:cs="宋体"/>
                <w:color w:val="auto"/>
                <w:kern w:val="0"/>
                <w:sz w:val="21"/>
                <w:szCs w:val="21"/>
                <w:highlight w:val="none"/>
              </w:rPr>
            </w:pPr>
          </w:p>
        </w:tc>
        <w:tc>
          <w:tcPr>
            <w:tcW w:w="846" w:type="dxa"/>
            <w:vAlign w:val="center"/>
          </w:tcPr>
          <w:p w14:paraId="6982521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16</w:t>
            </w:r>
          </w:p>
        </w:tc>
        <w:tc>
          <w:tcPr>
            <w:tcW w:w="839" w:type="dxa"/>
            <w:vAlign w:val="center"/>
          </w:tcPr>
          <w:p w14:paraId="14B213DC">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1225" w:type="dxa"/>
            <w:vAlign w:val="center"/>
          </w:tcPr>
          <w:p w14:paraId="22FACFAC">
            <w:pPr>
              <w:widowControl/>
              <w:jc w:val="center"/>
              <w:rPr>
                <w:rFonts w:ascii="宋体" w:hAnsi="宋体" w:cs="宋体"/>
                <w:color w:val="auto"/>
                <w:kern w:val="0"/>
                <w:sz w:val="21"/>
                <w:szCs w:val="21"/>
                <w:highlight w:val="none"/>
              </w:rPr>
            </w:pPr>
          </w:p>
        </w:tc>
        <w:tc>
          <w:tcPr>
            <w:tcW w:w="1226" w:type="dxa"/>
            <w:vAlign w:val="center"/>
          </w:tcPr>
          <w:p w14:paraId="45E9F239">
            <w:pPr>
              <w:widowControl/>
              <w:jc w:val="center"/>
              <w:rPr>
                <w:rFonts w:ascii="宋体" w:hAnsi="宋体" w:cs="宋体"/>
                <w:color w:val="auto"/>
                <w:kern w:val="0"/>
                <w:sz w:val="21"/>
                <w:szCs w:val="21"/>
                <w:highlight w:val="none"/>
              </w:rPr>
            </w:pPr>
          </w:p>
        </w:tc>
      </w:tr>
      <w:tr w14:paraId="6A64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79D12829">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61</w:t>
            </w:r>
          </w:p>
        </w:tc>
        <w:tc>
          <w:tcPr>
            <w:tcW w:w="2035" w:type="dxa"/>
            <w:vAlign w:val="center"/>
          </w:tcPr>
          <w:p w14:paraId="56F96250">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配线架</w:t>
            </w:r>
          </w:p>
        </w:tc>
        <w:tc>
          <w:tcPr>
            <w:tcW w:w="1282" w:type="dxa"/>
            <w:vAlign w:val="center"/>
          </w:tcPr>
          <w:p w14:paraId="0DC65D0D">
            <w:pPr>
              <w:widowControl/>
              <w:jc w:val="center"/>
              <w:rPr>
                <w:rFonts w:hint="eastAsia" w:ascii="宋体" w:hAnsi="宋体" w:cs="宋体"/>
                <w:color w:val="auto"/>
                <w:kern w:val="0"/>
                <w:sz w:val="21"/>
                <w:szCs w:val="21"/>
                <w:highlight w:val="none"/>
              </w:rPr>
            </w:pPr>
          </w:p>
        </w:tc>
        <w:tc>
          <w:tcPr>
            <w:tcW w:w="829" w:type="dxa"/>
            <w:vAlign w:val="center"/>
          </w:tcPr>
          <w:p w14:paraId="5B6E26BB">
            <w:pPr>
              <w:widowControl/>
              <w:jc w:val="center"/>
              <w:rPr>
                <w:rFonts w:hint="eastAsia" w:ascii="宋体" w:hAnsi="宋体" w:cs="宋体"/>
                <w:color w:val="auto"/>
                <w:kern w:val="0"/>
                <w:sz w:val="21"/>
                <w:szCs w:val="21"/>
                <w:highlight w:val="none"/>
              </w:rPr>
            </w:pPr>
          </w:p>
        </w:tc>
        <w:tc>
          <w:tcPr>
            <w:tcW w:w="846" w:type="dxa"/>
            <w:vAlign w:val="center"/>
          </w:tcPr>
          <w:p w14:paraId="610BBFA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839" w:type="dxa"/>
            <w:vAlign w:val="center"/>
          </w:tcPr>
          <w:p w14:paraId="3021E8A8">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1225" w:type="dxa"/>
            <w:vAlign w:val="center"/>
          </w:tcPr>
          <w:p w14:paraId="3C45AB29">
            <w:pPr>
              <w:widowControl/>
              <w:jc w:val="center"/>
              <w:rPr>
                <w:rFonts w:ascii="宋体" w:hAnsi="宋体" w:cs="宋体"/>
                <w:color w:val="auto"/>
                <w:kern w:val="0"/>
                <w:sz w:val="21"/>
                <w:szCs w:val="21"/>
                <w:highlight w:val="none"/>
              </w:rPr>
            </w:pPr>
          </w:p>
        </w:tc>
        <w:tc>
          <w:tcPr>
            <w:tcW w:w="1226" w:type="dxa"/>
            <w:vAlign w:val="center"/>
          </w:tcPr>
          <w:p w14:paraId="2BEAD9FC">
            <w:pPr>
              <w:widowControl/>
              <w:jc w:val="center"/>
              <w:rPr>
                <w:rFonts w:ascii="宋体" w:hAnsi="宋体" w:cs="宋体"/>
                <w:color w:val="auto"/>
                <w:kern w:val="0"/>
                <w:sz w:val="21"/>
                <w:szCs w:val="21"/>
                <w:highlight w:val="none"/>
              </w:rPr>
            </w:pPr>
          </w:p>
        </w:tc>
      </w:tr>
      <w:tr w14:paraId="77D9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5D2CA36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r>
              <w:rPr>
                <w:rFonts w:hint="eastAsia" w:ascii="宋体" w:hAnsi="宋体" w:cs="宋体"/>
                <w:color w:val="auto"/>
                <w:kern w:val="0"/>
                <w:sz w:val="21"/>
                <w:szCs w:val="21"/>
                <w:highlight w:val="none"/>
                <w:lang w:val="en-US" w:eastAsia="zh-CN"/>
              </w:rPr>
              <w:t>2</w:t>
            </w:r>
          </w:p>
        </w:tc>
        <w:tc>
          <w:tcPr>
            <w:tcW w:w="2035" w:type="dxa"/>
            <w:vAlign w:val="center"/>
          </w:tcPr>
          <w:p w14:paraId="541EC48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电力电缆</w:t>
            </w:r>
          </w:p>
        </w:tc>
        <w:tc>
          <w:tcPr>
            <w:tcW w:w="1282" w:type="dxa"/>
            <w:vAlign w:val="center"/>
          </w:tcPr>
          <w:p w14:paraId="659DE0C6">
            <w:pPr>
              <w:widowControl/>
              <w:jc w:val="center"/>
              <w:rPr>
                <w:rFonts w:hint="eastAsia" w:ascii="宋体" w:hAnsi="宋体" w:cs="宋体"/>
                <w:color w:val="auto"/>
                <w:kern w:val="0"/>
                <w:sz w:val="21"/>
                <w:szCs w:val="21"/>
                <w:highlight w:val="none"/>
              </w:rPr>
            </w:pPr>
          </w:p>
        </w:tc>
        <w:tc>
          <w:tcPr>
            <w:tcW w:w="829" w:type="dxa"/>
            <w:vAlign w:val="center"/>
          </w:tcPr>
          <w:p w14:paraId="1917B18C">
            <w:pPr>
              <w:widowControl/>
              <w:jc w:val="center"/>
              <w:rPr>
                <w:rFonts w:hint="eastAsia" w:ascii="宋体" w:hAnsi="宋体" w:cs="宋体"/>
                <w:color w:val="auto"/>
                <w:kern w:val="0"/>
                <w:sz w:val="21"/>
                <w:szCs w:val="21"/>
                <w:highlight w:val="none"/>
              </w:rPr>
            </w:pPr>
          </w:p>
        </w:tc>
        <w:tc>
          <w:tcPr>
            <w:tcW w:w="846" w:type="dxa"/>
            <w:vAlign w:val="center"/>
          </w:tcPr>
          <w:p w14:paraId="5B712511">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26.3</w:t>
            </w:r>
          </w:p>
        </w:tc>
        <w:tc>
          <w:tcPr>
            <w:tcW w:w="839" w:type="dxa"/>
            <w:vAlign w:val="center"/>
          </w:tcPr>
          <w:p w14:paraId="6C10F39A">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m</w:t>
            </w:r>
          </w:p>
        </w:tc>
        <w:tc>
          <w:tcPr>
            <w:tcW w:w="1225" w:type="dxa"/>
            <w:vAlign w:val="center"/>
          </w:tcPr>
          <w:p w14:paraId="1DC493F5">
            <w:pPr>
              <w:widowControl/>
              <w:jc w:val="center"/>
              <w:rPr>
                <w:rFonts w:hint="default" w:ascii="宋体" w:hAnsi="宋体" w:eastAsia="宋体" w:cs="宋体"/>
                <w:color w:val="auto"/>
                <w:kern w:val="0"/>
                <w:sz w:val="21"/>
                <w:szCs w:val="21"/>
                <w:highlight w:val="none"/>
                <w:lang w:val="en-US" w:eastAsia="zh-CN"/>
              </w:rPr>
            </w:pPr>
          </w:p>
        </w:tc>
        <w:tc>
          <w:tcPr>
            <w:tcW w:w="1226" w:type="dxa"/>
            <w:vAlign w:val="center"/>
          </w:tcPr>
          <w:p w14:paraId="60993DA3">
            <w:pPr>
              <w:widowControl/>
              <w:jc w:val="center"/>
              <w:rPr>
                <w:rFonts w:hint="default" w:ascii="宋体" w:hAnsi="宋体" w:eastAsia="宋体" w:cs="宋体"/>
                <w:color w:val="auto"/>
                <w:kern w:val="0"/>
                <w:sz w:val="21"/>
                <w:szCs w:val="21"/>
                <w:highlight w:val="none"/>
                <w:lang w:val="en-US" w:eastAsia="zh-CN"/>
              </w:rPr>
            </w:pPr>
          </w:p>
        </w:tc>
      </w:tr>
      <w:tr w14:paraId="5C688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02CB1291">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63</w:t>
            </w:r>
          </w:p>
        </w:tc>
        <w:tc>
          <w:tcPr>
            <w:tcW w:w="2035" w:type="dxa"/>
            <w:vAlign w:val="center"/>
          </w:tcPr>
          <w:p w14:paraId="64921B16">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电力电缆</w:t>
            </w:r>
          </w:p>
        </w:tc>
        <w:tc>
          <w:tcPr>
            <w:tcW w:w="1282" w:type="dxa"/>
            <w:vAlign w:val="center"/>
          </w:tcPr>
          <w:p w14:paraId="24D9D00C">
            <w:pPr>
              <w:widowControl/>
              <w:jc w:val="center"/>
              <w:rPr>
                <w:rFonts w:hint="eastAsia" w:ascii="宋体" w:hAnsi="宋体" w:cs="宋体"/>
                <w:color w:val="auto"/>
                <w:kern w:val="0"/>
                <w:sz w:val="21"/>
                <w:szCs w:val="21"/>
                <w:highlight w:val="none"/>
              </w:rPr>
            </w:pPr>
          </w:p>
        </w:tc>
        <w:tc>
          <w:tcPr>
            <w:tcW w:w="829" w:type="dxa"/>
            <w:vAlign w:val="center"/>
          </w:tcPr>
          <w:p w14:paraId="19F1FD12">
            <w:pPr>
              <w:widowControl/>
              <w:jc w:val="center"/>
              <w:rPr>
                <w:rFonts w:hint="eastAsia" w:ascii="宋体" w:hAnsi="宋体" w:cs="宋体"/>
                <w:color w:val="auto"/>
                <w:kern w:val="0"/>
                <w:sz w:val="21"/>
                <w:szCs w:val="21"/>
                <w:highlight w:val="none"/>
              </w:rPr>
            </w:pPr>
          </w:p>
        </w:tc>
        <w:tc>
          <w:tcPr>
            <w:tcW w:w="846" w:type="dxa"/>
            <w:vAlign w:val="center"/>
          </w:tcPr>
          <w:p w14:paraId="2F093B4D">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131.48</w:t>
            </w:r>
          </w:p>
        </w:tc>
        <w:tc>
          <w:tcPr>
            <w:tcW w:w="839" w:type="dxa"/>
            <w:vAlign w:val="center"/>
          </w:tcPr>
          <w:p w14:paraId="0E4E82E5">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m</w:t>
            </w:r>
          </w:p>
        </w:tc>
        <w:tc>
          <w:tcPr>
            <w:tcW w:w="1225" w:type="dxa"/>
            <w:vAlign w:val="center"/>
          </w:tcPr>
          <w:p w14:paraId="4D48E76E">
            <w:pPr>
              <w:widowControl/>
              <w:jc w:val="center"/>
              <w:rPr>
                <w:rFonts w:ascii="宋体" w:hAnsi="宋体" w:cs="宋体"/>
                <w:color w:val="auto"/>
                <w:kern w:val="0"/>
                <w:sz w:val="21"/>
                <w:szCs w:val="21"/>
                <w:highlight w:val="none"/>
              </w:rPr>
            </w:pPr>
          </w:p>
        </w:tc>
        <w:tc>
          <w:tcPr>
            <w:tcW w:w="1226" w:type="dxa"/>
            <w:vAlign w:val="center"/>
          </w:tcPr>
          <w:p w14:paraId="0E165B37">
            <w:pPr>
              <w:widowControl/>
              <w:jc w:val="center"/>
              <w:rPr>
                <w:rFonts w:ascii="宋体" w:hAnsi="宋体" w:cs="宋体"/>
                <w:color w:val="auto"/>
                <w:kern w:val="0"/>
                <w:sz w:val="21"/>
                <w:szCs w:val="21"/>
                <w:highlight w:val="none"/>
              </w:rPr>
            </w:pPr>
          </w:p>
        </w:tc>
      </w:tr>
      <w:tr w14:paraId="4B9C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17" w:type="dxa"/>
            <w:gridSpan w:val="6"/>
            <w:vAlign w:val="center"/>
          </w:tcPr>
          <w:p w14:paraId="04262399">
            <w:pPr>
              <w:widowControl/>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小计</w:t>
            </w:r>
          </w:p>
        </w:tc>
        <w:tc>
          <w:tcPr>
            <w:tcW w:w="1225" w:type="dxa"/>
            <w:vAlign w:val="center"/>
          </w:tcPr>
          <w:p w14:paraId="0A45B103">
            <w:pPr>
              <w:widowControl/>
              <w:jc w:val="center"/>
              <w:rPr>
                <w:rFonts w:ascii="宋体" w:hAnsi="宋体" w:cs="宋体"/>
                <w:color w:val="auto"/>
                <w:kern w:val="0"/>
                <w:sz w:val="21"/>
                <w:szCs w:val="21"/>
                <w:highlight w:val="none"/>
              </w:rPr>
            </w:pPr>
          </w:p>
        </w:tc>
        <w:tc>
          <w:tcPr>
            <w:tcW w:w="1226" w:type="dxa"/>
            <w:vAlign w:val="center"/>
          </w:tcPr>
          <w:p w14:paraId="45D0FFA3">
            <w:pPr>
              <w:widowControl/>
              <w:jc w:val="center"/>
              <w:rPr>
                <w:rFonts w:ascii="宋体" w:hAnsi="宋体" w:cs="宋体"/>
                <w:color w:val="auto"/>
                <w:kern w:val="0"/>
                <w:sz w:val="21"/>
                <w:szCs w:val="21"/>
                <w:highlight w:val="none"/>
              </w:rPr>
            </w:pPr>
          </w:p>
        </w:tc>
      </w:tr>
      <w:tr w14:paraId="7D8F9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68" w:type="dxa"/>
            <w:gridSpan w:val="8"/>
            <w:vAlign w:val="center"/>
          </w:tcPr>
          <w:p w14:paraId="62139E3D">
            <w:pPr>
              <w:widowControl/>
              <w:jc w:val="left"/>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2F</w:t>
            </w:r>
          </w:p>
        </w:tc>
      </w:tr>
      <w:tr w14:paraId="68A9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68" w:type="dxa"/>
            <w:gridSpan w:val="8"/>
            <w:vAlign w:val="center"/>
          </w:tcPr>
          <w:p w14:paraId="427B9525">
            <w:pPr>
              <w:widowControl/>
              <w:jc w:val="left"/>
              <w:rPr>
                <w:rFonts w:ascii="宋体" w:hAnsi="宋体" w:cs="宋体"/>
                <w:color w:val="auto"/>
                <w:kern w:val="0"/>
                <w:sz w:val="21"/>
                <w:szCs w:val="21"/>
                <w:highlight w:val="none"/>
              </w:rPr>
            </w:pPr>
            <w:r>
              <w:rPr>
                <w:rFonts w:hint="eastAsia" w:ascii="宋体" w:hAnsi="宋体" w:eastAsia="宋体" w:cs="宋体"/>
                <w:b/>
                <w:bCs/>
                <w:color w:val="auto"/>
                <w:sz w:val="21"/>
                <w:szCs w:val="21"/>
                <w:highlight w:val="none"/>
              </w:rPr>
              <w:t>（2F）、视频监控系统</w:t>
            </w:r>
          </w:p>
        </w:tc>
      </w:tr>
      <w:tr w14:paraId="649E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26D1771E">
            <w:pPr>
              <w:widowControl/>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64</w:t>
            </w:r>
          </w:p>
        </w:tc>
        <w:tc>
          <w:tcPr>
            <w:tcW w:w="2035" w:type="dxa"/>
            <w:vAlign w:val="center"/>
          </w:tcPr>
          <w:p w14:paraId="18194102">
            <w:pPr>
              <w:widowControl/>
              <w:jc w:val="center"/>
              <w:rPr>
                <w:rFonts w:hint="default" w:ascii="宋体" w:hAnsi="宋体" w:cs="宋体"/>
                <w:color w:val="auto"/>
                <w:kern w:val="0"/>
                <w:sz w:val="21"/>
                <w:szCs w:val="21"/>
                <w:highlight w:val="none"/>
                <w:lang w:val="en-US"/>
              </w:rPr>
            </w:pPr>
            <w:r>
              <w:rPr>
                <w:rFonts w:hint="eastAsia" w:ascii="宋体" w:hAnsi="宋体" w:cs="宋体"/>
                <w:color w:val="auto"/>
                <w:kern w:val="0"/>
                <w:sz w:val="21"/>
                <w:szCs w:val="21"/>
                <w:highlight w:val="none"/>
                <w:lang w:val="en-US" w:eastAsia="zh-CN"/>
              </w:rPr>
              <w:t>监控摄像设备5</w:t>
            </w:r>
          </w:p>
        </w:tc>
        <w:tc>
          <w:tcPr>
            <w:tcW w:w="1282" w:type="dxa"/>
            <w:vAlign w:val="center"/>
          </w:tcPr>
          <w:p w14:paraId="4C215B18">
            <w:pPr>
              <w:widowControl/>
              <w:jc w:val="center"/>
              <w:rPr>
                <w:rFonts w:hint="eastAsia" w:ascii="宋体" w:hAnsi="宋体" w:cs="宋体"/>
                <w:color w:val="auto"/>
                <w:kern w:val="0"/>
                <w:sz w:val="21"/>
                <w:szCs w:val="21"/>
                <w:highlight w:val="none"/>
              </w:rPr>
            </w:pPr>
          </w:p>
        </w:tc>
        <w:tc>
          <w:tcPr>
            <w:tcW w:w="829" w:type="dxa"/>
            <w:vAlign w:val="center"/>
          </w:tcPr>
          <w:p w14:paraId="1250FFD0">
            <w:pPr>
              <w:widowControl/>
              <w:jc w:val="center"/>
              <w:rPr>
                <w:rFonts w:hint="eastAsia" w:ascii="宋体" w:hAnsi="宋体" w:cs="宋体"/>
                <w:color w:val="auto"/>
                <w:kern w:val="0"/>
                <w:sz w:val="21"/>
                <w:szCs w:val="21"/>
                <w:highlight w:val="none"/>
              </w:rPr>
            </w:pPr>
          </w:p>
        </w:tc>
        <w:tc>
          <w:tcPr>
            <w:tcW w:w="846" w:type="dxa"/>
            <w:vAlign w:val="center"/>
          </w:tcPr>
          <w:p w14:paraId="4CDD112B">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839" w:type="dxa"/>
            <w:vAlign w:val="center"/>
          </w:tcPr>
          <w:p w14:paraId="045C2AE7">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1225" w:type="dxa"/>
            <w:vAlign w:val="center"/>
          </w:tcPr>
          <w:p w14:paraId="095739D3">
            <w:pPr>
              <w:widowControl/>
              <w:jc w:val="center"/>
              <w:rPr>
                <w:rFonts w:ascii="宋体" w:hAnsi="宋体" w:cs="宋体"/>
                <w:color w:val="auto"/>
                <w:kern w:val="0"/>
                <w:sz w:val="21"/>
                <w:szCs w:val="21"/>
                <w:highlight w:val="none"/>
              </w:rPr>
            </w:pPr>
          </w:p>
        </w:tc>
        <w:tc>
          <w:tcPr>
            <w:tcW w:w="1226" w:type="dxa"/>
            <w:vAlign w:val="center"/>
          </w:tcPr>
          <w:p w14:paraId="3C7805F9">
            <w:pPr>
              <w:widowControl/>
              <w:jc w:val="center"/>
              <w:rPr>
                <w:rFonts w:ascii="宋体" w:hAnsi="宋体" w:cs="宋体"/>
                <w:color w:val="auto"/>
                <w:kern w:val="0"/>
                <w:sz w:val="21"/>
                <w:szCs w:val="21"/>
                <w:highlight w:val="none"/>
              </w:rPr>
            </w:pPr>
          </w:p>
        </w:tc>
      </w:tr>
      <w:tr w14:paraId="50A9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66C2282B">
            <w:pPr>
              <w:widowControl/>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65</w:t>
            </w:r>
          </w:p>
        </w:tc>
        <w:tc>
          <w:tcPr>
            <w:tcW w:w="2035" w:type="dxa"/>
            <w:vAlign w:val="center"/>
          </w:tcPr>
          <w:p w14:paraId="4AE19F5E">
            <w:pPr>
              <w:widowControl/>
              <w:jc w:val="center"/>
              <w:rPr>
                <w:rFonts w:hint="default" w:ascii="宋体" w:hAnsi="宋体" w:cs="宋体"/>
                <w:color w:val="auto"/>
                <w:kern w:val="0"/>
                <w:sz w:val="21"/>
                <w:szCs w:val="21"/>
                <w:highlight w:val="none"/>
                <w:lang w:val="en-US"/>
              </w:rPr>
            </w:pPr>
            <w:r>
              <w:rPr>
                <w:rFonts w:hint="eastAsia" w:ascii="宋体" w:hAnsi="宋体" w:cs="宋体"/>
                <w:color w:val="auto"/>
                <w:kern w:val="0"/>
                <w:sz w:val="21"/>
                <w:szCs w:val="21"/>
                <w:highlight w:val="none"/>
                <w:lang w:val="en-US" w:eastAsia="zh-CN"/>
              </w:rPr>
              <w:t>监控摄像设备6</w:t>
            </w:r>
          </w:p>
        </w:tc>
        <w:tc>
          <w:tcPr>
            <w:tcW w:w="1282" w:type="dxa"/>
            <w:vAlign w:val="center"/>
          </w:tcPr>
          <w:p w14:paraId="02D94E2A">
            <w:pPr>
              <w:widowControl/>
              <w:jc w:val="center"/>
              <w:rPr>
                <w:rFonts w:hint="eastAsia" w:ascii="宋体" w:hAnsi="宋体" w:cs="宋体"/>
                <w:color w:val="auto"/>
                <w:kern w:val="0"/>
                <w:sz w:val="21"/>
                <w:szCs w:val="21"/>
                <w:highlight w:val="none"/>
              </w:rPr>
            </w:pPr>
          </w:p>
        </w:tc>
        <w:tc>
          <w:tcPr>
            <w:tcW w:w="829" w:type="dxa"/>
            <w:vAlign w:val="center"/>
          </w:tcPr>
          <w:p w14:paraId="21A0B643">
            <w:pPr>
              <w:widowControl/>
              <w:jc w:val="center"/>
              <w:rPr>
                <w:rFonts w:hint="eastAsia" w:ascii="宋体" w:hAnsi="宋体" w:cs="宋体"/>
                <w:color w:val="auto"/>
                <w:kern w:val="0"/>
                <w:sz w:val="21"/>
                <w:szCs w:val="21"/>
                <w:highlight w:val="none"/>
              </w:rPr>
            </w:pPr>
          </w:p>
        </w:tc>
        <w:tc>
          <w:tcPr>
            <w:tcW w:w="846" w:type="dxa"/>
            <w:vAlign w:val="center"/>
          </w:tcPr>
          <w:p w14:paraId="55D5A082">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839" w:type="dxa"/>
            <w:vAlign w:val="center"/>
          </w:tcPr>
          <w:p w14:paraId="2A217E2C">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1225" w:type="dxa"/>
            <w:vAlign w:val="center"/>
          </w:tcPr>
          <w:p w14:paraId="28E551D2">
            <w:pPr>
              <w:widowControl/>
              <w:jc w:val="center"/>
              <w:rPr>
                <w:rFonts w:ascii="宋体" w:hAnsi="宋体" w:cs="宋体"/>
                <w:color w:val="auto"/>
                <w:kern w:val="0"/>
                <w:sz w:val="21"/>
                <w:szCs w:val="21"/>
                <w:highlight w:val="none"/>
              </w:rPr>
            </w:pPr>
          </w:p>
        </w:tc>
        <w:tc>
          <w:tcPr>
            <w:tcW w:w="1226" w:type="dxa"/>
            <w:vAlign w:val="center"/>
          </w:tcPr>
          <w:p w14:paraId="6FEC06C8">
            <w:pPr>
              <w:widowControl/>
              <w:jc w:val="center"/>
              <w:rPr>
                <w:rFonts w:ascii="宋体" w:hAnsi="宋体" w:cs="宋体"/>
                <w:color w:val="auto"/>
                <w:kern w:val="0"/>
                <w:sz w:val="21"/>
                <w:szCs w:val="21"/>
                <w:highlight w:val="none"/>
              </w:rPr>
            </w:pPr>
          </w:p>
        </w:tc>
      </w:tr>
      <w:tr w14:paraId="10E88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68" w:type="dxa"/>
            <w:gridSpan w:val="8"/>
            <w:vAlign w:val="center"/>
          </w:tcPr>
          <w:p w14:paraId="21695C57">
            <w:pPr>
              <w:widowControl/>
              <w:jc w:val="left"/>
              <w:rPr>
                <w:rFonts w:ascii="宋体" w:hAnsi="宋体" w:cs="宋体"/>
                <w:color w:val="auto"/>
                <w:kern w:val="0"/>
                <w:sz w:val="21"/>
                <w:szCs w:val="21"/>
                <w:highlight w:val="none"/>
              </w:rPr>
            </w:pPr>
            <w:r>
              <w:rPr>
                <w:rFonts w:hint="eastAsia" w:ascii="宋体" w:hAnsi="宋体" w:cs="宋体"/>
                <w:b/>
                <w:bCs/>
                <w:color w:val="auto"/>
                <w:sz w:val="21"/>
                <w:szCs w:val="21"/>
                <w:highlight w:val="none"/>
              </w:rPr>
              <w:t>（2F）、办案区出入口控制系统</w:t>
            </w:r>
          </w:p>
        </w:tc>
      </w:tr>
      <w:tr w14:paraId="3C4F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06CF6CF6">
            <w:pPr>
              <w:widowControl/>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66</w:t>
            </w:r>
          </w:p>
        </w:tc>
        <w:tc>
          <w:tcPr>
            <w:tcW w:w="2035" w:type="dxa"/>
            <w:vAlign w:val="center"/>
          </w:tcPr>
          <w:p w14:paraId="4F9379B1">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出入口目标识别设备</w:t>
            </w:r>
          </w:p>
        </w:tc>
        <w:tc>
          <w:tcPr>
            <w:tcW w:w="1282" w:type="dxa"/>
            <w:vAlign w:val="center"/>
          </w:tcPr>
          <w:p w14:paraId="52ABB52F">
            <w:pPr>
              <w:widowControl/>
              <w:jc w:val="center"/>
              <w:rPr>
                <w:rFonts w:hint="eastAsia" w:ascii="宋体" w:hAnsi="宋体" w:cs="宋体"/>
                <w:color w:val="auto"/>
                <w:kern w:val="0"/>
                <w:sz w:val="21"/>
                <w:szCs w:val="21"/>
                <w:highlight w:val="none"/>
              </w:rPr>
            </w:pPr>
          </w:p>
        </w:tc>
        <w:tc>
          <w:tcPr>
            <w:tcW w:w="829" w:type="dxa"/>
            <w:vAlign w:val="center"/>
          </w:tcPr>
          <w:p w14:paraId="56B0FB22">
            <w:pPr>
              <w:widowControl/>
              <w:jc w:val="center"/>
              <w:rPr>
                <w:rFonts w:hint="eastAsia" w:ascii="宋体" w:hAnsi="宋体" w:cs="宋体"/>
                <w:color w:val="auto"/>
                <w:kern w:val="0"/>
                <w:sz w:val="21"/>
                <w:szCs w:val="21"/>
                <w:highlight w:val="none"/>
              </w:rPr>
            </w:pPr>
          </w:p>
        </w:tc>
        <w:tc>
          <w:tcPr>
            <w:tcW w:w="846" w:type="dxa"/>
            <w:vAlign w:val="center"/>
          </w:tcPr>
          <w:p w14:paraId="3E3B6A77">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839" w:type="dxa"/>
            <w:vAlign w:val="center"/>
          </w:tcPr>
          <w:p w14:paraId="03F970ED">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1225" w:type="dxa"/>
            <w:vAlign w:val="center"/>
          </w:tcPr>
          <w:p w14:paraId="4B715BCC">
            <w:pPr>
              <w:widowControl/>
              <w:jc w:val="center"/>
              <w:rPr>
                <w:rFonts w:ascii="宋体" w:hAnsi="宋体" w:cs="宋体"/>
                <w:color w:val="auto"/>
                <w:kern w:val="0"/>
                <w:sz w:val="21"/>
                <w:szCs w:val="21"/>
                <w:highlight w:val="none"/>
              </w:rPr>
            </w:pPr>
          </w:p>
        </w:tc>
        <w:tc>
          <w:tcPr>
            <w:tcW w:w="1226" w:type="dxa"/>
            <w:vAlign w:val="center"/>
          </w:tcPr>
          <w:p w14:paraId="1E74043F">
            <w:pPr>
              <w:widowControl/>
              <w:jc w:val="center"/>
              <w:rPr>
                <w:rFonts w:ascii="宋体" w:hAnsi="宋体" w:cs="宋体"/>
                <w:color w:val="auto"/>
                <w:kern w:val="0"/>
                <w:sz w:val="21"/>
                <w:szCs w:val="21"/>
                <w:highlight w:val="none"/>
              </w:rPr>
            </w:pPr>
          </w:p>
        </w:tc>
      </w:tr>
      <w:tr w14:paraId="72DA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53C68B78">
            <w:pPr>
              <w:widowControl/>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67</w:t>
            </w:r>
          </w:p>
        </w:tc>
        <w:tc>
          <w:tcPr>
            <w:tcW w:w="2035" w:type="dxa"/>
            <w:vAlign w:val="center"/>
          </w:tcPr>
          <w:p w14:paraId="13ABFBCE">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出入口目标识别设备</w:t>
            </w:r>
          </w:p>
        </w:tc>
        <w:tc>
          <w:tcPr>
            <w:tcW w:w="1282" w:type="dxa"/>
            <w:vAlign w:val="center"/>
          </w:tcPr>
          <w:p w14:paraId="32F37BA6">
            <w:pPr>
              <w:widowControl/>
              <w:jc w:val="center"/>
              <w:rPr>
                <w:rFonts w:hint="eastAsia" w:ascii="宋体" w:hAnsi="宋体" w:cs="宋体"/>
                <w:color w:val="auto"/>
                <w:kern w:val="0"/>
                <w:sz w:val="21"/>
                <w:szCs w:val="21"/>
                <w:highlight w:val="none"/>
              </w:rPr>
            </w:pPr>
          </w:p>
        </w:tc>
        <w:tc>
          <w:tcPr>
            <w:tcW w:w="829" w:type="dxa"/>
            <w:vAlign w:val="center"/>
          </w:tcPr>
          <w:p w14:paraId="7D95A6D0">
            <w:pPr>
              <w:widowControl/>
              <w:jc w:val="center"/>
              <w:rPr>
                <w:rFonts w:hint="eastAsia" w:ascii="宋体" w:hAnsi="宋体" w:cs="宋体"/>
                <w:color w:val="auto"/>
                <w:kern w:val="0"/>
                <w:sz w:val="21"/>
                <w:szCs w:val="21"/>
                <w:highlight w:val="none"/>
              </w:rPr>
            </w:pPr>
          </w:p>
        </w:tc>
        <w:tc>
          <w:tcPr>
            <w:tcW w:w="846" w:type="dxa"/>
            <w:vAlign w:val="center"/>
          </w:tcPr>
          <w:p w14:paraId="7C8FD8B5">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839" w:type="dxa"/>
            <w:vAlign w:val="center"/>
          </w:tcPr>
          <w:p w14:paraId="006B798A">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1225" w:type="dxa"/>
            <w:vAlign w:val="center"/>
          </w:tcPr>
          <w:p w14:paraId="3AAD0AE7">
            <w:pPr>
              <w:widowControl/>
              <w:jc w:val="center"/>
              <w:rPr>
                <w:rFonts w:ascii="宋体" w:hAnsi="宋体" w:cs="宋体"/>
                <w:color w:val="auto"/>
                <w:kern w:val="0"/>
                <w:sz w:val="21"/>
                <w:szCs w:val="21"/>
                <w:highlight w:val="none"/>
              </w:rPr>
            </w:pPr>
          </w:p>
        </w:tc>
        <w:tc>
          <w:tcPr>
            <w:tcW w:w="1226" w:type="dxa"/>
            <w:vAlign w:val="center"/>
          </w:tcPr>
          <w:p w14:paraId="0AAB1267">
            <w:pPr>
              <w:widowControl/>
              <w:jc w:val="center"/>
              <w:rPr>
                <w:rFonts w:ascii="宋体" w:hAnsi="宋体" w:cs="宋体"/>
                <w:color w:val="auto"/>
                <w:kern w:val="0"/>
                <w:sz w:val="21"/>
                <w:szCs w:val="21"/>
                <w:highlight w:val="none"/>
              </w:rPr>
            </w:pPr>
          </w:p>
        </w:tc>
      </w:tr>
      <w:tr w14:paraId="1B0EA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05F4FFDC">
            <w:pPr>
              <w:widowControl/>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68</w:t>
            </w:r>
          </w:p>
        </w:tc>
        <w:tc>
          <w:tcPr>
            <w:tcW w:w="2035" w:type="dxa"/>
            <w:vAlign w:val="center"/>
          </w:tcPr>
          <w:p w14:paraId="6294231A">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出入口目标识别设备</w:t>
            </w:r>
          </w:p>
        </w:tc>
        <w:tc>
          <w:tcPr>
            <w:tcW w:w="1282" w:type="dxa"/>
            <w:vAlign w:val="center"/>
          </w:tcPr>
          <w:p w14:paraId="4334CE58">
            <w:pPr>
              <w:widowControl/>
              <w:jc w:val="center"/>
              <w:rPr>
                <w:rFonts w:hint="eastAsia" w:ascii="宋体" w:hAnsi="宋体" w:cs="宋体"/>
                <w:color w:val="auto"/>
                <w:kern w:val="0"/>
                <w:sz w:val="21"/>
                <w:szCs w:val="21"/>
                <w:highlight w:val="none"/>
              </w:rPr>
            </w:pPr>
          </w:p>
        </w:tc>
        <w:tc>
          <w:tcPr>
            <w:tcW w:w="829" w:type="dxa"/>
            <w:vAlign w:val="center"/>
          </w:tcPr>
          <w:p w14:paraId="7ACC40D9">
            <w:pPr>
              <w:widowControl/>
              <w:jc w:val="center"/>
              <w:rPr>
                <w:rFonts w:hint="eastAsia" w:ascii="宋体" w:hAnsi="宋体" w:cs="宋体"/>
                <w:color w:val="auto"/>
                <w:kern w:val="0"/>
                <w:sz w:val="21"/>
                <w:szCs w:val="21"/>
                <w:highlight w:val="none"/>
              </w:rPr>
            </w:pPr>
          </w:p>
        </w:tc>
        <w:tc>
          <w:tcPr>
            <w:tcW w:w="846" w:type="dxa"/>
            <w:vAlign w:val="center"/>
          </w:tcPr>
          <w:p w14:paraId="67A6E2AB">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839" w:type="dxa"/>
            <w:vAlign w:val="center"/>
          </w:tcPr>
          <w:p w14:paraId="115EAC24">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1225" w:type="dxa"/>
            <w:vAlign w:val="center"/>
          </w:tcPr>
          <w:p w14:paraId="7FDE8D76">
            <w:pPr>
              <w:widowControl/>
              <w:jc w:val="center"/>
              <w:rPr>
                <w:rFonts w:ascii="宋体" w:hAnsi="宋体" w:cs="宋体"/>
                <w:color w:val="auto"/>
                <w:kern w:val="0"/>
                <w:sz w:val="21"/>
                <w:szCs w:val="21"/>
                <w:highlight w:val="none"/>
              </w:rPr>
            </w:pPr>
          </w:p>
        </w:tc>
        <w:tc>
          <w:tcPr>
            <w:tcW w:w="1226" w:type="dxa"/>
            <w:vAlign w:val="center"/>
          </w:tcPr>
          <w:p w14:paraId="4B07E7AE">
            <w:pPr>
              <w:widowControl/>
              <w:jc w:val="center"/>
              <w:rPr>
                <w:rFonts w:ascii="宋体" w:hAnsi="宋体" w:cs="宋体"/>
                <w:color w:val="auto"/>
                <w:kern w:val="0"/>
                <w:sz w:val="21"/>
                <w:szCs w:val="21"/>
                <w:highlight w:val="none"/>
              </w:rPr>
            </w:pPr>
          </w:p>
        </w:tc>
      </w:tr>
      <w:tr w14:paraId="79D0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6A0F5763">
            <w:pPr>
              <w:widowControl/>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69</w:t>
            </w:r>
          </w:p>
        </w:tc>
        <w:tc>
          <w:tcPr>
            <w:tcW w:w="2035" w:type="dxa"/>
            <w:vAlign w:val="center"/>
          </w:tcPr>
          <w:p w14:paraId="783FEFFD">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出入口目标识别设备</w:t>
            </w:r>
          </w:p>
        </w:tc>
        <w:tc>
          <w:tcPr>
            <w:tcW w:w="1282" w:type="dxa"/>
            <w:vAlign w:val="center"/>
          </w:tcPr>
          <w:p w14:paraId="1408EACB">
            <w:pPr>
              <w:widowControl/>
              <w:jc w:val="center"/>
              <w:rPr>
                <w:rFonts w:hint="eastAsia" w:ascii="宋体" w:hAnsi="宋体" w:cs="宋体"/>
                <w:color w:val="auto"/>
                <w:kern w:val="0"/>
                <w:sz w:val="21"/>
                <w:szCs w:val="21"/>
                <w:highlight w:val="none"/>
              </w:rPr>
            </w:pPr>
          </w:p>
        </w:tc>
        <w:tc>
          <w:tcPr>
            <w:tcW w:w="829" w:type="dxa"/>
            <w:vAlign w:val="center"/>
          </w:tcPr>
          <w:p w14:paraId="20550BF4">
            <w:pPr>
              <w:widowControl/>
              <w:jc w:val="center"/>
              <w:rPr>
                <w:rFonts w:hint="eastAsia" w:ascii="宋体" w:hAnsi="宋体" w:cs="宋体"/>
                <w:color w:val="auto"/>
                <w:kern w:val="0"/>
                <w:sz w:val="21"/>
                <w:szCs w:val="21"/>
                <w:highlight w:val="none"/>
              </w:rPr>
            </w:pPr>
          </w:p>
        </w:tc>
        <w:tc>
          <w:tcPr>
            <w:tcW w:w="846" w:type="dxa"/>
            <w:vAlign w:val="center"/>
          </w:tcPr>
          <w:p w14:paraId="73804A70">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839" w:type="dxa"/>
            <w:vAlign w:val="center"/>
          </w:tcPr>
          <w:p w14:paraId="75525645">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1225" w:type="dxa"/>
            <w:vAlign w:val="center"/>
          </w:tcPr>
          <w:p w14:paraId="77C54118">
            <w:pPr>
              <w:widowControl/>
              <w:jc w:val="center"/>
              <w:rPr>
                <w:rFonts w:ascii="宋体" w:hAnsi="宋体" w:cs="宋体"/>
                <w:color w:val="auto"/>
                <w:kern w:val="0"/>
                <w:sz w:val="21"/>
                <w:szCs w:val="21"/>
                <w:highlight w:val="none"/>
              </w:rPr>
            </w:pPr>
          </w:p>
        </w:tc>
        <w:tc>
          <w:tcPr>
            <w:tcW w:w="1226" w:type="dxa"/>
            <w:vAlign w:val="center"/>
          </w:tcPr>
          <w:p w14:paraId="144F4E91">
            <w:pPr>
              <w:widowControl/>
              <w:jc w:val="center"/>
              <w:rPr>
                <w:rFonts w:ascii="宋体" w:hAnsi="宋体" w:cs="宋体"/>
                <w:color w:val="auto"/>
                <w:kern w:val="0"/>
                <w:sz w:val="21"/>
                <w:szCs w:val="21"/>
                <w:highlight w:val="none"/>
              </w:rPr>
            </w:pPr>
          </w:p>
        </w:tc>
      </w:tr>
      <w:tr w14:paraId="494CA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3EAA57C9">
            <w:pPr>
              <w:widowControl/>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70</w:t>
            </w:r>
          </w:p>
        </w:tc>
        <w:tc>
          <w:tcPr>
            <w:tcW w:w="2035" w:type="dxa"/>
            <w:vAlign w:val="center"/>
          </w:tcPr>
          <w:p w14:paraId="3FD2AD51">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交换机</w:t>
            </w:r>
          </w:p>
        </w:tc>
        <w:tc>
          <w:tcPr>
            <w:tcW w:w="1282" w:type="dxa"/>
            <w:vAlign w:val="center"/>
          </w:tcPr>
          <w:p w14:paraId="0F84F3F6">
            <w:pPr>
              <w:widowControl/>
              <w:jc w:val="center"/>
              <w:rPr>
                <w:rFonts w:hint="eastAsia" w:ascii="宋体" w:hAnsi="宋体" w:cs="宋体"/>
                <w:color w:val="auto"/>
                <w:kern w:val="0"/>
                <w:sz w:val="21"/>
                <w:szCs w:val="21"/>
                <w:highlight w:val="none"/>
              </w:rPr>
            </w:pPr>
          </w:p>
        </w:tc>
        <w:tc>
          <w:tcPr>
            <w:tcW w:w="829" w:type="dxa"/>
            <w:vAlign w:val="center"/>
          </w:tcPr>
          <w:p w14:paraId="30A9692E">
            <w:pPr>
              <w:widowControl/>
              <w:jc w:val="center"/>
              <w:rPr>
                <w:rFonts w:hint="eastAsia" w:ascii="宋体" w:hAnsi="宋体" w:cs="宋体"/>
                <w:color w:val="auto"/>
                <w:kern w:val="0"/>
                <w:sz w:val="21"/>
                <w:szCs w:val="21"/>
                <w:highlight w:val="none"/>
              </w:rPr>
            </w:pPr>
          </w:p>
        </w:tc>
        <w:tc>
          <w:tcPr>
            <w:tcW w:w="846" w:type="dxa"/>
            <w:vAlign w:val="center"/>
          </w:tcPr>
          <w:p w14:paraId="6A807749">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839" w:type="dxa"/>
            <w:vAlign w:val="center"/>
          </w:tcPr>
          <w:p w14:paraId="06858099">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1225" w:type="dxa"/>
            <w:vAlign w:val="center"/>
          </w:tcPr>
          <w:p w14:paraId="4A6F4924">
            <w:pPr>
              <w:widowControl/>
              <w:jc w:val="center"/>
              <w:rPr>
                <w:rFonts w:ascii="宋体" w:hAnsi="宋体" w:cs="宋体"/>
                <w:color w:val="auto"/>
                <w:kern w:val="0"/>
                <w:sz w:val="21"/>
                <w:szCs w:val="21"/>
                <w:highlight w:val="none"/>
              </w:rPr>
            </w:pPr>
          </w:p>
        </w:tc>
        <w:tc>
          <w:tcPr>
            <w:tcW w:w="1226" w:type="dxa"/>
            <w:vAlign w:val="center"/>
          </w:tcPr>
          <w:p w14:paraId="7F7CB9D1">
            <w:pPr>
              <w:widowControl/>
              <w:jc w:val="center"/>
              <w:rPr>
                <w:rFonts w:ascii="宋体" w:hAnsi="宋体" w:cs="宋体"/>
                <w:color w:val="auto"/>
                <w:kern w:val="0"/>
                <w:sz w:val="21"/>
                <w:szCs w:val="21"/>
                <w:highlight w:val="none"/>
              </w:rPr>
            </w:pPr>
          </w:p>
        </w:tc>
      </w:tr>
      <w:tr w14:paraId="4668F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68" w:type="dxa"/>
            <w:gridSpan w:val="8"/>
            <w:vAlign w:val="center"/>
          </w:tcPr>
          <w:p w14:paraId="43695DC4">
            <w:pPr>
              <w:widowControl/>
              <w:jc w:val="left"/>
              <w:rPr>
                <w:rFonts w:ascii="宋体" w:hAnsi="宋体" w:cs="宋体"/>
                <w:color w:val="auto"/>
                <w:kern w:val="0"/>
                <w:sz w:val="21"/>
                <w:szCs w:val="21"/>
                <w:highlight w:val="none"/>
              </w:rPr>
            </w:pPr>
            <w:r>
              <w:rPr>
                <w:rFonts w:hint="eastAsia" w:ascii="宋体" w:hAnsi="宋体" w:cs="宋体"/>
                <w:b/>
                <w:bCs/>
                <w:color w:val="auto"/>
                <w:sz w:val="21"/>
                <w:szCs w:val="21"/>
                <w:highlight w:val="none"/>
              </w:rPr>
              <w:t>（2F）、办案区综合布线系统</w:t>
            </w:r>
          </w:p>
        </w:tc>
      </w:tr>
      <w:tr w14:paraId="17E69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3D99844B">
            <w:pPr>
              <w:widowControl/>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71</w:t>
            </w:r>
          </w:p>
        </w:tc>
        <w:tc>
          <w:tcPr>
            <w:tcW w:w="2035" w:type="dxa"/>
            <w:vAlign w:val="center"/>
          </w:tcPr>
          <w:p w14:paraId="1F84B476">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信息插座</w:t>
            </w:r>
          </w:p>
        </w:tc>
        <w:tc>
          <w:tcPr>
            <w:tcW w:w="1282" w:type="dxa"/>
            <w:vAlign w:val="center"/>
          </w:tcPr>
          <w:p w14:paraId="1A50D023">
            <w:pPr>
              <w:widowControl/>
              <w:jc w:val="center"/>
              <w:rPr>
                <w:rFonts w:hint="eastAsia" w:ascii="宋体" w:hAnsi="宋体" w:cs="宋体"/>
                <w:color w:val="auto"/>
                <w:kern w:val="0"/>
                <w:sz w:val="21"/>
                <w:szCs w:val="21"/>
                <w:highlight w:val="none"/>
              </w:rPr>
            </w:pPr>
          </w:p>
        </w:tc>
        <w:tc>
          <w:tcPr>
            <w:tcW w:w="829" w:type="dxa"/>
            <w:vAlign w:val="center"/>
          </w:tcPr>
          <w:p w14:paraId="2D97CFC5">
            <w:pPr>
              <w:widowControl/>
              <w:jc w:val="center"/>
              <w:rPr>
                <w:rFonts w:hint="eastAsia" w:ascii="宋体" w:hAnsi="宋体" w:cs="宋体"/>
                <w:color w:val="auto"/>
                <w:kern w:val="0"/>
                <w:sz w:val="21"/>
                <w:szCs w:val="21"/>
                <w:highlight w:val="none"/>
              </w:rPr>
            </w:pPr>
          </w:p>
        </w:tc>
        <w:tc>
          <w:tcPr>
            <w:tcW w:w="846" w:type="dxa"/>
            <w:vAlign w:val="center"/>
          </w:tcPr>
          <w:p w14:paraId="5D54C7DE">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839" w:type="dxa"/>
            <w:vAlign w:val="center"/>
          </w:tcPr>
          <w:p w14:paraId="7168081C">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1225" w:type="dxa"/>
            <w:vAlign w:val="center"/>
          </w:tcPr>
          <w:p w14:paraId="58796B9B">
            <w:pPr>
              <w:widowControl/>
              <w:jc w:val="center"/>
              <w:rPr>
                <w:rFonts w:ascii="宋体" w:hAnsi="宋体" w:cs="宋体"/>
                <w:color w:val="auto"/>
                <w:kern w:val="0"/>
                <w:sz w:val="21"/>
                <w:szCs w:val="21"/>
                <w:highlight w:val="none"/>
              </w:rPr>
            </w:pPr>
          </w:p>
        </w:tc>
        <w:tc>
          <w:tcPr>
            <w:tcW w:w="1226" w:type="dxa"/>
            <w:vAlign w:val="center"/>
          </w:tcPr>
          <w:p w14:paraId="172415FC">
            <w:pPr>
              <w:widowControl/>
              <w:jc w:val="center"/>
              <w:rPr>
                <w:rFonts w:ascii="宋体" w:hAnsi="宋体" w:cs="宋体"/>
                <w:color w:val="auto"/>
                <w:kern w:val="0"/>
                <w:sz w:val="21"/>
                <w:szCs w:val="21"/>
                <w:highlight w:val="none"/>
              </w:rPr>
            </w:pPr>
          </w:p>
        </w:tc>
      </w:tr>
      <w:tr w14:paraId="5CDF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7F0B8A99">
            <w:pPr>
              <w:widowControl/>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72</w:t>
            </w:r>
          </w:p>
        </w:tc>
        <w:tc>
          <w:tcPr>
            <w:tcW w:w="2035" w:type="dxa"/>
            <w:vAlign w:val="center"/>
          </w:tcPr>
          <w:p w14:paraId="0E2E0C4C">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信息插座</w:t>
            </w:r>
          </w:p>
        </w:tc>
        <w:tc>
          <w:tcPr>
            <w:tcW w:w="1282" w:type="dxa"/>
            <w:vAlign w:val="center"/>
          </w:tcPr>
          <w:p w14:paraId="33558FA3">
            <w:pPr>
              <w:widowControl/>
              <w:jc w:val="center"/>
              <w:rPr>
                <w:rFonts w:hint="eastAsia" w:ascii="宋体" w:hAnsi="宋体" w:cs="宋体"/>
                <w:color w:val="auto"/>
                <w:kern w:val="0"/>
                <w:sz w:val="21"/>
                <w:szCs w:val="21"/>
                <w:highlight w:val="none"/>
              </w:rPr>
            </w:pPr>
          </w:p>
        </w:tc>
        <w:tc>
          <w:tcPr>
            <w:tcW w:w="829" w:type="dxa"/>
            <w:vAlign w:val="center"/>
          </w:tcPr>
          <w:p w14:paraId="15A696FF">
            <w:pPr>
              <w:widowControl/>
              <w:jc w:val="center"/>
              <w:rPr>
                <w:rFonts w:hint="eastAsia" w:ascii="宋体" w:hAnsi="宋体" w:cs="宋体"/>
                <w:color w:val="auto"/>
                <w:kern w:val="0"/>
                <w:sz w:val="21"/>
                <w:szCs w:val="21"/>
                <w:highlight w:val="none"/>
              </w:rPr>
            </w:pPr>
          </w:p>
        </w:tc>
        <w:tc>
          <w:tcPr>
            <w:tcW w:w="846" w:type="dxa"/>
            <w:vAlign w:val="center"/>
          </w:tcPr>
          <w:p w14:paraId="61ABAB76">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839" w:type="dxa"/>
            <w:vAlign w:val="center"/>
          </w:tcPr>
          <w:p w14:paraId="2317E841">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1225" w:type="dxa"/>
            <w:vAlign w:val="center"/>
          </w:tcPr>
          <w:p w14:paraId="6BDE5D5A">
            <w:pPr>
              <w:widowControl/>
              <w:jc w:val="center"/>
              <w:rPr>
                <w:rFonts w:ascii="宋体" w:hAnsi="宋体" w:cs="宋体"/>
                <w:color w:val="auto"/>
                <w:kern w:val="0"/>
                <w:sz w:val="21"/>
                <w:szCs w:val="21"/>
                <w:highlight w:val="none"/>
              </w:rPr>
            </w:pPr>
          </w:p>
        </w:tc>
        <w:tc>
          <w:tcPr>
            <w:tcW w:w="1226" w:type="dxa"/>
            <w:vAlign w:val="center"/>
          </w:tcPr>
          <w:p w14:paraId="20BD9094">
            <w:pPr>
              <w:widowControl/>
              <w:jc w:val="center"/>
              <w:rPr>
                <w:rFonts w:ascii="宋体" w:hAnsi="宋体" w:cs="宋体"/>
                <w:color w:val="auto"/>
                <w:kern w:val="0"/>
                <w:sz w:val="21"/>
                <w:szCs w:val="21"/>
                <w:highlight w:val="none"/>
              </w:rPr>
            </w:pPr>
          </w:p>
        </w:tc>
      </w:tr>
      <w:tr w14:paraId="29501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7F066285">
            <w:pPr>
              <w:widowControl/>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73</w:t>
            </w:r>
          </w:p>
        </w:tc>
        <w:tc>
          <w:tcPr>
            <w:tcW w:w="2035" w:type="dxa"/>
            <w:vAlign w:val="center"/>
          </w:tcPr>
          <w:p w14:paraId="6F744584">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信息插座</w:t>
            </w:r>
          </w:p>
        </w:tc>
        <w:tc>
          <w:tcPr>
            <w:tcW w:w="1282" w:type="dxa"/>
            <w:vAlign w:val="center"/>
          </w:tcPr>
          <w:p w14:paraId="28A26E8E">
            <w:pPr>
              <w:widowControl/>
              <w:jc w:val="center"/>
              <w:rPr>
                <w:rFonts w:hint="eastAsia" w:ascii="宋体" w:hAnsi="宋体" w:cs="宋体"/>
                <w:color w:val="auto"/>
                <w:kern w:val="0"/>
                <w:sz w:val="21"/>
                <w:szCs w:val="21"/>
                <w:highlight w:val="none"/>
              </w:rPr>
            </w:pPr>
          </w:p>
        </w:tc>
        <w:tc>
          <w:tcPr>
            <w:tcW w:w="829" w:type="dxa"/>
            <w:vAlign w:val="center"/>
          </w:tcPr>
          <w:p w14:paraId="1737F928">
            <w:pPr>
              <w:widowControl/>
              <w:jc w:val="center"/>
              <w:rPr>
                <w:rFonts w:hint="eastAsia" w:ascii="宋体" w:hAnsi="宋体" w:cs="宋体"/>
                <w:color w:val="auto"/>
                <w:kern w:val="0"/>
                <w:sz w:val="21"/>
                <w:szCs w:val="21"/>
                <w:highlight w:val="none"/>
              </w:rPr>
            </w:pPr>
          </w:p>
        </w:tc>
        <w:tc>
          <w:tcPr>
            <w:tcW w:w="846" w:type="dxa"/>
            <w:vAlign w:val="center"/>
          </w:tcPr>
          <w:p w14:paraId="63BDB5B9">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839" w:type="dxa"/>
            <w:vAlign w:val="center"/>
          </w:tcPr>
          <w:p w14:paraId="15BF2B63">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1225" w:type="dxa"/>
            <w:vAlign w:val="center"/>
          </w:tcPr>
          <w:p w14:paraId="609B8633">
            <w:pPr>
              <w:widowControl/>
              <w:jc w:val="center"/>
              <w:rPr>
                <w:rFonts w:ascii="宋体" w:hAnsi="宋体" w:cs="宋体"/>
                <w:color w:val="auto"/>
                <w:kern w:val="0"/>
                <w:sz w:val="21"/>
                <w:szCs w:val="21"/>
                <w:highlight w:val="none"/>
              </w:rPr>
            </w:pPr>
          </w:p>
        </w:tc>
        <w:tc>
          <w:tcPr>
            <w:tcW w:w="1226" w:type="dxa"/>
            <w:vAlign w:val="center"/>
          </w:tcPr>
          <w:p w14:paraId="3BC43C9A">
            <w:pPr>
              <w:widowControl/>
              <w:jc w:val="center"/>
              <w:rPr>
                <w:rFonts w:ascii="宋体" w:hAnsi="宋体" w:cs="宋体"/>
                <w:color w:val="auto"/>
                <w:kern w:val="0"/>
                <w:sz w:val="21"/>
                <w:szCs w:val="21"/>
                <w:highlight w:val="none"/>
              </w:rPr>
            </w:pPr>
          </w:p>
        </w:tc>
      </w:tr>
      <w:tr w14:paraId="13AEC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33BA4987">
            <w:pPr>
              <w:widowControl/>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74</w:t>
            </w:r>
          </w:p>
        </w:tc>
        <w:tc>
          <w:tcPr>
            <w:tcW w:w="2035" w:type="dxa"/>
            <w:vAlign w:val="center"/>
          </w:tcPr>
          <w:p w14:paraId="7E18456A">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信息插座</w:t>
            </w:r>
          </w:p>
        </w:tc>
        <w:tc>
          <w:tcPr>
            <w:tcW w:w="1282" w:type="dxa"/>
            <w:vAlign w:val="center"/>
          </w:tcPr>
          <w:p w14:paraId="586DBA2E">
            <w:pPr>
              <w:widowControl/>
              <w:jc w:val="center"/>
              <w:rPr>
                <w:rFonts w:hint="eastAsia" w:ascii="宋体" w:hAnsi="宋体" w:cs="宋体"/>
                <w:color w:val="auto"/>
                <w:kern w:val="0"/>
                <w:sz w:val="21"/>
                <w:szCs w:val="21"/>
                <w:highlight w:val="none"/>
              </w:rPr>
            </w:pPr>
          </w:p>
        </w:tc>
        <w:tc>
          <w:tcPr>
            <w:tcW w:w="829" w:type="dxa"/>
            <w:vAlign w:val="center"/>
          </w:tcPr>
          <w:p w14:paraId="47C166ED">
            <w:pPr>
              <w:widowControl/>
              <w:jc w:val="center"/>
              <w:rPr>
                <w:rFonts w:hint="eastAsia" w:ascii="宋体" w:hAnsi="宋体" w:cs="宋体"/>
                <w:color w:val="auto"/>
                <w:kern w:val="0"/>
                <w:sz w:val="21"/>
                <w:szCs w:val="21"/>
                <w:highlight w:val="none"/>
              </w:rPr>
            </w:pPr>
          </w:p>
        </w:tc>
        <w:tc>
          <w:tcPr>
            <w:tcW w:w="846" w:type="dxa"/>
            <w:vAlign w:val="center"/>
          </w:tcPr>
          <w:p w14:paraId="4AF59A8B">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57</w:t>
            </w:r>
          </w:p>
        </w:tc>
        <w:tc>
          <w:tcPr>
            <w:tcW w:w="839" w:type="dxa"/>
            <w:vAlign w:val="center"/>
          </w:tcPr>
          <w:p w14:paraId="51264C2B">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1225" w:type="dxa"/>
            <w:vAlign w:val="center"/>
          </w:tcPr>
          <w:p w14:paraId="78773C54">
            <w:pPr>
              <w:widowControl/>
              <w:jc w:val="center"/>
              <w:rPr>
                <w:rFonts w:ascii="宋体" w:hAnsi="宋体" w:cs="宋体"/>
                <w:color w:val="auto"/>
                <w:kern w:val="0"/>
                <w:sz w:val="21"/>
                <w:szCs w:val="21"/>
                <w:highlight w:val="none"/>
              </w:rPr>
            </w:pPr>
          </w:p>
        </w:tc>
        <w:tc>
          <w:tcPr>
            <w:tcW w:w="1226" w:type="dxa"/>
            <w:vAlign w:val="center"/>
          </w:tcPr>
          <w:p w14:paraId="009E16F3">
            <w:pPr>
              <w:widowControl/>
              <w:jc w:val="center"/>
              <w:rPr>
                <w:rFonts w:ascii="宋体" w:hAnsi="宋体" w:cs="宋体"/>
                <w:color w:val="auto"/>
                <w:kern w:val="0"/>
                <w:sz w:val="21"/>
                <w:szCs w:val="21"/>
                <w:highlight w:val="none"/>
              </w:rPr>
            </w:pPr>
          </w:p>
        </w:tc>
      </w:tr>
      <w:tr w14:paraId="3172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2C52CFD2">
            <w:pPr>
              <w:widowControl/>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75</w:t>
            </w:r>
          </w:p>
        </w:tc>
        <w:tc>
          <w:tcPr>
            <w:tcW w:w="2035" w:type="dxa"/>
            <w:vAlign w:val="center"/>
          </w:tcPr>
          <w:p w14:paraId="4D96D9C7">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信息插座</w:t>
            </w:r>
          </w:p>
        </w:tc>
        <w:tc>
          <w:tcPr>
            <w:tcW w:w="1282" w:type="dxa"/>
            <w:vAlign w:val="center"/>
          </w:tcPr>
          <w:p w14:paraId="5C2E5226">
            <w:pPr>
              <w:widowControl/>
              <w:jc w:val="center"/>
              <w:rPr>
                <w:rFonts w:hint="eastAsia" w:ascii="宋体" w:hAnsi="宋体" w:cs="宋体"/>
                <w:color w:val="auto"/>
                <w:kern w:val="0"/>
                <w:sz w:val="21"/>
                <w:szCs w:val="21"/>
                <w:highlight w:val="none"/>
              </w:rPr>
            </w:pPr>
          </w:p>
        </w:tc>
        <w:tc>
          <w:tcPr>
            <w:tcW w:w="829" w:type="dxa"/>
            <w:vAlign w:val="center"/>
          </w:tcPr>
          <w:p w14:paraId="24265CD0">
            <w:pPr>
              <w:widowControl/>
              <w:jc w:val="center"/>
              <w:rPr>
                <w:rFonts w:hint="eastAsia" w:ascii="宋体" w:hAnsi="宋体" w:cs="宋体"/>
                <w:color w:val="auto"/>
                <w:kern w:val="0"/>
                <w:sz w:val="21"/>
                <w:szCs w:val="21"/>
                <w:highlight w:val="none"/>
              </w:rPr>
            </w:pPr>
          </w:p>
        </w:tc>
        <w:tc>
          <w:tcPr>
            <w:tcW w:w="846" w:type="dxa"/>
            <w:vAlign w:val="center"/>
          </w:tcPr>
          <w:p w14:paraId="61C2F5AB">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22</w:t>
            </w:r>
          </w:p>
        </w:tc>
        <w:tc>
          <w:tcPr>
            <w:tcW w:w="839" w:type="dxa"/>
            <w:vAlign w:val="center"/>
          </w:tcPr>
          <w:p w14:paraId="3645F590">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1225" w:type="dxa"/>
            <w:vAlign w:val="center"/>
          </w:tcPr>
          <w:p w14:paraId="653F7A10">
            <w:pPr>
              <w:widowControl/>
              <w:jc w:val="center"/>
              <w:rPr>
                <w:rFonts w:ascii="宋体" w:hAnsi="宋体" w:cs="宋体"/>
                <w:color w:val="auto"/>
                <w:kern w:val="0"/>
                <w:sz w:val="21"/>
                <w:szCs w:val="21"/>
                <w:highlight w:val="none"/>
              </w:rPr>
            </w:pPr>
          </w:p>
        </w:tc>
        <w:tc>
          <w:tcPr>
            <w:tcW w:w="1226" w:type="dxa"/>
            <w:vAlign w:val="center"/>
          </w:tcPr>
          <w:p w14:paraId="047C80F3">
            <w:pPr>
              <w:widowControl/>
              <w:jc w:val="center"/>
              <w:rPr>
                <w:rFonts w:ascii="宋体" w:hAnsi="宋体" w:cs="宋体"/>
                <w:color w:val="auto"/>
                <w:kern w:val="0"/>
                <w:sz w:val="21"/>
                <w:szCs w:val="21"/>
                <w:highlight w:val="none"/>
              </w:rPr>
            </w:pPr>
          </w:p>
        </w:tc>
      </w:tr>
      <w:tr w14:paraId="7F657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4AE3F530">
            <w:pPr>
              <w:widowControl/>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76</w:t>
            </w:r>
          </w:p>
        </w:tc>
        <w:tc>
          <w:tcPr>
            <w:tcW w:w="2035" w:type="dxa"/>
            <w:vAlign w:val="center"/>
          </w:tcPr>
          <w:p w14:paraId="23D674F7">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信息插座</w:t>
            </w:r>
          </w:p>
        </w:tc>
        <w:tc>
          <w:tcPr>
            <w:tcW w:w="1282" w:type="dxa"/>
            <w:vAlign w:val="center"/>
          </w:tcPr>
          <w:p w14:paraId="10974A0D">
            <w:pPr>
              <w:widowControl/>
              <w:jc w:val="center"/>
              <w:rPr>
                <w:rFonts w:hint="eastAsia" w:ascii="宋体" w:hAnsi="宋体" w:cs="宋体"/>
                <w:color w:val="auto"/>
                <w:kern w:val="0"/>
                <w:sz w:val="21"/>
                <w:szCs w:val="21"/>
                <w:highlight w:val="none"/>
              </w:rPr>
            </w:pPr>
          </w:p>
        </w:tc>
        <w:tc>
          <w:tcPr>
            <w:tcW w:w="829" w:type="dxa"/>
            <w:vAlign w:val="center"/>
          </w:tcPr>
          <w:p w14:paraId="044DD6CC">
            <w:pPr>
              <w:widowControl/>
              <w:jc w:val="center"/>
              <w:rPr>
                <w:rFonts w:hint="eastAsia" w:ascii="宋体" w:hAnsi="宋体" w:cs="宋体"/>
                <w:color w:val="auto"/>
                <w:kern w:val="0"/>
                <w:sz w:val="21"/>
                <w:szCs w:val="21"/>
                <w:highlight w:val="none"/>
              </w:rPr>
            </w:pPr>
          </w:p>
        </w:tc>
        <w:tc>
          <w:tcPr>
            <w:tcW w:w="846" w:type="dxa"/>
            <w:vAlign w:val="center"/>
          </w:tcPr>
          <w:p w14:paraId="0F609A30">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102</w:t>
            </w:r>
          </w:p>
        </w:tc>
        <w:tc>
          <w:tcPr>
            <w:tcW w:w="839" w:type="dxa"/>
            <w:vAlign w:val="center"/>
          </w:tcPr>
          <w:p w14:paraId="74AE0042">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1225" w:type="dxa"/>
            <w:vAlign w:val="center"/>
          </w:tcPr>
          <w:p w14:paraId="67D58193">
            <w:pPr>
              <w:widowControl/>
              <w:jc w:val="center"/>
              <w:rPr>
                <w:rFonts w:ascii="宋体" w:hAnsi="宋体" w:cs="宋体"/>
                <w:color w:val="auto"/>
                <w:kern w:val="0"/>
                <w:sz w:val="21"/>
                <w:szCs w:val="21"/>
                <w:highlight w:val="none"/>
              </w:rPr>
            </w:pPr>
          </w:p>
        </w:tc>
        <w:tc>
          <w:tcPr>
            <w:tcW w:w="1226" w:type="dxa"/>
            <w:vAlign w:val="center"/>
          </w:tcPr>
          <w:p w14:paraId="2833E6ED">
            <w:pPr>
              <w:widowControl/>
              <w:jc w:val="center"/>
              <w:rPr>
                <w:rFonts w:ascii="宋体" w:hAnsi="宋体" w:cs="宋体"/>
                <w:color w:val="auto"/>
                <w:kern w:val="0"/>
                <w:sz w:val="21"/>
                <w:szCs w:val="21"/>
                <w:highlight w:val="none"/>
              </w:rPr>
            </w:pPr>
          </w:p>
        </w:tc>
      </w:tr>
      <w:tr w14:paraId="1892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20DAC058">
            <w:pPr>
              <w:widowControl/>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77</w:t>
            </w:r>
          </w:p>
        </w:tc>
        <w:tc>
          <w:tcPr>
            <w:tcW w:w="2035" w:type="dxa"/>
            <w:vAlign w:val="center"/>
          </w:tcPr>
          <w:p w14:paraId="7CFC974C">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信息插座</w:t>
            </w:r>
          </w:p>
        </w:tc>
        <w:tc>
          <w:tcPr>
            <w:tcW w:w="1282" w:type="dxa"/>
            <w:vAlign w:val="center"/>
          </w:tcPr>
          <w:p w14:paraId="367A6181">
            <w:pPr>
              <w:widowControl/>
              <w:jc w:val="center"/>
              <w:rPr>
                <w:rFonts w:hint="eastAsia" w:ascii="宋体" w:hAnsi="宋体" w:cs="宋体"/>
                <w:color w:val="auto"/>
                <w:kern w:val="0"/>
                <w:sz w:val="21"/>
                <w:szCs w:val="21"/>
                <w:highlight w:val="none"/>
              </w:rPr>
            </w:pPr>
          </w:p>
        </w:tc>
        <w:tc>
          <w:tcPr>
            <w:tcW w:w="829" w:type="dxa"/>
            <w:vAlign w:val="center"/>
          </w:tcPr>
          <w:p w14:paraId="2EE6DB6A">
            <w:pPr>
              <w:widowControl/>
              <w:jc w:val="center"/>
              <w:rPr>
                <w:rFonts w:hint="eastAsia" w:ascii="宋体" w:hAnsi="宋体" w:cs="宋体"/>
                <w:color w:val="auto"/>
                <w:kern w:val="0"/>
                <w:sz w:val="21"/>
                <w:szCs w:val="21"/>
                <w:highlight w:val="none"/>
              </w:rPr>
            </w:pPr>
          </w:p>
        </w:tc>
        <w:tc>
          <w:tcPr>
            <w:tcW w:w="846" w:type="dxa"/>
            <w:vAlign w:val="center"/>
          </w:tcPr>
          <w:p w14:paraId="2D1B59DF">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59</w:t>
            </w:r>
          </w:p>
        </w:tc>
        <w:tc>
          <w:tcPr>
            <w:tcW w:w="839" w:type="dxa"/>
            <w:vAlign w:val="center"/>
          </w:tcPr>
          <w:p w14:paraId="4E9E116F">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1225" w:type="dxa"/>
            <w:vAlign w:val="center"/>
          </w:tcPr>
          <w:p w14:paraId="4305AFA0">
            <w:pPr>
              <w:widowControl/>
              <w:jc w:val="center"/>
              <w:rPr>
                <w:rFonts w:ascii="宋体" w:hAnsi="宋体" w:cs="宋体"/>
                <w:color w:val="auto"/>
                <w:kern w:val="0"/>
                <w:sz w:val="21"/>
                <w:szCs w:val="21"/>
                <w:highlight w:val="none"/>
              </w:rPr>
            </w:pPr>
          </w:p>
        </w:tc>
        <w:tc>
          <w:tcPr>
            <w:tcW w:w="1226" w:type="dxa"/>
            <w:vAlign w:val="center"/>
          </w:tcPr>
          <w:p w14:paraId="176A14F1">
            <w:pPr>
              <w:widowControl/>
              <w:jc w:val="center"/>
              <w:rPr>
                <w:rFonts w:ascii="宋体" w:hAnsi="宋体" w:cs="宋体"/>
                <w:color w:val="auto"/>
                <w:kern w:val="0"/>
                <w:sz w:val="21"/>
                <w:szCs w:val="21"/>
                <w:highlight w:val="none"/>
              </w:rPr>
            </w:pPr>
          </w:p>
        </w:tc>
      </w:tr>
      <w:tr w14:paraId="7A676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02224568">
            <w:pPr>
              <w:widowControl/>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78</w:t>
            </w:r>
          </w:p>
        </w:tc>
        <w:tc>
          <w:tcPr>
            <w:tcW w:w="2035" w:type="dxa"/>
            <w:vAlign w:val="center"/>
          </w:tcPr>
          <w:p w14:paraId="043A62ED">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交换机</w:t>
            </w:r>
          </w:p>
        </w:tc>
        <w:tc>
          <w:tcPr>
            <w:tcW w:w="1282" w:type="dxa"/>
            <w:vAlign w:val="center"/>
          </w:tcPr>
          <w:p w14:paraId="44BA23C9">
            <w:pPr>
              <w:widowControl/>
              <w:jc w:val="center"/>
              <w:rPr>
                <w:rFonts w:hint="eastAsia" w:ascii="宋体" w:hAnsi="宋体" w:cs="宋体"/>
                <w:color w:val="auto"/>
                <w:kern w:val="0"/>
                <w:sz w:val="21"/>
                <w:szCs w:val="21"/>
                <w:highlight w:val="none"/>
              </w:rPr>
            </w:pPr>
          </w:p>
        </w:tc>
        <w:tc>
          <w:tcPr>
            <w:tcW w:w="829" w:type="dxa"/>
            <w:vAlign w:val="center"/>
          </w:tcPr>
          <w:p w14:paraId="6944513D">
            <w:pPr>
              <w:widowControl/>
              <w:jc w:val="center"/>
              <w:rPr>
                <w:rFonts w:hint="eastAsia" w:ascii="宋体" w:hAnsi="宋体" w:cs="宋体"/>
                <w:color w:val="auto"/>
                <w:kern w:val="0"/>
                <w:sz w:val="21"/>
                <w:szCs w:val="21"/>
                <w:highlight w:val="none"/>
              </w:rPr>
            </w:pPr>
          </w:p>
        </w:tc>
        <w:tc>
          <w:tcPr>
            <w:tcW w:w="846" w:type="dxa"/>
            <w:vAlign w:val="center"/>
          </w:tcPr>
          <w:p w14:paraId="05A66484">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839" w:type="dxa"/>
            <w:vAlign w:val="center"/>
          </w:tcPr>
          <w:p w14:paraId="127778C5">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1225" w:type="dxa"/>
            <w:vAlign w:val="center"/>
          </w:tcPr>
          <w:p w14:paraId="73ED005E">
            <w:pPr>
              <w:widowControl/>
              <w:jc w:val="center"/>
              <w:rPr>
                <w:rFonts w:ascii="宋体" w:hAnsi="宋体" w:cs="宋体"/>
                <w:color w:val="auto"/>
                <w:kern w:val="0"/>
                <w:sz w:val="21"/>
                <w:szCs w:val="21"/>
                <w:highlight w:val="none"/>
              </w:rPr>
            </w:pPr>
          </w:p>
        </w:tc>
        <w:tc>
          <w:tcPr>
            <w:tcW w:w="1226" w:type="dxa"/>
            <w:vAlign w:val="center"/>
          </w:tcPr>
          <w:p w14:paraId="6D004277">
            <w:pPr>
              <w:widowControl/>
              <w:jc w:val="center"/>
              <w:rPr>
                <w:rFonts w:ascii="宋体" w:hAnsi="宋体" w:cs="宋体"/>
                <w:color w:val="auto"/>
                <w:kern w:val="0"/>
                <w:sz w:val="21"/>
                <w:szCs w:val="21"/>
                <w:highlight w:val="none"/>
              </w:rPr>
            </w:pPr>
          </w:p>
        </w:tc>
      </w:tr>
      <w:tr w14:paraId="44A08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69361E82">
            <w:pPr>
              <w:widowControl/>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79</w:t>
            </w:r>
          </w:p>
        </w:tc>
        <w:tc>
          <w:tcPr>
            <w:tcW w:w="2035" w:type="dxa"/>
            <w:vAlign w:val="center"/>
          </w:tcPr>
          <w:p w14:paraId="146C6F3C">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配线架</w:t>
            </w:r>
          </w:p>
        </w:tc>
        <w:tc>
          <w:tcPr>
            <w:tcW w:w="1282" w:type="dxa"/>
            <w:vAlign w:val="center"/>
          </w:tcPr>
          <w:p w14:paraId="06A5F179">
            <w:pPr>
              <w:widowControl/>
              <w:jc w:val="center"/>
              <w:rPr>
                <w:rFonts w:hint="eastAsia" w:ascii="宋体" w:hAnsi="宋体" w:cs="宋体"/>
                <w:color w:val="auto"/>
                <w:kern w:val="0"/>
                <w:sz w:val="21"/>
                <w:szCs w:val="21"/>
                <w:highlight w:val="none"/>
              </w:rPr>
            </w:pPr>
          </w:p>
        </w:tc>
        <w:tc>
          <w:tcPr>
            <w:tcW w:w="829" w:type="dxa"/>
            <w:vAlign w:val="center"/>
          </w:tcPr>
          <w:p w14:paraId="2ED1F2C3">
            <w:pPr>
              <w:widowControl/>
              <w:jc w:val="center"/>
              <w:rPr>
                <w:rFonts w:hint="eastAsia" w:ascii="宋体" w:hAnsi="宋体" w:cs="宋体"/>
                <w:color w:val="auto"/>
                <w:kern w:val="0"/>
                <w:sz w:val="21"/>
                <w:szCs w:val="21"/>
                <w:highlight w:val="none"/>
              </w:rPr>
            </w:pPr>
          </w:p>
        </w:tc>
        <w:tc>
          <w:tcPr>
            <w:tcW w:w="846" w:type="dxa"/>
            <w:vAlign w:val="center"/>
          </w:tcPr>
          <w:p w14:paraId="4A773404">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839" w:type="dxa"/>
            <w:vAlign w:val="center"/>
          </w:tcPr>
          <w:p w14:paraId="408E16D5">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架</w:t>
            </w:r>
          </w:p>
        </w:tc>
        <w:tc>
          <w:tcPr>
            <w:tcW w:w="1225" w:type="dxa"/>
            <w:vAlign w:val="center"/>
          </w:tcPr>
          <w:p w14:paraId="59A60987">
            <w:pPr>
              <w:widowControl/>
              <w:jc w:val="center"/>
              <w:rPr>
                <w:rFonts w:ascii="宋体" w:hAnsi="宋体" w:cs="宋体"/>
                <w:color w:val="auto"/>
                <w:kern w:val="0"/>
                <w:sz w:val="21"/>
                <w:szCs w:val="21"/>
                <w:highlight w:val="none"/>
              </w:rPr>
            </w:pPr>
          </w:p>
        </w:tc>
        <w:tc>
          <w:tcPr>
            <w:tcW w:w="1226" w:type="dxa"/>
            <w:vAlign w:val="center"/>
          </w:tcPr>
          <w:p w14:paraId="4825B91C">
            <w:pPr>
              <w:widowControl/>
              <w:jc w:val="center"/>
              <w:rPr>
                <w:rFonts w:ascii="宋体" w:hAnsi="宋体" w:cs="宋体"/>
                <w:color w:val="auto"/>
                <w:kern w:val="0"/>
                <w:sz w:val="21"/>
                <w:szCs w:val="21"/>
                <w:highlight w:val="none"/>
              </w:rPr>
            </w:pPr>
          </w:p>
        </w:tc>
      </w:tr>
      <w:tr w14:paraId="0930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622F8E61">
            <w:pPr>
              <w:widowControl/>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80</w:t>
            </w:r>
          </w:p>
        </w:tc>
        <w:tc>
          <w:tcPr>
            <w:tcW w:w="2035" w:type="dxa"/>
            <w:vAlign w:val="center"/>
          </w:tcPr>
          <w:p w14:paraId="7DA305CE">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配线架</w:t>
            </w:r>
          </w:p>
        </w:tc>
        <w:tc>
          <w:tcPr>
            <w:tcW w:w="1282" w:type="dxa"/>
            <w:vAlign w:val="center"/>
          </w:tcPr>
          <w:p w14:paraId="1DFC63EA">
            <w:pPr>
              <w:widowControl/>
              <w:jc w:val="center"/>
              <w:rPr>
                <w:rFonts w:hint="eastAsia" w:ascii="宋体" w:hAnsi="宋体" w:cs="宋体"/>
                <w:color w:val="auto"/>
                <w:kern w:val="0"/>
                <w:sz w:val="21"/>
                <w:szCs w:val="21"/>
                <w:highlight w:val="none"/>
              </w:rPr>
            </w:pPr>
          </w:p>
        </w:tc>
        <w:tc>
          <w:tcPr>
            <w:tcW w:w="829" w:type="dxa"/>
            <w:vAlign w:val="center"/>
          </w:tcPr>
          <w:p w14:paraId="6AD72E37">
            <w:pPr>
              <w:widowControl/>
              <w:jc w:val="center"/>
              <w:rPr>
                <w:rFonts w:hint="eastAsia" w:ascii="宋体" w:hAnsi="宋体" w:cs="宋体"/>
                <w:color w:val="auto"/>
                <w:kern w:val="0"/>
                <w:sz w:val="21"/>
                <w:szCs w:val="21"/>
                <w:highlight w:val="none"/>
              </w:rPr>
            </w:pPr>
          </w:p>
        </w:tc>
        <w:tc>
          <w:tcPr>
            <w:tcW w:w="846" w:type="dxa"/>
            <w:vAlign w:val="center"/>
          </w:tcPr>
          <w:p w14:paraId="30FF6A9C">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40</w:t>
            </w:r>
          </w:p>
        </w:tc>
        <w:tc>
          <w:tcPr>
            <w:tcW w:w="839" w:type="dxa"/>
            <w:vAlign w:val="center"/>
          </w:tcPr>
          <w:p w14:paraId="7228C270">
            <w:pPr>
              <w:widowControl/>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1225" w:type="dxa"/>
            <w:vAlign w:val="center"/>
          </w:tcPr>
          <w:p w14:paraId="46B5D4B1">
            <w:pPr>
              <w:widowControl/>
              <w:jc w:val="center"/>
              <w:rPr>
                <w:rFonts w:ascii="宋体" w:hAnsi="宋体" w:cs="宋体"/>
                <w:color w:val="auto"/>
                <w:kern w:val="0"/>
                <w:sz w:val="21"/>
                <w:szCs w:val="21"/>
                <w:highlight w:val="none"/>
              </w:rPr>
            </w:pPr>
          </w:p>
        </w:tc>
        <w:tc>
          <w:tcPr>
            <w:tcW w:w="1226" w:type="dxa"/>
            <w:vAlign w:val="center"/>
          </w:tcPr>
          <w:p w14:paraId="5DD53D9F">
            <w:pPr>
              <w:widowControl/>
              <w:jc w:val="center"/>
              <w:rPr>
                <w:rFonts w:ascii="宋体" w:hAnsi="宋体" w:cs="宋体"/>
                <w:color w:val="auto"/>
                <w:kern w:val="0"/>
                <w:sz w:val="21"/>
                <w:szCs w:val="21"/>
                <w:highlight w:val="none"/>
              </w:rPr>
            </w:pPr>
          </w:p>
        </w:tc>
      </w:tr>
      <w:tr w14:paraId="4654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6" w:type="dxa"/>
            <w:vAlign w:val="center"/>
          </w:tcPr>
          <w:p w14:paraId="1360CBCC">
            <w:pPr>
              <w:widowControl/>
              <w:jc w:val="center"/>
              <w:rPr>
                <w:rFonts w:hint="eastAsia" w:ascii="宋体" w:hAnsi="宋体" w:cs="宋体"/>
                <w:color w:val="auto"/>
                <w:kern w:val="0"/>
                <w:sz w:val="21"/>
                <w:szCs w:val="21"/>
                <w:highlight w:val="none"/>
              </w:rPr>
            </w:pPr>
          </w:p>
        </w:tc>
        <w:tc>
          <w:tcPr>
            <w:tcW w:w="4146" w:type="dxa"/>
            <w:gridSpan w:val="3"/>
            <w:vAlign w:val="center"/>
          </w:tcPr>
          <w:p w14:paraId="038699D1">
            <w:pPr>
              <w:widowControl/>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小计</w:t>
            </w:r>
          </w:p>
        </w:tc>
        <w:tc>
          <w:tcPr>
            <w:tcW w:w="846" w:type="dxa"/>
            <w:vAlign w:val="center"/>
          </w:tcPr>
          <w:p w14:paraId="15335670">
            <w:pPr>
              <w:widowControl/>
              <w:jc w:val="center"/>
              <w:rPr>
                <w:rFonts w:hint="eastAsia" w:ascii="宋体" w:hAnsi="宋体" w:cs="宋体"/>
                <w:color w:val="auto"/>
                <w:kern w:val="0"/>
                <w:sz w:val="21"/>
                <w:szCs w:val="21"/>
                <w:highlight w:val="none"/>
              </w:rPr>
            </w:pPr>
          </w:p>
        </w:tc>
        <w:tc>
          <w:tcPr>
            <w:tcW w:w="839" w:type="dxa"/>
            <w:vAlign w:val="center"/>
          </w:tcPr>
          <w:p w14:paraId="408A82D8">
            <w:pPr>
              <w:widowControl/>
              <w:jc w:val="center"/>
              <w:rPr>
                <w:rFonts w:hint="eastAsia" w:ascii="宋体" w:hAnsi="宋体" w:cs="宋体"/>
                <w:color w:val="auto"/>
                <w:kern w:val="0"/>
                <w:sz w:val="21"/>
                <w:szCs w:val="21"/>
                <w:highlight w:val="none"/>
              </w:rPr>
            </w:pPr>
          </w:p>
        </w:tc>
        <w:tc>
          <w:tcPr>
            <w:tcW w:w="1225" w:type="dxa"/>
            <w:vAlign w:val="center"/>
          </w:tcPr>
          <w:p w14:paraId="099701B7">
            <w:pPr>
              <w:widowControl/>
              <w:jc w:val="center"/>
              <w:rPr>
                <w:rFonts w:hint="eastAsia" w:ascii="宋体" w:hAnsi="宋体" w:cs="宋体"/>
                <w:color w:val="auto"/>
                <w:kern w:val="0"/>
                <w:sz w:val="21"/>
                <w:szCs w:val="21"/>
                <w:highlight w:val="none"/>
                <w:lang w:val="en-US" w:eastAsia="zh-CN"/>
              </w:rPr>
            </w:pPr>
          </w:p>
        </w:tc>
        <w:tc>
          <w:tcPr>
            <w:tcW w:w="1226" w:type="dxa"/>
            <w:vAlign w:val="center"/>
          </w:tcPr>
          <w:p w14:paraId="13415544">
            <w:pPr>
              <w:widowControl/>
              <w:jc w:val="center"/>
              <w:rPr>
                <w:rFonts w:hint="eastAsia" w:ascii="宋体" w:hAnsi="宋体" w:cs="宋体"/>
                <w:color w:val="auto"/>
                <w:kern w:val="0"/>
                <w:sz w:val="21"/>
                <w:szCs w:val="21"/>
                <w:highlight w:val="none"/>
                <w:lang w:val="en-US" w:eastAsia="zh-CN"/>
              </w:rPr>
            </w:pPr>
          </w:p>
        </w:tc>
      </w:tr>
      <w:tr w14:paraId="1824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86" w:type="dxa"/>
            <w:vAlign w:val="center"/>
          </w:tcPr>
          <w:p w14:paraId="576A091D">
            <w:pPr>
              <w:widowControl/>
              <w:jc w:val="center"/>
              <w:rPr>
                <w:rFonts w:hint="eastAsia" w:ascii="宋体" w:hAnsi="宋体" w:cs="宋体"/>
                <w:color w:val="auto"/>
                <w:kern w:val="0"/>
                <w:sz w:val="21"/>
                <w:szCs w:val="21"/>
                <w:highlight w:val="none"/>
              </w:rPr>
            </w:pPr>
          </w:p>
        </w:tc>
        <w:tc>
          <w:tcPr>
            <w:tcW w:w="2035" w:type="dxa"/>
            <w:vAlign w:val="center"/>
          </w:tcPr>
          <w:p w14:paraId="4CB3B89D">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总合计</w:t>
            </w:r>
          </w:p>
        </w:tc>
        <w:tc>
          <w:tcPr>
            <w:tcW w:w="6247" w:type="dxa"/>
            <w:gridSpan w:val="6"/>
            <w:vAlign w:val="center"/>
          </w:tcPr>
          <w:p w14:paraId="33DF707F">
            <w:pPr>
              <w:widowControl/>
              <w:jc w:val="center"/>
              <w:rPr>
                <w:rFonts w:hint="eastAsia" w:ascii="宋体" w:hAnsi="宋体" w:cs="宋体"/>
                <w:color w:val="auto"/>
                <w:kern w:val="0"/>
                <w:sz w:val="21"/>
                <w:szCs w:val="21"/>
                <w:highlight w:val="none"/>
                <w:lang w:val="en-US" w:eastAsia="zh-CN"/>
              </w:rPr>
            </w:pPr>
          </w:p>
        </w:tc>
      </w:tr>
    </w:tbl>
    <w:p w14:paraId="4E286839">
      <w:pPr>
        <w:snapToGrid w:val="0"/>
        <w:spacing w:before="120" w:beforeLines="50" w:line="360" w:lineRule="auto"/>
        <w:jc w:val="left"/>
        <w:rPr>
          <w:rFonts w:ascii="Arial" w:hAnsi="Arial"/>
          <w:b/>
          <w:bCs/>
          <w:color w:val="auto"/>
          <w:highlight w:val="none"/>
        </w:rPr>
      </w:pPr>
    </w:p>
    <w:p w14:paraId="104FFAF9">
      <w:pPr>
        <w:snapToGrid w:val="0"/>
        <w:spacing w:before="120" w:beforeLines="50" w:line="360" w:lineRule="auto"/>
        <w:jc w:val="left"/>
        <w:rPr>
          <w:rFonts w:ascii="Arial" w:hAnsi="Arial"/>
          <w:color w:val="auto"/>
          <w:highlight w:val="none"/>
        </w:rPr>
      </w:pPr>
      <w:r>
        <w:rPr>
          <w:rFonts w:ascii="Arial" w:hAnsi="Arial"/>
          <w:b/>
          <w:bCs/>
          <w:color w:val="auto"/>
          <w:highlight w:val="none"/>
        </w:rPr>
        <w:t>注：</w:t>
      </w:r>
      <w:r>
        <w:rPr>
          <w:rFonts w:hint="eastAsia" w:ascii="Arial" w:hAnsi="Arial"/>
          <w:b w:val="0"/>
          <w:bCs w:val="0"/>
          <w:color w:val="auto"/>
          <w:highlight w:val="none"/>
          <w:lang w:val="en-US" w:eastAsia="zh-CN"/>
        </w:rPr>
        <w:t>1、</w:t>
      </w:r>
      <w:r>
        <w:rPr>
          <w:rFonts w:hint="eastAsia" w:ascii="Arial" w:hAnsi="Arial"/>
          <w:color w:val="auto"/>
          <w:highlight w:val="none"/>
          <w:lang w:eastAsia="zh-CN"/>
        </w:rPr>
        <w:t>“</w:t>
      </w:r>
      <w:r>
        <w:rPr>
          <w:rFonts w:hint="eastAsia" w:ascii="Arial" w:hAnsi="Arial"/>
          <w:color w:val="auto"/>
          <w:highlight w:val="none"/>
          <w:lang w:val="en-US" w:eastAsia="zh-CN"/>
        </w:rPr>
        <w:t>分项报价表</w:t>
      </w:r>
      <w:r>
        <w:rPr>
          <w:rFonts w:hint="eastAsia" w:ascii="Arial" w:hAnsi="Arial"/>
          <w:color w:val="auto"/>
          <w:highlight w:val="none"/>
          <w:lang w:eastAsia="zh-CN"/>
        </w:rPr>
        <w:t>”</w:t>
      </w:r>
      <w:r>
        <w:rPr>
          <w:rFonts w:hint="eastAsia" w:ascii="Arial" w:hAnsi="Arial"/>
          <w:color w:val="auto"/>
          <w:highlight w:val="none"/>
          <w:lang w:val="en-US" w:eastAsia="zh-CN"/>
        </w:rPr>
        <w:t>总价</w:t>
      </w:r>
      <w:r>
        <w:rPr>
          <w:rFonts w:ascii="Arial" w:hAnsi="Arial"/>
          <w:color w:val="auto"/>
          <w:highlight w:val="none"/>
        </w:rPr>
        <w:t>应与</w:t>
      </w:r>
      <w:r>
        <w:rPr>
          <w:rFonts w:hint="eastAsia" w:ascii="Arial" w:hAnsi="Arial"/>
          <w:color w:val="auto"/>
          <w:highlight w:val="none"/>
          <w:lang w:eastAsia="zh-CN"/>
        </w:rPr>
        <w:t>“</w:t>
      </w:r>
      <w:r>
        <w:rPr>
          <w:rFonts w:ascii="Arial" w:hAnsi="Arial"/>
          <w:color w:val="auto"/>
          <w:highlight w:val="none"/>
        </w:rPr>
        <w:t>开标一览表</w:t>
      </w:r>
      <w:r>
        <w:rPr>
          <w:rFonts w:hint="eastAsia" w:ascii="Arial" w:hAnsi="Arial"/>
          <w:color w:val="auto"/>
          <w:highlight w:val="none"/>
          <w:lang w:eastAsia="zh-CN"/>
        </w:rPr>
        <w:t>”“</w:t>
      </w:r>
      <w:r>
        <w:rPr>
          <w:rFonts w:ascii="Arial" w:hAnsi="Arial"/>
          <w:color w:val="auto"/>
          <w:highlight w:val="none"/>
        </w:rPr>
        <w:t>投标报价</w:t>
      </w:r>
      <w:r>
        <w:rPr>
          <w:rFonts w:hint="eastAsia" w:ascii="Arial" w:hAnsi="Arial"/>
          <w:color w:val="auto"/>
          <w:highlight w:val="none"/>
          <w:lang w:eastAsia="zh-CN"/>
        </w:rPr>
        <w:t>”</w:t>
      </w:r>
      <w:r>
        <w:rPr>
          <w:rFonts w:ascii="Arial" w:hAnsi="Arial"/>
          <w:color w:val="auto"/>
          <w:highlight w:val="none"/>
        </w:rPr>
        <w:t>一致。</w:t>
      </w:r>
    </w:p>
    <w:p w14:paraId="13FEC3D2">
      <w:pPr>
        <w:snapToGrid w:val="0"/>
        <w:spacing w:before="120" w:beforeLines="50" w:line="360" w:lineRule="auto"/>
        <w:ind w:firstLine="420" w:firstLineChars="200"/>
        <w:jc w:val="left"/>
        <w:rPr>
          <w:rFonts w:ascii="Arial" w:hAnsi="Arial"/>
          <w:color w:val="auto"/>
          <w:highlight w:val="none"/>
        </w:rPr>
      </w:pPr>
      <w:r>
        <w:rPr>
          <w:rFonts w:hint="eastAsia" w:ascii="Arial" w:hAnsi="Arial"/>
          <w:color w:val="auto"/>
          <w:highlight w:val="none"/>
          <w:lang w:val="en-US" w:eastAsia="zh-CN"/>
        </w:rPr>
        <w:t>2、</w:t>
      </w:r>
      <w:r>
        <w:rPr>
          <w:rFonts w:hint="eastAsia" w:ascii="Arial" w:hAnsi="Arial"/>
          <w:color w:val="auto"/>
          <w:highlight w:val="none"/>
        </w:rPr>
        <w:t>分项报价应包含第三章“技术需求”部分所有清单内容，如有缺漏，计入总价内。</w:t>
      </w:r>
    </w:p>
    <w:p w14:paraId="67514F74">
      <w:pPr>
        <w:widowControl/>
        <w:spacing w:before="240" w:beforeLines="100" w:line="360" w:lineRule="auto"/>
        <w:ind w:firstLine="420" w:firstLineChars="200"/>
        <w:jc w:val="left"/>
        <w:rPr>
          <w:color w:val="auto"/>
          <w:szCs w:val="21"/>
          <w:highlight w:val="none"/>
        </w:rPr>
      </w:pPr>
      <w:r>
        <w:rPr>
          <w:color w:val="auto"/>
          <w:szCs w:val="21"/>
          <w:highlight w:val="none"/>
        </w:rPr>
        <w:t xml:space="preserve">投 标 人  （盖章）：                  </w:t>
      </w:r>
    </w:p>
    <w:p w14:paraId="055DD90C">
      <w:pPr>
        <w:widowControl/>
        <w:spacing w:line="360" w:lineRule="auto"/>
        <w:ind w:firstLine="420" w:firstLineChars="200"/>
        <w:jc w:val="left"/>
        <w:rPr>
          <w:color w:val="auto"/>
          <w:szCs w:val="21"/>
          <w:highlight w:val="none"/>
        </w:rPr>
      </w:pPr>
      <w:r>
        <w:rPr>
          <w:color w:val="auto"/>
          <w:szCs w:val="21"/>
          <w:highlight w:val="none"/>
        </w:rPr>
        <w:t>法定代表人或其授权代表（签字或盖章）：</w:t>
      </w:r>
    </w:p>
    <w:p w14:paraId="06204F0C">
      <w:pPr>
        <w:widowControl/>
        <w:spacing w:line="360" w:lineRule="auto"/>
        <w:ind w:firstLine="420" w:firstLineChars="200"/>
        <w:jc w:val="left"/>
        <w:rPr>
          <w:color w:val="auto"/>
          <w:szCs w:val="21"/>
          <w:highlight w:val="none"/>
        </w:rPr>
      </w:pPr>
      <w:r>
        <w:rPr>
          <w:color w:val="auto"/>
          <w:szCs w:val="21"/>
          <w:highlight w:val="none"/>
        </w:rPr>
        <w:t>日  期：</w:t>
      </w:r>
    </w:p>
    <w:p w14:paraId="039F65BF">
      <w:pPr>
        <w:rPr>
          <w:color w:val="auto"/>
          <w:szCs w:val="21"/>
          <w:highlight w:val="none"/>
        </w:rPr>
      </w:pPr>
      <w:r>
        <w:rPr>
          <w:color w:val="auto"/>
          <w:szCs w:val="21"/>
          <w:highlight w:val="none"/>
        </w:rPr>
        <w:br w:type="page"/>
      </w:r>
    </w:p>
    <w:p w14:paraId="1AF5C227">
      <w:pPr>
        <w:bidi w:val="0"/>
        <w:jc w:val="left"/>
        <w:rPr>
          <w:rFonts w:ascii="Times New Roman" w:hAnsi="Times New Roman" w:eastAsia="宋体" w:cs="Times New Roman"/>
          <w:color w:val="auto"/>
          <w:kern w:val="2"/>
          <w:sz w:val="21"/>
          <w:szCs w:val="24"/>
          <w:highlight w:val="none"/>
          <w:lang w:val="en-US" w:eastAsia="zh-CN" w:bidi="ar-SA"/>
        </w:rPr>
        <w:sectPr>
          <w:headerReference r:id="rId15" w:type="default"/>
          <w:footerReference r:id="rId16" w:type="default"/>
          <w:pgSz w:w="11907" w:h="16840"/>
          <w:pgMar w:top="1276" w:right="1474" w:bottom="1242" w:left="1474" w:header="720" w:footer="720" w:gutter="0"/>
          <w:cols w:space="720" w:num="1"/>
          <w:docGrid w:linePitch="285" w:charSpace="0"/>
        </w:sectPr>
      </w:pPr>
    </w:p>
    <w:p w14:paraId="41F51464">
      <w:pPr>
        <w:jc w:val="center"/>
        <w:rPr>
          <w:b/>
          <w:bCs/>
          <w:color w:val="auto"/>
          <w:sz w:val="28"/>
          <w:szCs w:val="36"/>
          <w:highlight w:val="none"/>
        </w:rPr>
      </w:pPr>
      <w:r>
        <w:rPr>
          <w:rFonts w:hint="eastAsia"/>
          <w:b/>
          <w:bCs/>
          <w:color w:val="auto"/>
          <w:sz w:val="28"/>
          <w:szCs w:val="36"/>
          <w:highlight w:val="none"/>
        </w:rPr>
        <w:t>中小企业声明函（货物）</w:t>
      </w:r>
    </w:p>
    <w:p w14:paraId="0ED21801">
      <w:pPr>
        <w:snapToGrid w:val="0"/>
        <w:spacing w:line="360" w:lineRule="auto"/>
        <w:ind w:firstLine="420" w:firstLineChars="200"/>
        <w:rPr>
          <w:rFonts w:ascii="Arial" w:hAnsi="Arial" w:cs="宋体"/>
          <w:color w:val="auto"/>
          <w:szCs w:val="21"/>
          <w:highlight w:val="none"/>
        </w:rPr>
      </w:pPr>
    </w:p>
    <w:p w14:paraId="7584E4D4">
      <w:pPr>
        <w:snapToGrid w:val="0"/>
        <w:spacing w:line="360" w:lineRule="auto"/>
        <w:ind w:firstLine="420" w:firstLineChars="200"/>
        <w:rPr>
          <w:rFonts w:ascii="Arial" w:hAnsi="Arial" w:cs="宋体"/>
          <w:color w:val="auto"/>
          <w:szCs w:val="21"/>
          <w:highlight w:val="none"/>
        </w:rPr>
      </w:pPr>
      <w:r>
        <w:rPr>
          <w:rFonts w:hint="eastAsia" w:ascii="Arial" w:hAnsi="Arial" w:cs="宋体"/>
          <w:color w:val="auto"/>
          <w:szCs w:val="21"/>
          <w:highlight w:val="none"/>
        </w:rPr>
        <w:t xml:space="preserve">本公司（联合体）郑重声明，根据《政府采购促进中小企业发展管理办法》（财库﹝2020﹞46 号）的规定，本公司（联合体）参加 </w:t>
      </w:r>
      <w:r>
        <w:rPr>
          <w:rFonts w:hint="eastAsia" w:ascii="Arial" w:hAnsi="Arial" w:cs="宋体"/>
          <w:color w:val="auto"/>
          <w:szCs w:val="21"/>
          <w:highlight w:val="none"/>
          <w:u w:val="single"/>
        </w:rPr>
        <w:t xml:space="preserve">（采购人） </w:t>
      </w:r>
      <w:r>
        <w:rPr>
          <w:rFonts w:hint="eastAsia" w:ascii="Arial" w:hAnsi="Arial" w:cs="宋体"/>
          <w:color w:val="auto"/>
          <w:szCs w:val="21"/>
          <w:highlight w:val="none"/>
        </w:rPr>
        <w:t xml:space="preserve">的 </w:t>
      </w:r>
      <w:r>
        <w:rPr>
          <w:rFonts w:hint="eastAsia" w:ascii="Arial" w:hAnsi="Arial" w:cs="宋体"/>
          <w:color w:val="auto"/>
          <w:szCs w:val="21"/>
          <w:highlight w:val="none"/>
          <w:u w:val="single"/>
        </w:rPr>
        <w:t>（项目名称）</w:t>
      </w:r>
      <w:r>
        <w:rPr>
          <w:rFonts w:hint="eastAsia" w:ascii="Arial" w:hAnsi="Arial" w:cs="宋体"/>
          <w:color w:val="auto"/>
          <w:szCs w:val="21"/>
          <w:highlight w:val="none"/>
        </w:rPr>
        <w:t xml:space="preserve"> 采购活动，提供的货物全部由符合政策要求的中小企业制造。相关企业（含联合体中的中小企业、签订分包意向协议的中小企业）的具体情况如下：</w:t>
      </w:r>
    </w:p>
    <w:p w14:paraId="15770FE2">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cs="宋体"/>
          <w:b/>
          <w:bCs/>
          <w:color w:val="auto"/>
          <w:szCs w:val="21"/>
          <w:highlight w:val="none"/>
          <w:u w:val="single"/>
          <w:lang w:eastAsia="zh-CN"/>
        </w:rPr>
        <w:t>监控摄像设备</w:t>
      </w:r>
      <w:r>
        <w:rPr>
          <w:rFonts w:hint="eastAsia" w:ascii="Arial" w:hAnsi="Arial" w:cs="宋体"/>
          <w:b/>
          <w:bCs/>
          <w:color w:val="auto"/>
          <w:szCs w:val="21"/>
          <w:highlight w:val="none"/>
          <w:u w:val="single"/>
          <w:lang w:val="en-US" w:eastAsia="zh-CN"/>
        </w:rPr>
        <w:t>1</w:t>
      </w:r>
      <w:r>
        <w:rPr>
          <w:rFonts w:hint="eastAsia" w:ascii="Arial" w:hAnsi="Arial" w:cs="宋体"/>
          <w:b/>
          <w:bCs/>
          <w:color w:val="auto"/>
          <w:szCs w:val="21"/>
          <w:highlight w:val="none"/>
          <w:u w:val="single"/>
          <w:lang w:eastAsia="zh-CN"/>
        </w:rPr>
        <w:t>（200万宽动态半球摄像机）</w:t>
      </w:r>
      <w:r>
        <w:rPr>
          <w:rFonts w:hint="eastAsia" w:ascii="Arial" w:hAnsi="Arial" w:cs="宋体"/>
          <w:color w:val="auto"/>
          <w:szCs w:val="21"/>
          <w:highlight w:val="none"/>
        </w:rPr>
        <w:t xml:space="preserve"> ，属于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02A389E8">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cs="宋体"/>
          <w:b/>
          <w:bCs/>
          <w:color w:val="auto"/>
          <w:szCs w:val="21"/>
          <w:highlight w:val="none"/>
          <w:u w:val="single"/>
          <w:lang w:eastAsia="zh-CN"/>
        </w:rPr>
        <w:t>监控摄像设备</w:t>
      </w:r>
      <w:r>
        <w:rPr>
          <w:rFonts w:hint="eastAsia" w:ascii="Arial" w:hAnsi="Arial" w:cs="宋体"/>
          <w:b/>
          <w:bCs/>
          <w:color w:val="auto"/>
          <w:szCs w:val="21"/>
          <w:highlight w:val="none"/>
          <w:u w:val="single"/>
          <w:lang w:val="en-US" w:eastAsia="zh-CN"/>
        </w:rPr>
        <w:t>2</w:t>
      </w:r>
      <w:r>
        <w:rPr>
          <w:rFonts w:hint="eastAsia" w:ascii="Arial" w:hAnsi="Arial" w:cs="宋体"/>
          <w:b/>
          <w:bCs/>
          <w:color w:val="auto"/>
          <w:szCs w:val="21"/>
          <w:highlight w:val="none"/>
          <w:u w:val="single"/>
          <w:lang w:eastAsia="zh-CN"/>
        </w:rPr>
        <w:t>（200万特写摄像机）</w:t>
      </w:r>
      <w:r>
        <w:rPr>
          <w:rFonts w:hint="eastAsia" w:ascii="Arial" w:hAnsi="Arial" w:cs="宋体"/>
          <w:b/>
          <w:bCs/>
          <w:color w:val="auto"/>
          <w:szCs w:val="21"/>
          <w:highlight w:val="none"/>
          <w:u w:val="single"/>
        </w:rPr>
        <w:t xml:space="preserve"> </w:t>
      </w:r>
      <w:r>
        <w:rPr>
          <w:rFonts w:hint="eastAsia" w:ascii="Arial" w:hAnsi="Arial" w:cs="宋体"/>
          <w:color w:val="auto"/>
          <w:szCs w:val="21"/>
          <w:highlight w:val="none"/>
        </w:rPr>
        <w:t xml:space="preserve">，属于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65B6BE2D">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cs="宋体"/>
          <w:b/>
          <w:bCs/>
          <w:color w:val="auto"/>
          <w:szCs w:val="21"/>
          <w:highlight w:val="none"/>
          <w:u w:val="single"/>
          <w:lang w:eastAsia="zh-CN"/>
        </w:rPr>
        <w:t>监控摄像设备</w:t>
      </w:r>
      <w:r>
        <w:rPr>
          <w:rFonts w:hint="eastAsia" w:ascii="Arial" w:hAnsi="Arial" w:cs="宋体"/>
          <w:b/>
          <w:bCs/>
          <w:color w:val="auto"/>
          <w:szCs w:val="21"/>
          <w:highlight w:val="none"/>
          <w:u w:val="single"/>
          <w:lang w:val="en-US" w:eastAsia="zh-CN"/>
        </w:rPr>
        <w:t>3</w:t>
      </w:r>
      <w:r>
        <w:rPr>
          <w:rFonts w:hint="eastAsia" w:ascii="Arial" w:hAnsi="Arial" w:cs="宋体"/>
          <w:b/>
          <w:bCs/>
          <w:color w:val="auto"/>
          <w:szCs w:val="21"/>
          <w:highlight w:val="none"/>
          <w:u w:val="single"/>
          <w:lang w:eastAsia="zh-CN"/>
        </w:rPr>
        <w:t>（200万全景摄像机）</w:t>
      </w:r>
      <w:r>
        <w:rPr>
          <w:rFonts w:hint="eastAsia" w:ascii="Arial" w:hAnsi="Arial" w:cs="宋体"/>
          <w:color w:val="auto"/>
          <w:szCs w:val="21"/>
          <w:highlight w:val="none"/>
        </w:rPr>
        <w:t xml:space="preserve"> ，属于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2100663D">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cs="宋体"/>
          <w:b/>
          <w:bCs/>
          <w:color w:val="auto"/>
          <w:szCs w:val="21"/>
          <w:highlight w:val="none"/>
          <w:u w:val="single"/>
          <w:lang w:eastAsia="zh-CN"/>
        </w:rPr>
        <w:t>监控摄像设备</w:t>
      </w:r>
      <w:r>
        <w:rPr>
          <w:rFonts w:hint="eastAsia" w:ascii="Arial" w:hAnsi="Arial" w:cs="宋体"/>
          <w:b/>
          <w:bCs/>
          <w:color w:val="auto"/>
          <w:szCs w:val="21"/>
          <w:highlight w:val="none"/>
          <w:u w:val="single"/>
          <w:lang w:val="en-US" w:eastAsia="zh-CN"/>
        </w:rPr>
        <w:t>4</w:t>
      </w:r>
      <w:r>
        <w:rPr>
          <w:rFonts w:hint="eastAsia" w:ascii="Arial" w:hAnsi="Arial" w:cs="宋体"/>
          <w:b/>
          <w:bCs/>
          <w:color w:val="auto"/>
          <w:szCs w:val="21"/>
          <w:highlight w:val="none"/>
          <w:u w:val="single"/>
          <w:lang w:eastAsia="zh-CN"/>
        </w:rPr>
        <w:t>（物品拍照球机IP/AI）</w:t>
      </w:r>
      <w:r>
        <w:rPr>
          <w:rFonts w:hint="eastAsia" w:ascii="Arial" w:hAnsi="Arial" w:cs="宋体"/>
          <w:color w:val="auto"/>
          <w:szCs w:val="21"/>
          <w:highlight w:val="none"/>
        </w:rPr>
        <w:t xml:space="preserve"> ，属于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4F8C43DE">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cs="宋体"/>
          <w:b/>
          <w:bCs/>
          <w:color w:val="auto"/>
          <w:szCs w:val="21"/>
          <w:highlight w:val="none"/>
          <w:u w:val="single"/>
          <w:lang w:eastAsia="zh-CN"/>
        </w:rPr>
        <w:t>录像设备（32路16盘位NVR）</w:t>
      </w:r>
      <w:r>
        <w:rPr>
          <w:rFonts w:hint="eastAsia" w:ascii="Arial" w:hAnsi="Arial" w:cs="宋体"/>
          <w:color w:val="auto"/>
          <w:szCs w:val="21"/>
          <w:highlight w:val="none"/>
        </w:rPr>
        <w:t xml:space="preserve"> ，属于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18D92CBA">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cs="宋体"/>
          <w:b/>
          <w:bCs/>
          <w:color w:val="auto"/>
          <w:szCs w:val="21"/>
          <w:highlight w:val="none"/>
          <w:u w:val="single"/>
          <w:lang w:eastAsia="zh-CN"/>
        </w:rPr>
        <w:t>其他电源设备安装（1U机架式）</w:t>
      </w:r>
      <w:r>
        <w:rPr>
          <w:rFonts w:hint="eastAsia" w:ascii="Arial" w:hAnsi="Arial" w:cs="宋体"/>
          <w:color w:val="auto"/>
          <w:szCs w:val="21"/>
          <w:highlight w:val="none"/>
        </w:rPr>
        <w:t xml:space="preserve"> ，属于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5D731D49">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cs="宋体"/>
          <w:b/>
          <w:bCs/>
          <w:color w:val="auto"/>
          <w:szCs w:val="21"/>
          <w:highlight w:val="none"/>
          <w:u w:val="single"/>
          <w:lang w:eastAsia="zh-CN"/>
        </w:rPr>
        <w:t>存储设备（硬盘（6T））</w:t>
      </w:r>
      <w:r>
        <w:rPr>
          <w:rFonts w:hint="eastAsia" w:ascii="Arial" w:hAnsi="Arial" w:cs="宋体"/>
          <w:color w:val="auto"/>
          <w:szCs w:val="21"/>
          <w:highlight w:val="none"/>
        </w:rPr>
        <w:t xml:space="preserve"> ，属于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0FAD09F7">
      <w:pPr>
        <w:numPr>
          <w:ilvl w:val="0"/>
          <w:numId w:val="26"/>
        </w:numPr>
        <w:snapToGrid w:val="0"/>
        <w:spacing w:line="360" w:lineRule="auto"/>
        <w:ind w:left="-2" w:leftChars="0" w:firstLine="422" w:firstLineChars="0"/>
        <w:jc w:val="right"/>
        <w:rPr>
          <w:rFonts w:ascii="Arial" w:hAnsi="Arial" w:cs="宋体"/>
          <w:color w:val="auto"/>
          <w:szCs w:val="21"/>
          <w:highlight w:val="none"/>
          <w:u w:val="single"/>
        </w:rPr>
      </w:pPr>
      <w:r>
        <w:rPr>
          <w:rFonts w:hint="eastAsia" w:ascii="Arial" w:hAnsi="Arial" w:cs="宋体"/>
          <w:b/>
          <w:bCs/>
          <w:color w:val="auto"/>
          <w:szCs w:val="21"/>
          <w:highlight w:val="none"/>
          <w:u w:val="single"/>
          <w:lang w:eastAsia="zh-CN"/>
        </w:rPr>
        <w:t>机柜、机架（42U机柜（含PDU ））</w:t>
      </w:r>
      <w:r>
        <w:rPr>
          <w:rFonts w:hint="eastAsia" w:ascii="Arial" w:hAnsi="Arial" w:cs="宋体"/>
          <w:color w:val="auto"/>
          <w:szCs w:val="21"/>
          <w:highlight w:val="none"/>
        </w:rPr>
        <w:t xml:space="preserve"> ，属于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4348078C">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cs="宋体"/>
          <w:b/>
          <w:bCs/>
          <w:color w:val="auto"/>
          <w:szCs w:val="21"/>
          <w:highlight w:val="none"/>
          <w:u w:val="single"/>
          <w:lang w:eastAsia="zh-CN"/>
        </w:rPr>
        <w:t>交换机（24口交换机）</w:t>
      </w:r>
      <w:r>
        <w:rPr>
          <w:rFonts w:hint="eastAsia" w:ascii="Arial" w:hAnsi="Arial" w:cs="宋体"/>
          <w:color w:val="auto"/>
          <w:szCs w:val="21"/>
          <w:highlight w:val="none"/>
        </w:rPr>
        <w:t xml:space="preserve"> ，属于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30FBF62E">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cs="宋体"/>
          <w:b/>
          <w:bCs/>
          <w:color w:val="auto"/>
          <w:szCs w:val="21"/>
          <w:highlight w:val="none"/>
          <w:u w:val="single"/>
          <w:lang w:eastAsia="zh-CN"/>
        </w:rPr>
        <w:t>交换机（24口交换机）</w:t>
      </w:r>
      <w:r>
        <w:rPr>
          <w:rFonts w:hint="eastAsia" w:ascii="Arial" w:hAnsi="Arial" w:cs="宋体"/>
          <w:color w:val="auto"/>
          <w:szCs w:val="21"/>
          <w:highlight w:val="none"/>
        </w:rPr>
        <w:t xml:space="preserve"> ，属于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1BF15D2C">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cs="宋体"/>
          <w:b/>
          <w:bCs/>
          <w:color w:val="auto"/>
          <w:szCs w:val="21"/>
          <w:highlight w:val="none"/>
          <w:u w:val="single"/>
          <w:lang w:eastAsia="zh-CN"/>
        </w:rPr>
        <w:t>交换机（核心交换机）</w:t>
      </w:r>
      <w:r>
        <w:rPr>
          <w:rFonts w:hint="eastAsia" w:ascii="Arial" w:hAnsi="Arial" w:cs="宋体"/>
          <w:color w:val="auto"/>
          <w:szCs w:val="21"/>
          <w:highlight w:val="none"/>
        </w:rPr>
        <w:t xml:space="preserve"> ，属于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64DBCD42">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Cs w:val="21"/>
          <w:highlight w:val="none"/>
          <w:u w:val="single"/>
          <w:lang w:val="en-US" w:eastAsia="zh-CN"/>
        </w:rPr>
        <w:t>配线架</w:t>
      </w:r>
      <w:r>
        <w:rPr>
          <w:rFonts w:hint="eastAsia" w:ascii="宋体" w:hAnsi="宋体" w:cs="宋体"/>
          <w:color w:val="auto"/>
          <w:kern w:val="0"/>
          <w:sz w:val="18"/>
          <w:szCs w:val="18"/>
          <w:highlight w:val="none"/>
          <w:lang w:val="en-US" w:eastAsia="zh-CN"/>
        </w:rPr>
        <w:t xml:space="preserve"> </w:t>
      </w:r>
      <w:r>
        <w:rPr>
          <w:rFonts w:hint="eastAsia" w:ascii="Arial" w:hAnsi="Arial" w:cs="宋体"/>
          <w:color w:val="auto"/>
          <w:szCs w:val="21"/>
          <w:highlight w:val="none"/>
        </w:rPr>
        <w:t xml:space="preserve">，属于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4E126146">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cs="宋体"/>
          <w:b/>
          <w:bCs/>
          <w:color w:val="auto"/>
          <w:szCs w:val="21"/>
          <w:highlight w:val="none"/>
          <w:u w:val="single"/>
          <w:lang w:eastAsia="zh-CN"/>
        </w:rPr>
        <w:t>配线架（理线架）</w:t>
      </w:r>
      <w:r>
        <w:rPr>
          <w:rFonts w:hint="eastAsia" w:ascii="Arial" w:hAnsi="Arial" w:cs="宋体"/>
          <w:color w:val="auto"/>
          <w:szCs w:val="21"/>
          <w:highlight w:val="none"/>
        </w:rPr>
        <w:t xml:space="preserve"> ，属于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02E425EE">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cs="宋体"/>
          <w:b/>
          <w:bCs/>
          <w:color w:val="auto"/>
          <w:sz w:val="21"/>
          <w:szCs w:val="21"/>
          <w:highlight w:val="none"/>
          <w:u w:val="single"/>
          <w:lang w:eastAsia="zh-CN"/>
        </w:rPr>
        <w:t>显示设备（温湿度显示屏）</w:t>
      </w:r>
      <w:r>
        <w:rPr>
          <w:rFonts w:hint="eastAsia" w:ascii="Arial" w:hAnsi="Arial" w:cs="宋体"/>
          <w:color w:val="auto"/>
          <w:szCs w:val="21"/>
          <w:highlight w:val="none"/>
        </w:rPr>
        <w:t xml:space="preserve">，属于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5714E58D">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扩声系统设备（吸顶拾音器 ）</w:t>
      </w:r>
      <w:r>
        <w:rPr>
          <w:rFonts w:hint="eastAsia" w:ascii="Arial" w:hAnsi="Arial" w:cs="宋体"/>
          <w:color w:val="auto"/>
          <w:szCs w:val="21"/>
          <w:highlight w:val="none"/>
        </w:rPr>
        <w:t xml:space="preserve">，属于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299F45A7">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光纤盒（双工耦合器）</w:t>
      </w:r>
      <w:r>
        <w:rPr>
          <w:rFonts w:hint="eastAsia" w:ascii="Arial" w:hAnsi="Arial" w:cs="宋体"/>
          <w:color w:val="auto"/>
          <w:szCs w:val="21"/>
          <w:highlight w:val="none"/>
        </w:rPr>
        <w:t xml:space="preserve">，属于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0B1594F8">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布放尾纤（1米单模LC尾纤）</w:t>
      </w:r>
      <w:r>
        <w:rPr>
          <w:rFonts w:hint="eastAsia" w:ascii="Arial" w:hAnsi="Arial" w:cs="宋体"/>
          <w:color w:val="auto"/>
          <w:szCs w:val="21"/>
          <w:highlight w:val="none"/>
        </w:rPr>
        <w:t xml:space="preserve"> ，属于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661DF391">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跳线（2米LC-LC光纤跳线）</w:t>
      </w:r>
      <w:r>
        <w:rPr>
          <w:rFonts w:hint="eastAsia" w:ascii="Arial" w:hAnsi="Arial" w:cs="宋体"/>
          <w:color w:val="auto"/>
          <w:szCs w:val="21"/>
          <w:highlight w:val="none"/>
        </w:rPr>
        <w:t xml:space="preserve">，属于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16C10747">
      <w:pPr>
        <w:numPr>
          <w:ilvl w:val="0"/>
          <w:numId w:val="26"/>
        </w:numPr>
        <w:snapToGrid w:val="0"/>
        <w:spacing w:line="360" w:lineRule="auto"/>
        <w:ind w:left="-2" w:leftChars="0" w:firstLine="422" w:firstLineChars="0"/>
        <w:rPr>
          <w:rFonts w:hint="eastAsia" w:ascii="Arial" w:hAnsi="Arial" w:eastAsia="宋体" w:cs="宋体"/>
          <w:b w:val="0"/>
          <w:bCs w:val="0"/>
          <w:color w:val="auto"/>
          <w:szCs w:val="21"/>
          <w:highlight w:val="none"/>
          <w:u w:val="single"/>
          <w:lang w:eastAsia="zh-CN"/>
        </w:rPr>
      </w:pPr>
      <w:r>
        <w:rPr>
          <w:rFonts w:hint="eastAsia" w:ascii="Arial" w:hAnsi="Arial" w:eastAsia="宋体" w:cs="宋体"/>
          <w:b/>
          <w:bCs/>
          <w:color w:val="auto"/>
          <w:szCs w:val="21"/>
          <w:highlight w:val="none"/>
          <w:u w:val="single"/>
          <w:lang w:val="en-US" w:eastAsia="zh-CN"/>
        </w:rPr>
        <w:t>出入口目标识别设备（200万像素双目摄像头）</w:t>
      </w:r>
      <w:r>
        <w:rPr>
          <w:rFonts w:hint="eastAsia" w:ascii="Arial" w:hAnsi="Arial" w:cs="宋体"/>
          <w:color w:val="auto"/>
          <w:szCs w:val="21"/>
          <w:highlight w:val="none"/>
        </w:rPr>
        <w:t xml:space="preserve"> ，属于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w:t>
      </w:r>
      <w:r>
        <w:rPr>
          <w:rFonts w:hint="eastAsia" w:ascii="Arial" w:hAnsi="Arial" w:eastAsia="宋体" w:cs="宋体"/>
          <w:b w:val="0"/>
          <w:bCs w:val="0"/>
          <w:color w:val="auto"/>
          <w:szCs w:val="21"/>
          <w:highlight w:val="none"/>
          <w:u w:val="single"/>
          <w:lang w:eastAsia="zh-CN"/>
        </w:rPr>
        <w:t>微型企业）；</w:t>
      </w:r>
    </w:p>
    <w:p w14:paraId="46FF69E8">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Cs w:val="21"/>
          <w:highlight w:val="none"/>
          <w:u w:val="single"/>
          <w:lang w:val="en-US" w:eastAsia="zh-CN"/>
        </w:rPr>
        <w:t>出入口目标识别设备（单门磁力锁）</w:t>
      </w:r>
      <w:r>
        <w:rPr>
          <w:rFonts w:hint="eastAsia" w:ascii="Arial" w:hAnsi="Arial" w:cs="宋体"/>
          <w:color w:val="auto"/>
          <w:szCs w:val="21"/>
          <w:highlight w:val="none"/>
        </w:rPr>
        <w:t xml:space="preserve">，属于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036D9B4E">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Cs w:val="21"/>
          <w:highlight w:val="none"/>
          <w:u w:val="single"/>
          <w:lang w:val="en-US" w:eastAsia="zh-CN"/>
        </w:rPr>
        <w:t>出入口目标识别设备（双门磁力锁）</w:t>
      </w:r>
      <w:r>
        <w:rPr>
          <w:rFonts w:hint="eastAsia" w:ascii="Arial" w:hAnsi="Arial" w:cs="宋体"/>
          <w:color w:val="auto"/>
          <w:szCs w:val="21"/>
          <w:highlight w:val="none"/>
        </w:rPr>
        <w:t xml:space="preserve">，属于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318D793E">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Cs w:val="21"/>
          <w:highlight w:val="none"/>
          <w:u w:val="single"/>
          <w:lang w:val="en-US" w:eastAsia="zh-CN"/>
        </w:rPr>
        <w:t>出入口目标识别设备（出门按扭）</w:t>
      </w:r>
      <w:r>
        <w:rPr>
          <w:rFonts w:hint="eastAsia" w:ascii="Arial" w:hAnsi="Arial" w:cs="宋体"/>
          <w:color w:val="auto"/>
          <w:szCs w:val="21"/>
          <w:highlight w:val="none"/>
        </w:rPr>
        <w:t xml:space="preserve">，属于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4AE657C1">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Cs w:val="21"/>
          <w:highlight w:val="none"/>
          <w:u w:val="single"/>
          <w:lang w:val="en-US" w:eastAsia="zh-CN"/>
        </w:rPr>
        <w:t>其他电源设备安装（1U机架式）</w:t>
      </w:r>
      <w:r>
        <w:rPr>
          <w:rFonts w:hint="eastAsia" w:ascii="Arial" w:hAnsi="Arial" w:cs="宋体"/>
          <w:color w:val="auto"/>
          <w:szCs w:val="21"/>
          <w:highlight w:val="none"/>
        </w:rPr>
        <w:t xml:space="preserve">，属于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2D0D8251">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机柜、机架（42U机柜（含PDU ））</w:t>
      </w:r>
      <w:r>
        <w:rPr>
          <w:rFonts w:hint="eastAsia" w:ascii="Arial" w:hAnsi="Arial" w:cs="宋体"/>
          <w:color w:val="auto"/>
          <w:szCs w:val="21"/>
          <w:highlight w:val="none"/>
        </w:rPr>
        <w:t xml:space="preserve"> ，属于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2D211A53">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交换机（24口交换机）</w:t>
      </w:r>
      <w:r>
        <w:rPr>
          <w:rFonts w:hint="eastAsia" w:ascii="Arial" w:hAnsi="Arial" w:cs="宋体"/>
          <w:color w:val="auto"/>
          <w:szCs w:val="21"/>
          <w:highlight w:val="none"/>
        </w:rPr>
        <w:t xml:space="preserve"> ，属于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2698146E">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配电箱（UPS配电箱）</w:t>
      </w:r>
      <w:r>
        <w:rPr>
          <w:rFonts w:hint="eastAsia" w:ascii="Arial" w:hAnsi="Arial" w:cs="宋体"/>
          <w:color w:val="auto"/>
          <w:szCs w:val="21"/>
          <w:highlight w:val="none"/>
        </w:rPr>
        <w:t xml:space="preserve"> ，属于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2177A90F">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配线架（配线架1U）</w:t>
      </w:r>
      <w:r>
        <w:rPr>
          <w:rFonts w:hint="eastAsia" w:ascii="Arial" w:hAnsi="Arial" w:cs="宋体"/>
          <w:color w:val="auto"/>
          <w:szCs w:val="21"/>
          <w:highlight w:val="none"/>
        </w:rPr>
        <w:t xml:space="preserve"> ，属于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21A2511E">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交换机（24口千兆接入层交换机 ）</w:t>
      </w:r>
      <w:r>
        <w:rPr>
          <w:rFonts w:hint="eastAsia" w:ascii="Arial" w:hAnsi="Arial" w:cs="宋体"/>
          <w:color w:val="auto"/>
          <w:szCs w:val="21"/>
          <w:highlight w:val="none"/>
        </w:rPr>
        <w:t xml:space="preserve"> ，属于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261ED70F">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 xml:space="preserve">配线架（100对110配线架 ） </w:t>
      </w:r>
      <w:r>
        <w:rPr>
          <w:rFonts w:hint="eastAsia" w:ascii="Arial" w:hAnsi="Arial" w:cs="宋体"/>
          <w:color w:val="auto"/>
          <w:szCs w:val="21"/>
          <w:highlight w:val="none"/>
        </w:rPr>
        <w:t xml:space="preserve">，属于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5CA1EDDF">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配线架（理线架 ）</w:t>
      </w:r>
      <w:r>
        <w:rPr>
          <w:rFonts w:hint="eastAsia" w:ascii="Arial" w:hAnsi="Arial" w:cs="宋体"/>
          <w:color w:val="auto"/>
          <w:szCs w:val="21"/>
          <w:highlight w:val="none"/>
        </w:rPr>
        <w:t xml:space="preserve"> ，属于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14D4BABA">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信息插座（单孔地插（含底盒））</w:t>
      </w:r>
      <w:r>
        <w:rPr>
          <w:rFonts w:hint="eastAsia" w:ascii="Arial" w:hAnsi="Arial" w:cs="宋体"/>
          <w:color w:val="auto"/>
          <w:szCs w:val="21"/>
          <w:highlight w:val="none"/>
        </w:rPr>
        <w:t xml:space="preserve"> ，属于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7B58CD96">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信息插座（双孔地插（含底盒））</w:t>
      </w:r>
      <w:r>
        <w:rPr>
          <w:rFonts w:hint="eastAsia" w:ascii="Arial" w:hAnsi="Arial" w:cs="宋体"/>
          <w:color w:val="auto"/>
          <w:szCs w:val="21"/>
          <w:highlight w:val="none"/>
        </w:rPr>
        <w:t xml:space="preserve">，属于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1D7F05BE">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 xml:space="preserve">信息插座（单口信息面板 ） </w:t>
      </w:r>
      <w:r>
        <w:rPr>
          <w:rFonts w:hint="eastAsia" w:ascii="Arial" w:hAnsi="Arial" w:cs="宋体"/>
          <w:color w:val="auto"/>
          <w:szCs w:val="21"/>
          <w:highlight w:val="none"/>
        </w:rPr>
        <w:t xml:space="preserve">，属于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78FC6105">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信息插座（双口信息面板 ）</w:t>
      </w:r>
      <w:r>
        <w:rPr>
          <w:rFonts w:hint="eastAsia" w:ascii="Arial" w:hAnsi="Arial" w:cs="宋体"/>
          <w:color w:val="auto"/>
          <w:szCs w:val="21"/>
          <w:highlight w:val="none"/>
        </w:rPr>
        <w:t xml:space="preserve"> ，属于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5E23C67A">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信息插座（有线电视插座面）</w:t>
      </w:r>
      <w:r>
        <w:rPr>
          <w:rFonts w:hint="eastAsia" w:ascii="Arial" w:hAnsi="Arial" w:cs="宋体"/>
          <w:color w:val="auto"/>
          <w:szCs w:val="21"/>
          <w:highlight w:val="none"/>
        </w:rPr>
        <w:t xml:space="preserve"> ，属于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00CBF615">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 xml:space="preserve">信息插座（开关盒插座盒） </w:t>
      </w:r>
      <w:r>
        <w:rPr>
          <w:rFonts w:hint="eastAsia" w:ascii="Arial" w:hAnsi="Arial" w:cs="宋体"/>
          <w:color w:val="auto"/>
          <w:szCs w:val="21"/>
          <w:highlight w:val="none"/>
        </w:rPr>
        <w:t xml:space="preserve">，属于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57A9566D">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 xml:space="preserve">跳线（2米LC-LC光纤跳线） </w:t>
      </w:r>
      <w:r>
        <w:rPr>
          <w:rFonts w:hint="eastAsia" w:ascii="Arial" w:hAnsi="Arial" w:cs="宋体"/>
          <w:color w:val="auto"/>
          <w:szCs w:val="21"/>
          <w:highlight w:val="none"/>
        </w:rPr>
        <w:t xml:space="preserve">，属于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578C30A4">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 xml:space="preserve">光纤盒（双工耦合器） </w:t>
      </w:r>
      <w:r>
        <w:rPr>
          <w:rFonts w:hint="eastAsia" w:ascii="Arial" w:hAnsi="Arial" w:cs="宋体"/>
          <w:color w:val="auto"/>
          <w:szCs w:val="21"/>
          <w:highlight w:val="none"/>
        </w:rPr>
        <w:t xml:space="preserve">，属于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5A361FF2">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布放尾纤（1米单模LC尾纤）</w:t>
      </w:r>
      <w:r>
        <w:rPr>
          <w:rFonts w:hint="eastAsia" w:ascii="Arial" w:hAnsi="Arial" w:cs="宋体"/>
          <w:color w:val="auto"/>
          <w:szCs w:val="21"/>
          <w:highlight w:val="none"/>
        </w:rPr>
        <w:t xml:space="preserve"> ，属于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7C04AABD">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 xml:space="preserve">机柜、机架（42U机柜（含PDU ）） </w:t>
      </w:r>
      <w:r>
        <w:rPr>
          <w:rFonts w:hint="eastAsia" w:ascii="Arial" w:hAnsi="Arial" w:cs="宋体"/>
          <w:color w:val="auto"/>
          <w:szCs w:val="21"/>
          <w:highlight w:val="none"/>
        </w:rPr>
        <w:t xml:space="preserve">，属于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06D14F60">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光纤测试</w:t>
      </w:r>
      <w:r>
        <w:rPr>
          <w:rFonts w:hint="eastAsia" w:ascii="Arial" w:hAnsi="Arial" w:cs="宋体"/>
          <w:color w:val="auto"/>
          <w:szCs w:val="21"/>
          <w:highlight w:val="none"/>
        </w:rPr>
        <w:t xml:space="preserve"> ，属于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7B69506F">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 xml:space="preserve">光纤连接 </w:t>
      </w:r>
      <w:r>
        <w:rPr>
          <w:rFonts w:hint="eastAsia" w:ascii="Arial" w:hAnsi="Arial" w:cs="宋体"/>
          <w:color w:val="auto"/>
          <w:szCs w:val="21"/>
          <w:highlight w:val="none"/>
        </w:rPr>
        <w:t xml:space="preserve">，属于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23D186F9">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交换机（24口交换机 ）</w:t>
      </w:r>
      <w:r>
        <w:rPr>
          <w:rFonts w:hint="eastAsia" w:ascii="Arial" w:hAnsi="Arial" w:cs="宋体"/>
          <w:color w:val="auto"/>
          <w:szCs w:val="21"/>
          <w:highlight w:val="none"/>
        </w:rPr>
        <w:t xml:space="preserve">，属于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2A418A9E">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声光报警器</w:t>
      </w:r>
      <w:r>
        <w:rPr>
          <w:rFonts w:hint="eastAsia" w:ascii="Arial" w:hAnsi="Arial" w:cs="宋体"/>
          <w:color w:val="auto"/>
          <w:szCs w:val="21"/>
          <w:highlight w:val="none"/>
        </w:rPr>
        <w:t xml:space="preserve">，属于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4E4CC9D4">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小电器（网络继电器）</w:t>
      </w:r>
      <w:r>
        <w:rPr>
          <w:rFonts w:hint="eastAsia" w:ascii="Arial" w:hAnsi="Arial" w:cs="宋体"/>
          <w:color w:val="auto"/>
          <w:szCs w:val="21"/>
          <w:highlight w:val="none"/>
        </w:rPr>
        <w:t xml:space="preserve"> ，属于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5CE314DD">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交换机（24口千兆接入层交换机 ）</w:t>
      </w:r>
      <w:r>
        <w:rPr>
          <w:rFonts w:hint="eastAsia" w:ascii="Arial" w:hAnsi="Arial" w:cs="宋体"/>
          <w:color w:val="auto"/>
          <w:szCs w:val="21"/>
          <w:highlight w:val="none"/>
        </w:rPr>
        <w:t xml:space="preserve"> ，属于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26BDDF99">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入侵报警控制器（对讲分机）</w:t>
      </w:r>
      <w:r>
        <w:rPr>
          <w:rFonts w:hint="eastAsia" w:ascii="Arial" w:hAnsi="Arial" w:cs="宋体"/>
          <w:color w:val="auto"/>
          <w:szCs w:val="21"/>
          <w:highlight w:val="none"/>
        </w:rPr>
        <w:t xml:space="preserve"> ，属于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362079FB">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入侵报警控制器（对讲分机）</w:t>
      </w:r>
      <w:r>
        <w:rPr>
          <w:rFonts w:hint="eastAsia" w:ascii="Arial" w:hAnsi="Arial" w:cs="宋体"/>
          <w:color w:val="auto"/>
          <w:szCs w:val="21"/>
          <w:highlight w:val="none"/>
        </w:rPr>
        <w:t xml:space="preserve">，属于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347BB6B1">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交换机（交换机）</w:t>
      </w:r>
      <w:r>
        <w:rPr>
          <w:rFonts w:hint="eastAsia" w:ascii="Arial" w:hAnsi="Arial" w:cs="宋体"/>
          <w:color w:val="auto"/>
          <w:szCs w:val="21"/>
          <w:highlight w:val="none"/>
        </w:rPr>
        <w:t xml:space="preserve"> ，属于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1C21A47B">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 xml:space="preserve">视频控制设备（编程键盘） </w:t>
      </w:r>
      <w:r>
        <w:rPr>
          <w:rFonts w:hint="eastAsia" w:ascii="Arial" w:hAnsi="Arial" w:cs="宋体"/>
          <w:color w:val="auto"/>
          <w:szCs w:val="21"/>
          <w:highlight w:val="none"/>
        </w:rPr>
        <w:t xml:space="preserve">，属于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07F0DED5">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 xml:space="preserve">按钮（紧急报警按钮） </w:t>
      </w:r>
      <w:r>
        <w:rPr>
          <w:rFonts w:hint="eastAsia" w:ascii="Arial" w:hAnsi="Arial" w:cs="宋体"/>
          <w:color w:val="auto"/>
          <w:szCs w:val="21"/>
          <w:highlight w:val="none"/>
        </w:rPr>
        <w:t xml:space="preserve">，属于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69F84FC0">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火灾报警系统控制主机（报警主机）</w:t>
      </w:r>
      <w:r>
        <w:rPr>
          <w:rFonts w:hint="eastAsia" w:ascii="Arial" w:hAnsi="Arial" w:cs="宋体"/>
          <w:color w:val="auto"/>
          <w:szCs w:val="21"/>
          <w:highlight w:val="none"/>
        </w:rPr>
        <w:t xml:space="preserve">，属于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468C0D3D">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机柜、机架（机柜A-PDU1 2.5KW）</w:t>
      </w:r>
      <w:r>
        <w:rPr>
          <w:rFonts w:hint="eastAsia" w:ascii="Arial" w:hAnsi="Arial" w:cs="宋体"/>
          <w:color w:val="auto"/>
          <w:szCs w:val="21"/>
          <w:highlight w:val="none"/>
        </w:rPr>
        <w:t xml:space="preserve"> ，属于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7B4D19A7">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机柜、机架（机柜B-PDU1 2.5KW）</w:t>
      </w:r>
      <w:r>
        <w:rPr>
          <w:rFonts w:hint="eastAsia" w:ascii="Arial" w:hAnsi="Arial" w:cs="宋体"/>
          <w:color w:val="auto"/>
          <w:szCs w:val="21"/>
          <w:highlight w:val="none"/>
        </w:rPr>
        <w:t xml:space="preserve"> ，属于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0EB9BF3F">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机柜、机架（机柜C-PDU1 2.5KW）</w:t>
      </w:r>
      <w:r>
        <w:rPr>
          <w:rFonts w:hint="eastAsia" w:ascii="Arial" w:hAnsi="Arial" w:cs="宋体"/>
          <w:color w:val="auto"/>
          <w:szCs w:val="21"/>
          <w:highlight w:val="none"/>
        </w:rPr>
        <w:t xml:space="preserve">，属于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2009F0FC">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机柜、机架（机柜A-PDU2 0.50KW）</w:t>
      </w:r>
      <w:r>
        <w:rPr>
          <w:rFonts w:hint="eastAsia" w:ascii="Arial" w:hAnsi="Arial" w:cs="宋体"/>
          <w:color w:val="auto"/>
          <w:szCs w:val="21"/>
          <w:highlight w:val="none"/>
        </w:rPr>
        <w:t xml:space="preserve">，属于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4F3F1AE7">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机柜、机架（机柜B-PDU2 0. 5KW）</w:t>
      </w:r>
      <w:r>
        <w:rPr>
          <w:rFonts w:hint="eastAsia" w:ascii="Arial" w:hAnsi="Arial" w:cs="宋体"/>
          <w:color w:val="auto"/>
          <w:szCs w:val="21"/>
          <w:highlight w:val="none"/>
        </w:rPr>
        <w:t xml:space="preserve">，属于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58DD23DF">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机柜、机架（机柜C-PDU2 1.00KW ）</w:t>
      </w:r>
      <w:r>
        <w:rPr>
          <w:rFonts w:hint="eastAsia" w:ascii="Arial" w:hAnsi="Arial" w:cs="宋体"/>
          <w:color w:val="auto"/>
          <w:szCs w:val="21"/>
          <w:highlight w:val="none"/>
        </w:rPr>
        <w:t xml:space="preserve">，属于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7F70F15A">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 xml:space="preserve">电池柜（UPS电池） </w:t>
      </w:r>
      <w:r>
        <w:rPr>
          <w:rFonts w:hint="eastAsia" w:ascii="Arial" w:hAnsi="Arial" w:cs="宋体"/>
          <w:color w:val="auto"/>
          <w:szCs w:val="21"/>
          <w:highlight w:val="none"/>
        </w:rPr>
        <w:t xml:space="preserve">，属于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3E6496EE">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蓄电池（UPS电池 ）</w:t>
      </w:r>
      <w:r>
        <w:rPr>
          <w:rFonts w:hint="eastAsia" w:ascii="Arial" w:hAnsi="Arial" w:cs="宋体"/>
          <w:color w:val="auto"/>
          <w:szCs w:val="21"/>
          <w:highlight w:val="none"/>
        </w:rPr>
        <w:t xml:space="preserve"> ，属于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1A7087D8">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配线架（NPE配线架）</w:t>
      </w:r>
      <w:r>
        <w:rPr>
          <w:rFonts w:hint="eastAsia" w:ascii="Arial" w:hAnsi="Arial" w:cs="宋体"/>
          <w:color w:val="auto"/>
          <w:szCs w:val="21"/>
          <w:highlight w:val="none"/>
        </w:rPr>
        <w:t xml:space="preserve"> ，属于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207C6A91">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电力电缆（电力电缆WDZYJY-3*6）</w:t>
      </w:r>
      <w:r>
        <w:rPr>
          <w:rFonts w:hint="eastAsia" w:ascii="Arial" w:hAnsi="Arial" w:cs="宋体"/>
          <w:color w:val="auto"/>
          <w:szCs w:val="21"/>
          <w:highlight w:val="none"/>
        </w:rPr>
        <w:t xml:space="preserve"> ，属于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3525186A">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电力电缆（电力电缆WDZYJY-3*4）</w:t>
      </w:r>
      <w:r>
        <w:rPr>
          <w:rFonts w:hint="eastAsia" w:ascii="Arial" w:hAnsi="Arial" w:cs="宋体"/>
          <w:color w:val="auto"/>
          <w:szCs w:val="21"/>
          <w:highlight w:val="none"/>
        </w:rPr>
        <w:t xml:space="preserve"> ，属于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446F9D06">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监控摄像设备</w:t>
      </w:r>
      <w:r>
        <w:rPr>
          <w:rFonts w:hint="eastAsia" w:ascii="Arial" w:hAnsi="Arial" w:cs="宋体"/>
          <w:b/>
          <w:bCs/>
          <w:color w:val="auto"/>
          <w:sz w:val="21"/>
          <w:szCs w:val="21"/>
          <w:highlight w:val="none"/>
          <w:u w:val="single"/>
          <w:lang w:val="en-US" w:eastAsia="zh-CN"/>
        </w:rPr>
        <w:t>5</w:t>
      </w:r>
      <w:r>
        <w:rPr>
          <w:rFonts w:hint="eastAsia" w:ascii="Arial" w:hAnsi="Arial" w:eastAsia="宋体" w:cs="宋体"/>
          <w:b/>
          <w:bCs/>
          <w:color w:val="auto"/>
          <w:sz w:val="21"/>
          <w:szCs w:val="21"/>
          <w:highlight w:val="none"/>
          <w:u w:val="single"/>
          <w:lang w:val="en-US" w:eastAsia="zh-CN"/>
        </w:rPr>
        <w:t>（200万宽动态半球摄像机 ）</w:t>
      </w:r>
      <w:r>
        <w:rPr>
          <w:rFonts w:hint="eastAsia" w:ascii="Arial" w:hAnsi="Arial" w:cs="宋体"/>
          <w:color w:val="auto"/>
          <w:szCs w:val="21"/>
          <w:highlight w:val="none"/>
        </w:rPr>
        <w:t xml:space="preserve">，属于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2E6D32E7">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监控摄像设备</w:t>
      </w:r>
      <w:r>
        <w:rPr>
          <w:rFonts w:hint="eastAsia" w:ascii="Arial" w:hAnsi="Arial" w:cs="宋体"/>
          <w:b/>
          <w:bCs/>
          <w:color w:val="auto"/>
          <w:sz w:val="21"/>
          <w:szCs w:val="21"/>
          <w:highlight w:val="none"/>
          <w:u w:val="single"/>
          <w:lang w:val="en-US" w:eastAsia="zh-CN"/>
        </w:rPr>
        <w:t>6</w:t>
      </w:r>
      <w:r>
        <w:rPr>
          <w:rFonts w:hint="eastAsia" w:ascii="Arial" w:hAnsi="Arial" w:eastAsia="宋体" w:cs="宋体"/>
          <w:b/>
          <w:bCs/>
          <w:color w:val="auto"/>
          <w:sz w:val="21"/>
          <w:szCs w:val="21"/>
          <w:highlight w:val="none"/>
          <w:u w:val="single"/>
          <w:lang w:val="en-US" w:eastAsia="zh-CN"/>
        </w:rPr>
        <w:t xml:space="preserve">（红外枪式摄像机） </w:t>
      </w:r>
      <w:r>
        <w:rPr>
          <w:rFonts w:hint="eastAsia" w:ascii="Arial" w:hAnsi="Arial" w:cs="宋体"/>
          <w:color w:val="auto"/>
          <w:szCs w:val="21"/>
          <w:highlight w:val="none"/>
        </w:rPr>
        <w:t xml:space="preserve">，属于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74CA1317">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 xml:space="preserve">出入口目标识别设备（200万像素双目摄像头） </w:t>
      </w:r>
      <w:r>
        <w:rPr>
          <w:rFonts w:hint="eastAsia" w:ascii="Arial" w:hAnsi="Arial" w:cs="宋体"/>
          <w:color w:val="auto"/>
          <w:szCs w:val="21"/>
          <w:highlight w:val="none"/>
        </w:rPr>
        <w:t xml:space="preserve">，属于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3D045181">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出入口目标识别设备（单门磁力锁）</w:t>
      </w:r>
      <w:r>
        <w:rPr>
          <w:rFonts w:hint="eastAsia" w:ascii="Arial" w:hAnsi="Arial" w:cs="宋体"/>
          <w:color w:val="auto"/>
          <w:szCs w:val="21"/>
          <w:highlight w:val="none"/>
        </w:rPr>
        <w:t xml:space="preserve"> ，属于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5000DF99">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出入口目标识别设备（双门磁力锁）</w:t>
      </w:r>
      <w:r>
        <w:rPr>
          <w:rFonts w:hint="eastAsia" w:ascii="Arial" w:hAnsi="Arial" w:cs="宋体"/>
          <w:color w:val="auto"/>
          <w:szCs w:val="21"/>
          <w:highlight w:val="none"/>
        </w:rPr>
        <w:t xml:space="preserve"> ，属于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35B8116C">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 xml:space="preserve">出入口目标识别设备（出门按扭） </w:t>
      </w:r>
      <w:r>
        <w:rPr>
          <w:rFonts w:hint="eastAsia" w:ascii="Arial" w:hAnsi="Arial" w:cs="宋体"/>
          <w:color w:val="auto"/>
          <w:szCs w:val="21"/>
          <w:highlight w:val="none"/>
        </w:rPr>
        <w:t xml:space="preserve">，属于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50C46B33">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交换机（24口交换机）</w:t>
      </w:r>
      <w:r>
        <w:rPr>
          <w:rFonts w:hint="eastAsia" w:ascii="Arial" w:hAnsi="Arial" w:cs="宋体"/>
          <w:color w:val="auto"/>
          <w:szCs w:val="21"/>
          <w:highlight w:val="none"/>
        </w:rPr>
        <w:t xml:space="preserve"> ，属于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469C320B">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信息插座（单孔地插（含底盒））</w:t>
      </w:r>
      <w:r>
        <w:rPr>
          <w:rFonts w:hint="eastAsia" w:ascii="Arial" w:hAnsi="Arial" w:cs="宋体"/>
          <w:color w:val="auto"/>
          <w:szCs w:val="21"/>
          <w:highlight w:val="none"/>
        </w:rPr>
        <w:t xml:space="preserve"> ，属于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1C6FABC5">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信息插座（双孔地插（含底盒））</w:t>
      </w:r>
      <w:r>
        <w:rPr>
          <w:rFonts w:hint="eastAsia" w:ascii="Arial" w:hAnsi="Arial" w:cs="宋体"/>
          <w:color w:val="auto"/>
          <w:szCs w:val="21"/>
          <w:highlight w:val="none"/>
        </w:rPr>
        <w:t xml:space="preserve">，属于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2AF23DE0">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信息插座（单口信息面板）</w:t>
      </w:r>
      <w:r>
        <w:rPr>
          <w:rFonts w:hint="eastAsia" w:ascii="Arial" w:hAnsi="Arial" w:cs="宋体"/>
          <w:color w:val="auto"/>
          <w:szCs w:val="21"/>
          <w:highlight w:val="none"/>
        </w:rPr>
        <w:t xml:space="preserve">，属于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1C7818A8">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信息插座（双口信息面板）</w:t>
      </w:r>
      <w:r>
        <w:rPr>
          <w:rFonts w:hint="eastAsia" w:ascii="Arial" w:hAnsi="Arial" w:cs="宋体"/>
          <w:color w:val="auto"/>
          <w:szCs w:val="21"/>
          <w:highlight w:val="none"/>
        </w:rPr>
        <w:t xml:space="preserve">，属于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44230EAB">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信息插座（电话模块）</w:t>
      </w:r>
      <w:r>
        <w:rPr>
          <w:rFonts w:hint="eastAsia" w:ascii="Arial" w:hAnsi="Arial" w:cs="宋体"/>
          <w:color w:val="auto"/>
          <w:szCs w:val="21"/>
          <w:highlight w:val="none"/>
        </w:rPr>
        <w:t xml:space="preserve">，属于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272E95D7">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信息插座（网络模块）</w:t>
      </w:r>
      <w:r>
        <w:rPr>
          <w:rFonts w:hint="eastAsia" w:ascii="Arial" w:hAnsi="Arial" w:cs="宋体"/>
          <w:color w:val="auto"/>
          <w:szCs w:val="21"/>
          <w:highlight w:val="none"/>
        </w:rPr>
        <w:t xml:space="preserve">，属于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404380F1">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信息插座（开关盒插座盒）</w:t>
      </w:r>
      <w:r>
        <w:rPr>
          <w:rFonts w:hint="eastAsia" w:ascii="Arial" w:hAnsi="Arial" w:cs="宋体"/>
          <w:color w:val="auto"/>
          <w:szCs w:val="21"/>
          <w:highlight w:val="none"/>
        </w:rPr>
        <w:t xml:space="preserve">，属于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15A8DC48">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交换机（24口交换机）</w:t>
      </w:r>
      <w:r>
        <w:rPr>
          <w:rFonts w:hint="eastAsia" w:ascii="Arial" w:hAnsi="Arial" w:cs="宋体"/>
          <w:color w:val="auto"/>
          <w:szCs w:val="21"/>
          <w:highlight w:val="none"/>
        </w:rPr>
        <w:t xml:space="preserve">，属于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32BC4DAF">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配线架（NPE配线架）</w:t>
      </w:r>
      <w:r>
        <w:rPr>
          <w:rFonts w:hint="eastAsia" w:ascii="Arial" w:hAnsi="Arial" w:cs="宋体"/>
          <w:color w:val="auto"/>
          <w:szCs w:val="21"/>
          <w:highlight w:val="none"/>
        </w:rPr>
        <w:t xml:space="preserve">，属于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103B85FF">
      <w:pPr>
        <w:numPr>
          <w:ilvl w:val="0"/>
          <w:numId w:val="26"/>
        </w:numPr>
        <w:snapToGrid w:val="0"/>
        <w:spacing w:line="360" w:lineRule="auto"/>
        <w:ind w:left="-2" w:leftChars="0" w:firstLine="422" w:firstLineChars="0"/>
        <w:rPr>
          <w:rFonts w:ascii="Arial" w:hAnsi="Arial" w:cs="宋体"/>
          <w:color w:val="auto"/>
          <w:szCs w:val="21"/>
          <w:highlight w:val="none"/>
          <w:u w:val="single"/>
        </w:rPr>
      </w:pPr>
      <w:r>
        <w:rPr>
          <w:rFonts w:hint="eastAsia" w:ascii="Arial" w:hAnsi="Arial" w:eastAsia="宋体" w:cs="宋体"/>
          <w:b/>
          <w:bCs/>
          <w:color w:val="auto"/>
          <w:sz w:val="21"/>
          <w:szCs w:val="21"/>
          <w:highlight w:val="none"/>
          <w:u w:val="single"/>
          <w:lang w:val="en-US" w:eastAsia="zh-CN"/>
        </w:rPr>
        <w:t>配线架（理线架 ）</w:t>
      </w:r>
      <w:r>
        <w:rPr>
          <w:rFonts w:hint="eastAsia" w:ascii="Arial" w:hAnsi="Arial" w:cs="宋体"/>
          <w:color w:val="auto"/>
          <w:szCs w:val="21"/>
          <w:highlight w:val="none"/>
        </w:rPr>
        <w:t xml:space="preserve">，属于 </w:t>
      </w:r>
      <w:r>
        <w:rPr>
          <w:rFonts w:hint="eastAsia" w:ascii="Arial" w:hAnsi="Arial" w:cs="宋体"/>
          <w:b/>
          <w:bCs/>
          <w:color w:val="auto"/>
          <w:szCs w:val="21"/>
          <w:highlight w:val="none"/>
          <w:u w:val="single"/>
        </w:rPr>
        <w:t>（工业）</w:t>
      </w:r>
      <w:r>
        <w:rPr>
          <w:rFonts w:hint="eastAsia" w:ascii="Arial" w:hAnsi="Arial" w:cs="宋体"/>
          <w:color w:val="auto"/>
          <w:szCs w:val="21"/>
          <w:highlight w:val="none"/>
        </w:rPr>
        <w:t>行业 ；制造商为</w:t>
      </w:r>
      <w:r>
        <w:rPr>
          <w:rFonts w:hint="eastAsia" w:ascii="Arial" w:hAnsi="Arial" w:cs="宋体"/>
          <w:color w:val="auto"/>
          <w:szCs w:val="21"/>
          <w:highlight w:val="none"/>
          <w:u w:val="single"/>
        </w:rPr>
        <w:t xml:space="preserve"> （企业名称）</w:t>
      </w:r>
      <w:r>
        <w:rPr>
          <w:rFonts w:hint="eastAsia" w:ascii="Arial" w:hAnsi="Arial" w:cs="宋体"/>
          <w:color w:val="auto"/>
          <w:szCs w:val="21"/>
          <w:highlight w:val="none"/>
        </w:rPr>
        <w:t xml:space="preserve"> ，从业人员</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人，营业收入为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万元，资产总额为</w:t>
      </w:r>
      <w:r>
        <w:rPr>
          <w:rFonts w:hint="eastAsia" w:ascii="Arial" w:hAnsi="Arial" w:cs="宋体"/>
          <w:color w:val="auto"/>
          <w:szCs w:val="21"/>
          <w:highlight w:val="none"/>
          <w:u w:val="single"/>
        </w:rPr>
        <w:t xml:space="preserve">   </w:t>
      </w:r>
      <w:r>
        <w:rPr>
          <w:rFonts w:hint="eastAsia" w:ascii="Arial" w:hAnsi="Arial" w:cs="宋体"/>
          <w:color w:val="auto"/>
          <w:szCs w:val="21"/>
          <w:highlight w:val="none"/>
        </w:rPr>
        <w:t>万元，属于</w:t>
      </w:r>
      <w:r>
        <w:rPr>
          <w:rFonts w:hint="eastAsia" w:ascii="Arial" w:hAnsi="Arial" w:cs="宋体"/>
          <w:color w:val="auto"/>
          <w:szCs w:val="21"/>
          <w:highlight w:val="none"/>
          <w:u w:val="single"/>
        </w:rPr>
        <w:t xml:space="preserve"> （中型企业、小型企业、微型企业）；</w:t>
      </w:r>
    </w:p>
    <w:p w14:paraId="42BE53F5">
      <w:pPr>
        <w:snapToGrid w:val="0"/>
        <w:spacing w:line="360" w:lineRule="auto"/>
        <w:ind w:firstLine="420" w:firstLineChars="200"/>
        <w:rPr>
          <w:rFonts w:ascii="Arial" w:hAnsi="Arial" w:cs="宋体"/>
          <w:color w:val="auto"/>
          <w:szCs w:val="21"/>
          <w:highlight w:val="none"/>
        </w:rPr>
      </w:pPr>
      <w:r>
        <w:rPr>
          <w:rFonts w:hint="eastAsia" w:ascii="Arial" w:hAnsi="Arial" w:cs="宋体"/>
          <w:color w:val="auto"/>
          <w:szCs w:val="21"/>
          <w:highlight w:val="none"/>
        </w:rPr>
        <w:t>……</w:t>
      </w:r>
    </w:p>
    <w:p w14:paraId="1B944118">
      <w:pPr>
        <w:snapToGrid w:val="0"/>
        <w:spacing w:line="360" w:lineRule="auto"/>
        <w:ind w:firstLine="420" w:firstLineChars="200"/>
        <w:rPr>
          <w:rFonts w:ascii="Arial" w:hAnsi="Arial" w:cs="宋体"/>
          <w:color w:val="auto"/>
          <w:szCs w:val="21"/>
          <w:highlight w:val="none"/>
        </w:rPr>
      </w:pPr>
      <w:r>
        <w:rPr>
          <w:rFonts w:hint="eastAsia" w:ascii="Arial" w:hAnsi="Arial" w:cs="宋体"/>
          <w:color w:val="auto"/>
          <w:szCs w:val="21"/>
          <w:highlight w:val="none"/>
        </w:rPr>
        <w:t>以上企业，不属于大企业的分支机构，不存在控股股东为大企业的情形，也不存在与大企业的负责人为同一人的情形。</w:t>
      </w:r>
    </w:p>
    <w:p w14:paraId="5DDE3379">
      <w:pPr>
        <w:snapToGrid w:val="0"/>
        <w:spacing w:line="360" w:lineRule="auto"/>
        <w:ind w:firstLine="420" w:firstLineChars="200"/>
        <w:rPr>
          <w:rFonts w:ascii="Arial" w:hAnsi="Arial" w:cs="宋体"/>
          <w:color w:val="auto"/>
          <w:szCs w:val="21"/>
          <w:highlight w:val="none"/>
        </w:rPr>
      </w:pPr>
      <w:r>
        <w:rPr>
          <w:rFonts w:hint="eastAsia" w:ascii="Arial" w:hAnsi="Arial" w:cs="宋体"/>
          <w:color w:val="auto"/>
          <w:szCs w:val="21"/>
          <w:highlight w:val="none"/>
        </w:rPr>
        <w:t>本企业对上述声明内容的真实性负责。如有虚假，将依法承担相应责任。</w:t>
      </w:r>
    </w:p>
    <w:p w14:paraId="625BA546">
      <w:pPr>
        <w:snapToGrid w:val="0"/>
        <w:spacing w:line="360" w:lineRule="auto"/>
        <w:rPr>
          <w:rFonts w:ascii="Arial" w:hAnsi="Arial" w:cs="宋体"/>
          <w:color w:val="auto"/>
          <w:kern w:val="0"/>
          <w:szCs w:val="21"/>
          <w:highlight w:val="none"/>
          <w:lang w:val="zh-CN"/>
        </w:rPr>
      </w:pPr>
    </w:p>
    <w:p w14:paraId="1CD6F84F">
      <w:pPr>
        <w:snapToGrid w:val="0"/>
        <w:spacing w:line="360" w:lineRule="auto"/>
        <w:rPr>
          <w:rFonts w:ascii="Arial" w:hAnsi="Arial" w:cs="宋体"/>
          <w:color w:val="auto"/>
          <w:kern w:val="0"/>
          <w:szCs w:val="21"/>
          <w:highlight w:val="none"/>
          <w:lang w:val="zh-CN"/>
        </w:rPr>
      </w:pPr>
    </w:p>
    <w:p w14:paraId="7650205F">
      <w:pPr>
        <w:snapToGrid w:val="0"/>
        <w:spacing w:line="360" w:lineRule="auto"/>
        <w:rPr>
          <w:rFonts w:ascii="Arial" w:hAnsi="Arial" w:cs="宋体"/>
          <w:color w:val="auto"/>
          <w:kern w:val="0"/>
          <w:szCs w:val="21"/>
          <w:highlight w:val="none"/>
        </w:rPr>
      </w:pPr>
      <w:r>
        <w:rPr>
          <w:rFonts w:hint="eastAsia" w:ascii="Arial" w:hAnsi="Arial" w:cs="宋体"/>
          <w:color w:val="auto"/>
          <w:kern w:val="0"/>
          <w:szCs w:val="21"/>
          <w:highlight w:val="none"/>
          <w:lang w:val="en-US" w:eastAsia="zh-CN"/>
        </w:rPr>
        <w:t>企业</w:t>
      </w:r>
      <w:r>
        <w:rPr>
          <w:rFonts w:hint="eastAsia" w:ascii="Arial" w:hAnsi="Arial" w:cs="宋体"/>
          <w:color w:val="auto"/>
          <w:kern w:val="0"/>
          <w:szCs w:val="21"/>
          <w:highlight w:val="none"/>
          <w:lang w:val="zh-CN"/>
        </w:rPr>
        <w:t>名称（公章）：</w:t>
      </w:r>
    </w:p>
    <w:p w14:paraId="69BAC352">
      <w:pPr>
        <w:snapToGrid w:val="0"/>
        <w:spacing w:line="360" w:lineRule="auto"/>
        <w:rPr>
          <w:rFonts w:ascii="Arial" w:hAnsi="Arial" w:cs="宋体"/>
          <w:color w:val="auto"/>
          <w:kern w:val="0"/>
          <w:szCs w:val="21"/>
          <w:highlight w:val="none"/>
          <w:lang w:val="zh-CN"/>
        </w:rPr>
      </w:pPr>
      <w:r>
        <w:rPr>
          <w:rFonts w:hint="eastAsia" w:ascii="Arial" w:hAnsi="Arial" w:cs="宋体"/>
          <w:color w:val="auto"/>
          <w:kern w:val="0"/>
          <w:szCs w:val="21"/>
          <w:highlight w:val="none"/>
          <w:lang w:val="zh-CN"/>
        </w:rPr>
        <w:t>日期</w:t>
      </w:r>
      <w:r>
        <w:rPr>
          <w:rFonts w:hint="eastAsia" w:ascii="Arial" w:hAnsi="Arial" w:cs="宋体"/>
          <w:color w:val="auto"/>
          <w:kern w:val="0"/>
          <w:szCs w:val="21"/>
          <w:highlight w:val="none"/>
        </w:rPr>
        <w:t xml:space="preserve">：  年  </w:t>
      </w:r>
      <w:r>
        <w:rPr>
          <w:rFonts w:hint="eastAsia" w:ascii="Arial" w:hAnsi="Arial" w:cs="宋体"/>
          <w:color w:val="auto"/>
          <w:kern w:val="0"/>
          <w:szCs w:val="21"/>
          <w:highlight w:val="none"/>
          <w:lang w:val="zh-CN"/>
        </w:rPr>
        <w:t>月</w:t>
      </w:r>
      <w:r>
        <w:rPr>
          <w:rFonts w:hint="eastAsia" w:ascii="Arial" w:hAnsi="Arial" w:cs="宋体"/>
          <w:color w:val="auto"/>
          <w:kern w:val="0"/>
          <w:szCs w:val="21"/>
          <w:highlight w:val="none"/>
        </w:rPr>
        <w:t xml:space="preserve">   </w:t>
      </w:r>
      <w:r>
        <w:rPr>
          <w:rFonts w:hint="eastAsia" w:ascii="Arial" w:hAnsi="Arial" w:cs="宋体"/>
          <w:color w:val="auto"/>
          <w:kern w:val="0"/>
          <w:szCs w:val="21"/>
          <w:highlight w:val="none"/>
          <w:lang w:val="zh-CN"/>
        </w:rPr>
        <w:t>日</w:t>
      </w:r>
    </w:p>
    <w:p w14:paraId="148803FC">
      <w:pPr>
        <w:snapToGrid w:val="0"/>
        <w:spacing w:line="360" w:lineRule="auto"/>
        <w:ind w:firstLine="420" w:firstLineChars="200"/>
        <w:rPr>
          <w:rFonts w:ascii="Arial" w:hAnsi="Arial" w:cs="宋体"/>
          <w:color w:val="auto"/>
          <w:szCs w:val="21"/>
          <w:highlight w:val="none"/>
        </w:rPr>
      </w:pPr>
    </w:p>
    <w:p w14:paraId="3AEE58FA">
      <w:pPr>
        <w:snapToGrid w:val="0"/>
        <w:spacing w:line="360" w:lineRule="auto"/>
        <w:ind w:firstLine="420" w:firstLineChars="200"/>
        <w:rPr>
          <w:rFonts w:ascii="Arial" w:hAnsi="Arial" w:cs="宋体"/>
          <w:color w:val="auto"/>
          <w:szCs w:val="21"/>
          <w:highlight w:val="none"/>
        </w:rPr>
      </w:pPr>
      <w:r>
        <w:rPr>
          <w:rFonts w:hint="eastAsia" w:ascii="Arial" w:hAnsi="Arial" w:cs="宋体"/>
          <w:color w:val="auto"/>
          <w:szCs w:val="21"/>
          <w:highlight w:val="none"/>
        </w:rPr>
        <w:t>注：</w:t>
      </w:r>
    </w:p>
    <w:p w14:paraId="1020AF21">
      <w:pPr>
        <w:numPr>
          <w:ilvl w:val="0"/>
          <w:numId w:val="27"/>
        </w:numPr>
        <w:snapToGrid w:val="0"/>
        <w:spacing w:line="360" w:lineRule="auto"/>
        <w:ind w:firstLine="420" w:firstLineChars="200"/>
        <w:rPr>
          <w:rFonts w:ascii="Arial" w:hAnsi="Arial" w:cs="宋体"/>
          <w:color w:val="auto"/>
          <w:szCs w:val="21"/>
          <w:highlight w:val="none"/>
        </w:rPr>
      </w:pPr>
      <w:r>
        <w:rPr>
          <w:rFonts w:hint="eastAsia" w:ascii="Arial" w:hAnsi="Arial" w:cs="宋体"/>
          <w:color w:val="auto"/>
          <w:szCs w:val="21"/>
          <w:highlight w:val="none"/>
        </w:rPr>
        <w:t>填写要求：①“标的名称”、“采购文件中明确的所属行业”依据采购文件第二</w:t>
      </w:r>
      <w:r>
        <w:rPr>
          <w:rFonts w:hint="eastAsia" w:ascii="Arial" w:hAnsi="Arial" w:cs="宋体"/>
          <w:color w:val="auto"/>
          <w:szCs w:val="21"/>
          <w:highlight w:val="none"/>
          <w:lang w:val="en-US" w:eastAsia="zh-CN"/>
        </w:rPr>
        <w:t>章</w:t>
      </w:r>
      <w:r>
        <w:rPr>
          <w:rFonts w:hint="eastAsia" w:ascii="Arial" w:hAnsi="Arial" w:cs="宋体"/>
          <w:color w:val="auto"/>
          <w:szCs w:val="21"/>
          <w:highlight w:val="none"/>
        </w:rPr>
        <w:t>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05B5FDD1">
      <w:pPr>
        <w:numPr>
          <w:ilvl w:val="0"/>
          <w:numId w:val="27"/>
        </w:numPr>
        <w:snapToGrid w:val="0"/>
        <w:spacing w:line="360" w:lineRule="auto"/>
        <w:ind w:firstLine="420" w:firstLineChars="200"/>
        <w:rPr>
          <w:rFonts w:ascii="Arial" w:hAnsi="Arial" w:cs="宋体"/>
          <w:color w:val="auto"/>
          <w:spacing w:val="6"/>
          <w:szCs w:val="32"/>
          <w:highlight w:val="none"/>
        </w:rPr>
      </w:pPr>
      <w:r>
        <w:rPr>
          <w:rFonts w:hint="eastAsia" w:ascii="Arial" w:hAnsi="Arial" w:cs="宋体"/>
          <w:color w:val="auto"/>
          <w:szCs w:val="21"/>
          <w:highlight w:val="none"/>
        </w:rPr>
        <w:t>符合《关于促进残疾人就业政府采购政策的通知》（财库〔2017〕141号）规定的条件并提供《残疾人福利性单位声明函》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2ECC956A">
      <w:pPr>
        <w:numPr>
          <w:ilvl w:val="0"/>
          <w:numId w:val="27"/>
        </w:numPr>
        <w:snapToGrid w:val="0"/>
        <w:spacing w:line="360" w:lineRule="auto"/>
        <w:ind w:firstLine="420" w:firstLineChars="200"/>
        <w:rPr>
          <w:rFonts w:ascii="Arial" w:hAnsi="Arial" w:cs="宋体"/>
          <w:color w:val="auto"/>
          <w:spacing w:val="6"/>
          <w:szCs w:val="32"/>
          <w:highlight w:val="none"/>
        </w:rPr>
      </w:pPr>
      <w:r>
        <w:rPr>
          <w:rFonts w:hint="eastAsia" w:ascii="Arial" w:hAnsi="Arial" w:cs="宋体"/>
          <w:color w:val="auto"/>
          <w:szCs w:val="21"/>
          <w:highlight w:val="none"/>
        </w:rPr>
        <w:t>如接受联合体投标的项目，所有联合体参与方均需提供本表。有多个标项的，须按每个标项分别填写。</w:t>
      </w:r>
    </w:p>
    <w:p w14:paraId="44A0BBED">
      <w:pPr>
        <w:rPr>
          <w:rFonts w:ascii="Arial" w:hAnsi="Arial"/>
          <w:color w:val="auto"/>
          <w:highlight w:val="none"/>
        </w:rPr>
      </w:pPr>
    </w:p>
    <w:p w14:paraId="13F44E52">
      <w:pPr>
        <w:pStyle w:val="43"/>
        <w:rPr>
          <w:color w:val="auto"/>
          <w:highlight w:val="none"/>
        </w:rPr>
      </w:pPr>
    </w:p>
    <w:p w14:paraId="02844911">
      <w:pPr>
        <w:pStyle w:val="43"/>
        <w:rPr>
          <w:color w:val="auto"/>
          <w:highlight w:val="none"/>
        </w:rPr>
      </w:pPr>
    </w:p>
    <w:p w14:paraId="007EC540">
      <w:pPr>
        <w:pStyle w:val="43"/>
        <w:rPr>
          <w:color w:val="auto"/>
          <w:highlight w:val="none"/>
        </w:rPr>
      </w:pPr>
    </w:p>
    <w:p w14:paraId="0E437792">
      <w:pPr>
        <w:rPr>
          <w:color w:val="auto"/>
          <w:spacing w:val="6"/>
          <w:szCs w:val="21"/>
          <w:highlight w:val="none"/>
        </w:rPr>
      </w:pPr>
    </w:p>
    <w:p w14:paraId="22C33E08">
      <w:pPr>
        <w:bidi w:val="0"/>
        <w:rPr>
          <w:color w:val="auto"/>
          <w:highlight w:val="none"/>
        </w:rPr>
      </w:pPr>
    </w:p>
    <w:p w14:paraId="539C41BE">
      <w:pPr>
        <w:bidi w:val="0"/>
        <w:rPr>
          <w:color w:val="auto"/>
          <w:highlight w:val="none"/>
        </w:rPr>
      </w:pPr>
    </w:p>
    <w:p w14:paraId="4B578592">
      <w:pPr>
        <w:bidi w:val="0"/>
        <w:rPr>
          <w:color w:val="auto"/>
          <w:highlight w:val="none"/>
        </w:rPr>
      </w:pPr>
    </w:p>
    <w:p w14:paraId="6778B07F">
      <w:pPr>
        <w:bidi w:val="0"/>
        <w:rPr>
          <w:color w:val="auto"/>
          <w:highlight w:val="none"/>
        </w:rPr>
      </w:pPr>
    </w:p>
    <w:p w14:paraId="24831AE8">
      <w:pPr>
        <w:bidi w:val="0"/>
        <w:rPr>
          <w:color w:val="auto"/>
          <w:highlight w:val="none"/>
        </w:rPr>
      </w:pPr>
    </w:p>
    <w:p w14:paraId="2AF535C6">
      <w:pPr>
        <w:bidi w:val="0"/>
        <w:rPr>
          <w:color w:val="auto"/>
          <w:highlight w:val="none"/>
        </w:rPr>
      </w:pPr>
    </w:p>
    <w:p w14:paraId="3F20AEFC">
      <w:pPr>
        <w:bidi w:val="0"/>
        <w:rPr>
          <w:color w:val="auto"/>
          <w:highlight w:val="none"/>
        </w:rPr>
      </w:pPr>
    </w:p>
    <w:p w14:paraId="16FC1D2B">
      <w:pPr>
        <w:bidi w:val="0"/>
        <w:rPr>
          <w:color w:val="auto"/>
          <w:highlight w:val="none"/>
        </w:rPr>
      </w:pPr>
    </w:p>
    <w:p w14:paraId="7AA88784">
      <w:pPr>
        <w:bidi w:val="0"/>
        <w:rPr>
          <w:color w:val="auto"/>
          <w:highlight w:val="none"/>
        </w:rPr>
      </w:pPr>
    </w:p>
    <w:p w14:paraId="42A5EF0F">
      <w:pPr>
        <w:bidi w:val="0"/>
        <w:rPr>
          <w:color w:val="auto"/>
          <w:highlight w:val="none"/>
        </w:rPr>
      </w:pPr>
    </w:p>
    <w:p w14:paraId="5BBDE72A">
      <w:pPr>
        <w:bidi w:val="0"/>
        <w:rPr>
          <w:color w:val="auto"/>
          <w:highlight w:val="none"/>
        </w:rPr>
      </w:pPr>
    </w:p>
    <w:p w14:paraId="43CD3CE8">
      <w:pPr>
        <w:bidi w:val="0"/>
        <w:rPr>
          <w:color w:val="auto"/>
          <w:highlight w:val="none"/>
        </w:rPr>
      </w:pPr>
    </w:p>
    <w:p w14:paraId="5C3254DD">
      <w:pPr>
        <w:bidi w:val="0"/>
        <w:rPr>
          <w:color w:val="auto"/>
          <w:highlight w:val="none"/>
        </w:rPr>
      </w:pPr>
    </w:p>
    <w:p w14:paraId="05AE098B">
      <w:pPr>
        <w:bidi w:val="0"/>
        <w:rPr>
          <w:color w:val="auto"/>
          <w:highlight w:val="none"/>
        </w:rPr>
      </w:pPr>
    </w:p>
    <w:p w14:paraId="539F690D">
      <w:pPr>
        <w:bidi w:val="0"/>
        <w:rPr>
          <w:color w:val="auto"/>
          <w:highlight w:val="none"/>
        </w:rPr>
      </w:pPr>
    </w:p>
    <w:p w14:paraId="358FF49A">
      <w:pPr>
        <w:bidi w:val="0"/>
        <w:rPr>
          <w:color w:val="auto"/>
          <w:highlight w:val="none"/>
        </w:rPr>
      </w:pPr>
    </w:p>
    <w:p w14:paraId="189093A4">
      <w:pPr>
        <w:bidi w:val="0"/>
        <w:rPr>
          <w:color w:val="auto"/>
          <w:highlight w:val="none"/>
        </w:rPr>
      </w:pPr>
    </w:p>
    <w:p w14:paraId="7237B45D">
      <w:pPr>
        <w:bidi w:val="0"/>
        <w:rPr>
          <w:color w:val="auto"/>
          <w:highlight w:val="none"/>
        </w:rPr>
      </w:pPr>
    </w:p>
    <w:p w14:paraId="77FE91F7">
      <w:pPr>
        <w:bidi w:val="0"/>
        <w:rPr>
          <w:color w:val="auto"/>
          <w:highlight w:val="none"/>
        </w:rPr>
      </w:pPr>
    </w:p>
    <w:p w14:paraId="2B36A5FD">
      <w:pPr>
        <w:bidi w:val="0"/>
        <w:rPr>
          <w:color w:val="auto"/>
          <w:highlight w:val="none"/>
        </w:rPr>
      </w:pPr>
    </w:p>
    <w:p w14:paraId="7DE26D46">
      <w:pPr>
        <w:bidi w:val="0"/>
        <w:rPr>
          <w:color w:val="auto"/>
          <w:highlight w:val="none"/>
        </w:rPr>
      </w:pPr>
    </w:p>
    <w:p w14:paraId="5F8DEC2F">
      <w:pPr>
        <w:bidi w:val="0"/>
        <w:rPr>
          <w:color w:val="auto"/>
          <w:highlight w:val="none"/>
        </w:rPr>
      </w:pPr>
    </w:p>
    <w:p w14:paraId="04AF8B48">
      <w:pPr>
        <w:bidi w:val="0"/>
        <w:rPr>
          <w:color w:val="auto"/>
          <w:highlight w:val="none"/>
        </w:rPr>
      </w:pPr>
    </w:p>
    <w:p w14:paraId="703B00D9">
      <w:pPr>
        <w:bidi w:val="0"/>
        <w:jc w:val="left"/>
        <w:rPr>
          <w:color w:val="auto"/>
          <w:highlight w:val="none"/>
        </w:rPr>
        <w:sectPr>
          <w:pgSz w:w="11907" w:h="16840"/>
          <w:pgMar w:top="1276" w:right="1474" w:bottom="1242" w:left="1474" w:header="720" w:footer="720" w:gutter="0"/>
          <w:cols w:space="720" w:num="1"/>
          <w:docGrid w:linePitch="285" w:charSpace="0"/>
        </w:sectPr>
      </w:pPr>
    </w:p>
    <w:p w14:paraId="5979572A">
      <w:pPr>
        <w:jc w:val="center"/>
        <w:rPr>
          <w:bCs/>
          <w:color w:val="auto"/>
          <w:spacing w:val="-4"/>
          <w:sz w:val="28"/>
          <w:szCs w:val="28"/>
          <w:highlight w:val="none"/>
        </w:rPr>
      </w:pPr>
      <w:r>
        <w:rPr>
          <w:b/>
          <w:color w:val="auto"/>
          <w:spacing w:val="-4"/>
          <w:sz w:val="28"/>
          <w:szCs w:val="28"/>
          <w:highlight w:val="none"/>
        </w:rPr>
        <w:t>中小微行业划型标准规定</w:t>
      </w:r>
      <w:r>
        <w:rPr>
          <w:bCs/>
          <w:color w:val="auto"/>
          <w:spacing w:val="-4"/>
          <w:sz w:val="28"/>
          <w:szCs w:val="28"/>
          <w:highlight w:val="none"/>
        </w:rPr>
        <w:t>（根据工信部联企业〔2011〕300号制定）</w:t>
      </w:r>
    </w:p>
    <w:tbl>
      <w:tblPr>
        <w:tblStyle w:val="44"/>
        <w:tblW w:w="15008" w:type="dxa"/>
        <w:tblInd w:w="-514" w:type="dxa"/>
        <w:tblLayout w:type="fixed"/>
        <w:tblCellMar>
          <w:top w:w="15" w:type="dxa"/>
          <w:left w:w="15" w:type="dxa"/>
          <w:bottom w:w="15" w:type="dxa"/>
          <w:right w:w="15" w:type="dxa"/>
        </w:tblCellMar>
      </w:tblPr>
      <w:tblGrid>
        <w:gridCol w:w="2153"/>
        <w:gridCol w:w="1320"/>
        <w:gridCol w:w="1560"/>
        <w:gridCol w:w="1500"/>
        <w:gridCol w:w="1320"/>
        <w:gridCol w:w="1500"/>
        <w:gridCol w:w="1406"/>
        <w:gridCol w:w="1264"/>
        <w:gridCol w:w="1470"/>
        <w:gridCol w:w="1515"/>
      </w:tblGrid>
      <w:tr w14:paraId="3B57CC7F">
        <w:tblPrEx>
          <w:tblCellMar>
            <w:top w:w="15" w:type="dxa"/>
            <w:left w:w="15" w:type="dxa"/>
            <w:bottom w:w="15" w:type="dxa"/>
            <w:right w:w="15" w:type="dxa"/>
          </w:tblCellMar>
        </w:tblPrEx>
        <w:trPr>
          <w:trHeight w:val="90" w:hRule="atLeast"/>
        </w:trPr>
        <w:tc>
          <w:tcPr>
            <w:tcW w:w="2153" w:type="dxa"/>
            <w:vMerge w:val="restart"/>
            <w:tcBorders>
              <w:top w:val="single" w:color="000000" w:sz="12" w:space="0"/>
              <w:left w:val="single" w:color="000000" w:sz="12" w:space="0"/>
              <w:bottom w:val="single" w:color="000000" w:sz="4" w:space="0"/>
              <w:right w:val="single" w:color="000000" w:sz="12" w:space="0"/>
            </w:tcBorders>
            <w:vAlign w:val="center"/>
          </w:tcPr>
          <w:p w14:paraId="72B30C64">
            <w:pPr>
              <w:widowControl/>
              <w:jc w:val="center"/>
              <w:textAlignment w:val="center"/>
              <w:rPr>
                <w:b/>
                <w:color w:val="auto"/>
                <w:sz w:val="20"/>
                <w:szCs w:val="20"/>
                <w:highlight w:val="none"/>
              </w:rPr>
            </w:pPr>
            <w:r>
              <w:rPr>
                <w:b/>
                <w:color w:val="auto"/>
                <w:sz w:val="20"/>
                <w:szCs w:val="20"/>
                <w:highlight w:val="none"/>
              </w:rPr>
              <w:t>行业</w:t>
            </w:r>
          </w:p>
        </w:tc>
        <w:tc>
          <w:tcPr>
            <w:tcW w:w="4380" w:type="dxa"/>
            <w:gridSpan w:val="3"/>
            <w:tcBorders>
              <w:top w:val="single" w:color="000000" w:sz="12" w:space="0"/>
              <w:left w:val="single" w:color="000000" w:sz="12" w:space="0"/>
              <w:bottom w:val="single" w:color="000000" w:sz="4" w:space="0"/>
              <w:right w:val="single" w:color="000000" w:sz="12" w:space="0"/>
            </w:tcBorders>
            <w:vAlign w:val="center"/>
          </w:tcPr>
          <w:p w14:paraId="2BE452AC">
            <w:pPr>
              <w:widowControl/>
              <w:jc w:val="center"/>
              <w:textAlignment w:val="bottom"/>
              <w:rPr>
                <w:b/>
                <w:color w:val="auto"/>
                <w:sz w:val="20"/>
                <w:szCs w:val="20"/>
                <w:highlight w:val="none"/>
              </w:rPr>
            </w:pPr>
            <w:r>
              <w:rPr>
                <w:b/>
                <w:color w:val="auto"/>
                <w:sz w:val="20"/>
                <w:szCs w:val="20"/>
                <w:highlight w:val="none"/>
              </w:rPr>
              <w:t>中型企业</w:t>
            </w:r>
          </w:p>
        </w:tc>
        <w:tc>
          <w:tcPr>
            <w:tcW w:w="4226" w:type="dxa"/>
            <w:gridSpan w:val="3"/>
            <w:tcBorders>
              <w:top w:val="single" w:color="000000" w:sz="12" w:space="0"/>
              <w:left w:val="single" w:color="000000" w:sz="12" w:space="0"/>
              <w:bottom w:val="single" w:color="000000" w:sz="4" w:space="0"/>
              <w:right w:val="single" w:color="000000" w:sz="12" w:space="0"/>
            </w:tcBorders>
            <w:vAlign w:val="center"/>
          </w:tcPr>
          <w:p w14:paraId="789263E5">
            <w:pPr>
              <w:widowControl/>
              <w:jc w:val="center"/>
              <w:textAlignment w:val="bottom"/>
              <w:rPr>
                <w:b/>
                <w:color w:val="auto"/>
                <w:sz w:val="20"/>
                <w:szCs w:val="20"/>
                <w:highlight w:val="none"/>
              </w:rPr>
            </w:pPr>
            <w:r>
              <w:rPr>
                <w:b/>
                <w:color w:val="auto"/>
                <w:sz w:val="20"/>
                <w:szCs w:val="20"/>
                <w:highlight w:val="none"/>
              </w:rPr>
              <w:t>小型企业</w:t>
            </w:r>
          </w:p>
        </w:tc>
        <w:tc>
          <w:tcPr>
            <w:tcW w:w="4249" w:type="dxa"/>
            <w:gridSpan w:val="3"/>
            <w:tcBorders>
              <w:top w:val="single" w:color="000000" w:sz="12" w:space="0"/>
              <w:left w:val="single" w:color="000000" w:sz="12" w:space="0"/>
              <w:bottom w:val="single" w:color="000000" w:sz="4" w:space="0"/>
              <w:right w:val="single" w:color="000000" w:sz="12" w:space="0"/>
            </w:tcBorders>
            <w:vAlign w:val="center"/>
          </w:tcPr>
          <w:p w14:paraId="704B398F">
            <w:pPr>
              <w:widowControl/>
              <w:jc w:val="center"/>
              <w:textAlignment w:val="bottom"/>
              <w:rPr>
                <w:b/>
                <w:color w:val="auto"/>
                <w:sz w:val="20"/>
                <w:szCs w:val="20"/>
                <w:highlight w:val="none"/>
              </w:rPr>
            </w:pPr>
            <w:r>
              <w:rPr>
                <w:b/>
                <w:color w:val="auto"/>
                <w:sz w:val="20"/>
                <w:szCs w:val="20"/>
                <w:highlight w:val="none"/>
              </w:rPr>
              <w:t>微型企业</w:t>
            </w:r>
          </w:p>
        </w:tc>
      </w:tr>
      <w:tr w14:paraId="3ABEA865">
        <w:tblPrEx>
          <w:tblCellMar>
            <w:top w:w="15" w:type="dxa"/>
            <w:left w:w="15" w:type="dxa"/>
            <w:bottom w:w="15" w:type="dxa"/>
            <w:right w:w="15" w:type="dxa"/>
          </w:tblCellMar>
        </w:tblPrEx>
        <w:trPr>
          <w:trHeight w:val="374" w:hRule="atLeast"/>
        </w:trPr>
        <w:tc>
          <w:tcPr>
            <w:tcW w:w="2153" w:type="dxa"/>
            <w:vMerge w:val="continue"/>
            <w:tcBorders>
              <w:top w:val="single" w:color="000000" w:sz="12" w:space="0"/>
              <w:left w:val="single" w:color="000000" w:sz="12" w:space="0"/>
              <w:bottom w:val="single" w:color="000000" w:sz="4" w:space="0"/>
              <w:right w:val="single" w:color="000000" w:sz="12" w:space="0"/>
            </w:tcBorders>
            <w:vAlign w:val="center"/>
          </w:tcPr>
          <w:p w14:paraId="1BE88F9D">
            <w:pPr>
              <w:jc w:val="center"/>
              <w:rPr>
                <w:b/>
                <w:color w:val="auto"/>
                <w:sz w:val="20"/>
                <w:szCs w:val="20"/>
                <w:highlight w:val="none"/>
              </w:rPr>
            </w:pPr>
          </w:p>
        </w:tc>
        <w:tc>
          <w:tcPr>
            <w:tcW w:w="1320" w:type="dxa"/>
            <w:tcBorders>
              <w:top w:val="single" w:color="000000" w:sz="4" w:space="0"/>
              <w:left w:val="single" w:color="000000" w:sz="12" w:space="0"/>
              <w:bottom w:val="single" w:color="000000" w:sz="4" w:space="0"/>
              <w:right w:val="single" w:color="000000" w:sz="4" w:space="0"/>
            </w:tcBorders>
            <w:vAlign w:val="center"/>
          </w:tcPr>
          <w:p w14:paraId="1283E926">
            <w:pPr>
              <w:widowControl/>
              <w:jc w:val="center"/>
              <w:textAlignment w:val="bottom"/>
              <w:rPr>
                <w:color w:val="auto"/>
                <w:sz w:val="20"/>
                <w:szCs w:val="20"/>
                <w:highlight w:val="none"/>
              </w:rPr>
            </w:pPr>
            <w:r>
              <w:rPr>
                <w:color w:val="auto"/>
                <w:sz w:val="20"/>
                <w:szCs w:val="20"/>
                <w:highlight w:val="none"/>
              </w:rPr>
              <w:t>从业人员X（人）</w:t>
            </w:r>
          </w:p>
        </w:tc>
        <w:tc>
          <w:tcPr>
            <w:tcW w:w="1560" w:type="dxa"/>
            <w:tcBorders>
              <w:top w:val="single" w:color="000000" w:sz="4" w:space="0"/>
              <w:left w:val="single" w:color="000000" w:sz="4" w:space="0"/>
              <w:bottom w:val="single" w:color="000000" w:sz="4" w:space="0"/>
              <w:right w:val="single" w:color="000000" w:sz="4" w:space="0"/>
            </w:tcBorders>
            <w:vAlign w:val="center"/>
          </w:tcPr>
          <w:p w14:paraId="77DBA304">
            <w:pPr>
              <w:widowControl/>
              <w:jc w:val="center"/>
              <w:textAlignment w:val="bottom"/>
              <w:rPr>
                <w:color w:val="auto"/>
                <w:sz w:val="20"/>
                <w:szCs w:val="20"/>
                <w:highlight w:val="none"/>
              </w:rPr>
            </w:pPr>
            <w:r>
              <w:rPr>
                <w:color w:val="auto"/>
                <w:sz w:val="20"/>
                <w:szCs w:val="20"/>
                <w:highlight w:val="none"/>
              </w:rPr>
              <w:t>营业收入 Y（万元）</w:t>
            </w:r>
          </w:p>
        </w:tc>
        <w:tc>
          <w:tcPr>
            <w:tcW w:w="1500" w:type="dxa"/>
            <w:tcBorders>
              <w:top w:val="single" w:color="000000" w:sz="4" w:space="0"/>
              <w:left w:val="single" w:color="000000" w:sz="4" w:space="0"/>
              <w:bottom w:val="single" w:color="000000" w:sz="4" w:space="0"/>
              <w:right w:val="single" w:color="000000" w:sz="12" w:space="0"/>
            </w:tcBorders>
            <w:vAlign w:val="center"/>
          </w:tcPr>
          <w:p w14:paraId="692ECC7E">
            <w:pPr>
              <w:widowControl/>
              <w:jc w:val="center"/>
              <w:textAlignment w:val="bottom"/>
              <w:rPr>
                <w:color w:val="auto"/>
                <w:sz w:val="20"/>
                <w:szCs w:val="20"/>
                <w:highlight w:val="none"/>
              </w:rPr>
            </w:pPr>
            <w:r>
              <w:rPr>
                <w:color w:val="auto"/>
                <w:sz w:val="20"/>
                <w:szCs w:val="20"/>
                <w:highlight w:val="none"/>
              </w:rPr>
              <w:t>资产总额 Z（万元）</w:t>
            </w:r>
          </w:p>
        </w:tc>
        <w:tc>
          <w:tcPr>
            <w:tcW w:w="1320" w:type="dxa"/>
            <w:tcBorders>
              <w:top w:val="single" w:color="000000" w:sz="4" w:space="0"/>
              <w:left w:val="single" w:color="000000" w:sz="12" w:space="0"/>
              <w:bottom w:val="single" w:color="000000" w:sz="4" w:space="0"/>
              <w:right w:val="single" w:color="000000" w:sz="4" w:space="0"/>
            </w:tcBorders>
            <w:vAlign w:val="center"/>
          </w:tcPr>
          <w:p w14:paraId="2D0B66C8">
            <w:pPr>
              <w:widowControl/>
              <w:jc w:val="center"/>
              <w:textAlignment w:val="bottom"/>
              <w:rPr>
                <w:color w:val="auto"/>
                <w:sz w:val="20"/>
                <w:szCs w:val="20"/>
                <w:highlight w:val="none"/>
              </w:rPr>
            </w:pPr>
            <w:r>
              <w:rPr>
                <w:color w:val="auto"/>
                <w:sz w:val="20"/>
                <w:szCs w:val="20"/>
                <w:highlight w:val="none"/>
              </w:rPr>
              <w:t>从业人员X（人）</w:t>
            </w:r>
          </w:p>
        </w:tc>
        <w:tc>
          <w:tcPr>
            <w:tcW w:w="1500" w:type="dxa"/>
            <w:tcBorders>
              <w:top w:val="single" w:color="000000" w:sz="4" w:space="0"/>
              <w:left w:val="single" w:color="000000" w:sz="4" w:space="0"/>
              <w:bottom w:val="single" w:color="000000" w:sz="4" w:space="0"/>
              <w:right w:val="single" w:color="000000" w:sz="4" w:space="0"/>
            </w:tcBorders>
            <w:vAlign w:val="center"/>
          </w:tcPr>
          <w:p w14:paraId="2BE96C1C">
            <w:pPr>
              <w:widowControl/>
              <w:jc w:val="center"/>
              <w:textAlignment w:val="bottom"/>
              <w:rPr>
                <w:color w:val="auto"/>
                <w:sz w:val="20"/>
                <w:szCs w:val="20"/>
                <w:highlight w:val="none"/>
              </w:rPr>
            </w:pPr>
            <w:r>
              <w:rPr>
                <w:color w:val="auto"/>
                <w:sz w:val="20"/>
                <w:szCs w:val="20"/>
                <w:highlight w:val="none"/>
              </w:rPr>
              <w:t>营业收入Y（万元）</w:t>
            </w:r>
          </w:p>
        </w:tc>
        <w:tc>
          <w:tcPr>
            <w:tcW w:w="1406" w:type="dxa"/>
            <w:tcBorders>
              <w:top w:val="single" w:color="000000" w:sz="4" w:space="0"/>
              <w:left w:val="single" w:color="000000" w:sz="4" w:space="0"/>
              <w:bottom w:val="single" w:color="000000" w:sz="4" w:space="0"/>
              <w:right w:val="single" w:color="000000" w:sz="12" w:space="0"/>
            </w:tcBorders>
            <w:vAlign w:val="center"/>
          </w:tcPr>
          <w:p w14:paraId="7FB1E215">
            <w:pPr>
              <w:widowControl/>
              <w:jc w:val="center"/>
              <w:textAlignment w:val="bottom"/>
              <w:rPr>
                <w:color w:val="auto"/>
                <w:sz w:val="20"/>
                <w:szCs w:val="20"/>
                <w:highlight w:val="none"/>
              </w:rPr>
            </w:pPr>
            <w:r>
              <w:rPr>
                <w:color w:val="auto"/>
                <w:sz w:val="20"/>
                <w:szCs w:val="20"/>
                <w:highlight w:val="none"/>
              </w:rPr>
              <w:t>资产总额Z（万元）</w:t>
            </w:r>
          </w:p>
        </w:tc>
        <w:tc>
          <w:tcPr>
            <w:tcW w:w="1264" w:type="dxa"/>
            <w:tcBorders>
              <w:top w:val="single" w:color="000000" w:sz="4" w:space="0"/>
              <w:left w:val="single" w:color="000000" w:sz="12" w:space="0"/>
              <w:bottom w:val="single" w:color="000000" w:sz="4" w:space="0"/>
              <w:right w:val="single" w:color="000000" w:sz="4" w:space="0"/>
            </w:tcBorders>
            <w:vAlign w:val="center"/>
          </w:tcPr>
          <w:p w14:paraId="77CE8BA2">
            <w:pPr>
              <w:widowControl/>
              <w:jc w:val="center"/>
              <w:textAlignment w:val="bottom"/>
              <w:rPr>
                <w:color w:val="auto"/>
                <w:sz w:val="20"/>
                <w:szCs w:val="20"/>
                <w:highlight w:val="none"/>
              </w:rPr>
            </w:pPr>
            <w:r>
              <w:rPr>
                <w:color w:val="auto"/>
                <w:sz w:val="20"/>
                <w:szCs w:val="20"/>
                <w:highlight w:val="none"/>
              </w:rPr>
              <w:t>从业人员X（人）</w:t>
            </w:r>
          </w:p>
        </w:tc>
        <w:tc>
          <w:tcPr>
            <w:tcW w:w="1470" w:type="dxa"/>
            <w:tcBorders>
              <w:top w:val="single" w:color="000000" w:sz="4" w:space="0"/>
              <w:left w:val="single" w:color="000000" w:sz="4" w:space="0"/>
              <w:bottom w:val="single" w:color="000000" w:sz="4" w:space="0"/>
              <w:right w:val="single" w:color="000000" w:sz="4" w:space="0"/>
            </w:tcBorders>
            <w:vAlign w:val="center"/>
          </w:tcPr>
          <w:p w14:paraId="34BE7AF7">
            <w:pPr>
              <w:widowControl/>
              <w:jc w:val="center"/>
              <w:textAlignment w:val="bottom"/>
              <w:rPr>
                <w:color w:val="auto"/>
                <w:sz w:val="20"/>
                <w:szCs w:val="20"/>
                <w:highlight w:val="none"/>
              </w:rPr>
            </w:pPr>
            <w:r>
              <w:rPr>
                <w:color w:val="auto"/>
                <w:sz w:val="20"/>
                <w:szCs w:val="20"/>
                <w:highlight w:val="none"/>
              </w:rPr>
              <w:t>营业收入Y（万元）</w:t>
            </w:r>
          </w:p>
        </w:tc>
        <w:tc>
          <w:tcPr>
            <w:tcW w:w="1515" w:type="dxa"/>
            <w:tcBorders>
              <w:top w:val="single" w:color="000000" w:sz="4" w:space="0"/>
              <w:left w:val="single" w:color="000000" w:sz="4" w:space="0"/>
              <w:bottom w:val="single" w:color="000000" w:sz="4" w:space="0"/>
              <w:right w:val="single" w:color="000000" w:sz="12" w:space="0"/>
            </w:tcBorders>
            <w:vAlign w:val="center"/>
          </w:tcPr>
          <w:p w14:paraId="4D71D80D">
            <w:pPr>
              <w:widowControl/>
              <w:jc w:val="center"/>
              <w:textAlignment w:val="bottom"/>
              <w:rPr>
                <w:color w:val="auto"/>
                <w:sz w:val="20"/>
                <w:szCs w:val="20"/>
                <w:highlight w:val="none"/>
              </w:rPr>
            </w:pPr>
            <w:r>
              <w:rPr>
                <w:color w:val="auto"/>
                <w:sz w:val="20"/>
                <w:szCs w:val="20"/>
                <w:highlight w:val="none"/>
              </w:rPr>
              <w:t>资产总额Z（万元）</w:t>
            </w:r>
          </w:p>
        </w:tc>
      </w:tr>
      <w:tr w14:paraId="28F4036B">
        <w:tblPrEx>
          <w:tblCellMar>
            <w:top w:w="15" w:type="dxa"/>
            <w:left w:w="15" w:type="dxa"/>
            <w:bottom w:w="15" w:type="dxa"/>
            <w:right w:w="15" w:type="dxa"/>
          </w:tblCellMar>
        </w:tblPrEx>
        <w:trPr>
          <w:trHeight w:val="306" w:hRule="atLeast"/>
        </w:trPr>
        <w:tc>
          <w:tcPr>
            <w:tcW w:w="2153" w:type="dxa"/>
            <w:tcBorders>
              <w:top w:val="single" w:color="000000" w:sz="4" w:space="0"/>
              <w:left w:val="single" w:color="000000" w:sz="12" w:space="0"/>
              <w:bottom w:val="single" w:color="000000" w:sz="4" w:space="0"/>
              <w:right w:val="single" w:color="000000" w:sz="12" w:space="0"/>
            </w:tcBorders>
            <w:vAlign w:val="center"/>
          </w:tcPr>
          <w:p w14:paraId="45F3CA04">
            <w:pPr>
              <w:widowControl/>
              <w:jc w:val="center"/>
              <w:textAlignment w:val="bottom"/>
              <w:rPr>
                <w:color w:val="auto"/>
                <w:sz w:val="20"/>
                <w:szCs w:val="20"/>
                <w:highlight w:val="none"/>
              </w:rPr>
            </w:pPr>
            <w:r>
              <w:rPr>
                <w:color w:val="auto"/>
                <w:sz w:val="20"/>
                <w:szCs w:val="20"/>
                <w:highlight w:val="none"/>
              </w:rPr>
              <w:t>1、农林牧渔业</w:t>
            </w:r>
          </w:p>
        </w:tc>
        <w:tc>
          <w:tcPr>
            <w:tcW w:w="1320" w:type="dxa"/>
            <w:tcBorders>
              <w:top w:val="single" w:color="000000" w:sz="4" w:space="0"/>
              <w:left w:val="single" w:color="000000" w:sz="12" w:space="0"/>
              <w:bottom w:val="single" w:color="000000" w:sz="4" w:space="0"/>
              <w:right w:val="single" w:color="000000" w:sz="4" w:space="0"/>
            </w:tcBorders>
            <w:vAlign w:val="center"/>
          </w:tcPr>
          <w:p w14:paraId="552E4B96">
            <w:pPr>
              <w:jc w:val="center"/>
              <w:rPr>
                <w:color w:val="auto"/>
                <w:sz w:val="20"/>
                <w:szCs w:val="20"/>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93526B1">
            <w:pPr>
              <w:widowControl/>
              <w:jc w:val="center"/>
              <w:textAlignment w:val="bottom"/>
              <w:rPr>
                <w:color w:val="auto"/>
                <w:sz w:val="20"/>
                <w:szCs w:val="20"/>
                <w:highlight w:val="none"/>
              </w:rPr>
            </w:pPr>
            <w:r>
              <w:rPr>
                <w:color w:val="auto"/>
                <w:sz w:val="20"/>
                <w:szCs w:val="20"/>
                <w:highlight w:val="none"/>
              </w:rPr>
              <w:t>500≤Y＜20000</w:t>
            </w:r>
          </w:p>
        </w:tc>
        <w:tc>
          <w:tcPr>
            <w:tcW w:w="1500" w:type="dxa"/>
            <w:tcBorders>
              <w:top w:val="single" w:color="000000" w:sz="4" w:space="0"/>
              <w:left w:val="single" w:color="000000" w:sz="4" w:space="0"/>
              <w:bottom w:val="single" w:color="000000" w:sz="4" w:space="0"/>
              <w:right w:val="single" w:color="000000" w:sz="12" w:space="0"/>
            </w:tcBorders>
            <w:vAlign w:val="center"/>
          </w:tcPr>
          <w:p w14:paraId="58A60EE9">
            <w:pPr>
              <w:jc w:val="center"/>
              <w:rPr>
                <w:color w:val="auto"/>
                <w:sz w:val="20"/>
                <w:szCs w:val="20"/>
                <w:highlight w:val="none"/>
              </w:rPr>
            </w:pPr>
          </w:p>
        </w:tc>
        <w:tc>
          <w:tcPr>
            <w:tcW w:w="1320" w:type="dxa"/>
            <w:tcBorders>
              <w:top w:val="single" w:color="000000" w:sz="4" w:space="0"/>
              <w:left w:val="single" w:color="000000" w:sz="12" w:space="0"/>
              <w:bottom w:val="single" w:color="000000" w:sz="4" w:space="0"/>
              <w:right w:val="single" w:color="000000" w:sz="4" w:space="0"/>
            </w:tcBorders>
            <w:vAlign w:val="center"/>
          </w:tcPr>
          <w:p w14:paraId="47047AF4">
            <w:pPr>
              <w:jc w:val="center"/>
              <w:rPr>
                <w:color w:val="auto"/>
                <w:sz w:val="20"/>
                <w:szCs w:val="20"/>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907C859">
            <w:pPr>
              <w:widowControl/>
              <w:jc w:val="center"/>
              <w:textAlignment w:val="bottom"/>
              <w:rPr>
                <w:color w:val="auto"/>
                <w:sz w:val="20"/>
                <w:szCs w:val="20"/>
                <w:highlight w:val="none"/>
              </w:rPr>
            </w:pPr>
            <w:r>
              <w:rPr>
                <w:color w:val="auto"/>
                <w:sz w:val="20"/>
                <w:szCs w:val="20"/>
                <w:highlight w:val="none"/>
              </w:rPr>
              <w:t>50≤Y＜500</w:t>
            </w:r>
          </w:p>
        </w:tc>
        <w:tc>
          <w:tcPr>
            <w:tcW w:w="1406" w:type="dxa"/>
            <w:tcBorders>
              <w:top w:val="single" w:color="000000" w:sz="4" w:space="0"/>
              <w:left w:val="single" w:color="000000" w:sz="4" w:space="0"/>
              <w:bottom w:val="single" w:color="000000" w:sz="4" w:space="0"/>
              <w:right w:val="single" w:color="000000" w:sz="12" w:space="0"/>
            </w:tcBorders>
            <w:vAlign w:val="center"/>
          </w:tcPr>
          <w:p w14:paraId="4ABF9724">
            <w:pPr>
              <w:jc w:val="center"/>
              <w:rPr>
                <w:color w:val="auto"/>
                <w:sz w:val="20"/>
                <w:szCs w:val="20"/>
                <w:highlight w:val="none"/>
              </w:rPr>
            </w:pPr>
          </w:p>
        </w:tc>
        <w:tc>
          <w:tcPr>
            <w:tcW w:w="1264" w:type="dxa"/>
            <w:tcBorders>
              <w:top w:val="single" w:color="000000" w:sz="4" w:space="0"/>
              <w:left w:val="single" w:color="000000" w:sz="12" w:space="0"/>
              <w:bottom w:val="single" w:color="000000" w:sz="4" w:space="0"/>
              <w:right w:val="single" w:color="000000" w:sz="4" w:space="0"/>
            </w:tcBorders>
            <w:vAlign w:val="center"/>
          </w:tcPr>
          <w:p w14:paraId="04A603CE">
            <w:pPr>
              <w:jc w:val="center"/>
              <w:rPr>
                <w:color w:val="auto"/>
                <w:sz w:val="20"/>
                <w:szCs w:val="20"/>
                <w:highlight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14:paraId="124CCDD7">
            <w:pPr>
              <w:widowControl/>
              <w:jc w:val="center"/>
              <w:textAlignment w:val="bottom"/>
              <w:rPr>
                <w:color w:val="auto"/>
                <w:sz w:val="20"/>
                <w:szCs w:val="20"/>
                <w:highlight w:val="none"/>
              </w:rPr>
            </w:pPr>
            <w:r>
              <w:rPr>
                <w:color w:val="auto"/>
                <w:sz w:val="20"/>
                <w:szCs w:val="20"/>
                <w:highlight w:val="none"/>
              </w:rPr>
              <w:t>Y＜50</w:t>
            </w:r>
          </w:p>
        </w:tc>
        <w:tc>
          <w:tcPr>
            <w:tcW w:w="1515" w:type="dxa"/>
            <w:tcBorders>
              <w:top w:val="single" w:color="000000" w:sz="4" w:space="0"/>
              <w:left w:val="single" w:color="000000" w:sz="4" w:space="0"/>
              <w:bottom w:val="single" w:color="000000" w:sz="4" w:space="0"/>
              <w:right w:val="single" w:color="000000" w:sz="12" w:space="0"/>
            </w:tcBorders>
            <w:vAlign w:val="center"/>
          </w:tcPr>
          <w:p w14:paraId="6A5CB720">
            <w:pPr>
              <w:jc w:val="center"/>
              <w:rPr>
                <w:color w:val="auto"/>
                <w:sz w:val="20"/>
                <w:szCs w:val="20"/>
                <w:highlight w:val="none"/>
              </w:rPr>
            </w:pPr>
          </w:p>
        </w:tc>
      </w:tr>
      <w:tr w14:paraId="0A864C4E">
        <w:tblPrEx>
          <w:tblCellMar>
            <w:top w:w="15" w:type="dxa"/>
            <w:left w:w="15" w:type="dxa"/>
            <w:bottom w:w="15" w:type="dxa"/>
            <w:right w:w="15" w:type="dxa"/>
          </w:tblCellMar>
        </w:tblPrEx>
        <w:trPr>
          <w:trHeight w:val="306" w:hRule="atLeast"/>
        </w:trPr>
        <w:tc>
          <w:tcPr>
            <w:tcW w:w="2153" w:type="dxa"/>
            <w:tcBorders>
              <w:top w:val="single" w:color="000000" w:sz="4" w:space="0"/>
              <w:left w:val="single" w:color="000000" w:sz="12" w:space="0"/>
              <w:bottom w:val="single" w:color="000000" w:sz="4" w:space="0"/>
              <w:right w:val="single" w:color="000000" w:sz="12" w:space="0"/>
            </w:tcBorders>
            <w:vAlign w:val="center"/>
          </w:tcPr>
          <w:p w14:paraId="5F95D64A">
            <w:pPr>
              <w:widowControl/>
              <w:jc w:val="center"/>
              <w:textAlignment w:val="bottom"/>
              <w:rPr>
                <w:color w:val="auto"/>
                <w:sz w:val="20"/>
                <w:szCs w:val="20"/>
                <w:highlight w:val="none"/>
              </w:rPr>
            </w:pPr>
            <w:r>
              <w:rPr>
                <w:color w:val="auto"/>
                <w:sz w:val="20"/>
                <w:szCs w:val="20"/>
                <w:highlight w:val="none"/>
              </w:rPr>
              <w:t>2、工业</w:t>
            </w:r>
          </w:p>
        </w:tc>
        <w:tc>
          <w:tcPr>
            <w:tcW w:w="1320" w:type="dxa"/>
            <w:tcBorders>
              <w:top w:val="single" w:color="000000" w:sz="4" w:space="0"/>
              <w:left w:val="single" w:color="000000" w:sz="12" w:space="0"/>
              <w:bottom w:val="single" w:color="000000" w:sz="4" w:space="0"/>
              <w:right w:val="single" w:color="000000" w:sz="4" w:space="0"/>
            </w:tcBorders>
            <w:vAlign w:val="center"/>
          </w:tcPr>
          <w:p w14:paraId="16029421">
            <w:pPr>
              <w:widowControl/>
              <w:jc w:val="center"/>
              <w:textAlignment w:val="bottom"/>
              <w:rPr>
                <w:color w:val="auto"/>
                <w:sz w:val="20"/>
                <w:szCs w:val="20"/>
                <w:highlight w:val="none"/>
              </w:rPr>
            </w:pPr>
            <w:r>
              <w:rPr>
                <w:color w:val="auto"/>
                <w:sz w:val="20"/>
                <w:szCs w:val="20"/>
                <w:highlight w:val="none"/>
              </w:rPr>
              <w:t>300≤X＜1000</w:t>
            </w:r>
          </w:p>
        </w:tc>
        <w:tc>
          <w:tcPr>
            <w:tcW w:w="1560" w:type="dxa"/>
            <w:tcBorders>
              <w:top w:val="single" w:color="000000" w:sz="4" w:space="0"/>
              <w:left w:val="single" w:color="000000" w:sz="4" w:space="0"/>
              <w:bottom w:val="single" w:color="000000" w:sz="4" w:space="0"/>
              <w:right w:val="single" w:color="000000" w:sz="4" w:space="0"/>
            </w:tcBorders>
            <w:vAlign w:val="center"/>
          </w:tcPr>
          <w:p w14:paraId="28F0846A">
            <w:pPr>
              <w:widowControl/>
              <w:jc w:val="center"/>
              <w:textAlignment w:val="bottom"/>
              <w:rPr>
                <w:color w:val="auto"/>
                <w:sz w:val="20"/>
                <w:szCs w:val="20"/>
                <w:highlight w:val="none"/>
              </w:rPr>
            </w:pPr>
            <w:r>
              <w:rPr>
                <w:color w:val="auto"/>
                <w:sz w:val="20"/>
                <w:szCs w:val="20"/>
                <w:highlight w:val="none"/>
              </w:rPr>
              <w:t>2000≤Y＜40000</w:t>
            </w:r>
          </w:p>
        </w:tc>
        <w:tc>
          <w:tcPr>
            <w:tcW w:w="1500" w:type="dxa"/>
            <w:tcBorders>
              <w:top w:val="single" w:color="000000" w:sz="4" w:space="0"/>
              <w:left w:val="single" w:color="000000" w:sz="4" w:space="0"/>
              <w:bottom w:val="single" w:color="000000" w:sz="4" w:space="0"/>
              <w:right w:val="single" w:color="000000" w:sz="12" w:space="0"/>
            </w:tcBorders>
            <w:vAlign w:val="center"/>
          </w:tcPr>
          <w:p w14:paraId="3C482011">
            <w:pPr>
              <w:jc w:val="center"/>
              <w:rPr>
                <w:color w:val="auto"/>
                <w:sz w:val="20"/>
                <w:szCs w:val="20"/>
                <w:highlight w:val="none"/>
              </w:rPr>
            </w:pPr>
          </w:p>
        </w:tc>
        <w:tc>
          <w:tcPr>
            <w:tcW w:w="1320" w:type="dxa"/>
            <w:tcBorders>
              <w:top w:val="single" w:color="000000" w:sz="4" w:space="0"/>
              <w:left w:val="single" w:color="000000" w:sz="12" w:space="0"/>
              <w:bottom w:val="single" w:color="000000" w:sz="4" w:space="0"/>
              <w:right w:val="single" w:color="000000" w:sz="4" w:space="0"/>
            </w:tcBorders>
            <w:vAlign w:val="center"/>
          </w:tcPr>
          <w:p w14:paraId="0B3C7E45">
            <w:pPr>
              <w:widowControl/>
              <w:jc w:val="center"/>
              <w:textAlignment w:val="bottom"/>
              <w:rPr>
                <w:color w:val="auto"/>
                <w:sz w:val="20"/>
                <w:szCs w:val="20"/>
                <w:highlight w:val="none"/>
              </w:rPr>
            </w:pPr>
            <w:r>
              <w:rPr>
                <w:color w:val="auto"/>
                <w:sz w:val="20"/>
                <w:szCs w:val="20"/>
                <w:highlight w:val="none"/>
              </w:rPr>
              <w:t>20≤X＜300</w:t>
            </w:r>
          </w:p>
        </w:tc>
        <w:tc>
          <w:tcPr>
            <w:tcW w:w="1500" w:type="dxa"/>
            <w:tcBorders>
              <w:top w:val="single" w:color="000000" w:sz="4" w:space="0"/>
              <w:left w:val="single" w:color="000000" w:sz="4" w:space="0"/>
              <w:bottom w:val="single" w:color="000000" w:sz="4" w:space="0"/>
              <w:right w:val="single" w:color="000000" w:sz="4" w:space="0"/>
            </w:tcBorders>
            <w:vAlign w:val="center"/>
          </w:tcPr>
          <w:p w14:paraId="2D22336E">
            <w:pPr>
              <w:widowControl/>
              <w:jc w:val="center"/>
              <w:textAlignment w:val="bottom"/>
              <w:rPr>
                <w:color w:val="auto"/>
                <w:sz w:val="20"/>
                <w:szCs w:val="20"/>
                <w:highlight w:val="none"/>
              </w:rPr>
            </w:pPr>
            <w:r>
              <w:rPr>
                <w:color w:val="auto"/>
                <w:sz w:val="20"/>
                <w:szCs w:val="20"/>
                <w:highlight w:val="none"/>
              </w:rPr>
              <w:t>300≤Y＜2000</w:t>
            </w:r>
          </w:p>
        </w:tc>
        <w:tc>
          <w:tcPr>
            <w:tcW w:w="1406" w:type="dxa"/>
            <w:tcBorders>
              <w:top w:val="single" w:color="000000" w:sz="4" w:space="0"/>
              <w:left w:val="single" w:color="000000" w:sz="4" w:space="0"/>
              <w:bottom w:val="single" w:color="000000" w:sz="4" w:space="0"/>
              <w:right w:val="single" w:color="000000" w:sz="12" w:space="0"/>
            </w:tcBorders>
            <w:vAlign w:val="center"/>
          </w:tcPr>
          <w:p w14:paraId="454F66DD">
            <w:pPr>
              <w:jc w:val="center"/>
              <w:rPr>
                <w:color w:val="auto"/>
                <w:sz w:val="20"/>
                <w:szCs w:val="20"/>
                <w:highlight w:val="none"/>
              </w:rPr>
            </w:pPr>
          </w:p>
        </w:tc>
        <w:tc>
          <w:tcPr>
            <w:tcW w:w="1264" w:type="dxa"/>
            <w:tcBorders>
              <w:top w:val="single" w:color="000000" w:sz="4" w:space="0"/>
              <w:left w:val="single" w:color="000000" w:sz="12" w:space="0"/>
              <w:bottom w:val="single" w:color="000000" w:sz="4" w:space="0"/>
              <w:right w:val="single" w:color="000000" w:sz="4" w:space="0"/>
            </w:tcBorders>
            <w:vAlign w:val="center"/>
          </w:tcPr>
          <w:p w14:paraId="3E6CC96B">
            <w:pPr>
              <w:widowControl/>
              <w:jc w:val="center"/>
              <w:textAlignment w:val="bottom"/>
              <w:rPr>
                <w:color w:val="auto"/>
                <w:sz w:val="20"/>
                <w:szCs w:val="20"/>
                <w:highlight w:val="none"/>
              </w:rPr>
            </w:pPr>
            <w:r>
              <w:rPr>
                <w:color w:val="auto"/>
                <w:sz w:val="20"/>
                <w:szCs w:val="20"/>
                <w:highlight w:val="none"/>
              </w:rPr>
              <w:t>X＜20</w:t>
            </w:r>
          </w:p>
        </w:tc>
        <w:tc>
          <w:tcPr>
            <w:tcW w:w="1470" w:type="dxa"/>
            <w:tcBorders>
              <w:top w:val="single" w:color="000000" w:sz="4" w:space="0"/>
              <w:left w:val="single" w:color="000000" w:sz="4" w:space="0"/>
              <w:bottom w:val="single" w:color="000000" w:sz="4" w:space="0"/>
              <w:right w:val="single" w:color="000000" w:sz="4" w:space="0"/>
            </w:tcBorders>
            <w:vAlign w:val="center"/>
          </w:tcPr>
          <w:p w14:paraId="1A31D708">
            <w:pPr>
              <w:widowControl/>
              <w:jc w:val="center"/>
              <w:textAlignment w:val="bottom"/>
              <w:rPr>
                <w:color w:val="auto"/>
                <w:sz w:val="20"/>
                <w:szCs w:val="20"/>
                <w:highlight w:val="none"/>
              </w:rPr>
            </w:pPr>
            <w:r>
              <w:rPr>
                <w:color w:val="auto"/>
                <w:sz w:val="20"/>
                <w:szCs w:val="20"/>
                <w:highlight w:val="none"/>
              </w:rPr>
              <w:t>Y＜300</w:t>
            </w:r>
          </w:p>
        </w:tc>
        <w:tc>
          <w:tcPr>
            <w:tcW w:w="1515" w:type="dxa"/>
            <w:tcBorders>
              <w:top w:val="single" w:color="000000" w:sz="4" w:space="0"/>
              <w:left w:val="single" w:color="000000" w:sz="4" w:space="0"/>
              <w:bottom w:val="single" w:color="000000" w:sz="4" w:space="0"/>
              <w:right w:val="single" w:color="000000" w:sz="12" w:space="0"/>
            </w:tcBorders>
            <w:vAlign w:val="center"/>
          </w:tcPr>
          <w:p w14:paraId="7CBE2346">
            <w:pPr>
              <w:jc w:val="center"/>
              <w:rPr>
                <w:color w:val="auto"/>
                <w:sz w:val="20"/>
                <w:szCs w:val="20"/>
                <w:highlight w:val="none"/>
              </w:rPr>
            </w:pPr>
          </w:p>
        </w:tc>
      </w:tr>
      <w:tr w14:paraId="1120BC82">
        <w:tblPrEx>
          <w:tblCellMar>
            <w:top w:w="15" w:type="dxa"/>
            <w:left w:w="15" w:type="dxa"/>
            <w:bottom w:w="15" w:type="dxa"/>
            <w:right w:w="15" w:type="dxa"/>
          </w:tblCellMar>
        </w:tblPrEx>
        <w:trPr>
          <w:trHeight w:val="306" w:hRule="atLeast"/>
        </w:trPr>
        <w:tc>
          <w:tcPr>
            <w:tcW w:w="2153" w:type="dxa"/>
            <w:tcBorders>
              <w:top w:val="single" w:color="000000" w:sz="4" w:space="0"/>
              <w:left w:val="single" w:color="000000" w:sz="12" w:space="0"/>
              <w:bottom w:val="single" w:color="000000" w:sz="4" w:space="0"/>
              <w:right w:val="single" w:color="000000" w:sz="12" w:space="0"/>
            </w:tcBorders>
            <w:vAlign w:val="center"/>
          </w:tcPr>
          <w:p w14:paraId="65D8018C">
            <w:pPr>
              <w:widowControl/>
              <w:jc w:val="center"/>
              <w:textAlignment w:val="bottom"/>
              <w:rPr>
                <w:color w:val="auto"/>
                <w:sz w:val="20"/>
                <w:szCs w:val="20"/>
                <w:highlight w:val="none"/>
              </w:rPr>
            </w:pPr>
            <w:r>
              <w:rPr>
                <w:color w:val="auto"/>
                <w:sz w:val="20"/>
                <w:szCs w:val="20"/>
                <w:highlight w:val="none"/>
              </w:rPr>
              <w:t>3、建筑业</w:t>
            </w:r>
          </w:p>
        </w:tc>
        <w:tc>
          <w:tcPr>
            <w:tcW w:w="1320" w:type="dxa"/>
            <w:tcBorders>
              <w:top w:val="single" w:color="000000" w:sz="4" w:space="0"/>
              <w:left w:val="single" w:color="000000" w:sz="12" w:space="0"/>
              <w:bottom w:val="single" w:color="000000" w:sz="4" w:space="0"/>
              <w:right w:val="single" w:color="000000" w:sz="4" w:space="0"/>
            </w:tcBorders>
            <w:vAlign w:val="center"/>
          </w:tcPr>
          <w:p w14:paraId="026CB837">
            <w:pPr>
              <w:jc w:val="center"/>
              <w:rPr>
                <w:color w:val="auto"/>
                <w:sz w:val="20"/>
                <w:szCs w:val="20"/>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C4BB7FC">
            <w:pPr>
              <w:widowControl/>
              <w:jc w:val="center"/>
              <w:textAlignment w:val="bottom"/>
              <w:rPr>
                <w:color w:val="auto"/>
                <w:sz w:val="20"/>
                <w:szCs w:val="20"/>
                <w:highlight w:val="none"/>
              </w:rPr>
            </w:pPr>
            <w:r>
              <w:rPr>
                <w:color w:val="auto"/>
                <w:sz w:val="20"/>
                <w:szCs w:val="20"/>
                <w:highlight w:val="none"/>
              </w:rPr>
              <w:t>6000≤Y＜80000</w:t>
            </w:r>
          </w:p>
        </w:tc>
        <w:tc>
          <w:tcPr>
            <w:tcW w:w="1500" w:type="dxa"/>
            <w:tcBorders>
              <w:top w:val="single" w:color="000000" w:sz="4" w:space="0"/>
              <w:left w:val="single" w:color="000000" w:sz="4" w:space="0"/>
              <w:bottom w:val="single" w:color="000000" w:sz="4" w:space="0"/>
              <w:right w:val="single" w:color="000000" w:sz="12" w:space="0"/>
            </w:tcBorders>
            <w:vAlign w:val="center"/>
          </w:tcPr>
          <w:p w14:paraId="20C8E244">
            <w:pPr>
              <w:widowControl/>
              <w:jc w:val="center"/>
              <w:textAlignment w:val="bottom"/>
              <w:rPr>
                <w:color w:val="auto"/>
                <w:sz w:val="20"/>
                <w:szCs w:val="20"/>
                <w:highlight w:val="none"/>
              </w:rPr>
            </w:pPr>
            <w:r>
              <w:rPr>
                <w:color w:val="auto"/>
                <w:sz w:val="20"/>
                <w:szCs w:val="20"/>
                <w:highlight w:val="none"/>
              </w:rPr>
              <w:t>5000≤Z＜80000</w:t>
            </w:r>
          </w:p>
        </w:tc>
        <w:tc>
          <w:tcPr>
            <w:tcW w:w="1320" w:type="dxa"/>
            <w:tcBorders>
              <w:top w:val="single" w:color="000000" w:sz="4" w:space="0"/>
              <w:left w:val="single" w:color="000000" w:sz="12" w:space="0"/>
              <w:bottom w:val="single" w:color="000000" w:sz="4" w:space="0"/>
              <w:right w:val="single" w:color="000000" w:sz="4" w:space="0"/>
            </w:tcBorders>
            <w:vAlign w:val="center"/>
          </w:tcPr>
          <w:p w14:paraId="6ADED29A">
            <w:pPr>
              <w:jc w:val="center"/>
              <w:rPr>
                <w:color w:val="auto"/>
                <w:sz w:val="20"/>
                <w:szCs w:val="20"/>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1CCF3B0">
            <w:pPr>
              <w:widowControl/>
              <w:jc w:val="center"/>
              <w:textAlignment w:val="bottom"/>
              <w:rPr>
                <w:color w:val="auto"/>
                <w:sz w:val="20"/>
                <w:szCs w:val="20"/>
                <w:highlight w:val="none"/>
              </w:rPr>
            </w:pPr>
            <w:r>
              <w:rPr>
                <w:color w:val="auto"/>
                <w:sz w:val="20"/>
                <w:szCs w:val="20"/>
                <w:highlight w:val="none"/>
              </w:rPr>
              <w:t>300≤Y＜6000</w:t>
            </w:r>
          </w:p>
        </w:tc>
        <w:tc>
          <w:tcPr>
            <w:tcW w:w="1406" w:type="dxa"/>
            <w:tcBorders>
              <w:top w:val="single" w:color="000000" w:sz="4" w:space="0"/>
              <w:left w:val="single" w:color="000000" w:sz="4" w:space="0"/>
              <w:bottom w:val="single" w:color="000000" w:sz="4" w:space="0"/>
              <w:right w:val="single" w:color="000000" w:sz="12" w:space="0"/>
            </w:tcBorders>
            <w:vAlign w:val="center"/>
          </w:tcPr>
          <w:p w14:paraId="5B2F0A51">
            <w:pPr>
              <w:widowControl/>
              <w:jc w:val="center"/>
              <w:textAlignment w:val="bottom"/>
              <w:rPr>
                <w:color w:val="auto"/>
                <w:sz w:val="20"/>
                <w:szCs w:val="20"/>
                <w:highlight w:val="none"/>
              </w:rPr>
            </w:pPr>
            <w:r>
              <w:rPr>
                <w:color w:val="auto"/>
                <w:sz w:val="20"/>
                <w:szCs w:val="20"/>
                <w:highlight w:val="none"/>
              </w:rPr>
              <w:t>300≤Z＜5000</w:t>
            </w:r>
          </w:p>
        </w:tc>
        <w:tc>
          <w:tcPr>
            <w:tcW w:w="1264" w:type="dxa"/>
            <w:tcBorders>
              <w:top w:val="single" w:color="000000" w:sz="4" w:space="0"/>
              <w:left w:val="single" w:color="000000" w:sz="12" w:space="0"/>
              <w:bottom w:val="single" w:color="000000" w:sz="4" w:space="0"/>
              <w:right w:val="single" w:color="000000" w:sz="4" w:space="0"/>
            </w:tcBorders>
            <w:vAlign w:val="center"/>
          </w:tcPr>
          <w:p w14:paraId="4F8CC7FC">
            <w:pPr>
              <w:jc w:val="center"/>
              <w:rPr>
                <w:color w:val="auto"/>
                <w:sz w:val="20"/>
                <w:szCs w:val="20"/>
                <w:highlight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14:paraId="5F3338FE">
            <w:pPr>
              <w:widowControl/>
              <w:jc w:val="center"/>
              <w:textAlignment w:val="bottom"/>
              <w:rPr>
                <w:color w:val="auto"/>
                <w:sz w:val="20"/>
                <w:szCs w:val="20"/>
                <w:highlight w:val="none"/>
              </w:rPr>
            </w:pPr>
            <w:r>
              <w:rPr>
                <w:color w:val="auto"/>
                <w:sz w:val="20"/>
                <w:szCs w:val="20"/>
                <w:highlight w:val="none"/>
              </w:rPr>
              <w:t>Y＜300</w:t>
            </w:r>
          </w:p>
        </w:tc>
        <w:tc>
          <w:tcPr>
            <w:tcW w:w="1515" w:type="dxa"/>
            <w:tcBorders>
              <w:top w:val="single" w:color="000000" w:sz="4" w:space="0"/>
              <w:left w:val="single" w:color="000000" w:sz="4" w:space="0"/>
              <w:bottom w:val="single" w:color="000000" w:sz="4" w:space="0"/>
              <w:right w:val="single" w:color="000000" w:sz="12" w:space="0"/>
            </w:tcBorders>
            <w:vAlign w:val="center"/>
          </w:tcPr>
          <w:p w14:paraId="7CB3A0F9">
            <w:pPr>
              <w:widowControl/>
              <w:jc w:val="center"/>
              <w:textAlignment w:val="bottom"/>
              <w:rPr>
                <w:color w:val="auto"/>
                <w:sz w:val="20"/>
                <w:szCs w:val="20"/>
                <w:highlight w:val="none"/>
              </w:rPr>
            </w:pPr>
            <w:r>
              <w:rPr>
                <w:color w:val="auto"/>
                <w:sz w:val="20"/>
                <w:szCs w:val="20"/>
                <w:highlight w:val="none"/>
              </w:rPr>
              <w:t>Z＜300</w:t>
            </w:r>
          </w:p>
        </w:tc>
      </w:tr>
      <w:tr w14:paraId="3881E90F">
        <w:tblPrEx>
          <w:tblCellMar>
            <w:top w:w="15" w:type="dxa"/>
            <w:left w:w="15" w:type="dxa"/>
            <w:bottom w:w="15" w:type="dxa"/>
            <w:right w:w="15" w:type="dxa"/>
          </w:tblCellMar>
        </w:tblPrEx>
        <w:trPr>
          <w:trHeight w:val="306" w:hRule="atLeast"/>
        </w:trPr>
        <w:tc>
          <w:tcPr>
            <w:tcW w:w="2153" w:type="dxa"/>
            <w:tcBorders>
              <w:top w:val="single" w:color="000000" w:sz="4" w:space="0"/>
              <w:left w:val="single" w:color="000000" w:sz="12" w:space="0"/>
              <w:bottom w:val="single" w:color="000000" w:sz="4" w:space="0"/>
              <w:right w:val="single" w:color="000000" w:sz="12" w:space="0"/>
            </w:tcBorders>
            <w:vAlign w:val="center"/>
          </w:tcPr>
          <w:p w14:paraId="3C26A875">
            <w:pPr>
              <w:widowControl/>
              <w:jc w:val="center"/>
              <w:textAlignment w:val="bottom"/>
              <w:rPr>
                <w:color w:val="auto"/>
                <w:sz w:val="20"/>
                <w:szCs w:val="20"/>
                <w:highlight w:val="none"/>
              </w:rPr>
            </w:pPr>
            <w:r>
              <w:rPr>
                <w:color w:val="auto"/>
                <w:sz w:val="20"/>
                <w:szCs w:val="20"/>
                <w:highlight w:val="none"/>
              </w:rPr>
              <w:t>4、批发业</w:t>
            </w:r>
          </w:p>
        </w:tc>
        <w:tc>
          <w:tcPr>
            <w:tcW w:w="1320" w:type="dxa"/>
            <w:tcBorders>
              <w:top w:val="single" w:color="000000" w:sz="4" w:space="0"/>
              <w:left w:val="single" w:color="000000" w:sz="12" w:space="0"/>
              <w:bottom w:val="single" w:color="000000" w:sz="4" w:space="0"/>
              <w:right w:val="single" w:color="000000" w:sz="4" w:space="0"/>
            </w:tcBorders>
            <w:vAlign w:val="center"/>
          </w:tcPr>
          <w:p w14:paraId="39922D39">
            <w:pPr>
              <w:widowControl/>
              <w:jc w:val="center"/>
              <w:textAlignment w:val="bottom"/>
              <w:rPr>
                <w:color w:val="auto"/>
                <w:sz w:val="20"/>
                <w:szCs w:val="20"/>
                <w:highlight w:val="none"/>
              </w:rPr>
            </w:pPr>
            <w:r>
              <w:rPr>
                <w:color w:val="auto"/>
                <w:sz w:val="20"/>
                <w:szCs w:val="20"/>
                <w:highlight w:val="none"/>
              </w:rPr>
              <w:t>20≤X＜200</w:t>
            </w:r>
          </w:p>
        </w:tc>
        <w:tc>
          <w:tcPr>
            <w:tcW w:w="1560" w:type="dxa"/>
            <w:tcBorders>
              <w:top w:val="single" w:color="000000" w:sz="4" w:space="0"/>
              <w:left w:val="single" w:color="000000" w:sz="4" w:space="0"/>
              <w:bottom w:val="single" w:color="000000" w:sz="4" w:space="0"/>
              <w:right w:val="single" w:color="000000" w:sz="4" w:space="0"/>
            </w:tcBorders>
            <w:vAlign w:val="center"/>
          </w:tcPr>
          <w:p w14:paraId="40CED639">
            <w:pPr>
              <w:widowControl/>
              <w:jc w:val="center"/>
              <w:textAlignment w:val="bottom"/>
              <w:rPr>
                <w:color w:val="auto"/>
                <w:sz w:val="20"/>
                <w:szCs w:val="20"/>
                <w:highlight w:val="none"/>
              </w:rPr>
            </w:pPr>
            <w:r>
              <w:rPr>
                <w:color w:val="auto"/>
                <w:sz w:val="20"/>
                <w:szCs w:val="20"/>
                <w:highlight w:val="none"/>
              </w:rPr>
              <w:t>5000≤Y＜40000</w:t>
            </w:r>
          </w:p>
        </w:tc>
        <w:tc>
          <w:tcPr>
            <w:tcW w:w="1500" w:type="dxa"/>
            <w:tcBorders>
              <w:top w:val="single" w:color="000000" w:sz="4" w:space="0"/>
              <w:left w:val="single" w:color="000000" w:sz="4" w:space="0"/>
              <w:bottom w:val="single" w:color="000000" w:sz="4" w:space="0"/>
              <w:right w:val="single" w:color="000000" w:sz="12" w:space="0"/>
            </w:tcBorders>
            <w:vAlign w:val="center"/>
          </w:tcPr>
          <w:p w14:paraId="2E7CA96D">
            <w:pPr>
              <w:jc w:val="center"/>
              <w:rPr>
                <w:color w:val="auto"/>
                <w:sz w:val="20"/>
                <w:szCs w:val="20"/>
                <w:highlight w:val="none"/>
              </w:rPr>
            </w:pPr>
          </w:p>
        </w:tc>
        <w:tc>
          <w:tcPr>
            <w:tcW w:w="1320" w:type="dxa"/>
            <w:tcBorders>
              <w:top w:val="single" w:color="000000" w:sz="4" w:space="0"/>
              <w:left w:val="single" w:color="000000" w:sz="12" w:space="0"/>
              <w:bottom w:val="single" w:color="000000" w:sz="4" w:space="0"/>
              <w:right w:val="single" w:color="000000" w:sz="4" w:space="0"/>
            </w:tcBorders>
            <w:vAlign w:val="center"/>
          </w:tcPr>
          <w:p w14:paraId="458CFAE2">
            <w:pPr>
              <w:widowControl/>
              <w:jc w:val="center"/>
              <w:textAlignment w:val="bottom"/>
              <w:rPr>
                <w:color w:val="auto"/>
                <w:sz w:val="20"/>
                <w:szCs w:val="20"/>
                <w:highlight w:val="none"/>
              </w:rPr>
            </w:pPr>
            <w:r>
              <w:rPr>
                <w:color w:val="auto"/>
                <w:sz w:val="20"/>
                <w:szCs w:val="20"/>
                <w:highlight w:val="none"/>
              </w:rPr>
              <w:t>5≤X＜20</w:t>
            </w:r>
          </w:p>
        </w:tc>
        <w:tc>
          <w:tcPr>
            <w:tcW w:w="1500" w:type="dxa"/>
            <w:tcBorders>
              <w:top w:val="single" w:color="000000" w:sz="4" w:space="0"/>
              <w:left w:val="single" w:color="000000" w:sz="4" w:space="0"/>
              <w:bottom w:val="single" w:color="000000" w:sz="4" w:space="0"/>
              <w:right w:val="single" w:color="000000" w:sz="4" w:space="0"/>
            </w:tcBorders>
            <w:vAlign w:val="center"/>
          </w:tcPr>
          <w:p w14:paraId="6568A067">
            <w:pPr>
              <w:widowControl/>
              <w:jc w:val="center"/>
              <w:textAlignment w:val="bottom"/>
              <w:rPr>
                <w:color w:val="auto"/>
                <w:sz w:val="20"/>
                <w:szCs w:val="20"/>
                <w:highlight w:val="none"/>
              </w:rPr>
            </w:pPr>
            <w:r>
              <w:rPr>
                <w:color w:val="auto"/>
                <w:sz w:val="20"/>
                <w:szCs w:val="20"/>
                <w:highlight w:val="none"/>
              </w:rPr>
              <w:t>1000≤Y＜5000</w:t>
            </w:r>
          </w:p>
        </w:tc>
        <w:tc>
          <w:tcPr>
            <w:tcW w:w="1406" w:type="dxa"/>
            <w:tcBorders>
              <w:top w:val="single" w:color="000000" w:sz="4" w:space="0"/>
              <w:left w:val="single" w:color="000000" w:sz="4" w:space="0"/>
              <w:bottom w:val="single" w:color="000000" w:sz="4" w:space="0"/>
              <w:right w:val="single" w:color="000000" w:sz="12" w:space="0"/>
            </w:tcBorders>
            <w:vAlign w:val="center"/>
          </w:tcPr>
          <w:p w14:paraId="519D6A81">
            <w:pPr>
              <w:jc w:val="center"/>
              <w:rPr>
                <w:color w:val="auto"/>
                <w:sz w:val="20"/>
                <w:szCs w:val="20"/>
                <w:highlight w:val="none"/>
              </w:rPr>
            </w:pPr>
          </w:p>
        </w:tc>
        <w:tc>
          <w:tcPr>
            <w:tcW w:w="1264" w:type="dxa"/>
            <w:tcBorders>
              <w:top w:val="single" w:color="000000" w:sz="4" w:space="0"/>
              <w:left w:val="single" w:color="000000" w:sz="12" w:space="0"/>
              <w:bottom w:val="single" w:color="000000" w:sz="4" w:space="0"/>
              <w:right w:val="single" w:color="000000" w:sz="4" w:space="0"/>
            </w:tcBorders>
            <w:vAlign w:val="center"/>
          </w:tcPr>
          <w:p w14:paraId="270DAD23">
            <w:pPr>
              <w:widowControl/>
              <w:jc w:val="center"/>
              <w:textAlignment w:val="bottom"/>
              <w:rPr>
                <w:color w:val="auto"/>
                <w:sz w:val="20"/>
                <w:szCs w:val="20"/>
                <w:highlight w:val="none"/>
              </w:rPr>
            </w:pPr>
            <w:r>
              <w:rPr>
                <w:color w:val="auto"/>
                <w:sz w:val="20"/>
                <w:szCs w:val="20"/>
                <w:highlight w:val="none"/>
              </w:rPr>
              <w:t>X＜5</w:t>
            </w:r>
          </w:p>
        </w:tc>
        <w:tc>
          <w:tcPr>
            <w:tcW w:w="1470" w:type="dxa"/>
            <w:tcBorders>
              <w:top w:val="single" w:color="000000" w:sz="4" w:space="0"/>
              <w:left w:val="single" w:color="000000" w:sz="4" w:space="0"/>
              <w:bottom w:val="single" w:color="000000" w:sz="4" w:space="0"/>
              <w:right w:val="single" w:color="000000" w:sz="4" w:space="0"/>
            </w:tcBorders>
            <w:vAlign w:val="center"/>
          </w:tcPr>
          <w:p w14:paraId="385B9C0A">
            <w:pPr>
              <w:widowControl/>
              <w:jc w:val="center"/>
              <w:textAlignment w:val="bottom"/>
              <w:rPr>
                <w:color w:val="auto"/>
                <w:sz w:val="20"/>
                <w:szCs w:val="20"/>
                <w:highlight w:val="none"/>
              </w:rPr>
            </w:pPr>
            <w:r>
              <w:rPr>
                <w:color w:val="auto"/>
                <w:sz w:val="20"/>
                <w:szCs w:val="20"/>
                <w:highlight w:val="none"/>
              </w:rPr>
              <w:t>Y＜1000</w:t>
            </w:r>
          </w:p>
        </w:tc>
        <w:tc>
          <w:tcPr>
            <w:tcW w:w="1515" w:type="dxa"/>
            <w:tcBorders>
              <w:top w:val="single" w:color="000000" w:sz="4" w:space="0"/>
              <w:left w:val="single" w:color="000000" w:sz="4" w:space="0"/>
              <w:bottom w:val="single" w:color="000000" w:sz="4" w:space="0"/>
              <w:right w:val="single" w:color="000000" w:sz="12" w:space="0"/>
            </w:tcBorders>
            <w:vAlign w:val="center"/>
          </w:tcPr>
          <w:p w14:paraId="3708FE63">
            <w:pPr>
              <w:jc w:val="center"/>
              <w:rPr>
                <w:color w:val="auto"/>
                <w:sz w:val="20"/>
                <w:szCs w:val="20"/>
                <w:highlight w:val="none"/>
              </w:rPr>
            </w:pPr>
          </w:p>
        </w:tc>
      </w:tr>
      <w:tr w14:paraId="6FBD79C6">
        <w:tblPrEx>
          <w:tblCellMar>
            <w:top w:w="15" w:type="dxa"/>
            <w:left w:w="15" w:type="dxa"/>
            <w:bottom w:w="15" w:type="dxa"/>
            <w:right w:w="15" w:type="dxa"/>
          </w:tblCellMar>
        </w:tblPrEx>
        <w:trPr>
          <w:trHeight w:val="306" w:hRule="atLeast"/>
        </w:trPr>
        <w:tc>
          <w:tcPr>
            <w:tcW w:w="2153" w:type="dxa"/>
            <w:tcBorders>
              <w:top w:val="single" w:color="000000" w:sz="4" w:space="0"/>
              <w:left w:val="single" w:color="000000" w:sz="12" w:space="0"/>
              <w:bottom w:val="single" w:color="000000" w:sz="4" w:space="0"/>
              <w:right w:val="single" w:color="000000" w:sz="12" w:space="0"/>
            </w:tcBorders>
            <w:vAlign w:val="center"/>
          </w:tcPr>
          <w:p w14:paraId="3C598596">
            <w:pPr>
              <w:widowControl/>
              <w:jc w:val="center"/>
              <w:textAlignment w:val="bottom"/>
              <w:rPr>
                <w:color w:val="auto"/>
                <w:sz w:val="20"/>
                <w:szCs w:val="20"/>
                <w:highlight w:val="none"/>
              </w:rPr>
            </w:pPr>
            <w:r>
              <w:rPr>
                <w:color w:val="auto"/>
                <w:sz w:val="20"/>
                <w:szCs w:val="20"/>
                <w:highlight w:val="none"/>
              </w:rPr>
              <w:t>5、零售业</w:t>
            </w:r>
          </w:p>
        </w:tc>
        <w:tc>
          <w:tcPr>
            <w:tcW w:w="1320" w:type="dxa"/>
            <w:tcBorders>
              <w:top w:val="single" w:color="000000" w:sz="4" w:space="0"/>
              <w:left w:val="single" w:color="000000" w:sz="12" w:space="0"/>
              <w:bottom w:val="single" w:color="000000" w:sz="4" w:space="0"/>
              <w:right w:val="single" w:color="000000" w:sz="4" w:space="0"/>
            </w:tcBorders>
            <w:vAlign w:val="center"/>
          </w:tcPr>
          <w:p w14:paraId="2C808CC0">
            <w:pPr>
              <w:widowControl/>
              <w:jc w:val="center"/>
              <w:textAlignment w:val="bottom"/>
              <w:rPr>
                <w:color w:val="auto"/>
                <w:sz w:val="20"/>
                <w:szCs w:val="20"/>
                <w:highlight w:val="none"/>
              </w:rPr>
            </w:pPr>
            <w:r>
              <w:rPr>
                <w:color w:val="auto"/>
                <w:sz w:val="20"/>
                <w:szCs w:val="20"/>
                <w:highlight w:val="none"/>
              </w:rPr>
              <w:t>50≤X＜300</w:t>
            </w:r>
          </w:p>
        </w:tc>
        <w:tc>
          <w:tcPr>
            <w:tcW w:w="1560" w:type="dxa"/>
            <w:tcBorders>
              <w:top w:val="single" w:color="000000" w:sz="4" w:space="0"/>
              <w:left w:val="single" w:color="000000" w:sz="4" w:space="0"/>
              <w:bottom w:val="single" w:color="000000" w:sz="4" w:space="0"/>
              <w:right w:val="single" w:color="000000" w:sz="4" w:space="0"/>
            </w:tcBorders>
            <w:vAlign w:val="center"/>
          </w:tcPr>
          <w:p w14:paraId="58DAB0FB">
            <w:pPr>
              <w:widowControl/>
              <w:jc w:val="center"/>
              <w:textAlignment w:val="bottom"/>
              <w:rPr>
                <w:color w:val="auto"/>
                <w:sz w:val="20"/>
                <w:szCs w:val="20"/>
                <w:highlight w:val="none"/>
              </w:rPr>
            </w:pPr>
            <w:r>
              <w:rPr>
                <w:color w:val="auto"/>
                <w:sz w:val="20"/>
                <w:szCs w:val="20"/>
                <w:highlight w:val="none"/>
              </w:rPr>
              <w:t>500≤Y＜20000</w:t>
            </w:r>
          </w:p>
        </w:tc>
        <w:tc>
          <w:tcPr>
            <w:tcW w:w="1500" w:type="dxa"/>
            <w:tcBorders>
              <w:top w:val="single" w:color="000000" w:sz="4" w:space="0"/>
              <w:left w:val="single" w:color="000000" w:sz="4" w:space="0"/>
              <w:bottom w:val="single" w:color="000000" w:sz="4" w:space="0"/>
              <w:right w:val="single" w:color="000000" w:sz="12" w:space="0"/>
            </w:tcBorders>
            <w:vAlign w:val="center"/>
          </w:tcPr>
          <w:p w14:paraId="619C28DF">
            <w:pPr>
              <w:jc w:val="center"/>
              <w:rPr>
                <w:color w:val="auto"/>
                <w:sz w:val="20"/>
                <w:szCs w:val="20"/>
                <w:highlight w:val="none"/>
              </w:rPr>
            </w:pPr>
          </w:p>
        </w:tc>
        <w:tc>
          <w:tcPr>
            <w:tcW w:w="1320" w:type="dxa"/>
            <w:tcBorders>
              <w:top w:val="single" w:color="000000" w:sz="4" w:space="0"/>
              <w:left w:val="single" w:color="000000" w:sz="12" w:space="0"/>
              <w:bottom w:val="single" w:color="000000" w:sz="4" w:space="0"/>
              <w:right w:val="single" w:color="000000" w:sz="4" w:space="0"/>
            </w:tcBorders>
            <w:vAlign w:val="center"/>
          </w:tcPr>
          <w:p w14:paraId="6AFB0CCC">
            <w:pPr>
              <w:widowControl/>
              <w:jc w:val="center"/>
              <w:textAlignment w:val="bottom"/>
              <w:rPr>
                <w:color w:val="auto"/>
                <w:sz w:val="20"/>
                <w:szCs w:val="20"/>
                <w:highlight w:val="none"/>
              </w:rPr>
            </w:pPr>
            <w:r>
              <w:rPr>
                <w:color w:val="auto"/>
                <w:sz w:val="20"/>
                <w:szCs w:val="20"/>
                <w:highlight w:val="none"/>
              </w:rPr>
              <w:t>10≤X＜50</w:t>
            </w:r>
          </w:p>
        </w:tc>
        <w:tc>
          <w:tcPr>
            <w:tcW w:w="1500" w:type="dxa"/>
            <w:tcBorders>
              <w:top w:val="single" w:color="000000" w:sz="4" w:space="0"/>
              <w:left w:val="single" w:color="000000" w:sz="4" w:space="0"/>
              <w:bottom w:val="single" w:color="000000" w:sz="4" w:space="0"/>
              <w:right w:val="single" w:color="000000" w:sz="4" w:space="0"/>
            </w:tcBorders>
            <w:vAlign w:val="center"/>
          </w:tcPr>
          <w:p w14:paraId="110D6855">
            <w:pPr>
              <w:widowControl/>
              <w:jc w:val="center"/>
              <w:textAlignment w:val="bottom"/>
              <w:rPr>
                <w:color w:val="auto"/>
                <w:sz w:val="20"/>
                <w:szCs w:val="20"/>
                <w:highlight w:val="none"/>
              </w:rPr>
            </w:pPr>
            <w:r>
              <w:rPr>
                <w:color w:val="auto"/>
                <w:sz w:val="20"/>
                <w:szCs w:val="20"/>
                <w:highlight w:val="none"/>
              </w:rPr>
              <w:t>100≤Y＜500</w:t>
            </w:r>
          </w:p>
        </w:tc>
        <w:tc>
          <w:tcPr>
            <w:tcW w:w="1406" w:type="dxa"/>
            <w:tcBorders>
              <w:top w:val="single" w:color="000000" w:sz="4" w:space="0"/>
              <w:left w:val="single" w:color="000000" w:sz="4" w:space="0"/>
              <w:bottom w:val="single" w:color="000000" w:sz="4" w:space="0"/>
              <w:right w:val="single" w:color="000000" w:sz="12" w:space="0"/>
            </w:tcBorders>
            <w:vAlign w:val="center"/>
          </w:tcPr>
          <w:p w14:paraId="62B64948">
            <w:pPr>
              <w:jc w:val="center"/>
              <w:rPr>
                <w:color w:val="auto"/>
                <w:sz w:val="20"/>
                <w:szCs w:val="20"/>
                <w:highlight w:val="none"/>
              </w:rPr>
            </w:pPr>
          </w:p>
        </w:tc>
        <w:tc>
          <w:tcPr>
            <w:tcW w:w="1264" w:type="dxa"/>
            <w:tcBorders>
              <w:top w:val="single" w:color="000000" w:sz="4" w:space="0"/>
              <w:left w:val="single" w:color="000000" w:sz="12" w:space="0"/>
              <w:bottom w:val="single" w:color="000000" w:sz="4" w:space="0"/>
              <w:right w:val="single" w:color="000000" w:sz="4" w:space="0"/>
            </w:tcBorders>
            <w:vAlign w:val="center"/>
          </w:tcPr>
          <w:p w14:paraId="2D712EF0">
            <w:pPr>
              <w:widowControl/>
              <w:jc w:val="center"/>
              <w:textAlignment w:val="bottom"/>
              <w:rPr>
                <w:color w:val="auto"/>
                <w:sz w:val="20"/>
                <w:szCs w:val="20"/>
                <w:highlight w:val="none"/>
              </w:rPr>
            </w:pPr>
            <w:r>
              <w:rPr>
                <w:color w:val="auto"/>
                <w:sz w:val="20"/>
                <w:szCs w:val="20"/>
                <w:highlight w:val="none"/>
              </w:rPr>
              <w:t>X＜10</w:t>
            </w:r>
          </w:p>
        </w:tc>
        <w:tc>
          <w:tcPr>
            <w:tcW w:w="1470" w:type="dxa"/>
            <w:tcBorders>
              <w:top w:val="single" w:color="000000" w:sz="4" w:space="0"/>
              <w:left w:val="single" w:color="000000" w:sz="4" w:space="0"/>
              <w:bottom w:val="single" w:color="000000" w:sz="4" w:space="0"/>
              <w:right w:val="single" w:color="000000" w:sz="4" w:space="0"/>
            </w:tcBorders>
            <w:vAlign w:val="center"/>
          </w:tcPr>
          <w:p w14:paraId="0356ED0A">
            <w:pPr>
              <w:widowControl/>
              <w:jc w:val="center"/>
              <w:textAlignment w:val="bottom"/>
              <w:rPr>
                <w:color w:val="auto"/>
                <w:sz w:val="20"/>
                <w:szCs w:val="20"/>
                <w:highlight w:val="none"/>
              </w:rPr>
            </w:pPr>
            <w:r>
              <w:rPr>
                <w:color w:val="auto"/>
                <w:sz w:val="20"/>
                <w:szCs w:val="20"/>
                <w:highlight w:val="none"/>
              </w:rPr>
              <w:t>Y＜100</w:t>
            </w:r>
          </w:p>
        </w:tc>
        <w:tc>
          <w:tcPr>
            <w:tcW w:w="1515" w:type="dxa"/>
            <w:tcBorders>
              <w:top w:val="single" w:color="000000" w:sz="4" w:space="0"/>
              <w:left w:val="single" w:color="000000" w:sz="4" w:space="0"/>
              <w:bottom w:val="single" w:color="000000" w:sz="4" w:space="0"/>
              <w:right w:val="single" w:color="000000" w:sz="12" w:space="0"/>
            </w:tcBorders>
            <w:vAlign w:val="center"/>
          </w:tcPr>
          <w:p w14:paraId="39BE6542">
            <w:pPr>
              <w:jc w:val="center"/>
              <w:rPr>
                <w:color w:val="auto"/>
                <w:sz w:val="20"/>
                <w:szCs w:val="20"/>
                <w:highlight w:val="none"/>
              </w:rPr>
            </w:pPr>
          </w:p>
        </w:tc>
      </w:tr>
      <w:tr w14:paraId="6B60415E">
        <w:tblPrEx>
          <w:tblCellMar>
            <w:top w:w="15" w:type="dxa"/>
            <w:left w:w="15" w:type="dxa"/>
            <w:bottom w:w="15" w:type="dxa"/>
            <w:right w:w="15" w:type="dxa"/>
          </w:tblCellMar>
        </w:tblPrEx>
        <w:trPr>
          <w:trHeight w:val="306" w:hRule="atLeast"/>
        </w:trPr>
        <w:tc>
          <w:tcPr>
            <w:tcW w:w="2153" w:type="dxa"/>
            <w:tcBorders>
              <w:top w:val="single" w:color="000000" w:sz="4" w:space="0"/>
              <w:left w:val="single" w:color="000000" w:sz="12" w:space="0"/>
              <w:bottom w:val="single" w:color="000000" w:sz="4" w:space="0"/>
              <w:right w:val="single" w:color="000000" w:sz="12" w:space="0"/>
            </w:tcBorders>
            <w:vAlign w:val="center"/>
          </w:tcPr>
          <w:p w14:paraId="71146D0B">
            <w:pPr>
              <w:widowControl/>
              <w:jc w:val="center"/>
              <w:textAlignment w:val="bottom"/>
              <w:rPr>
                <w:color w:val="auto"/>
                <w:sz w:val="20"/>
                <w:szCs w:val="20"/>
                <w:highlight w:val="none"/>
              </w:rPr>
            </w:pPr>
            <w:r>
              <w:rPr>
                <w:color w:val="auto"/>
                <w:sz w:val="20"/>
                <w:szCs w:val="20"/>
                <w:highlight w:val="none"/>
              </w:rPr>
              <w:t>6、交通运输业</w:t>
            </w:r>
          </w:p>
        </w:tc>
        <w:tc>
          <w:tcPr>
            <w:tcW w:w="1320" w:type="dxa"/>
            <w:tcBorders>
              <w:top w:val="single" w:color="000000" w:sz="4" w:space="0"/>
              <w:left w:val="single" w:color="000000" w:sz="12" w:space="0"/>
              <w:bottom w:val="single" w:color="000000" w:sz="4" w:space="0"/>
              <w:right w:val="single" w:color="000000" w:sz="4" w:space="0"/>
            </w:tcBorders>
            <w:vAlign w:val="center"/>
          </w:tcPr>
          <w:p w14:paraId="126A4B3B">
            <w:pPr>
              <w:widowControl/>
              <w:jc w:val="center"/>
              <w:textAlignment w:val="bottom"/>
              <w:rPr>
                <w:color w:val="auto"/>
                <w:sz w:val="20"/>
                <w:szCs w:val="20"/>
                <w:highlight w:val="none"/>
              </w:rPr>
            </w:pPr>
            <w:r>
              <w:rPr>
                <w:color w:val="auto"/>
                <w:sz w:val="20"/>
                <w:szCs w:val="20"/>
                <w:highlight w:val="none"/>
              </w:rPr>
              <w:t>300≤X＜1000</w:t>
            </w:r>
          </w:p>
        </w:tc>
        <w:tc>
          <w:tcPr>
            <w:tcW w:w="1560" w:type="dxa"/>
            <w:tcBorders>
              <w:top w:val="single" w:color="000000" w:sz="4" w:space="0"/>
              <w:left w:val="single" w:color="000000" w:sz="4" w:space="0"/>
              <w:bottom w:val="single" w:color="000000" w:sz="4" w:space="0"/>
              <w:right w:val="single" w:color="000000" w:sz="4" w:space="0"/>
            </w:tcBorders>
            <w:vAlign w:val="center"/>
          </w:tcPr>
          <w:p w14:paraId="101B04EB">
            <w:pPr>
              <w:widowControl/>
              <w:jc w:val="center"/>
              <w:textAlignment w:val="bottom"/>
              <w:rPr>
                <w:color w:val="auto"/>
                <w:sz w:val="20"/>
                <w:szCs w:val="20"/>
                <w:highlight w:val="none"/>
              </w:rPr>
            </w:pPr>
            <w:r>
              <w:rPr>
                <w:color w:val="auto"/>
                <w:sz w:val="20"/>
                <w:szCs w:val="20"/>
                <w:highlight w:val="none"/>
              </w:rPr>
              <w:t>3000≤Y＜30000</w:t>
            </w:r>
          </w:p>
        </w:tc>
        <w:tc>
          <w:tcPr>
            <w:tcW w:w="1500" w:type="dxa"/>
            <w:tcBorders>
              <w:top w:val="single" w:color="000000" w:sz="4" w:space="0"/>
              <w:left w:val="single" w:color="000000" w:sz="4" w:space="0"/>
              <w:bottom w:val="single" w:color="000000" w:sz="4" w:space="0"/>
              <w:right w:val="single" w:color="000000" w:sz="12" w:space="0"/>
            </w:tcBorders>
            <w:vAlign w:val="center"/>
          </w:tcPr>
          <w:p w14:paraId="7F71E18D">
            <w:pPr>
              <w:jc w:val="center"/>
              <w:rPr>
                <w:color w:val="auto"/>
                <w:sz w:val="20"/>
                <w:szCs w:val="20"/>
                <w:highlight w:val="none"/>
              </w:rPr>
            </w:pPr>
          </w:p>
        </w:tc>
        <w:tc>
          <w:tcPr>
            <w:tcW w:w="1320" w:type="dxa"/>
            <w:tcBorders>
              <w:top w:val="single" w:color="000000" w:sz="4" w:space="0"/>
              <w:left w:val="single" w:color="000000" w:sz="12" w:space="0"/>
              <w:bottom w:val="single" w:color="000000" w:sz="4" w:space="0"/>
              <w:right w:val="single" w:color="000000" w:sz="4" w:space="0"/>
            </w:tcBorders>
            <w:vAlign w:val="center"/>
          </w:tcPr>
          <w:p w14:paraId="0742AD9E">
            <w:pPr>
              <w:widowControl/>
              <w:jc w:val="center"/>
              <w:textAlignment w:val="bottom"/>
              <w:rPr>
                <w:color w:val="auto"/>
                <w:sz w:val="20"/>
                <w:szCs w:val="20"/>
                <w:highlight w:val="none"/>
              </w:rPr>
            </w:pPr>
            <w:r>
              <w:rPr>
                <w:color w:val="auto"/>
                <w:sz w:val="20"/>
                <w:szCs w:val="20"/>
                <w:highlight w:val="none"/>
              </w:rPr>
              <w:t>20≤X＜300</w:t>
            </w:r>
          </w:p>
        </w:tc>
        <w:tc>
          <w:tcPr>
            <w:tcW w:w="1500" w:type="dxa"/>
            <w:tcBorders>
              <w:top w:val="single" w:color="000000" w:sz="4" w:space="0"/>
              <w:left w:val="single" w:color="000000" w:sz="4" w:space="0"/>
              <w:bottom w:val="single" w:color="000000" w:sz="4" w:space="0"/>
              <w:right w:val="single" w:color="000000" w:sz="4" w:space="0"/>
            </w:tcBorders>
            <w:vAlign w:val="center"/>
          </w:tcPr>
          <w:p w14:paraId="22ECABF6">
            <w:pPr>
              <w:widowControl/>
              <w:jc w:val="center"/>
              <w:textAlignment w:val="bottom"/>
              <w:rPr>
                <w:color w:val="auto"/>
                <w:sz w:val="20"/>
                <w:szCs w:val="20"/>
                <w:highlight w:val="none"/>
              </w:rPr>
            </w:pPr>
            <w:r>
              <w:rPr>
                <w:color w:val="auto"/>
                <w:sz w:val="20"/>
                <w:szCs w:val="20"/>
                <w:highlight w:val="none"/>
              </w:rPr>
              <w:t>200≤Y＜3000</w:t>
            </w:r>
          </w:p>
        </w:tc>
        <w:tc>
          <w:tcPr>
            <w:tcW w:w="1406" w:type="dxa"/>
            <w:tcBorders>
              <w:top w:val="single" w:color="000000" w:sz="4" w:space="0"/>
              <w:left w:val="single" w:color="000000" w:sz="4" w:space="0"/>
              <w:bottom w:val="single" w:color="000000" w:sz="4" w:space="0"/>
              <w:right w:val="single" w:color="000000" w:sz="12" w:space="0"/>
            </w:tcBorders>
            <w:vAlign w:val="center"/>
          </w:tcPr>
          <w:p w14:paraId="39BB40BB">
            <w:pPr>
              <w:jc w:val="center"/>
              <w:rPr>
                <w:color w:val="auto"/>
                <w:sz w:val="20"/>
                <w:szCs w:val="20"/>
                <w:highlight w:val="none"/>
              </w:rPr>
            </w:pPr>
          </w:p>
        </w:tc>
        <w:tc>
          <w:tcPr>
            <w:tcW w:w="1264" w:type="dxa"/>
            <w:tcBorders>
              <w:top w:val="single" w:color="000000" w:sz="4" w:space="0"/>
              <w:left w:val="single" w:color="000000" w:sz="12" w:space="0"/>
              <w:bottom w:val="single" w:color="000000" w:sz="4" w:space="0"/>
              <w:right w:val="single" w:color="000000" w:sz="4" w:space="0"/>
            </w:tcBorders>
            <w:vAlign w:val="center"/>
          </w:tcPr>
          <w:p w14:paraId="3825C189">
            <w:pPr>
              <w:widowControl/>
              <w:jc w:val="center"/>
              <w:textAlignment w:val="bottom"/>
              <w:rPr>
                <w:color w:val="auto"/>
                <w:sz w:val="20"/>
                <w:szCs w:val="20"/>
                <w:highlight w:val="none"/>
              </w:rPr>
            </w:pPr>
            <w:r>
              <w:rPr>
                <w:color w:val="auto"/>
                <w:sz w:val="20"/>
                <w:szCs w:val="20"/>
                <w:highlight w:val="none"/>
              </w:rPr>
              <w:t>X＜20</w:t>
            </w:r>
          </w:p>
        </w:tc>
        <w:tc>
          <w:tcPr>
            <w:tcW w:w="1470" w:type="dxa"/>
            <w:tcBorders>
              <w:top w:val="single" w:color="000000" w:sz="4" w:space="0"/>
              <w:left w:val="single" w:color="000000" w:sz="4" w:space="0"/>
              <w:bottom w:val="single" w:color="000000" w:sz="4" w:space="0"/>
              <w:right w:val="single" w:color="000000" w:sz="4" w:space="0"/>
            </w:tcBorders>
            <w:vAlign w:val="center"/>
          </w:tcPr>
          <w:p w14:paraId="1C0819C1">
            <w:pPr>
              <w:widowControl/>
              <w:jc w:val="center"/>
              <w:textAlignment w:val="bottom"/>
              <w:rPr>
                <w:color w:val="auto"/>
                <w:sz w:val="20"/>
                <w:szCs w:val="20"/>
                <w:highlight w:val="none"/>
              </w:rPr>
            </w:pPr>
            <w:r>
              <w:rPr>
                <w:color w:val="auto"/>
                <w:sz w:val="20"/>
                <w:szCs w:val="20"/>
                <w:highlight w:val="none"/>
              </w:rPr>
              <w:t>V＜200</w:t>
            </w:r>
          </w:p>
        </w:tc>
        <w:tc>
          <w:tcPr>
            <w:tcW w:w="1515" w:type="dxa"/>
            <w:tcBorders>
              <w:top w:val="single" w:color="000000" w:sz="4" w:space="0"/>
              <w:left w:val="single" w:color="000000" w:sz="4" w:space="0"/>
              <w:bottom w:val="single" w:color="000000" w:sz="4" w:space="0"/>
              <w:right w:val="single" w:color="000000" w:sz="12" w:space="0"/>
            </w:tcBorders>
            <w:vAlign w:val="center"/>
          </w:tcPr>
          <w:p w14:paraId="60746381">
            <w:pPr>
              <w:jc w:val="center"/>
              <w:rPr>
                <w:color w:val="auto"/>
                <w:sz w:val="20"/>
                <w:szCs w:val="20"/>
                <w:highlight w:val="none"/>
              </w:rPr>
            </w:pPr>
          </w:p>
        </w:tc>
      </w:tr>
      <w:tr w14:paraId="71AF11BC">
        <w:tblPrEx>
          <w:tblCellMar>
            <w:top w:w="15" w:type="dxa"/>
            <w:left w:w="15" w:type="dxa"/>
            <w:bottom w:w="15" w:type="dxa"/>
            <w:right w:w="15" w:type="dxa"/>
          </w:tblCellMar>
        </w:tblPrEx>
        <w:trPr>
          <w:trHeight w:val="306" w:hRule="atLeast"/>
        </w:trPr>
        <w:tc>
          <w:tcPr>
            <w:tcW w:w="2153" w:type="dxa"/>
            <w:tcBorders>
              <w:top w:val="single" w:color="000000" w:sz="4" w:space="0"/>
              <w:left w:val="single" w:color="000000" w:sz="12" w:space="0"/>
              <w:bottom w:val="single" w:color="000000" w:sz="4" w:space="0"/>
              <w:right w:val="single" w:color="000000" w:sz="12" w:space="0"/>
            </w:tcBorders>
            <w:vAlign w:val="center"/>
          </w:tcPr>
          <w:p w14:paraId="33E6E9CB">
            <w:pPr>
              <w:widowControl/>
              <w:jc w:val="center"/>
              <w:textAlignment w:val="bottom"/>
              <w:rPr>
                <w:color w:val="auto"/>
                <w:sz w:val="20"/>
                <w:szCs w:val="20"/>
                <w:highlight w:val="none"/>
              </w:rPr>
            </w:pPr>
            <w:r>
              <w:rPr>
                <w:color w:val="auto"/>
                <w:sz w:val="20"/>
                <w:szCs w:val="20"/>
                <w:highlight w:val="none"/>
              </w:rPr>
              <w:t>7、仓储业</w:t>
            </w:r>
          </w:p>
        </w:tc>
        <w:tc>
          <w:tcPr>
            <w:tcW w:w="1320" w:type="dxa"/>
            <w:tcBorders>
              <w:top w:val="single" w:color="000000" w:sz="4" w:space="0"/>
              <w:left w:val="single" w:color="000000" w:sz="12" w:space="0"/>
              <w:bottom w:val="single" w:color="000000" w:sz="4" w:space="0"/>
              <w:right w:val="single" w:color="000000" w:sz="4" w:space="0"/>
            </w:tcBorders>
            <w:vAlign w:val="center"/>
          </w:tcPr>
          <w:p w14:paraId="2646F4C6">
            <w:pPr>
              <w:widowControl/>
              <w:jc w:val="center"/>
              <w:textAlignment w:val="bottom"/>
              <w:rPr>
                <w:color w:val="auto"/>
                <w:sz w:val="20"/>
                <w:szCs w:val="20"/>
                <w:highlight w:val="none"/>
              </w:rPr>
            </w:pPr>
            <w:r>
              <w:rPr>
                <w:color w:val="auto"/>
                <w:sz w:val="20"/>
                <w:szCs w:val="20"/>
                <w:highlight w:val="none"/>
              </w:rPr>
              <w:t>100≤X＜200</w:t>
            </w:r>
          </w:p>
        </w:tc>
        <w:tc>
          <w:tcPr>
            <w:tcW w:w="1560" w:type="dxa"/>
            <w:tcBorders>
              <w:top w:val="single" w:color="000000" w:sz="4" w:space="0"/>
              <w:left w:val="single" w:color="000000" w:sz="4" w:space="0"/>
              <w:bottom w:val="single" w:color="000000" w:sz="4" w:space="0"/>
              <w:right w:val="single" w:color="000000" w:sz="4" w:space="0"/>
            </w:tcBorders>
            <w:vAlign w:val="center"/>
          </w:tcPr>
          <w:p w14:paraId="42173300">
            <w:pPr>
              <w:widowControl/>
              <w:jc w:val="center"/>
              <w:textAlignment w:val="bottom"/>
              <w:rPr>
                <w:color w:val="auto"/>
                <w:sz w:val="20"/>
                <w:szCs w:val="20"/>
                <w:highlight w:val="none"/>
              </w:rPr>
            </w:pPr>
            <w:r>
              <w:rPr>
                <w:color w:val="auto"/>
                <w:sz w:val="20"/>
                <w:szCs w:val="20"/>
                <w:highlight w:val="none"/>
              </w:rPr>
              <w:t>1000≤Y＜30000</w:t>
            </w:r>
          </w:p>
        </w:tc>
        <w:tc>
          <w:tcPr>
            <w:tcW w:w="1500" w:type="dxa"/>
            <w:tcBorders>
              <w:top w:val="single" w:color="000000" w:sz="4" w:space="0"/>
              <w:left w:val="single" w:color="000000" w:sz="4" w:space="0"/>
              <w:bottom w:val="single" w:color="000000" w:sz="4" w:space="0"/>
              <w:right w:val="single" w:color="000000" w:sz="12" w:space="0"/>
            </w:tcBorders>
            <w:vAlign w:val="center"/>
          </w:tcPr>
          <w:p w14:paraId="6378C05B">
            <w:pPr>
              <w:jc w:val="center"/>
              <w:rPr>
                <w:color w:val="auto"/>
                <w:sz w:val="20"/>
                <w:szCs w:val="20"/>
                <w:highlight w:val="none"/>
              </w:rPr>
            </w:pPr>
          </w:p>
        </w:tc>
        <w:tc>
          <w:tcPr>
            <w:tcW w:w="1320" w:type="dxa"/>
            <w:tcBorders>
              <w:top w:val="single" w:color="000000" w:sz="4" w:space="0"/>
              <w:left w:val="single" w:color="000000" w:sz="12" w:space="0"/>
              <w:bottom w:val="single" w:color="000000" w:sz="4" w:space="0"/>
              <w:right w:val="single" w:color="000000" w:sz="4" w:space="0"/>
            </w:tcBorders>
            <w:vAlign w:val="center"/>
          </w:tcPr>
          <w:p w14:paraId="337E9E8A">
            <w:pPr>
              <w:widowControl/>
              <w:jc w:val="center"/>
              <w:textAlignment w:val="bottom"/>
              <w:rPr>
                <w:color w:val="auto"/>
                <w:sz w:val="20"/>
                <w:szCs w:val="20"/>
                <w:highlight w:val="none"/>
              </w:rPr>
            </w:pPr>
            <w:r>
              <w:rPr>
                <w:color w:val="auto"/>
                <w:sz w:val="20"/>
                <w:szCs w:val="20"/>
                <w:highlight w:val="none"/>
              </w:rPr>
              <w:t>20≤X＜100</w:t>
            </w:r>
          </w:p>
        </w:tc>
        <w:tc>
          <w:tcPr>
            <w:tcW w:w="1500" w:type="dxa"/>
            <w:tcBorders>
              <w:top w:val="single" w:color="000000" w:sz="4" w:space="0"/>
              <w:left w:val="single" w:color="000000" w:sz="4" w:space="0"/>
              <w:bottom w:val="single" w:color="000000" w:sz="4" w:space="0"/>
              <w:right w:val="single" w:color="000000" w:sz="4" w:space="0"/>
            </w:tcBorders>
            <w:vAlign w:val="center"/>
          </w:tcPr>
          <w:p w14:paraId="57C1D102">
            <w:pPr>
              <w:widowControl/>
              <w:jc w:val="center"/>
              <w:textAlignment w:val="bottom"/>
              <w:rPr>
                <w:color w:val="auto"/>
                <w:sz w:val="20"/>
                <w:szCs w:val="20"/>
                <w:highlight w:val="none"/>
              </w:rPr>
            </w:pPr>
            <w:r>
              <w:rPr>
                <w:color w:val="auto"/>
                <w:sz w:val="20"/>
                <w:szCs w:val="20"/>
                <w:highlight w:val="none"/>
              </w:rPr>
              <w:t>100≤Y＜1000</w:t>
            </w:r>
          </w:p>
        </w:tc>
        <w:tc>
          <w:tcPr>
            <w:tcW w:w="1406" w:type="dxa"/>
            <w:tcBorders>
              <w:top w:val="single" w:color="000000" w:sz="4" w:space="0"/>
              <w:left w:val="single" w:color="000000" w:sz="4" w:space="0"/>
              <w:bottom w:val="single" w:color="000000" w:sz="4" w:space="0"/>
              <w:right w:val="single" w:color="000000" w:sz="12" w:space="0"/>
            </w:tcBorders>
            <w:vAlign w:val="center"/>
          </w:tcPr>
          <w:p w14:paraId="4A21BDD1">
            <w:pPr>
              <w:jc w:val="center"/>
              <w:rPr>
                <w:color w:val="auto"/>
                <w:sz w:val="20"/>
                <w:szCs w:val="20"/>
                <w:highlight w:val="none"/>
              </w:rPr>
            </w:pPr>
          </w:p>
        </w:tc>
        <w:tc>
          <w:tcPr>
            <w:tcW w:w="1264" w:type="dxa"/>
            <w:tcBorders>
              <w:top w:val="single" w:color="000000" w:sz="4" w:space="0"/>
              <w:left w:val="single" w:color="000000" w:sz="12" w:space="0"/>
              <w:bottom w:val="single" w:color="000000" w:sz="4" w:space="0"/>
              <w:right w:val="single" w:color="000000" w:sz="4" w:space="0"/>
            </w:tcBorders>
            <w:vAlign w:val="center"/>
          </w:tcPr>
          <w:p w14:paraId="2F78425D">
            <w:pPr>
              <w:widowControl/>
              <w:jc w:val="center"/>
              <w:textAlignment w:val="bottom"/>
              <w:rPr>
                <w:color w:val="auto"/>
                <w:sz w:val="20"/>
                <w:szCs w:val="20"/>
                <w:highlight w:val="none"/>
              </w:rPr>
            </w:pPr>
            <w:r>
              <w:rPr>
                <w:color w:val="auto"/>
                <w:sz w:val="20"/>
                <w:szCs w:val="20"/>
                <w:highlight w:val="none"/>
              </w:rPr>
              <w:t>X＜20</w:t>
            </w:r>
          </w:p>
        </w:tc>
        <w:tc>
          <w:tcPr>
            <w:tcW w:w="1470" w:type="dxa"/>
            <w:tcBorders>
              <w:top w:val="single" w:color="000000" w:sz="4" w:space="0"/>
              <w:left w:val="single" w:color="000000" w:sz="4" w:space="0"/>
              <w:bottom w:val="single" w:color="000000" w:sz="4" w:space="0"/>
              <w:right w:val="single" w:color="000000" w:sz="4" w:space="0"/>
            </w:tcBorders>
            <w:vAlign w:val="center"/>
          </w:tcPr>
          <w:p w14:paraId="41CDF5C1">
            <w:pPr>
              <w:widowControl/>
              <w:jc w:val="center"/>
              <w:textAlignment w:val="bottom"/>
              <w:rPr>
                <w:color w:val="auto"/>
                <w:sz w:val="20"/>
                <w:szCs w:val="20"/>
                <w:highlight w:val="none"/>
              </w:rPr>
            </w:pPr>
            <w:r>
              <w:rPr>
                <w:color w:val="auto"/>
                <w:sz w:val="20"/>
                <w:szCs w:val="20"/>
                <w:highlight w:val="none"/>
              </w:rPr>
              <w:t>Y＜100</w:t>
            </w:r>
          </w:p>
        </w:tc>
        <w:tc>
          <w:tcPr>
            <w:tcW w:w="1515" w:type="dxa"/>
            <w:tcBorders>
              <w:top w:val="single" w:color="000000" w:sz="4" w:space="0"/>
              <w:left w:val="single" w:color="000000" w:sz="4" w:space="0"/>
              <w:bottom w:val="single" w:color="000000" w:sz="4" w:space="0"/>
              <w:right w:val="single" w:color="000000" w:sz="12" w:space="0"/>
            </w:tcBorders>
            <w:vAlign w:val="center"/>
          </w:tcPr>
          <w:p w14:paraId="0FC68A61">
            <w:pPr>
              <w:jc w:val="center"/>
              <w:rPr>
                <w:color w:val="auto"/>
                <w:sz w:val="20"/>
                <w:szCs w:val="20"/>
                <w:highlight w:val="none"/>
              </w:rPr>
            </w:pPr>
          </w:p>
        </w:tc>
      </w:tr>
      <w:tr w14:paraId="606831A3">
        <w:tblPrEx>
          <w:tblCellMar>
            <w:top w:w="15" w:type="dxa"/>
            <w:left w:w="15" w:type="dxa"/>
            <w:bottom w:w="15" w:type="dxa"/>
            <w:right w:w="15" w:type="dxa"/>
          </w:tblCellMar>
        </w:tblPrEx>
        <w:trPr>
          <w:trHeight w:val="306" w:hRule="atLeast"/>
        </w:trPr>
        <w:tc>
          <w:tcPr>
            <w:tcW w:w="2153" w:type="dxa"/>
            <w:tcBorders>
              <w:top w:val="single" w:color="000000" w:sz="4" w:space="0"/>
              <w:left w:val="single" w:color="000000" w:sz="12" w:space="0"/>
              <w:bottom w:val="single" w:color="000000" w:sz="4" w:space="0"/>
              <w:right w:val="single" w:color="000000" w:sz="12" w:space="0"/>
            </w:tcBorders>
            <w:vAlign w:val="center"/>
          </w:tcPr>
          <w:p w14:paraId="67BDE567">
            <w:pPr>
              <w:widowControl/>
              <w:jc w:val="center"/>
              <w:textAlignment w:val="bottom"/>
              <w:rPr>
                <w:color w:val="auto"/>
                <w:sz w:val="20"/>
                <w:szCs w:val="20"/>
                <w:highlight w:val="none"/>
              </w:rPr>
            </w:pPr>
            <w:r>
              <w:rPr>
                <w:color w:val="auto"/>
                <w:sz w:val="20"/>
                <w:szCs w:val="20"/>
                <w:highlight w:val="none"/>
              </w:rPr>
              <w:t>8、邮政业</w:t>
            </w:r>
          </w:p>
        </w:tc>
        <w:tc>
          <w:tcPr>
            <w:tcW w:w="1320" w:type="dxa"/>
            <w:tcBorders>
              <w:top w:val="single" w:color="000000" w:sz="4" w:space="0"/>
              <w:left w:val="single" w:color="000000" w:sz="12" w:space="0"/>
              <w:bottom w:val="single" w:color="000000" w:sz="4" w:space="0"/>
              <w:right w:val="single" w:color="000000" w:sz="4" w:space="0"/>
            </w:tcBorders>
            <w:vAlign w:val="center"/>
          </w:tcPr>
          <w:p w14:paraId="2B9DC361">
            <w:pPr>
              <w:widowControl/>
              <w:jc w:val="center"/>
              <w:textAlignment w:val="bottom"/>
              <w:rPr>
                <w:color w:val="auto"/>
                <w:sz w:val="20"/>
                <w:szCs w:val="20"/>
                <w:highlight w:val="none"/>
              </w:rPr>
            </w:pPr>
            <w:r>
              <w:rPr>
                <w:color w:val="auto"/>
                <w:sz w:val="20"/>
                <w:szCs w:val="20"/>
                <w:highlight w:val="none"/>
              </w:rPr>
              <w:t>300≤X＜1000</w:t>
            </w:r>
          </w:p>
        </w:tc>
        <w:tc>
          <w:tcPr>
            <w:tcW w:w="1560" w:type="dxa"/>
            <w:tcBorders>
              <w:top w:val="single" w:color="000000" w:sz="4" w:space="0"/>
              <w:left w:val="single" w:color="000000" w:sz="4" w:space="0"/>
              <w:bottom w:val="single" w:color="000000" w:sz="4" w:space="0"/>
              <w:right w:val="single" w:color="000000" w:sz="4" w:space="0"/>
            </w:tcBorders>
            <w:vAlign w:val="center"/>
          </w:tcPr>
          <w:p w14:paraId="42B0EDFB">
            <w:pPr>
              <w:widowControl/>
              <w:jc w:val="center"/>
              <w:textAlignment w:val="bottom"/>
              <w:rPr>
                <w:color w:val="auto"/>
                <w:sz w:val="20"/>
                <w:szCs w:val="20"/>
                <w:highlight w:val="none"/>
              </w:rPr>
            </w:pPr>
            <w:r>
              <w:rPr>
                <w:color w:val="auto"/>
                <w:sz w:val="20"/>
                <w:szCs w:val="20"/>
                <w:highlight w:val="none"/>
              </w:rPr>
              <w:t>2000≤Y＜30000</w:t>
            </w:r>
          </w:p>
        </w:tc>
        <w:tc>
          <w:tcPr>
            <w:tcW w:w="1500" w:type="dxa"/>
            <w:tcBorders>
              <w:top w:val="single" w:color="000000" w:sz="4" w:space="0"/>
              <w:left w:val="single" w:color="000000" w:sz="4" w:space="0"/>
              <w:bottom w:val="single" w:color="000000" w:sz="4" w:space="0"/>
              <w:right w:val="single" w:color="000000" w:sz="12" w:space="0"/>
            </w:tcBorders>
            <w:vAlign w:val="center"/>
          </w:tcPr>
          <w:p w14:paraId="387937D2">
            <w:pPr>
              <w:jc w:val="center"/>
              <w:rPr>
                <w:color w:val="auto"/>
                <w:sz w:val="20"/>
                <w:szCs w:val="20"/>
                <w:highlight w:val="none"/>
              </w:rPr>
            </w:pPr>
          </w:p>
        </w:tc>
        <w:tc>
          <w:tcPr>
            <w:tcW w:w="1320" w:type="dxa"/>
            <w:tcBorders>
              <w:top w:val="single" w:color="000000" w:sz="4" w:space="0"/>
              <w:left w:val="single" w:color="000000" w:sz="12" w:space="0"/>
              <w:bottom w:val="single" w:color="000000" w:sz="4" w:space="0"/>
              <w:right w:val="single" w:color="000000" w:sz="4" w:space="0"/>
            </w:tcBorders>
            <w:vAlign w:val="center"/>
          </w:tcPr>
          <w:p w14:paraId="23B4EF0A">
            <w:pPr>
              <w:widowControl/>
              <w:jc w:val="center"/>
              <w:textAlignment w:val="bottom"/>
              <w:rPr>
                <w:color w:val="auto"/>
                <w:sz w:val="20"/>
                <w:szCs w:val="20"/>
                <w:highlight w:val="none"/>
              </w:rPr>
            </w:pPr>
            <w:r>
              <w:rPr>
                <w:color w:val="auto"/>
                <w:sz w:val="20"/>
                <w:szCs w:val="20"/>
                <w:highlight w:val="none"/>
              </w:rPr>
              <w:t>20≤X＜300</w:t>
            </w:r>
          </w:p>
        </w:tc>
        <w:tc>
          <w:tcPr>
            <w:tcW w:w="1500" w:type="dxa"/>
            <w:tcBorders>
              <w:top w:val="single" w:color="000000" w:sz="4" w:space="0"/>
              <w:left w:val="single" w:color="000000" w:sz="4" w:space="0"/>
              <w:bottom w:val="single" w:color="000000" w:sz="4" w:space="0"/>
              <w:right w:val="single" w:color="000000" w:sz="4" w:space="0"/>
            </w:tcBorders>
            <w:vAlign w:val="center"/>
          </w:tcPr>
          <w:p w14:paraId="79CBB55D">
            <w:pPr>
              <w:widowControl/>
              <w:jc w:val="center"/>
              <w:textAlignment w:val="bottom"/>
              <w:rPr>
                <w:color w:val="auto"/>
                <w:sz w:val="20"/>
                <w:szCs w:val="20"/>
                <w:highlight w:val="none"/>
              </w:rPr>
            </w:pPr>
            <w:r>
              <w:rPr>
                <w:color w:val="auto"/>
                <w:sz w:val="20"/>
                <w:szCs w:val="20"/>
                <w:highlight w:val="none"/>
              </w:rPr>
              <w:t>100≤Y＜2000</w:t>
            </w:r>
          </w:p>
        </w:tc>
        <w:tc>
          <w:tcPr>
            <w:tcW w:w="1406" w:type="dxa"/>
            <w:tcBorders>
              <w:top w:val="single" w:color="000000" w:sz="4" w:space="0"/>
              <w:left w:val="single" w:color="000000" w:sz="4" w:space="0"/>
              <w:bottom w:val="single" w:color="000000" w:sz="4" w:space="0"/>
              <w:right w:val="single" w:color="000000" w:sz="12" w:space="0"/>
            </w:tcBorders>
            <w:vAlign w:val="center"/>
          </w:tcPr>
          <w:p w14:paraId="4F670E40">
            <w:pPr>
              <w:jc w:val="center"/>
              <w:rPr>
                <w:color w:val="auto"/>
                <w:sz w:val="20"/>
                <w:szCs w:val="20"/>
                <w:highlight w:val="none"/>
              </w:rPr>
            </w:pPr>
          </w:p>
        </w:tc>
        <w:tc>
          <w:tcPr>
            <w:tcW w:w="1264" w:type="dxa"/>
            <w:tcBorders>
              <w:top w:val="single" w:color="000000" w:sz="4" w:space="0"/>
              <w:left w:val="single" w:color="000000" w:sz="12" w:space="0"/>
              <w:bottom w:val="single" w:color="000000" w:sz="4" w:space="0"/>
              <w:right w:val="single" w:color="000000" w:sz="4" w:space="0"/>
            </w:tcBorders>
            <w:vAlign w:val="center"/>
          </w:tcPr>
          <w:p w14:paraId="759F626D">
            <w:pPr>
              <w:widowControl/>
              <w:jc w:val="center"/>
              <w:textAlignment w:val="bottom"/>
              <w:rPr>
                <w:color w:val="auto"/>
                <w:sz w:val="20"/>
                <w:szCs w:val="20"/>
                <w:highlight w:val="none"/>
              </w:rPr>
            </w:pPr>
            <w:r>
              <w:rPr>
                <w:color w:val="auto"/>
                <w:sz w:val="20"/>
                <w:szCs w:val="20"/>
                <w:highlight w:val="none"/>
              </w:rPr>
              <w:t>X＜20</w:t>
            </w:r>
          </w:p>
        </w:tc>
        <w:tc>
          <w:tcPr>
            <w:tcW w:w="1470" w:type="dxa"/>
            <w:tcBorders>
              <w:top w:val="single" w:color="000000" w:sz="4" w:space="0"/>
              <w:left w:val="single" w:color="000000" w:sz="4" w:space="0"/>
              <w:bottom w:val="single" w:color="000000" w:sz="4" w:space="0"/>
              <w:right w:val="single" w:color="000000" w:sz="4" w:space="0"/>
            </w:tcBorders>
            <w:vAlign w:val="center"/>
          </w:tcPr>
          <w:p w14:paraId="44E7C7B1">
            <w:pPr>
              <w:widowControl/>
              <w:jc w:val="center"/>
              <w:textAlignment w:val="bottom"/>
              <w:rPr>
                <w:color w:val="auto"/>
                <w:sz w:val="20"/>
                <w:szCs w:val="20"/>
                <w:highlight w:val="none"/>
              </w:rPr>
            </w:pPr>
            <w:r>
              <w:rPr>
                <w:color w:val="auto"/>
                <w:sz w:val="20"/>
                <w:szCs w:val="20"/>
                <w:highlight w:val="none"/>
              </w:rPr>
              <w:t>Y＜100</w:t>
            </w:r>
          </w:p>
        </w:tc>
        <w:tc>
          <w:tcPr>
            <w:tcW w:w="1515" w:type="dxa"/>
            <w:tcBorders>
              <w:top w:val="single" w:color="000000" w:sz="4" w:space="0"/>
              <w:left w:val="single" w:color="000000" w:sz="4" w:space="0"/>
              <w:bottom w:val="single" w:color="000000" w:sz="4" w:space="0"/>
              <w:right w:val="single" w:color="000000" w:sz="12" w:space="0"/>
            </w:tcBorders>
            <w:vAlign w:val="center"/>
          </w:tcPr>
          <w:p w14:paraId="0A81632C">
            <w:pPr>
              <w:jc w:val="center"/>
              <w:rPr>
                <w:color w:val="auto"/>
                <w:sz w:val="20"/>
                <w:szCs w:val="20"/>
                <w:highlight w:val="none"/>
              </w:rPr>
            </w:pPr>
          </w:p>
        </w:tc>
      </w:tr>
      <w:tr w14:paraId="32270C63">
        <w:tblPrEx>
          <w:tblCellMar>
            <w:top w:w="15" w:type="dxa"/>
            <w:left w:w="15" w:type="dxa"/>
            <w:bottom w:w="15" w:type="dxa"/>
            <w:right w:w="15" w:type="dxa"/>
          </w:tblCellMar>
        </w:tblPrEx>
        <w:trPr>
          <w:trHeight w:val="306" w:hRule="atLeast"/>
        </w:trPr>
        <w:tc>
          <w:tcPr>
            <w:tcW w:w="2153" w:type="dxa"/>
            <w:tcBorders>
              <w:top w:val="single" w:color="000000" w:sz="4" w:space="0"/>
              <w:left w:val="single" w:color="000000" w:sz="12" w:space="0"/>
              <w:bottom w:val="single" w:color="000000" w:sz="4" w:space="0"/>
              <w:right w:val="single" w:color="000000" w:sz="12" w:space="0"/>
            </w:tcBorders>
            <w:vAlign w:val="center"/>
          </w:tcPr>
          <w:p w14:paraId="45CBBF1E">
            <w:pPr>
              <w:widowControl/>
              <w:jc w:val="center"/>
              <w:textAlignment w:val="bottom"/>
              <w:rPr>
                <w:color w:val="auto"/>
                <w:sz w:val="20"/>
                <w:szCs w:val="20"/>
                <w:highlight w:val="none"/>
              </w:rPr>
            </w:pPr>
            <w:r>
              <w:rPr>
                <w:color w:val="auto"/>
                <w:sz w:val="20"/>
                <w:szCs w:val="20"/>
                <w:highlight w:val="none"/>
              </w:rPr>
              <w:t>9、住宿业</w:t>
            </w:r>
          </w:p>
        </w:tc>
        <w:tc>
          <w:tcPr>
            <w:tcW w:w="1320" w:type="dxa"/>
            <w:tcBorders>
              <w:top w:val="single" w:color="000000" w:sz="4" w:space="0"/>
              <w:left w:val="single" w:color="000000" w:sz="12" w:space="0"/>
              <w:bottom w:val="single" w:color="000000" w:sz="4" w:space="0"/>
              <w:right w:val="single" w:color="000000" w:sz="4" w:space="0"/>
            </w:tcBorders>
            <w:vAlign w:val="center"/>
          </w:tcPr>
          <w:p w14:paraId="60147190">
            <w:pPr>
              <w:widowControl/>
              <w:jc w:val="center"/>
              <w:textAlignment w:val="bottom"/>
              <w:rPr>
                <w:color w:val="auto"/>
                <w:sz w:val="20"/>
                <w:szCs w:val="20"/>
                <w:highlight w:val="none"/>
              </w:rPr>
            </w:pPr>
            <w:r>
              <w:rPr>
                <w:color w:val="auto"/>
                <w:sz w:val="20"/>
                <w:szCs w:val="20"/>
                <w:highlight w:val="none"/>
              </w:rPr>
              <w:t>100≤X＜300</w:t>
            </w:r>
          </w:p>
        </w:tc>
        <w:tc>
          <w:tcPr>
            <w:tcW w:w="1560" w:type="dxa"/>
            <w:tcBorders>
              <w:top w:val="single" w:color="000000" w:sz="4" w:space="0"/>
              <w:left w:val="single" w:color="000000" w:sz="4" w:space="0"/>
              <w:bottom w:val="single" w:color="000000" w:sz="4" w:space="0"/>
              <w:right w:val="single" w:color="000000" w:sz="4" w:space="0"/>
            </w:tcBorders>
            <w:vAlign w:val="center"/>
          </w:tcPr>
          <w:p w14:paraId="39272697">
            <w:pPr>
              <w:widowControl/>
              <w:jc w:val="center"/>
              <w:textAlignment w:val="bottom"/>
              <w:rPr>
                <w:color w:val="auto"/>
                <w:sz w:val="20"/>
                <w:szCs w:val="20"/>
                <w:highlight w:val="none"/>
              </w:rPr>
            </w:pPr>
            <w:r>
              <w:rPr>
                <w:color w:val="auto"/>
                <w:sz w:val="20"/>
                <w:szCs w:val="20"/>
                <w:highlight w:val="none"/>
              </w:rPr>
              <w:t>2000≤Y＜10000</w:t>
            </w:r>
          </w:p>
        </w:tc>
        <w:tc>
          <w:tcPr>
            <w:tcW w:w="1500" w:type="dxa"/>
            <w:tcBorders>
              <w:top w:val="single" w:color="000000" w:sz="4" w:space="0"/>
              <w:left w:val="single" w:color="000000" w:sz="4" w:space="0"/>
              <w:bottom w:val="single" w:color="000000" w:sz="4" w:space="0"/>
              <w:right w:val="single" w:color="000000" w:sz="12" w:space="0"/>
            </w:tcBorders>
            <w:vAlign w:val="center"/>
          </w:tcPr>
          <w:p w14:paraId="1D0899C8">
            <w:pPr>
              <w:jc w:val="center"/>
              <w:rPr>
                <w:color w:val="auto"/>
                <w:sz w:val="20"/>
                <w:szCs w:val="20"/>
                <w:highlight w:val="none"/>
              </w:rPr>
            </w:pPr>
          </w:p>
        </w:tc>
        <w:tc>
          <w:tcPr>
            <w:tcW w:w="1320" w:type="dxa"/>
            <w:tcBorders>
              <w:top w:val="single" w:color="000000" w:sz="4" w:space="0"/>
              <w:left w:val="single" w:color="000000" w:sz="12" w:space="0"/>
              <w:bottom w:val="single" w:color="000000" w:sz="4" w:space="0"/>
              <w:right w:val="single" w:color="000000" w:sz="4" w:space="0"/>
            </w:tcBorders>
            <w:vAlign w:val="center"/>
          </w:tcPr>
          <w:p w14:paraId="591F5567">
            <w:pPr>
              <w:widowControl/>
              <w:jc w:val="center"/>
              <w:textAlignment w:val="bottom"/>
              <w:rPr>
                <w:color w:val="auto"/>
                <w:sz w:val="20"/>
                <w:szCs w:val="20"/>
                <w:highlight w:val="none"/>
              </w:rPr>
            </w:pPr>
            <w:r>
              <w:rPr>
                <w:color w:val="auto"/>
                <w:sz w:val="20"/>
                <w:szCs w:val="20"/>
                <w:highlight w:val="none"/>
              </w:rPr>
              <w:t>10≤X＜100</w:t>
            </w:r>
          </w:p>
        </w:tc>
        <w:tc>
          <w:tcPr>
            <w:tcW w:w="1500" w:type="dxa"/>
            <w:tcBorders>
              <w:top w:val="single" w:color="000000" w:sz="4" w:space="0"/>
              <w:left w:val="single" w:color="000000" w:sz="4" w:space="0"/>
              <w:bottom w:val="single" w:color="000000" w:sz="4" w:space="0"/>
              <w:right w:val="single" w:color="000000" w:sz="4" w:space="0"/>
            </w:tcBorders>
            <w:vAlign w:val="center"/>
          </w:tcPr>
          <w:p w14:paraId="79221C7E">
            <w:pPr>
              <w:widowControl/>
              <w:jc w:val="center"/>
              <w:textAlignment w:val="bottom"/>
              <w:rPr>
                <w:color w:val="auto"/>
                <w:sz w:val="20"/>
                <w:szCs w:val="20"/>
                <w:highlight w:val="none"/>
              </w:rPr>
            </w:pPr>
            <w:r>
              <w:rPr>
                <w:color w:val="auto"/>
                <w:sz w:val="20"/>
                <w:szCs w:val="20"/>
                <w:highlight w:val="none"/>
              </w:rPr>
              <w:t>100≤Y＜2000</w:t>
            </w:r>
          </w:p>
        </w:tc>
        <w:tc>
          <w:tcPr>
            <w:tcW w:w="1406" w:type="dxa"/>
            <w:tcBorders>
              <w:top w:val="single" w:color="000000" w:sz="4" w:space="0"/>
              <w:left w:val="single" w:color="000000" w:sz="4" w:space="0"/>
              <w:bottom w:val="single" w:color="000000" w:sz="4" w:space="0"/>
              <w:right w:val="single" w:color="000000" w:sz="12" w:space="0"/>
            </w:tcBorders>
            <w:vAlign w:val="center"/>
          </w:tcPr>
          <w:p w14:paraId="16D45733">
            <w:pPr>
              <w:jc w:val="center"/>
              <w:rPr>
                <w:color w:val="auto"/>
                <w:sz w:val="20"/>
                <w:szCs w:val="20"/>
                <w:highlight w:val="none"/>
              </w:rPr>
            </w:pPr>
          </w:p>
        </w:tc>
        <w:tc>
          <w:tcPr>
            <w:tcW w:w="1264" w:type="dxa"/>
            <w:tcBorders>
              <w:top w:val="single" w:color="000000" w:sz="4" w:space="0"/>
              <w:left w:val="single" w:color="000000" w:sz="12" w:space="0"/>
              <w:bottom w:val="single" w:color="000000" w:sz="4" w:space="0"/>
              <w:right w:val="single" w:color="000000" w:sz="4" w:space="0"/>
            </w:tcBorders>
            <w:vAlign w:val="center"/>
          </w:tcPr>
          <w:p w14:paraId="17F73A6A">
            <w:pPr>
              <w:widowControl/>
              <w:jc w:val="center"/>
              <w:textAlignment w:val="bottom"/>
              <w:rPr>
                <w:color w:val="auto"/>
                <w:sz w:val="20"/>
                <w:szCs w:val="20"/>
                <w:highlight w:val="none"/>
              </w:rPr>
            </w:pPr>
            <w:r>
              <w:rPr>
                <w:color w:val="auto"/>
                <w:sz w:val="20"/>
                <w:szCs w:val="20"/>
                <w:highlight w:val="none"/>
              </w:rPr>
              <w:t>X＜10</w:t>
            </w:r>
          </w:p>
        </w:tc>
        <w:tc>
          <w:tcPr>
            <w:tcW w:w="1470" w:type="dxa"/>
            <w:tcBorders>
              <w:top w:val="single" w:color="000000" w:sz="4" w:space="0"/>
              <w:left w:val="single" w:color="000000" w:sz="4" w:space="0"/>
              <w:bottom w:val="single" w:color="000000" w:sz="4" w:space="0"/>
              <w:right w:val="single" w:color="000000" w:sz="4" w:space="0"/>
            </w:tcBorders>
            <w:vAlign w:val="center"/>
          </w:tcPr>
          <w:p w14:paraId="40F09C2D">
            <w:pPr>
              <w:widowControl/>
              <w:jc w:val="center"/>
              <w:textAlignment w:val="bottom"/>
              <w:rPr>
                <w:color w:val="auto"/>
                <w:sz w:val="20"/>
                <w:szCs w:val="20"/>
                <w:highlight w:val="none"/>
              </w:rPr>
            </w:pPr>
            <w:r>
              <w:rPr>
                <w:color w:val="auto"/>
                <w:sz w:val="20"/>
                <w:szCs w:val="20"/>
                <w:highlight w:val="none"/>
              </w:rPr>
              <w:t>Y＜100</w:t>
            </w:r>
          </w:p>
        </w:tc>
        <w:tc>
          <w:tcPr>
            <w:tcW w:w="1515" w:type="dxa"/>
            <w:tcBorders>
              <w:top w:val="single" w:color="000000" w:sz="4" w:space="0"/>
              <w:left w:val="single" w:color="000000" w:sz="4" w:space="0"/>
              <w:bottom w:val="single" w:color="000000" w:sz="4" w:space="0"/>
              <w:right w:val="single" w:color="000000" w:sz="12" w:space="0"/>
            </w:tcBorders>
            <w:vAlign w:val="center"/>
          </w:tcPr>
          <w:p w14:paraId="275D06D2">
            <w:pPr>
              <w:jc w:val="center"/>
              <w:rPr>
                <w:color w:val="auto"/>
                <w:sz w:val="20"/>
                <w:szCs w:val="20"/>
                <w:highlight w:val="none"/>
              </w:rPr>
            </w:pPr>
          </w:p>
        </w:tc>
      </w:tr>
      <w:tr w14:paraId="07D84751">
        <w:tblPrEx>
          <w:tblCellMar>
            <w:top w:w="15" w:type="dxa"/>
            <w:left w:w="15" w:type="dxa"/>
            <w:bottom w:w="15" w:type="dxa"/>
            <w:right w:w="15" w:type="dxa"/>
          </w:tblCellMar>
        </w:tblPrEx>
        <w:trPr>
          <w:trHeight w:val="306" w:hRule="atLeast"/>
        </w:trPr>
        <w:tc>
          <w:tcPr>
            <w:tcW w:w="2153" w:type="dxa"/>
            <w:tcBorders>
              <w:top w:val="single" w:color="000000" w:sz="4" w:space="0"/>
              <w:left w:val="single" w:color="000000" w:sz="12" w:space="0"/>
              <w:bottom w:val="single" w:color="000000" w:sz="4" w:space="0"/>
              <w:right w:val="single" w:color="000000" w:sz="12" w:space="0"/>
            </w:tcBorders>
            <w:vAlign w:val="center"/>
          </w:tcPr>
          <w:p w14:paraId="1E592AF3">
            <w:pPr>
              <w:widowControl/>
              <w:jc w:val="center"/>
              <w:textAlignment w:val="bottom"/>
              <w:rPr>
                <w:color w:val="auto"/>
                <w:sz w:val="20"/>
                <w:szCs w:val="20"/>
                <w:highlight w:val="none"/>
              </w:rPr>
            </w:pPr>
            <w:r>
              <w:rPr>
                <w:color w:val="auto"/>
                <w:sz w:val="20"/>
                <w:szCs w:val="20"/>
                <w:highlight w:val="none"/>
              </w:rPr>
              <w:t>10、餐饮业</w:t>
            </w:r>
          </w:p>
        </w:tc>
        <w:tc>
          <w:tcPr>
            <w:tcW w:w="1320" w:type="dxa"/>
            <w:tcBorders>
              <w:top w:val="single" w:color="000000" w:sz="4" w:space="0"/>
              <w:left w:val="single" w:color="000000" w:sz="12" w:space="0"/>
              <w:bottom w:val="single" w:color="000000" w:sz="4" w:space="0"/>
              <w:right w:val="single" w:color="000000" w:sz="4" w:space="0"/>
            </w:tcBorders>
            <w:vAlign w:val="center"/>
          </w:tcPr>
          <w:p w14:paraId="7D4C0C96">
            <w:pPr>
              <w:widowControl/>
              <w:jc w:val="center"/>
              <w:textAlignment w:val="bottom"/>
              <w:rPr>
                <w:color w:val="auto"/>
                <w:sz w:val="20"/>
                <w:szCs w:val="20"/>
                <w:highlight w:val="none"/>
              </w:rPr>
            </w:pPr>
            <w:r>
              <w:rPr>
                <w:color w:val="auto"/>
                <w:sz w:val="20"/>
                <w:szCs w:val="20"/>
                <w:highlight w:val="none"/>
              </w:rPr>
              <w:t>100≤X＜300</w:t>
            </w:r>
          </w:p>
        </w:tc>
        <w:tc>
          <w:tcPr>
            <w:tcW w:w="1560" w:type="dxa"/>
            <w:tcBorders>
              <w:top w:val="single" w:color="000000" w:sz="4" w:space="0"/>
              <w:left w:val="single" w:color="000000" w:sz="4" w:space="0"/>
              <w:bottom w:val="single" w:color="000000" w:sz="4" w:space="0"/>
              <w:right w:val="single" w:color="000000" w:sz="4" w:space="0"/>
            </w:tcBorders>
            <w:vAlign w:val="center"/>
          </w:tcPr>
          <w:p w14:paraId="37D5AC68">
            <w:pPr>
              <w:widowControl/>
              <w:jc w:val="center"/>
              <w:textAlignment w:val="bottom"/>
              <w:rPr>
                <w:color w:val="auto"/>
                <w:sz w:val="20"/>
                <w:szCs w:val="20"/>
                <w:highlight w:val="none"/>
              </w:rPr>
            </w:pPr>
            <w:r>
              <w:rPr>
                <w:color w:val="auto"/>
                <w:sz w:val="20"/>
                <w:szCs w:val="20"/>
                <w:highlight w:val="none"/>
              </w:rPr>
              <w:t>2000≤Y＜10000</w:t>
            </w:r>
          </w:p>
        </w:tc>
        <w:tc>
          <w:tcPr>
            <w:tcW w:w="1500" w:type="dxa"/>
            <w:tcBorders>
              <w:top w:val="single" w:color="000000" w:sz="4" w:space="0"/>
              <w:left w:val="single" w:color="000000" w:sz="4" w:space="0"/>
              <w:bottom w:val="single" w:color="000000" w:sz="4" w:space="0"/>
              <w:right w:val="single" w:color="000000" w:sz="12" w:space="0"/>
            </w:tcBorders>
            <w:vAlign w:val="center"/>
          </w:tcPr>
          <w:p w14:paraId="3C58962D">
            <w:pPr>
              <w:jc w:val="center"/>
              <w:rPr>
                <w:color w:val="auto"/>
                <w:sz w:val="20"/>
                <w:szCs w:val="20"/>
                <w:highlight w:val="none"/>
              </w:rPr>
            </w:pPr>
          </w:p>
        </w:tc>
        <w:tc>
          <w:tcPr>
            <w:tcW w:w="1320" w:type="dxa"/>
            <w:tcBorders>
              <w:top w:val="single" w:color="000000" w:sz="4" w:space="0"/>
              <w:left w:val="single" w:color="000000" w:sz="12" w:space="0"/>
              <w:bottom w:val="single" w:color="000000" w:sz="4" w:space="0"/>
              <w:right w:val="single" w:color="000000" w:sz="4" w:space="0"/>
            </w:tcBorders>
            <w:vAlign w:val="center"/>
          </w:tcPr>
          <w:p w14:paraId="526D7418">
            <w:pPr>
              <w:widowControl/>
              <w:jc w:val="center"/>
              <w:textAlignment w:val="bottom"/>
              <w:rPr>
                <w:color w:val="auto"/>
                <w:sz w:val="20"/>
                <w:szCs w:val="20"/>
                <w:highlight w:val="none"/>
              </w:rPr>
            </w:pPr>
            <w:r>
              <w:rPr>
                <w:color w:val="auto"/>
                <w:sz w:val="20"/>
                <w:szCs w:val="20"/>
                <w:highlight w:val="none"/>
              </w:rPr>
              <w:t>10≤X＜100</w:t>
            </w:r>
          </w:p>
        </w:tc>
        <w:tc>
          <w:tcPr>
            <w:tcW w:w="1500" w:type="dxa"/>
            <w:tcBorders>
              <w:top w:val="single" w:color="000000" w:sz="4" w:space="0"/>
              <w:left w:val="single" w:color="000000" w:sz="4" w:space="0"/>
              <w:bottom w:val="single" w:color="000000" w:sz="4" w:space="0"/>
              <w:right w:val="single" w:color="000000" w:sz="4" w:space="0"/>
            </w:tcBorders>
            <w:vAlign w:val="center"/>
          </w:tcPr>
          <w:p w14:paraId="682839BC">
            <w:pPr>
              <w:widowControl/>
              <w:jc w:val="center"/>
              <w:textAlignment w:val="bottom"/>
              <w:rPr>
                <w:color w:val="auto"/>
                <w:sz w:val="20"/>
                <w:szCs w:val="20"/>
                <w:highlight w:val="none"/>
              </w:rPr>
            </w:pPr>
            <w:r>
              <w:rPr>
                <w:color w:val="auto"/>
                <w:sz w:val="20"/>
                <w:szCs w:val="20"/>
                <w:highlight w:val="none"/>
              </w:rPr>
              <w:t>100≤Y＜2000</w:t>
            </w:r>
          </w:p>
        </w:tc>
        <w:tc>
          <w:tcPr>
            <w:tcW w:w="1406" w:type="dxa"/>
            <w:tcBorders>
              <w:top w:val="single" w:color="000000" w:sz="4" w:space="0"/>
              <w:left w:val="single" w:color="000000" w:sz="4" w:space="0"/>
              <w:bottom w:val="single" w:color="000000" w:sz="4" w:space="0"/>
              <w:right w:val="single" w:color="000000" w:sz="12" w:space="0"/>
            </w:tcBorders>
            <w:vAlign w:val="center"/>
          </w:tcPr>
          <w:p w14:paraId="7FA7B5D0">
            <w:pPr>
              <w:jc w:val="center"/>
              <w:rPr>
                <w:color w:val="auto"/>
                <w:sz w:val="20"/>
                <w:szCs w:val="20"/>
                <w:highlight w:val="none"/>
              </w:rPr>
            </w:pPr>
          </w:p>
        </w:tc>
        <w:tc>
          <w:tcPr>
            <w:tcW w:w="1264" w:type="dxa"/>
            <w:tcBorders>
              <w:top w:val="single" w:color="000000" w:sz="4" w:space="0"/>
              <w:left w:val="single" w:color="000000" w:sz="12" w:space="0"/>
              <w:bottom w:val="single" w:color="000000" w:sz="4" w:space="0"/>
              <w:right w:val="single" w:color="000000" w:sz="4" w:space="0"/>
            </w:tcBorders>
            <w:vAlign w:val="center"/>
          </w:tcPr>
          <w:p w14:paraId="447B0B78">
            <w:pPr>
              <w:widowControl/>
              <w:jc w:val="center"/>
              <w:textAlignment w:val="bottom"/>
              <w:rPr>
                <w:color w:val="auto"/>
                <w:sz w:val="20"/>
                <w:szCs w:val="20"/>
                <w:highlight w:val="none"/>
              </w:rPr>
            </w:pPr>
            <w:r>
              <w:rPr>
                <w:color w:val="auto"/>
                <w:sz w:val="20"/>
                <w:szCs w:val="20"/>
                <w:highlight w:val="none"/>
              </w:rPr>
              <w:t>X＜10</w:t>
            </w:r>
          </w:p>
        </w:tc>
        <w:tc>
          <w:tcPr>
            <w:tcW w:w="1470" w:type="dxa"/>
            <w:tcBorders>
              <w:top w:val="single" w:color="000000" w:sz="4" w:space="0"/>
              <w:left w:val="single" w:color="000000" w:sz="4" w:space="0"/>
              <w:bottom w:val="single" w:color="000000" w:sz="4" w:space="0"/>
              <w:right w:val="single" w:color="000000" w:sz="4" w:space="0"/>
            </w:tcBorders>
            <w:vAlign w:val="center"/>
          </w:tcPr>
          <w:p w14:paraId="7751DD6E">
            <w:pPr>
              <w:widowControl/>
              <w:jc w:val="center"/>
              <w:textAlignment w:val="bottom"/>
              <w:rPr>
                <w:color w:val="auto"/>
                <w:sz w:val="20"/>
                <w:szCs w:val="20"/>
                <w:highlight w:val="none"/>
              </w:rPr>
            </w:pPr>
            <w:r>
              <w:rPr>
                <w:color w:val="auto"/>
                <w:sz w:val="20"/>
                <w:szCs w:val="20"/>
                <w:highlight w:val="none"/>
              </w:rPr>
              <w:t>V＜100</w:t>
            </w:r>
          </w:p>
        </w:tc>
        <w:tc>
          <w:tcPr>
            <w:tcW w:w="1515" w:type="dxa"/>
            <w:tcBorders>
              <w:top w:val="single" w:color="000000" w:sz="4" w:space="0"/>
              <w:left w:val="single" w:color="000000" w:sz="4" w:space="0"/>
              <w:bottom w:val="single" w:color="000000" w:sz="4" w:space="0"/>
              <w:right w:val="single" w:color="000000" w:sz="12" w:space="0"/>
            </w:tcBorders>
            <w:vAlign w:val="center"/>
          </w:tcPr>
          <w:p w14:paraId="0C219071">
            <w:pPr>
              <w:jc w:val="center"/>
              <w:rPr>
                <w:color w:val="auto"/>
                <w:sz w:val="20"/>
                <w:szCs w:val="20"/>
                <w:highlight w:val="none"/>
              </w:rPr>
            </w:pPr>
          </w:p>
        </w:tc>
      </w:tr>
      <w:tr w14:paraId="10C704E4">
        <w:tblPrEx>
          <w:tblCellMar>
            <w:top w:w="15" w:type="dxa"/>
            <w:left w:w="15" w:type="dxa"/>
            <w:bottom w:w="15" w:type="dxa"/>
            <w:right w:w="15" w:type="dxa"/>
          </w:tblCellMar>
        </w:tblPrEx>
        <w:trPr>
          <w:trHeight w:val="306" w:hRule="atLeast"/>
        </w:trPr>
        <w:tc>
          <w:tcPr>
            <w:tcW w:w="2153" w:type="dxa"/>
            <w:tcBorders>
              <w:top w:val="single" w:color="000000" w:sz="4" w:space="0"/>
              <w:left w:val="single" w:color="000000" w:sz="12" w:space="0"/>
              <w:bottom w:val="single" w:color="000000" w:sz="4" w:space="0"/>
              <w:right w:val="single" w:color="000000" w:sz="12" w:space="0"/>
            </w:tcBorders>
            <w:vAlign w:val="center"/>
          </w:tcPr>
          <w:p w14:paraId="4149C440">
            <w:pPr>
              <w:widowControl/>
              <w:jc w:val="center"/>
              <w:textAlignment w:val="bottom"/>
              <w:rPr>
                <w:color w:val="auto"/>
                <w:sz w:val="20"/>
                <w:szCs w:val="20"/>
                <w:highlight w:val="none"/>
              </w:rPr>
            </w:pPr>
            <w:r>
              <w:rPr>
                <w:color w:val="auto"/>
                <w:sz w:val="20"/>
                <w:szCs w:val="20"/>
                <w:highlight w:val="none"/>
              </w:rPr>
              <w:t>11、信息传输业</w:t>
            </w:r>
          </w:p>
        </w:tc>
        <w:tc>
          <w:tcPr>
            <w:tcW w:w="1320" w:type="dxa"/>
            <w:tcBorders>
              <w:top w:val="single" w:color="000000" w:sz="4" w:space="0"/>
              <w:left w:val="single" w:color="000000" w:sz="12" w:space="0"/>
              <w:bottom w:val="single" w:color="000000" w:sz="4" w:space="0"/>
              <w:right w:val="single" w:color="000000" w:sz="4" w:space="0"/>
            </w:tcBorders>
            <w:vAlign w:val="center"/>
          </w:tcPr>
          <w:p w14:paraId="64176AA4">
            <w:pPr>
              <w:widowControl/>
              <w:jc w:val="center"/>
              <w:textAlignment w:val="bottom"/>
              <w:rPr>
                <w:color w:val="auto"/>
                <w:sz w:val="20"/>
                <w:szCs w:val="20"/>
                <w:highlight w:val="none"/>
              </w:rPr>
            </w:pPr>
            <w:r>
              <w:rPr>
                <w:color w:val="auto"/>
                <w:sz w:val="20"/>
                <w:szCs w:val="20"/>
                <w:highlight w:val="none"/>
              </w:rPr>
              <w:t>100≤X＜2000</w:t>
            </w:r>
          </w:p>
        </w:tc>
        <w:tc>
          <w:tcPr>
            <w:tcW w:w="1560" w:type="dxa"/>
            <w:tcBorders>
              <w:top w:val="single" w:color="000000" w:sz="4" w:space="0"/>
              <w:left w:val="single" w:color="000000" w:sz="4" w:space="0"/>
              <w:bottom w:val="single" w:color="000000" w:sz="4" w:space="0"/>
              <w:right w:val="single" w:color="000000" w:sz="4" w:space="0"/>
            </w:tcBorders>
            <w:vAlign w:val="center"/>
          </w:tcPr>
          <w:p w14:paraId="25A3F9CA">
            <w:pPr>
              <w:widowControl/>
              <w:jc w:val="center"/>
              <w:textAlignment w:val="bottom"/>
              <w:rPr>
                <w:color w:val="auto"/>
                <w:sz w:val="20"/>
                <w:szCs w:val="20"/>
                <w:highlight w:val="none"/>
              </w:rPr>
            </w:pPr>
            <w:r>
              <w:rPr>
                <w:color w:val="auto"/>
                <w:sz w:val="20"/>
                <w:szCs w:val="20"/>
                <w:highlight w:val="none"/>
              </w:rPr>
              <w:t>1000≤Y＜100000</w:t>
            </w:r>
          </w:p>
        </w:tc>
        <w:tc>
          <w:tcPr>
            <w:tcW w:w="1500" w:type="dxa"/>
            <w:tcBorders>
              <w:top w:val="single" w:color="000000" w:sz="4" w:space="0"/>
              <w:left w:val="single" w:color="000000" w:sz="4" w:space="0"/>
              <w:bottom w:val="single" w:color="000000" w:sz="4" w:space="0"/>
              <w:right w:val="single" w:color="000000" w:sz="12" w:space="0"/>
            </w:tcBorders>
            <w:vAlign w:val="center"/>
          </w:tcPr>
          <w:p w14:paraId="108CB32B">
            <w:pPr>
              <w:jc w:val="center"/>
              <w:rPr>
                <w:color w:val="auto"/>
                <w:sz w:val="20"/>
                <w:szCs w:val="20"/>
                <w:highlight w:val="none"/>
              </w:rPr>
            </w:pPr>
          </w:p>
        </w:tc>
        <w:tc>
          <w:tcPr>
            <w:tcW w:w="1320" w:type="dxa"/>
            <w:tcBorders>
              <w:top w:val="single" w:color="000000" w:sz="4" w:space="0"/>
              <w:left w:val="single" w:color="000000" w:sz="12" w:space="0"/>
              <w:bottom w:val="single" w:color="000000" w:sz="4" w:space="0"/>
              <w:right w:val="single" w:color="000000" w:sz="4" w:space="0"/>
            </w:tcBorders>
            <w:vAlign w:val="center"/>
          </w:tcPr>
          <w:p w14:paraId="1260927E">
            <w:pPr>
              <w:widowControl/>
              <w:jc w:val="center"/>
              <w:textAlignment w:val="bottom"/>
              <w:rPr>
                <w:color w:val="auto"/>
                <w:sz w:val="20"/>
                <w:szCs w:val="20"/>
                <w:highlight w:val="none"/>
              </w:rPr>
            </w:pPr>
            <w:r>
              <w:rPr>
                <w:color w:val="auto"/>
                <w:sz w:val="20"/>
                <w:szCs w:val="20"/>
                <w:highlight w:val="none"/>
              </w:rPr>
              <w:t>10≤X＜100</w:t>
            </w:r>
          </w:p>
        </w:tc>
        <w:tc>
          <w:tcPr>
            <w:tcW w:w="1500" w:type="dxa"/>
            <w:tcBorders>
              <w:top w:val="single" w:color="000000" w:sz="4" w:space="0"/>
              <w:left w:val="single" w:color="000000" w:sz="4" w:space="0"/>
              <w:bottom w:val="single" w:color="000000" w:sz="4" w:space="0"/>
              <w:right w:val="single" w:color="000000" w:sz="4" w:space="0"/>
            </w:tcBorders>
            <w:vAlign w:val="center"/>
          </w:tcPr>
          <w:p w14:paraId="2DCBACDA">
            <w:pPr>
              <w:widowControl/>
              <w:jc w:val="center"/>
              <w:textAlignment w:val="bottom"/>
              <w:rPr>
                <w:color w:val="auto"/>
                <w:sz w:val="20"/>
                <w:szCs w:val="20"/>
                <w:highlight w:val="none"/>
              </w:rPr>
            </w:pPr>
            <w:r>
              <w:rPr>
                <w:color w:val="auto"/>
                <w:sz w:val="20"/>
                <w:szCs w:val="20"/>
                <w:highlight w:val="none"/>
              </w:rPr>
              <w:t>100≤Y＜1000</w:t>
            </w:r>
          </w:p>
        </w:tc>
        <w:tc>
          <w:tcPr>
            <w:tcW w:w="1406" w:type="dxa"/>
            <w:tcBorders>
              <w:top w:val="single" w:color="000000" w:sz="4" w:space="0"/>
              <w:left w:val="single" w:color="000000" w:sz="4" w:space="0"/>
              <w:bottom w:val="single" w:color="000000" w:sz="4" w:space="0"/>
              <w:right w:val="single" w:color="000000" w:sz="12" w:space="0"/>
            </w:tcBorders>
            <w:vAlign w:val="center"/>
          </w:tcPr>
          <w:p w14:paraId="394ED84B">
            <w:pPr>
              <w:jc w:val="center"/>
              <w:rPr>
                <w:color w:val="auto"/>
                <w:sz w:val="20"/>
                <w:szCs w:val="20"/>
                <w:highlight w:val="none"/>
              </w:rPr>
            </w:pPr>
          </w:p>
        </w:tc>
        <w:tc>
          <w:tcPr>
            <w:tcW w:w="1264" w:type="dxa"/>
            <w:tcBorders>
              <w:top w:val="single" w:color="000000" w:sz="4" w:space="0"/>
              <w:left w:val="single" w:color="000000" w:sz="12" w:space="0"/>
              <w:bottom w:val="single" w:color="000000" w:sz="4" w:space="0"/>
              <w:right w:val="single" w:color="000000" w:sz="4" w:space="0"/>
            </w:tcBorders>
            <w:vAlign w:val="center"/>
          </w:tcPr>
          <w:p w14:paraId="546C0805">
            <w:pPr>
              <w:widowControl/>
              <w:jc w:val="center"/>
              <w:textAlignment w:val="bottom"/>
              <w:rPr>
                <w:color w:val="auto"/>
                <w:sz w:val="20"/>
                <w:szCs w:val="20"/>
                <w:highlight w:val="none"/>
              </w:rPr>
            </w:pPr>
            <w:r>
              <w:rPr>
                <w:color w:val="auto"/>
                <w:sz w:val="20"/>
                <w:szCs w:val="20"/>
                <w:highlight w:val="none"/>
              </w:rPr>
              <w:t>X＜10</w:t>
            </w:r>
          </w:p>
        </w:tc>
        <w:tc>
          <w:tcPr>
            <w:tcW w:w="1470" w:type="dxa"/>
            <w:tcBorders>
              <w:top w:val="single" w:color="000000" w:sz="4" w:space="0"/>
              <w:left w:val="single" w:color="000000" w:sz="4" w:space="0"/>
              <w:bottom w:val="single" w:color="000000" w:sz="4" w:space="0"/>
              <w:right w:val="single" w:color="000000" w:sz="4" w:space="0"/>
            </w:tcBorders>
            <w:vAlign w:val="center"/>
          </w:tcPr>
          <w:p w14:paraId="58187AE1">
            <w:pPr>
              <w:widowControl/>
              <w:jc w:val="center"/>
              <w:textAlignment w:val="bottom"/>
              <w:rPr>
                <w:color w:val="auto"/>
                <w:sz w:val="20"/>
                <w:szCs w:val="20"/>
                <w:highlight w:val="none"/>
              </w:rPr>
            </w:pPr>
            <w:r>
              <w:rPr>
                <w:color w:val="auto"/>
                <w:sz w:val="20"/>
                <w:szCs w:val="20"/>
                <w:highlight w:val="none"/>
              </w:rPr>
              <w:t>Y＜100</w:t>
            </w:r>
          </w:p>
        </w:tc>
        <w:tc>
          <w:tcPr>
            <w:tcW w:w="1515" w:type="dxa"/>
            <w:tcBorders>
              <w:top w:val="single" w:color="000000" w:sz="4" w:space="0"/>
              <w:left w:val="single" w:color="000000" w:sz="4" w:space="0"/>
              <w:bottom w:val="single" w:color="000000" w:sz="4" w:space="0"/>
              <w:right w:val="single" w:color="000000" w:sz="12" w:space="0"/>
            </w:tcBorders>
            <w:vAlign w:val="center"/>
          </w:tcPr>
          <w:p w14:paraId="662E3F1A">
            <w:pPr>
              <w:jc w:val="center"/>
              <w:rPr>
                <w:color w:val="auto"/>
                <w:sz w:val="20"/>
                <w:szCs w:val="20"/>
                <w:highlight w:val="none"/>
              </w:rPr>
            </w:pPr>
          </w:p>
        </w:tc>
      </w:tr>
      <w:tr w14:paraId="0B0DEED4">
        <w:tblPrEx>
          <w:tblCellMar>
            <w:top w:w="15" w:type="dxa"/>
            <w:left w:w="15" w:type="dxa"/>
            <w:bottom w:w="15" w:type="dxa"/>
            <w:right w:w="15" w:type="dxa"/>
          </w:tblCellMar>
        </w:tblPrEx>
        <w:trPr>
          <w:trHeight w:val="62" w:hRule="atLeast"/>
        </w:trPr>
        <w:tc>
          <w:tcPr>
            <w:tcW w:w="2153" w:type="dxa"/>
            <w:tcBorders>
              <w:top w:val="single" w:color="000000" w:sz="4" w:space="0"/>
              <w:left w:val="single" w:color="000000" w:sz="12" w:space="0"/>
              <w:bottom w:val="single" w:color="000000" w:sz="4" w:space="0"/>
              <w:right w:val="single" w:color="000000" w:sz="12" w:space="0"/>
            </w:tcBorders>
            <w:vAlign w:val="center"/>
          </w:tcPr>
          <w:p w14:paraId="5449DE08">
            <w:pPr>
              <w:widowControl/>
              <w:jc w:val="center"/>
              <w:textAlignment w:val="bottom"/>
              <w:rPr>
                <w:color w:val="auto"/>
                <w:sz w:val="20"/>
                <w:szCs w:val="20"/>
                <w:highlight w:val="none"/>
              </w:rPr>
            </w:pPr>
            <w:r>
              <w:rPr>
                <w:color w:val="auto"/>
                <w:sz w:val="20"/>
                <w:szCs w:val="20"/>
                <w:highlight w:val="none"/>
              </w:rPr>
              <w:t>12、软件和信息技术服务业</w:t>
            </w:r>
          </w:p>
        </w:tc>
        <w:tc>
          <w:tcPr>
            <w:tcW w:w="1320" w:type="dxa"/>
            <w:tcBorders>
              <w:top w:val="single" w:color="000000" w:sz="4" w:space="0"/>
              <w:left w:val="single" w:color="000000" w:sz="12" w:space="0"/>
              <w:bottom w:val="single" w:color="000000" w:sz="4" w:space="0"/>
              <w:right w:val="single" w:color="000000" w:sz="4" w:space="0"/>
            </w:tcBorders>
            <w:vAlign w:val="center"/>
          </w:tcPr>
          <w:p w14:paraId="35873B8F">
            <w:pPr>
              <w:widowControl/>
              <w:jc w:val="center"/>
              <w:textAlignment w:val="bottom"/>
              <w:rPr>
                <w:color w:val="auto"/>
                <w:sz w:val="20"/>
                <w:szCs w:val="20"/>
                <w:highlight w:val="none"/>
              </w:rPr>
            </w:pPr>
            <w:r>
              <w:rPr>
                <w:color w:val="auto"/>
                <w:sz w:val="20"/>
                <w:szCs w:val="20"/>
                <w:highlight w:val="none"/>
              </w:rPr>
              <w:t>100≤X＜300</w:t>
            </w:r>
          </w:p>
        </w:tc>
        <w:tc>
          <w:tcPr>
            <w:tcW w:w="1560" w:type="dxa"/>
            <w:tcBorders>
              <w:top w:val="single" w:color="000000" w:sz="4" w:space="0"/>
              <w:left w:val="single" w:color="000000" w:sz="4" w:space="0"/>
              <w:bottom w:val="single" w:color="000000" w:sz="4" w:space="0"/>
              <w:right w:val="single" w:color="000000" w:sz="4" w:space="0"/>
            </w:tcBorders>
            <w:vAlign w:val="center"/>
          </w:tcPr>
          <w:p w14:paraId="63EC8F5D">
            <w:pPr>
              <w:widowControl/>
              <w:jc w:val="center"/>
              <w:textAlignment w:val="bottom"/>
              <w:rPr>
                <w:color w:val="auto"/>
                <w:sz w:val="20"/>
                <w:szCs w:val="20"/>
                <w:highlight w:val="none"/>
              </w:rPr>
            </w:pPr>
            <w:r>
              <w:rPr>
                <w:color w:val="auto"/>
                <w:sz w:val="20"/>
                <w:szCs w:val="20"/>
                <w:highlight w:val="none"/>
              </w:rPr>
              <w:t>1000≤Y＜10000</w:t>
            </w:r>
          </w:p>
        </w:tc>
        <w:tc>
          <w:tcPr>
            <w:tcW w:w="1500" w:type="dxa"/>
            <w:tcBorders>
              <w:top w:val="single" w:color="000000" w:sz="4" w:space="0"/>
              <w:left w:val="single" w:color="000000" w:sz="4" w:space="0"/>
              <w:bottom w:val="single" w:color="000000" w:sz="4" w:space="0"/>
              <w:right w:val="single" w:color="000000" w:sz="12" w:space="0"/>
            </w:tcBorders>
            <w:vAlign w:val="center"/>
          </w:tcPr>
          <w:p w14:paraId="3F8C65D6">
            <w:pPr>
              <w:jc w:val="center"/>
              <w:rPr>
                <w:color w:val="auto"/>
                <w:sz w:val="20"/>
                <w:szCs w:val="20"/>
                <w:highlight w:val="none"/>
              </w:rPr>
            </w:pPr>
          </w:p>
        </w:tc>
        <w:tc>
          <w:tcPr>
            <w:tcW w:w="1320" w:type="dxa"/>
            <w:tcBorders>
              <w:top w:val="single" w:color="000000" w:sz="4" w:space="0"/>
              <w:left w:val="single" w:color="000000" w:sz="12" w:space="0"/>
              <w:bottom w:val="single" w:color="000000" w:sz="4" w:space="0"/>
              <w:right w:val="single" w:color="000000" w:sz="4" w:space="0"/>
            </w:tcBorders>
            <w:vAlign w:val="center"/>
          </w:tcPr>
          <w:p w14:paraId="732F85C0">
            <w:pPr>
              <w:widowControl/>
              <w:jc w:val="center"/>
              <w:textAlignment w:val="bottom"/>
              <w:rPr>
                <w:color w:val="auto"/>
                <w:sz w:val="20"/>
                <w:szCs w:val="20"/>
                <w:highlight w:val="none"/>
              </w:rPr>
            </w:pPr>
            <w:r>
              <w:rPr>
                <w:color w:val="auto"/>
                <w:sz w:val="20"/>
                <w:szCs w:val="20"/>
                <w:highlight w:val="none"/>
              </w:rPr>
              <w:t>10≤X＜100</w:t>
            </w:r>
          </w:p>
        </w:tc>
        <w:tc>
          <w:tcPr>
            <w:tcW w:w="1500" w:type="dxa"/>
            <w:tcBorders>
              <w:top w:val="single" w:color="000000" w:sz="4" w:space="0"/>
              <w:left w:val="single" w:color="000000" w:sz="4" w:space="0"/>
              <w:bottom w:val="single" w:color="000000" w:sz="4" w:space="0"/>
              <w:right w:val="single" w:color="000000" w:sz="4" w:space="0"/>
            </w:tcBorders>
            <w:vAlign w:val="center"/>
          </w:tcPr>
          <w:p w14:paraId="50181193">
            <w:pPr>
              <w:widowControl/>
              <w:jc w:val="center"/>
              <w:textAlignment w:val="bottom"/>
              <w:rPr>
                <w:color w:val="auto"/>
                <w:sz w:val="20"/>
                <w:szCs w:val="20"/>
                <w:highlight w:val="none"/>
              </w:rPr>
            </w:pPr>
            <w:r>
              <w:rPr>
                <w:color w:val="auto"/>
                <w:sz w:val="20"/>
                <w:szCs w:val="20"/>
                <w:highlight w:val="none"/>
              </w:rPr>
              <w:t>50≤Y＜1000</w:t>
            </w:r>
          </w:p>
        </w:tc>
        <w:tc>
          <w:tcPr>
            <w:tcW w:w="1406" w:type="dxa"/>
            <w:tcBorders>
              <w:top w:val="single" w:color="000000" w:sz="4" w:space="0"/>
              <w:left w:val="single" w:color="000000" w:sz="4" w:space="0"/>
              <w:bottom w:val="single" w:color="000000" w:sz="4" w:space="0"/>
              <w:right w:val="single" w:color="000000" w:sz="12" w:space="0"/>
            </w:tcBorders>
            <w:vAlign w:val="center"/>
          </w:tcPr>
          <w:p w14:paraId="3E1F5F8C">
            <w:pPr>
              <w:jc w:val="center"/>
              <w:rPr>
                <w:color w:val="auto"/>
                <w:sz w:val="20"/>
                <w:szCs w:val="20"/>
                <w:highlight w:val="none"/>
              </w:rPr>
            </w:pPr>
          </w:p>
        </w:tc>
        <w:tc>
          <w:tcPr>
            <w:tcW w:w="1264" w:type="dxa"/>
            <w:tcBorders>
              <w:top w:val="single" w:color="000000" w:sz="4" w:space="0"/>
              <w:left w:val="single" w:color="000000" w:sz="12" w:space="0"/>
              <w:bottom w:val="single" w:color="000000" w:sz="4" w:space="0"/>
              <w:right w:val="single" w:color="000000" w:sz="4" w:space="0"/>
            </w:tcBorders>
            <w:vAlign w:val="center"/>
          </w:tcPr>
          <w:p w14:paraId="73641347">
            <w:pPr>
              <w:widowControl/>
              <w:jc w:val="center"/>
              <w:textAlignment w:val="bottom"/>
              <w:rPr>
                <w:color w:val="auto"/>
                <w:sz w:val="20"/>
                <w:szCs w:val="20"/>
                <w:highlight w:val="none"/>
              </w:rPr>
            </w:pPr>
            <w:r>
              <w:rPr>
                <w:color w:val="auto"/>
                <w:sz w:val="20"/>
                <w:szCs w:val="20"/>
                <w:highlight w:val="none"/>
              </w:rPr>
              <w:t>X＜10</w:t>
            </w:r>
          </w:p>
        </w:tc>
        <w:tc>
          <w:tcPr>
            <w:tcW w:w="1470" w:type="dxa"/>
            <w:tcBorders>
              <w:top w:val="single" w:color="000000" w:sz="4" w:space="0"/>
              <w:left w:val="single" w:color="000000" w:sz="4" w:space="0"/>
              <w:bottom w:val="single" w:color="000000" w:sz="4" w:space="0"/>
              <w:right w:val="single" w:color="000000" w:sz="4" w:space="0"/>
            </w:tcBorders>
            <w:vAlign w:val="center"/>
          </w:tcPr>
          <w:p w14:paraId="43A7BC61">
            <w:pPr>
              <w:widowControl/>
              <w:jc w:val="center"/>
              <w:textAlignment w:val="bottom"/>
              <w:rPr>
                <w:color w:val="auto"/>
                <w:sz w:val="20"/>
                <w:szCs w:val="20"/>
                <w:highlight w:val="none"/>
              </w:rPr>
            </w:pPr>
            <w:r>
              <w:rPr>
                <w:color w:val="auto"/>
                <w:sz w:val="20"/>
                <w:szCs w:val="20"/>
                <w:highlight w:val="none"/>
              </w:rPr>
              <w:t>Y＜50</w:t>
            </w:r>
          </w:p>
        </w:tc>
        <w:tc>
          <w:tcPr>
            <w:tcW w:w="1515" w:type="dxa"/>
            <w:tcBorders>
              <w:top w:val="single" w:color="000000" w:sz="4" w:space="0"/>
              <w:left w:val="single" w:color="000000" w:sz="4" w:space="0"/>
              <w:bottom w:val="single" w:color="000000" w:sz="4" w:space="0"/>
              <w:right w:val="single" w:color="000000" w:sz="12" w:space="0"/>
            </w:tcBorders>
            <w:vAlign w:val="center"/>
          </w:tcPr>
          <w:p w14:paraId="54CF1698">
            <w:pPr>
              <w:jc w:val="center"/>
              <w:rPr>
                <w:color w:val="auto"/>
                <w:sz w:val="20"/>
                <w:szCs w:val="20"/>
                <w:highlight w:val="none"/>
              </w:rPr>
            </w:pPr>
          </w:p>
        </w:tc>
      </w:tr>
      <w:tr w14:paraId="2DDE18F2">
        <w:tblPrEx>
          <w:tblCellMar>
            <w:top w:w="15" w:type="dxa"/>
            <w:left w:w="15" w:type="dxa"/>
            <w:bottom w:w="15" w:type="dxa"/>
            <w:right w:w="15" w:type="dxa"/>
          </w:tblCellMar>
        </w:tblPrEx>
        <w:trPr>
          <w:trHeight w:val="306" w:hRule="atLeast"/>
        </w:trPr>
        <w:tc>
          <w:tcPr>
            <w:tcW w:w="2153" w:type="dxa"/>
            <w:tcBorders>
              <w:top w:val="single" w:color="000000" w:sz="4" w:space="0"/>
              <w:left w:val="single" w:color="000000" w:sz="12" w:space="0"/>
              <w:bottom w:val="single" w:color="000000" w:sz="4" w:space="0"/>
              <w:right w:val="single" w:color="000000" w:sz="12" w:space="0"/>
            </w:tcBorders>
            <w:vAlign w:val="center"/>
          </w:tcPr>
          <w:p w14:paraId="4A92890A">
            <w:pPr>
              <w:widowControl/>
              <w:jc w:val="center"/>
              <w:textAlignment w:val="bottom"/>
              <w:rPr>
                <w:color w:val="auto"/>
                <w:sz w:val="20"/>
                <w:szCs w:val="20"/>
                <w:highlight w:val="none"/>
              </w:rPr>
            </w:pPr>
            <w:r>
              <w:rPr>
                <w:color w:val="auto"/>
                <w:sz w:val="20"/>
                <w:szCs w:val="20"/>
                <w:highlight w:val="none"/>
              </w:rPr>
              <w:t>13、房地产开发经营</w:t>
            </w:r>
          </w:p>
        </w:tc>
        <w:tc>
          <w:tcPr>
            <w:tcW w:w="1320" w:type="dxa"/>
            <w:tcBorders>
              <w:top w:val="single" w:color="000000" w:sz="4" w:space="0"/>
              <w:left w:val="single" w:color="000000" w:sz="12" w:space="0"/>
              <w:bottom w:val="single" w:color="000000" w:sz="4" w:space="0"/>
              <w:right w:val="single" w:color="000000" w:sz="4" w:space="0"/>
            </w:tcBorders>
            <w:vAlign w:val="center"/>
          </w:tcPr>
          <w:p w14:paraId="5358CE77">
            <w:pPr>
              <w:jc w:val="center"/>
              <w:rPr>
                <w:color w:val="auto"/>
                <w:sz w:val="20"/>
                <w:szCs w:val="20"/>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6ECABEF0">
            <w:pPr>
              <w:widowControl/>
              <w:jc w:val="center"/>
              <w:textAlignment w:val="bottom"/>
              <w:rPr>
                <w:color w:val="auto"/>
                <w:sz w:val="20"/>
                <w:szCs w:val="20"/>
                <w:highlight w:val="none"/>
              </w:rPr>
            </w:pPr>
            <w:r>
              <w:rPr>
                <w:color w:val="auto"/>
                <w:sz w:val="20"/>
                <w:szCs w:val="20"/>
                <w:highlight w:val="none"/>
              </w:rPr>
              <w:t>1000≤Y＜200000</w:t>
            </w:r>
          </w:p>
        </w:tc>
        <w:tc>
          <w:tcPr>
            <w:tcW w:w="1500" w:type="dxa"/>
            <w:tcBorders>
              <w:top w:val="single" w:color="000000" w:sz="4" w:space="0"/>
              <w:left w:val="single" w:color="000000" w:sz="4" w:space="0"/>
              <w:bottom w:val="single" w:color="000000" w:sz="4" w:space="0"/>
              <w:right w:val="single" w:color="000000" w:sz="12" w:space="0"/>
            </w:tcBorders>
            <w:vAlign w:val="center"/>
          </w:tcPr>
          <w:p w14:paraId="64D3888A">
            <w:pPr>
              <w:widowControl/>
              <w:jc w:val="center"/>
              <w:textAlignment w:val="bottom"/>
              <w:rPr>
                <w:color w:val="auto"/>
                <w:sz w:val="20"/>
                <w:szCs w:val="20"/>
                <w:highlight w:val="none"/>
              </w:rPr>
            </w:pPr>
            <w:r>
              <w:rPr>
                <w:color w:val="auto"/>
                <w:sz w:val="20"/>
                <w:szCs w:val="20"/>
                <w:highlight w:val="none"/>
              </w:rPr>
              <w:t>5000≤Z＜10000</w:t>
            </w:r>
          </w:p>
        </w:tc>
        <w:tc>
          <w:tcPr>
            <w:tcW w:w="1320" w:type="dxa"/>
            <w:tcBorders>
              <w:top w:val="single" w:color="000000" w:sz="4" w:space="0"/>
              <w:left w:val="single" w:color="000000" w:sz="12" w:space="0"/>
              <w:bottom w:val="single" w:color="000000" w:sz="4" w:space="0"/>
              <w:right w:val="single" w:color="000000" w:sz="4" w:space="0"/>
            </w:tcBorders>
            <w:vAlign w:val="center"/>
          </w:tcPr>
          <w:p w14:paraId="6A1E14BE">
            <w:pPr>
              <w:jc w:val="center"/>
              <w:rPr>
                <w:color w:val="auto"/>
                <w:sz w:val="20"/>
                <w:szCs w:val="20"/>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60864A1">
            <w:pPr>
              <w:widowControl/>
              <w:jc w:val="center"/>
              <w:textAlignment w:val="bottom"/>
              <w:rPr>
                <w:color w:val="auto"/>
                <w:sz w:val="20"/>
                <w:szCs w:val="20"/>
                <w:highlight w:val="none"/>
              </w:rPr>
            </w:pPr>
            <w:r>
              <w:rPr>
                <w:color w:val="auto"/>
                <w:sz w:val="20"/>
                <w:szCs w:val="20"/>
                <w:highlight w:val="none"/>
              </w:rPr>
              <w:t>100≤Y＜1000</w:t>
            </w:r>
          </w:p>
        </w:tc>
        <w:tc>
          <w:tcPr>
            <w:tcW w:w="1406" w:type="dxa"/>
            <w:tcBorders>
              <w:top w:val="single" w:color="000000" w:sz="4" w:space="0"/>
              <w:left w:val="single" w:color="000000" w:sz="4" w:space="0"/>
              <w:bottom w:val="single" w:color="000000" w:sz="4" w:space="0"/>
              <w:right w:val="single" w:color="000000" w:sz="12" w:space="0"/>
            </w:tcBorders>
            <w:vAlign w:val="center"/>
          </w:tcPr>
          <w:p w14:paraId="52B4D85F">
            <w:pPr>
              <w:widowControl/>
              <w:jc w:val="center"/>
              <w:textAlignment w:val="bottom"/>
              <w:rPr>
                <w:color w:val="auto"/>
                <w:sz w:val="20"/>
                <w:szCs w:val="20"/>
                <w:highlight w:val="none"/>
              </w:rPr>
            </w:pPr>
            <w:r>
              <w:rPr>
                <w:color w:val="auto"/>
                <w:sz w:val="20"/>
                <w:szCs w:val="20"/>
                <w:highlight w:val="none"/>
              </w:rPr>
              <w:t>2000≤Z＜5000</w:t>
            </w:r>
          </w:p>
        </w:tc>
        <w:tc>
          <w:tcPr>
            <w:tcW w:w="1264" w:type="dxa"/>
            <w:tcBorders>
              <w:top w:val="single" w:color="000000" w:sz="4" w:space="0"/>
              <w:left w:val="single" w:color="000000" w:sz="12" w:space="0"/>
              <w:bottom w:val="single" w:color="000000" w:sz="4" w:space="0"/>
              <w:right w:val="single" w:color="000000" w:sz="4" w:space="0"/>
            </w:tcBorders>
            <w:vAlign w:val="center"/>
          </w:tcPr>
          <w:p w14:paraId="1FA758D2">
            <w:pPr>
              <w:jc w:val="center"/>
              <w:rPr>
                <w:color w:val="auto"/>
                <w:sz w:val="20"/>
                <w:szCs w:val="20"/>
                <w:highlight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14:paraId="6CBCB58E">
            <w:pPr>
              <w:widowControl/>
              <w:jc w:val="center"/>
              <w:textAlignment w:val="bottom"/>
              <w:rPr>
                <w:color w:val="auto"/>
                <w:sz w:val="20"/>
                <w:szCs w:val="20"/>
                <w:highlight w:val="none"/>
              </w:rPr>
            </w:pPr>
            <w:r>
              <w:rPr>
                <w:color w:val="auto"/>
                <w:sz w:val="20"/>
                <w:szCs w:val="20"/>
                <w:highlight w:val="none"/>
              </w:rPr>
              <w:t>Y＜100</w:t>
            </w:r>
          </w:p>
        </w:tc>
        <w:tc>
          <w:tcPr>
            <w:tcW w:w="1515" w:type="dxa"/>
            <w:tcBorders>
              <w:top w:val="single" w:color="000000" w:sz="4" w:space="0"/>
              <w:left w:val="single" w:color="000000" w:sz="4" w:space="0"/>
              <w:bottom w:val="single" w:color="000000" w:sz="4" w:space="0"/>
              <w:right w:val="single" w:color="000000" w:sz="12" w:space="0"/>
            </w:tcBorders>
            <w:vAlign w:val="center"/>
          </w:tcPr>
          <w:p w14:paraId="158B56A3">
            <w:pPr>
              <w:widowControl/>
              <w:jc w:val="center"/>
              <w:textAlignment w:val="bottom"/>
              <w:rPr>
                <w:color w:val="auto"/>
                <w:sz w:val="20"/>
                <w:szCs w:val="20"/>
                <w:highlight w:val="none"/>
              </w:rPr>
            </w:pPr>
            <w:r>
              <w:rPr>
                <w:color w:val="auto"/>
                <w:sz w:val="20"/>
                <w:szCs w:val="20"/>
                <w:highlight w:val="none"/>
              </w:rPr>
              <w:t>Z＜2000</w:t>
            </w:r>
          </w:p>
        </w:tc>
      </w:tr>
      <w:tr w14:paraId="4D0F8BC7">
        <w:tblPrEx>
          <w:tblCellMar>
            <w:top w:w="15" w:type="dxa"/>
            <w:left w:w="15" w:type="dxa"/>
            <w:bottom w:w="15" w:type="dxa"/>
            <w:right w:w="15" w:type="dxa"/>
          </w:tblCellMar>
        </w:tblPrEx>
        <w:trPr>
          <w:trHeight w:val="306" w:hRule="atLeast"/>
        </w:trPr>
        <w:tc>
          <w:tcPr>
            <w:tcW w:w="2153" w:type="dxa"/>
            <w:tcBorders>
              <w:top w:val="single" w:color="000000" w:sz="4" w:space="0"/>
              <w:left w:val="single" w:color="000000" w:sz="12" w:space="0"/>
              <w:bottom w:val="single" w:color="000000" w:sz="4" w:space="0"/>
              <w:right w:val="single" w:color="000000" w:sz="12" w:space="0"/>
            </w:tcBorders>
            <w:vAlign w:val="center"/>
          </w:tcPr>
          <w:p w14:paraId="42ADC204">
            <w:pPr>
              <w:widowControl/>
              <w:jc w:val="center"/>
              <w:textAlignment w:val="bottom"/>
              <w:rPr>
                <w:color w:val="auto"/>
                <w:sz w:val="20"/>
                <w:szCs w:val="20"/>
                <w:highlight w:val="none"/>
              </w:rPr>
            </w:pPr>
            <w:r>
              <w:rPr>
                <w:color w:val="auto"/>
                <w:sz w:val="20"/>
                <w:szCs w:val="20"/>
                <w:highlight w:val="none"/>
              </w:rPr>
              <w:t>14、物业管理</w:t>
            </w:r>
          </w:p>
        </w:tc>
        <w:tc>
          <w:tcPr>
            <w:tcW w:w="1320" w:type="dxa"/>
            <w:tcBorders>
              <w:top w:val="single" w:color="000000" w:sz="4" w:space="0"/>
              <w:left w:val="single" w:color="000000" w:sz="12" w:space="0"/>
              <w:bottom w:val="single" w:color="000000" w:sz="4" w:space="0"/>
              <w:right w:val="single" w:color="000000" w:sz="4" w:space="0"/>
            </w:tcBorders>
            <w:vAlign w:val="center"/>
          </w:tcPr>
          <w:p w14:paraId="3B322304">
            <w:pPr>
              <w:widowControl/>
              <w:jc w:val="center"/>
              <w:textAlignment w:val="bottom"/>
              <w:rPr>
                <w:color w:val="auto"/>
                <w:sz w:val="20"/>
                <w:szCs w:val="20"/>
                <w:highlight w:val="none"/>
              </w:rPr>
            </w:pPr>
            <w:r>
              <w:rPr>
                <w:color w:val="auto"/>
                <w:sz w:val="20"/>
                <w:szCs w:val="20"/>
                <w:highlight w:val="none"/>
              </w:rPr>
              <w:t>300≤X＜1000</w:t>
            </w:r>
          </w:p>
        </w:tc>
        <w:tc>
          <w:tcPr>
            <w:tcW w:w="1560" w:type="dxa"/>
            <w:tcBorders>
              <w:top w:val="single" w:color="000000" w:sz="4" w:space="0"/>
              <w:left w:val="single" w:color="000000" w:sz="4" w:space="0"/>
              <w:bottom w:val="single" w:color="000000" w:sz="4" w:space="0"/>
              <w:right w:val="single" w:color="000000" w:sz="4" w:space="0"/>
            </w:tcBorders>
            <w:vAlign w:val="center"/>
          </w:tcPr>
          <w:p w14:paraId="6A0E5111">
            <w:pPr>
              <w:widowControl/>
              <w:jc w:val="center"/>
              <w:textAlignment w:val="bottom"/>
              <w:rPr>
                <w:color w:val="auto"/>
                <w:sz w:val="20"/>
                <w:szCs w:val="20"/>
                <w:highlight w:val="none"/>
              </w:rPr>
            </w:pPr>
            <w:r>
              <w:rPr>
                <w:color w:val="auto"/>
                <w:sz w:val="20"/>
                <w:szCs w:val="20"/>
                <w:highlight w:val="none"/>
              </w:rPr>
              <w:t>1000≤Y＜5000</w:t>
            </w:r>
          </w:p>
        </w:tc>
        <w:tc>
          <w:tcPr>
            <w:tcW w:w="1500" w:type="dxa"/>
            <w:tcBorders>
              <w:top w:val="single" w:color="000000" w:sz="4" w:space="0"/>
              <w:left w:val="single" w:color="000000" w:sz="4" w:space="0"/>
              <w:bottom w:val="single" w:color="000000" w:sz="4" w:space="0"/>
              <w:right w:val="single" w:color="000000" w:sz="12" w:space="0"/>
            </w:tcBorders>
            <w:vAlign w:val="center"/>
          </w:tcPr>
          <w:p w14:paraId="66C428ED">
            <w:pPr>
              <w:jc w:val="center"/>
              <w:rPr>
                <w:color w:val="auto"/>
                <w:sz w:val="20"/>
                <w:szCs w:val="20"/>
                <w:highlight w:val="none"/>
              </w:rPr>
            </w:pPr>
          </w:p>
        </w:tc>
        <w:tc>
          <w:tcPr>
            <w:tcW w:w="1320" w:type="dxa"/>
            <w:tcBorders>
              <w:top w:val="single" w:color="000000" w:sz="4" w:space="0"/>
              <w:left w:val="single" w:color="000000" w:sz="12" w:space="0"/>
              <w:bottom w:val="single" w:color="000000" w:sz="4" w:space="0"/>
              <w:right w:val="single" w:color="000000" w:sz="4" w:space="0"/>
            </w:tcBorders>
            <w:vAlign w:val="center"/>
          </w:tcPr>
          <w:p w14:paraId="307A073D">
            <w:pPr>
              <w:widowControl/>
              <w:jc w:val="center"/>
              <w:textAlignment w:val="bottom"/>
              <w:rPr>
                <w:color w:val="auto"/>
                <w:sz w:val="20"/>
                <w:szCs w:val="20"/>
                <w:highlight w:val="none"/>
              </w:rPr>
            </w:pPr>
            <w:r>
              <w:rPr>
                <w:color w:val="auto"/>
                <w:sz w:val="20"/>
                <w:szCs w:val="20"/>
                <w:highlight w:val="none"/>
              </w:rPr>
              <w:t>100≤X＜300</w:t>
            </w:r>
          </w:p>
        </w:tc>
        <w:tc>
          <w:tcPr>
            <w:tcW w:w="1500" w:type="dxa"/>
            <w:tcBorders>
              <w:top w:val="single" w:color="000000" w:sz="4" w:space="0"/>
              <w:left w:val="single" w:color="000000" w:sz="4" w:space="0"/>
              <w:bottom w:val="single" w:color="000000" w:sz="4" w:space="0"/>
              <w:right w:val="single" w:color="000000" w:sz="4" w:space="0"/>
            </w:tcBorders>
            <w:vAlign w:val="center"/>
          </w:tcPr>
          <w:p w14:paraId="7397799F">
            <w:pPr>
              <w:widowControl/>
              <w:jc w:val="center"/>
              <w:textAlignment w:val="bottom"/>
              <w:rPr>
                <w:color w:val="auto"/>
                <w:sz w:val="20"/>
                <w:szCs w:val="20"/>
                <w:highlight w:val="none"/>
              </w:rPr>
            </w:pPr>
            <w:r>
              <w:rPr>
                <w:color w:val="auto"/>
                <w:sz w:val="20"/>
                <w:szCs w:val="20"/>
                <w:highlight w:val="none"/>
              </w:rPr>
              <w:t>500≤Y＜1000</w:t>
            </w:r>
          </w:p>
        </w:tc>
        <w:tc>
          <w:tcPr>
            <w:tcW w:w="1406" w:type="dxa"/>
            <w:tcBorders>
              <w:top w:val="single" w:color="000000" w:sz="4" w:space="0"/>
              <w:left w:val="single" w:color="000000" w:sz="4" w:space="0"/>
              <w:bottom w:val="single" w:color="000000" w:sz="4" w:space="0"/>
              <w:right w:val="single" w:color="000000" w:sz="12" w:space="0"/>
            </w:tcBorders>
            <w:vAlign w:val="center"/>
          </w:tcPr>
          <w:p w14:paraId="7196C6E4">
            <w:pPr>
              <w:jc w:val="center"/>
              <w:rPr>
                <w:color w:val="auto"/>
                <w:sz w:val="20"/>
                <w:szCs w:val="20"/>
                <w:highlight w:val="none"/>
              </w:rPr>
            </w:pPr>
          </w:p>
        </w:tc>
        <w:tc>
          <w:tcPr>
            <w:tcW w:w="1264" w:type="dxa"/>
            <w:tcBorders>
              <w:top w:val="single" w:color="000000" w:sz="4" w:space="0"/>
              <w:left w:val="single" w:color="000000" w:sz="12" w:space="0"/>
              <w:bottom w:val="single" w:color="000000" w:sz="4" w:space="0"/>
              <w:right w:val="single" w:color="000000" w:sz="4" w:space="0"/>
            </w:tcBorders>
            <w:vAlign w:val="center"/>
          </w:tcPr>
          <w:p w14:paraId="472816F7">
            <w:pPr>
              <w:widowControl/>
              <w:jc w:val="center"/>
              <w:textAlignment w:val="bottom"/>
              <w:rPr>
                <w:color w:val="auto"/>
                <w:sz w:val="20"/>
                <w:szCs w:val="20"/>
                <w:highlight w:val="none"/>
              </w:rPr>
            </w:pPr>
            <w:r>
              <w:rPr>
                <w:color w:val="auto"/>
                <w:sz w:val="20"/>
                <w:szCs w:val="20"/>
                <w:highlight w:val="none"/>
              </w:rPr>
              <w:t>X＜100</w:t>
            </w:r>
          </w:p>
        </w:tc>
        <w:tc>
          <w:tcPr>
            <w:tcW w:w="1470" w:type="dxa"/>
            <w:tcBorders>
              <w:top w:val="single" w:color="000000" w:sz="4" w:space="0"/>
              <w:left w:val="single" w:color="000000" w:sz="4" w:space="0"/>
              <w:bottom w:val="single" w:color="000000" w:sz="4" w:space="0"/>
              <w:right w:val="single" w:color="000000" w:sz="4" w:space="0"/>
            </w:tcBorders>
            <w:vAlign w:val="center"/>
          </w:tcPr>
          <w:p w14:paraId="3EE5CB69">
            <w:pPr>
              <w:widowControl/>
              <w:jc w:val="center"/>
              <w:textAlignment w:val="bottom"/>
              <w:rPr>
                <w:color w:val="auto"/>
                <w:sz w:val="20"/>
                <w:szCs w:val="20"/>
                <w:highlight w:val="none"/>
              </w:rPr>
            </w:pPr>
            <w:r>
              <w:rPr>
                <w:color w:val="auto"/>
                <w:sz w:val="20"/>
                <w:szCs w:val="20"/>
                <w:highlight w:val="none"/>
              </w:rPr>
              <w:t>Y＜500</w:t>
            </w:r>
          </w:p>
        </w:tc>
        <w:tc>
          <w:tcPr>
            <w:tcW w:w="1515" w:type="dxa"/>
            <w:tcBorders>
              <w:top w:val="single" w:color="000000" w:sz="4" w:space="0"/>
              <w:left w:val="single" w:color="000000" w:sz="4" w:space="0"/>
              <w:bottom w:val="single" w:color="000000" w:sz="4" w:space="0"/>
              <w:right w:val="single" w:color="000000" w:sz="12" w:space="0"/>
            </w:tcBorders>
            <w:vAlign w:val="center"/>
          </w:tcPr>
          <w:p w14:paraId="69005BD0">
            <w:pPr>
              <w:jc w:val="center"/>
              <w:rPr>
                <w:color w:val="auto"/>
                <w:sz w:val="20"/>
                <w:szCs w:val="20"/>
                <w:highlight w:val="none"/>
              </w:rPr>
            </w:pPr>
          </w:p>
        </w:tc>
      </w:tr>
      <w:tr w14:paraId="3D542E56">
        <w:tblPrEx>
          <w:tblCellMar>
            <w:top w:w="15" w:type="dxa"/>
            <w:left w:w="15" w:type="dxa"/>
            <w:bottom w:w="15" w:type="dxa"/>
            <w:right w:w="15" w:type="dxa"/>
          </w:tblCellMar>
        </w:tblPrEx>
        <w:trPr>
          <w:trHeight w:val="306" w:hRule="atLeast"/>
        </w:trPr>
        <w:tc>
          <w:tcPr>
            <w:tcW w:w="2153" w:type="dxa"/>
            <w:tcBorders>
              <w:top w:val="single" w:color="000000" w:sz="4" w:space="0"/>
              <w:left w:val="single" w:color="000000" w:sz="12" w:space="0"/>
              <w:bottom w:val="single" w:color="000000" w:sz="4" w:space="0"/>
              <w:right w:val="single" w:color="000000" w:sz="12" w:space="0"/>
            </w:tcBorders>
            <w:vAlign w:val="center"/>
          </w:tcPr>
          <w:p w14:paraId="3555F1C4">
            <w:pPr>
              <w:widowControl/>
              <w:jc w:val="center"/>
              <w:textAlignment w:val="bottom"/>
              <w:rPr>
                <w:color w:val="auto"/>
                <w:sz w:val="20"/>
                <w:szCs w:val="20"/>
                <w:highlight w:val="none"/>
              </w:rPr>
            </w:pPr>
            <w:r>
              <w:rPr>
                <w:color w:val="auto"/>
                <w:sz w:val="20"/>
                <w:szCs w:val="20"/>
                <w:highlight w:val="none"/>
              </w:rPr>
              <w:t>15、租赁和商务服务业</w:t>
            </w:r>
          </w:p>
        </w:tc>
        <w:tc>
          <w:tcPr>
            <w:tcW w:w="1320" w:type="dxa"/>
            <w:tcBorders>
              <w:top w:val="single" w:color="000000" w:sz="4" w:space="0"/>
              <w:left w:val="single" w:color="000000" w:sz="12" w:space="0"/>
              <w:bottom w:val="single" w:color="000000" w:sz="4" w:space="0"/>
              <w:right w:val="single" w:color="000000" w:sz="4" w:space="0"/>
            </w:tcBorders>
            <w:vAlign w:val="center"/>
          </w:tcPr>
          <w:p w14:paraId="54472F8C">
            <w:pPr>
              <w:widowControl/>
              <w:jc w:val="center"/>
              <w:textAlignment w:val="bottom"/>
              <w:rPr>
                <w:color w:val="auto"/>
                <w:sz w:val="20"/>
                <w:szCs w:val="20"/>
                <w:highlight w:val="none"/>
              </w:rPr>
            </w:pPr>
            <w:r>
              <w:rPr>
                <w:color w:val="auto"/>
                <w:sz w:val="20"/>
                <w:szCs w:val="20"/>
                <w:highlight w:val="none"/>
              </w:rPr>
              <w:t>100≤X＜300</w:t>
            </w:r>
          </w:p>
        </w:tc>
        <w:tc>
          <w:tcPr>
            <w:tcW w:w="1560" w:type="dxa"/>
            <w:tcBorders>
              <w:top w:val="single" w:color="000000" w:sz="4" w:space="0"/>
              <w:left w:val="single" w:color="000000" w:sz="4" w:space="0"/>
              <w:bottom w:val="single" w:color="000000" w:sz="4" w:space="0"/>
              <w:right w:val="single" w:color="000000" w:sz="4" w:space="0"/>
            </w:tcBorders>
            <w:vAlign w:val="center"/>
          </w:tcPr>
          <w:p w14:paraId="6F7B1918">
            <w:pPr>
              <w:jc w:val="center"/>
              <w:rPr>
                <w:color w:val="auto"/>
                <w:sz w:val="20"/>
                <w:szCs w:val="20"/>
                <w:highlight w:val="none"/>
              </w:rPr>
            </w:pPr>
          </w:p>
        </w:tc>
        <w:tc>
          <w:tcPr>
            <w:tcW w:w="1500" w:type="dxa"/>
            <w:tcBorders>
              <w:top w:val="single" w:color="000000" w:sz="4" w:space="0"/>
              <w:left w:val="single" w:color="000000" w:sz="4" w:space="0"/>
              <w:bottom w:val="single" w:color="000000" w:sz="4" w:space="0"/>
              <w:right w:val="single" w:color="000000" w:sz="12" w:space="0"/>
            </w:tcBorders>
            <w:vAlign w:val="center"/>
          </w:tcPr>
          <w:p w14:paraId="4A6938EA">
            <w:pPr>
              <w:widowControl/>
              <w:jc w:val="center"/>
              <w:textAlignment w:val="bottom"/>
              <w:rPr>
                <w:color w:val="auto"/>
                <w:sz w:val="20"/>
                <w:szCs w:val="20"/>
                <w:highlight w:val="none"/>
              </w:rPr>
            </w:pPr>
            <w:r>
              <w:rPr>
                <w:color w:val="auto"/>
                <w:sz w:val="20"/>
                <w:szCs w:val="20"/>
                <w:highlight w:val="none"/>
              </w:rPr>
              <w:t>8000≤Z＜120000</w:t>
            </w:r>
          </w:p>
        </w:tc>
        <w:tc>
          <w:tcPr>
            <w:tcW w:w="1320" w:type="dxa"/>
            <w:tcBorders>
              <w:top w:val="single" w:color="000000" w:sz="4" w:space="0"/>
              <w:left w:val="single" w:color="000000" w:sz="12" w:space="0"/>
              <w:bottom w:val="single" w:color="000000" w:sz="4" w:space="0"/>
              <w:right w:val="single" w:color="000000" w:sz="4" w:space="0"/>
            </w:tcBorders>
            <w:vAlign w:val="center"/>
          </w:tcPr>
          <w:p w14:paraId="7C8C358C">
            <w:pPr>
              <w:widowControl/>
              <w:jc w:val="center"/>
              <w:textAlignment w:val="bottom"/>
              <w:rPr>
                <w:color w:val="auto"/>
                <w:sz w:val="20"/>
                <w:szCs w:val="20"/>
                <w:highlight w:val="none"/>
              </w:rPr>
            </w:pPr>
            <w:r>
              <w:rPr>
                <w:color w:val="auto"/>
                <w:sz w:val="20"/>
                <w:szCs w:val="20"/>
                <w:highlight w:val="none"/>
              </w:rPr>
              <w:t>10≤X＜100</w:t>
            </w:r>
          </w:p>
        </w:tc>
        <w:tc>
          <w:tcPr>
            <w:tcW w:w="1500" w:type="dxa"/>
            <w:tcBorders>
              <w:top w:val="single" w:color="000000" w:sz="4" w:space="0"/>
              <w:left w:val="single" w:color="000000" w:sz="4" w:space="0"/>
              <w:bottom w:val="single" w:color="000000" w:sz="4" w:space="0"/>
              <w:right w:val="single" w:color="000000" w:sz="4" w:space="0"/>
            </w:tcBorders>
            <w:vAlign w:val="center"/>
          </w:tcPr>
          <w:p w14:paraId="64E523EC">
            <w:pPr>
              <w:jc w:val="center"/>
              <w:rPr>
                <w:color w:val="auto"/>
                <w:sz w:val="20"/>
                <w:szCs w:val="20"/>
                <w:highlight w:val="none"/>
              </w:rPr>
            </w:pPr>
          </w:p>
        </w:tc>
        <w:tc>
          <w:tcPr>
            <w:tcW w:w="1406" w:type="dxa"/>
            <w:tcBorders>
              <w:top w:val="single" w:color="000000" w:sz="4" w:space="0"/>
              <w:left w:val="single" w:color="000000" w:sz="4" w:space="0"/>
              <w:bottom w:val="single" w:color="000000" w:sz="4" w:space="0"/>
              <w:right w:val="single" w:color="000000" w:sz="12" w:space="0"/>
            </w:tcBorders>
            <w:vAlign w:val="center"/>
          </w:tcPr>
          <w:p w14:paraId="61C162B0">
            <w:pPr>
              <w:widowControl/>
              <w:jc w:val="center"/>
              <w:textAlignment w:val="bottom"/>
              <w:rPr>
                <w:color w:val="auto"/>
                <w:sz w:val="20"/>
                <w:szCs w:val="20"/>
                <w:highlight w:val="none"/>
              </w:rPr>
            </w:pPr>
            <w:r>
              <w:rPr>
                <w:color w:val="auto"/>
                <w:sz w:val="20"/>
                <w:szCs w:val="20"/>
                <w:highlight w:val="none"/>
              </w:rPr>
              <w:t>100≤Z＜8000</w:t>
            </w:r>
          </w:p>
        </w:tc>
        <w:tc>
          <w:tcPr>
            <w:tcW w:w="1264" w:type="dxa"/>
            <w:tcBorders>
              <w:top w:val="single" w:color="000000" w:sz="4" w:space="0"/>
              <w:left w:val="single" w:color="000000" w:sz="12" w:space="0"/>
              <w:bottom w:val="single" w:color="000000" w:sz="4" w:space="0"/>
              <w:right w:val="single" w:color="000000" w:sz="4" w:space="0"/>
            </w:tcBorders>
            <w:vAlign w:val="center"/>
          </w:tcPr>
          <w:p w14:paraId="6EBD8BB0">
            <w:pPr>
              <w:widowControl/>
              <w:jc w:val="center"/>
              <w:textAlignment w:val="bottom"/>
              <w:rPr>
                <w:color w:val="auto"/>
                <w:sz w:val="20"/>
                <w:szCs w:val="20"/>
                <w:highlight w:val="none"/>
              </w:rPr>
            </w:pPr>
            <w:r>
              <w:rPr>
                <w:color w:val="auto"/>
                <w:sz w:val="20"/>
                <w:szCs w:val="20"/>
                <w:highlight w:val="none"/>
              </w:rPr>
              <w:t>X＜10</w:t>
            </w:r>
          </w:p>
        </w:tc>
        <w:tc>
          <w:tcPr>
            <w:tcW w:w="1470" w:type="dxa"/>
            <w:tcBorders>
              <w:top w:val="single" w:color="000000" w:sz="4" w:space="0"/>
              <w:left w:val="single" w:color="000000" w:sz="4" w:space="0"/>
              <w:bottom w:val="single" w:color="000000" w:sz="4" w:space="0"/>
              <w:right w:val="single" w:color="000000" w:sz="4" w:space="0"/>
            </w:tcBorders>
            <w:vAlign w:val="center"/>
          </w:tcPr>
          <w:p w14:paraId="4FBBCF21">
            <w:pPr>
              <w:jc w:val="center"/>
              <w:rPr>
                <w:color w:val="auto"/>
                <w:sz w:val="20"/>
                <w:szCs w:val="20"/>
                <w:highlight w:val="none"/>
              </w:rPr>
            </w:pPr>
          </w:p>
        </w:tc>
        <w:tc>
          <w:tcPr>
            <w:tcW w:w="1515" w:type="dxa"/>
            <w:tcBorders>
              <w:top w:val="single" w:color="000000" w:sz="4" w:space="0"/>
              <w:left w:val="single" w:color="000000" w:sz="4" w:space="0"/>
              <w:bottom w:val="single" w:color="000000" w:sz="4" w:space="0"/>
              <w:right w:val="single" w:color="000000" w:sz="12" w:space="0"/>
            </w:tcBorders>
            <w:vAlign w:val="center"/>
          </w:tcPr>
          <w:p w14:paraId="62A6B4F4">
            <w:pPr>
              <w:widowControl/>
              <w:jc w:val="center"/>
              <w:textAlignment w:val="bottom"/>
              <w:rPr>
                <w:color w:val="auto"/>
                <w:sz w:val="20"/>
                <w:szCs w:val="20"/>
                <w:highlight w:val="none"/>
              </w:rPr>
            </w:pPr>
            <w:r>
              <w:rPr>
                <w:color w:val="auto"/>
                <w:sz w:val="20"/>
                <w:szCs w:val="20"/>
                <w:highlight w:val="none"/>
              </w:rPr>
              <w:t>Z＜100</w:t>
            </w:r>
          </w:p>
        </w:tc>
      </w:tr>
      <w:tr w14:paraId="139054FA">
        <w:tblPrEx>
          <w:tblCellMar>
            <w:top w:w="15" w:type="dxa"/>
            <w:left w:w="15" w:type="dxa"/>
            <w:bottom w:w="15" w:type="dxa"/>
            <w:right w:w="15" w:type="dxa"/>
          </w:tblCellMar>
        </w:tblPrEx>
        <w:trPr>
          <w:trHeight w:val="306" w:hRule="atLeast"/>
        </w:trPr>
        <w:tc>
          <w:tcPr>
            <w:tcW w:w="2153" w:type="dxa"/>
            <w:tcBorders>
              <w:top w:val="single" w:color="000000" w:sz="4" w:space="0"/>
              <w:left w:val="single" w:color="000000" w:sz="12" w:space="0"/>
              <w:bottom w:val="single" w:color="000000" w:sz="12" w:space="0"/>
              <w:right w:val="single" w:color="000000" w:sz="12" w:space="0"/>
            </w:tcBorders>
            <w:vAlign w:val="center"/>
          </w:tcPr>
          <w:p w14:paraId="3300E826">
            <w:pPr>
              <w:widowControl/>
              <w:jc w:val="center"/>
              <w:textAlignment w:val="bottom"/>
              <w:rPr>
                <w:color w:val="auto"/>
                <w:sz w:val="20"/>
                <w:szCs w:val="20"/>
                <w:highlight w:val="none"/>
              </w:rPr>
            </w:pPr>
            <w:r>
              <w:rPr>
                <w:color w:val="auto"/>
                <w:sz w:val="20"/>
                <w:szCs w:val="20"/>
                <w:highlight w:val="none"/>
              </w:rPr>
              <w:t>16、其他未列明行业</w:t>
            </w:r>
          </w:p>
        </w:tc>
        <w:tc>
          <w:tcPr>
            <w:tcW w:w="1320" w:type="dxa"/>
            <w:tcBorders>
              <w:top w:val="single" w:color="000000" w:sz="4" w:space="0"/>
              <w:left w:val="single" w:color="000000" w:sz="12" w:space="0"/>
              <w:bottom w:val="single" w:color="000000" w:sz="12" w:space="0"/>
              <w:right w:val="single" w:color="000000" w:sz="4" w:space="0"/>
            </w:tcBorders>
            <w:vAlign w:val="center"/>
          </w:tcPr>
          <w:p w14:paraId="3EF50DD0">
            <w:pPr>
              <w:widowControl/>
              <w:jc w:val="center"/>
              <w:textAlignment w:val="bottom"/>
              <w:rPr>
                <w:color w:val="auto"/>
                <w:sz w:val="20"/>
                <w:szCs w:val="20"/>
                <w:highlight w:val="none"/>
              </w:rPr>
            </w:pPr>
            <w:r>
              <w:rPr>
                <w:color w:val="auto"/>
                <w:sz w:val="20"/>
                <w:szCs w:val="20"/>
                <w:highlight w:val="none"/>
              </w:rPr>
              <w:t>100≤X＜300</w:t>
            </w:r>
          </w:p>
        </w:tc>
        <w:tc>
          <w:tcPr>
            <w:tcW w:w="1560" w:type="dxa"/>
            <w:tcBorders>
              <w:top w:val="single" w:color="000000" w:sz="4" w:space="0"/>
              <w:left w:val="single" w:color="000000" w:sz="4" w:space="0"/>
              <w:bottom w:val="single" w:color="000000" w:sz="12" w:space="0"/>
              <w:right w:val="single" w:color="000000" w:sz="4" w:space="0"/>
            </w:tcBorders>
            <w:vAlign w:val="center"/>
          </w:tcPr>
          <w:p w14:paraId="63442FD1">
            <w:pPr>
              <w:jc w:val="center"/>
              <w:rPr>
                <w:color w:val="auto"/>
                <w:sz w:val="20"/>
                <w:szCs w:val="20"/>
                <w:highlight w:val="none"/>
              </w:rPr>
            </w:pPr>
          </w:p>
        </w:tc>
        <w:tc>
          <w:tcPr>
            <w:tcW w:w="1500" w:type="dxa"/>
            <w:tcBorders>
              <w:top w:val="single" w:color="000000" w:sz="4" w:space="0"/>
              <w:left w:val="single" w:color="000000" w:sz="4" w:space="0"/>
              <w:bottom w:val="single" w:color="000000" w:sz="12" w:space="0"/>
              <w:right w:val="single" w:color="000000" w:sz="12" w:space="0"/>
            </w:tcBorders>
            <w:vAlign w:val="center"/>
          </w:tcPr>
          <w:p w14:paraId="18B56556">
            <w:pPr>
              <w:jc w:val="center"/>
              <w:rPr>
                <w:color w:val="auto"/>
                <w:sz w:val="20"/>
                <w:szCs w:val="20"/>
                <w:highlight w:val="none"/>
              </w:rPr>
            </w:pPr>
          </w:p>
        </w:tc>
        <w:tc>
          <w:tcPr>
            <w:tcW w:w="1320" w:type="dxa"/>
            <w:tcBorders>
              <w:top w:val="single" w:color="000000" w:sz="4" w:space="0"/>
              <w:left w:val="single" w:color="000000" w:sz="12" w:space="0"/>
              <w:bottom w:val="single" w:color="000000" w:sz="12" w:space="0"/>
              <w:right w:val="single" w:color="000000" w:sz="4" w:space="0"/>
            </w:tcBorders>
            <w:vAlign w:val="center"/>
          </w:tcPr>
          <w:p w14:paraId="605AF941">
            <w:pPr>
              <w:widowControl/>
              <w:jc w:val="center"/>
              <w:textAlignment w:val="bottom"/>
              <w:rPr>
                <w:color w:val="auto"/>
                <w:sz w:val="20"/>
                <w:szCs w:val="20"/>
                <w:highlight w:val="none"/>
              </w:rPr>
            </w:pPr>
            <w:r>
              <w:rPr>
                <w:color w:val="auto"/>
                <w:sz w:val="20"/>
                <w:szCs w:val="20"/>
                <w:highlight w:val="none"/>
              </w:rPr>
              <w:t>10≤X＜100</w:t>
            </w:r>
          </w:p>
        </w:tc>
        <w:tc>
          <w:tcPr>
            <w:tcW w:w="1500" w:type="dxa"/>
            <w:tcBorders>
              <w:top w:val="single" w:color="000000" w:sz="4" w:space="0"/>
              <w:left w:val="single" w:color="000000" w:sz="4" w:space="0"/>
              <w:bottom w:val="single" w:color="000000" w:sz="12" w:space="0"/>
              <w:right w:val="single" w:color="000000" w:sz="4" w:space="0"/>
            </w:tcBorders>
            <w:vAlign w:val="center"/>
          </w:tcPr>
          <w:p w14:paraId="23BB159D">
            <w:pPr>
              <w:jc w:val="center"/>
              <w:rPr>
                <w:color w:val="auto"/>
                <w:sz w:val="20"/>
                <w:szCs w:val="20"/>
                <w:highlight w:val="none"/>
              </w:rPr>
            </w:pPr>
          </w:p>
        </w:tc>
        <w:tc>
          <w:tcPr>
            <w:tcW w:w="1406" w:type="dxa"/>
            <w:tcBorders>
              <w:top w:val="single" w:color="000000" w:sz="4" w:space="0"/>
              <w:left w:val="single" w:color="000000" w:sz="4" w:space="0"/>
              <w:bottom w:val="single" w:color="000000" w:sz="12" w:space="0"/>
              <w:right w:val="single" w:color="000000" w:sz="12" w:space="0"/>
            </w:tcBorders>
            <w:vAlign w:val="center"/>
          </w:tcPr>
          <w:p w14:paraId="14F8C1BE">
            <w:pPr>
              <w:jc w:val="center"/>
              <w:rPr>
                <w:color w:val="auto"/>
                <w:sz w:val="20"/>
                <w:szCs w:val="20"/>
                <w:highlight w:val="none"/>
              </w:rPr>
            </w:pPr>
          </w:p>
        </w:tc>
        <w:tc>
          <w:tcPr>
            <w:tcW w:w="1264" w:type="dxa"/>
            <w:tcBorders>
              <w:top w:val="single" w:color="000000" w:sz="4" w:space="0"/>
              <w:left w:val="single" w:color="000000" w:sz="12" w:space="0"/>
              <w:bottom w:val="single" w:color="000000" w:sz="12" w:space="0"/>
              <w:right w:val="single" w:color="000000" w:sz="4" w:space="0"/>
            </w:tcBorders>
            <w:vAlign w:val="center"/>
          </w:tcPr>
          <w:p w14:paraId="26D249FB">
            <w:pPr>
              <w:widowControl/>
              <w:jc w:val="center"/>
              <w:textAlignment w:val="bottom"/>
              <w:rPr>
                <w:color w:val="auto"/>
                <w:sz w:val="20"/>
                <w:szCs w:val="20"/>
                <w:highlight w:val="none"/>
              </w:rPr>
            </w:pPr>
            <w:r>
              <w:rPr>
                <w:color w:val="auto"/>
                <w:sz w:val="20"/>
                <w:szCs w:val="20"/>
                <w:highlight w:val="none"/>
              </w:rPr>
              <w:t>X＜10</w:t>
            </w:r>
          </w:p>
        </w:tc>
        <w:tc>
          <w:tcPr>
            <w:tcW w:w="1470" w:type="dxa"/>
            <w:tcBorders>
              <w:top w:val="single" w:color="000000" w:sz="4" w:space="0"/>
              <w:left w:val="single" w:color="000000" w:sz="4" w:space="0"/>
              <w:bottom w:val="single" w:color="000000" w:sz="12" w:space="0"/>
              <w:right w:val="single" w:color="000000" w:sz="4" w:space="0"/>
            </w:tcBorders>
            <w:vAlign w:val="center"/>
          </w:tcPr>
          <w:p w14:paraId="3ECB069C">
            <w:pPr>
              <w:jc w:val="center"/>
              <w:rPr>
                <w:color w:val="auto"/>
                <w:sz w:val="20"/>
                <w:szCs w:val="20"/>
                <w:highlight w:val="none"/>
              </w:rPr>
            </w:pPr>
          </w:p>
        </w:tc>
        <w:tc>
          <w:tcPr>
            <w:tcW w:w="1515" w:type="dxa"/>
            <w:tcBorders>
              <w:top w:val="single" w:color="000000" w:sz="4" w:space="0"/>
              <w:left w:val="single" w:color="000000" w:sz="4" w:space="0"/>
              <w:bottom w:val="single" w:color="000000" w:sz="12" w:space="0"/>
              <w:right w:val="single" w:color="000000" w:sz="12" w:space="0"/>
            </w:tcBorders>
            <w:vAlign w:val="center"/>
          </w:tcPr>
          <w:p w14:paraId="67F8AF46">
            <w:pPr>
              <w:jc w:val="center"/>
              <w:rPr>
                <w:color w:val="auto"/>
                <w:sz w:val="20"/>
                <w:szCs w:val="20"/>
                <w:highlight w:val="none"/>
              </w:rPr>
            </w:pPr>
          </w:p>
        </w:tc>
      </w:tr>
    </w:tbl>
    <w:p w14:paraId="41D81FB1">
      <w:pPr>
        <w:widowControl/>
        <w:jc w:val="left"/>
        <w:rPr>
          <w:b/>
          <w:color w:val="auto"/>
          <w:highlight w:val="none"/>
        </w:rPr>
      </w:pPr>
      <w:r>
        <w:rPr>
          <w:color w:val="auto"/>
          <w:sz w:val="18"/>
          <w:szCs w:val="18"/>
          <w:highlight w:val="none"/>
        </w:rPr>
        <w:t>说明　1、企业类型的划分以统计部门的统计数据为依据。2、个体工商户和本规定以外的行业，参照本规定进行划型。3、本规定的中型企业标准上限即为大型企业标准的下限。</w:t>
      </w:r>
    </w:p>
    <w:p w14:paraId="01474C55">
      <w:pPr>
        <w:bidi w:val="0"/>
        <w:jc w:val="left"/>
        <w:rPr>
          <w:color w:val="auto"/>
          <w:highlight w:val="none"/>
        </w:rPr>
        <w:sectPr>
          <w:pgSz w:w="16840" w:h="11907" w:orient="landscape"/>
          <w:pgMar w:top="1474" w:right="1276" w:bottom="1474" w:left="1242" w:header="720" w:footer="720" w:gutter="0"/>
          <w:cols w:space="720" w:num="1"/>
          <w:docGrid w:linePitch="285" w:charSpace="0"/>
        </w:sectPr>
      </w:pPr>
    </w:p>
    <w:p w14:paraId="629AABA3">
      <w:pPr>
        <w:bidi w:val="0"/>
        <w:jc w:val="center"/>
        <w:rPr>
          <w:rFonts w:ascii="Times New Roman"/>
          <w:b/>
          <w:color w:val="auto"/>
          <w:sz w:val="21"/>
          <w:szCs w:val="21"/>
          <w:highlight w:val="none"/>
        </w:rPr>
      </w:pPr>
      <w:r>
        <w:rPr>
          <w:rFonts w:ascii="Times New Roman"/>
          <w:b/>
          <w:color w:val="auto"/>
          <w:sz w:val="21"/>
          <w:szCs w:val="21"/>
          <w:highlight w:val="none"/>
        </w:rPr>
        <w:t>残疾人福利性单位声明函</w:t>
      </w:r>
    </w:p>
    <w:p w14:paraId="06FC5086">
      <w:pPr>
        <w:wordWrap w:val="0"/>
        <w:spacing w:line="588" w:lineRule="exact"/>
        <w:ind w:firstLine="420" w:firstLineChars="200"/>
        <w:rPr>
          <w:rFonts w:ascii="宋体" w:hAnsi="宋体"/>
          <w:color w:val="auto"/>
          <w:szCs w:val="21"/>
          <w:highlight w:val="none"/>
        </w:rPr>
      </w:pPr>
      <w:r>
        <w:rPr>
          <w:rFonts w:hint="eastAsia" w:ascii="宋体" w:hAnsi="宋体"/>
          <w:color w:val="auto"/>
          <w:szCs w:val="21"/>
          <w:highlight w:val="none"/>
        </w:rPr>
        <w:t>本单位郑重声明，根据《财政部</w:t>
      </w:r>
      <w:r>
        <w:rPr>
          <w:rFonts w:ascii="宋体" w:hAnsi="宋体"/>
          <w:color w:val="auto"/>
          <w:szCs w:val="21"/>
          <w:highlight w:val="none"/>
        </w:rPr>
        <w:t xml:space="preserve"> </w:t>
      </w:r>
      <w:r>
        <w:rPr>
          <w:rFonts w:hint="eastAsia" w:ascii="宋体" w:hAnsi="宋体"/>
          <w:color w:val="auto"/>
          <w:szCs w:val="21"/>
          <w:highlight w:val="none"/>
        </w:rPr>
        <w:t>民政部</w:t>
      </w:r>
      <w:r>
        <w:rPr>
          <w:rFonts w:ascii="宋体" w:hAnsi="宋体"/>
          <w:color w:val="auto"/>
          <w:szCs w:val="21"/>
          <w:highlight w:val="none"/>
        </w:rPr>
        <w:t xml:space="preserve"> </w:t>
      </w:r>
      <w:r>
        <w:rPr>
          <w:rFonts w:hint="eastAsia" w:ascii="宋体" w:hAnsi="宋体"/>
          <w:color w:val="auto"/>
          <w:szCs w:val="21"/>
          <w:highlight w:val="none"/>
        </w:rPr>
        <w:t>中国残疾人联合会关于促进残疾人就业政府采购政策的通知》（财库〔</w:t>
      </w:r>
      <w:r>
        <w:rPr>
          <w:rFonts w:ascii="宋体" w:hAnsi="宋体"/>
          <w:color w:val="auto"/>
          <w:szCs w:val="21"/>
          <w:highlight w:val="none"/>
        </w:rPr>
        <w:t>2017</w:t>
      </w:r>
      <w:r>
        <w:rPr>
          <w:rFonts w:hint="eastAsia" w:ascii="宋体" w:hAnsi="宋体"/>
          <w:color w:val="auto"/>
          <w:szCs w:val="21"/>
          <w:highlight w:val="none"/>
        </w:rPr>
        <w:t>〕</w:t>
      </w:r>
      <w:r>
        <w:rPr>
          <w:rFonts w:ascii="宋体" w:hAnsi="宋体"/>
          <w:color w:val="auto"/>
          <w:szCs w:val="21"/>
          <w:highlight w:val="none"/>
        </w:rPr>
        <w:t>141</w:t>
      </w:r>
      <w:r>
        <w:rPr>
          <w:rFonts w:hint="eastAsia" w:ascii="宋体" w:hAnsi="宋体"/>
          <w:color w:val="auto"/>
          <w:szCs w:val="21"/>
          <w:highlight w:val="none"/>
        </w:rPr>
        <w:t>号）的规定，本单位为符合条件的残疾人福利性单位，且本单位参加</w:t>
      </w:r>
      <w:r>
        <w:rPr>
          <w:rFonts w:ascii="宋体" w:hAnsi="宋体"/>
          <w:color w:val="auto"/>
          <w:szCs w:val="21"/>
          <w:highlight w:val="none"/>
        </w:rPr>
        <w:t>______</w:t>
      </w:r>
      <w:r>
        <w:rPr>
          <w:rFonts w:hint="eastAsia" w:ascii="宋体" w:hAnsi="宋体"/>
          <w:color w:val="auto"/>
          <w:szCs w:val="21"/>
          <w:highlight w:val="none"/>
        </w:rPr>
        <w:t>单位的</w:t>
      </w:r>
      <w:r>
        <w:rPr>
          <w:rFonts w:ascii="宋体" w:hAnsi="宋体"/>
          <w:color w:val="auto"/>
          <w:szCs w:val="21"/>
          <w:highlight w:val="none"/>
        </w:rPr>
        <w:t>______</w:t>
      </w:r>
      <w:r>
        <w:rPr>
          <w:rFonts w:hint="eastAsia" w:ascii="宋体" w:hAnsi="宋体"/>
          <w:color w:val="auto"/>
          <w:szCs w:val="21"/>
          <w:highlight w:val="none"/>
        </w:rPr>
        <w:t>项目采购活动提供本单位制造的货物（由本单位承担工程</w:t>
      </w:r>
      <w:r>
        <w:rPr>
          <w:rFonts w:ascii="宋体" w:hAnsi="宋体"/>
          <w:color w:val="auto"/>
          <w:szCs w:val="21"/>
          <w:highlight w:val="none"/>
        </w:rPr>
        <w:t>/</w:t>
      </w:r>
      <w:r>
        <w:rPr>
          <w:rFonts w:hint="eastAsia" w:ascii="宋体" w:hAnsi="宋体"/>
          <w:color w:val="auto"/>
          <w:szCs w:val="21"/>
          <w:highlight w:val="none"/>
        </w:rPr>
        <w:t>提供服务），或者提供其他残疾人福利性单位制造的货物（不包括使用非残疾人福利性单位注册商标的货物）。</w:t>
      </w:r>
    </w:p>
    <w:p w14:paraId="01A832AC">
      <w:pPr>
        <w:wordWrap w:val="0"/>
        <w:spacing w:line="588" w:lineRule="exact"/>
        <w:ind w:firstLine="420" w:firstLineChars="20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791B740E">
      <w:pPr>
        <w:wordWrap w:val="0"/>
        <w:spacing w:line="588" w:lineRule="exact"/>
        <w:ind w:firstLine="420" w:firstLineChars="200"/>
        <w:rPr>
          <w:rFonts w:ascii="宋体" w:hAnsi="宋体"/>
          <w:color w:val="auto"/>
          <w:szCs w:val="21"/>
          <w:highlight w:val="none"/>
        </w:rPr>
      </w:pPr>
    </w:p>
    <w:p w14:paraId="212CD3F0">
      <w:pPr>
        <w:wordWrap w:val="0"/>
        <w:spacing w:line="588" w:lineRule="exact"/>
        <w:ind w:firstLine="420" w:firstLineChars="200"/>
        <w:rPr>
          <w:rFonts w:ascii="宋体" w:hAnsi="宋体"/>
          <w:color w:val="auto"/>
          <w:szCs w:val="21"/>
          <w:highlight w:val="none"/>
        </w:rPr>
      </w:pPr>
    </w:p>
    <w:p w14:paraId="016AE5EC">
      <w:pPr>
        <w:tabs>
          <w:tab w:val="left" w:pos="4860"/>
        </w:tabs>
        <w:wordWrap w:val="0"/>
        <w:spacing w:line="588" w:lineRule="exact"/>
        <w:ind w:right="1560" w:firstLine="420" w:firstLineChars="200"/>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单位名称（盖章）：</w:t>
      </w:r>
    </w:p>
    <w:p w14:paraId="6AED99D0">
      <w:pPr>
        <w:tabs>
          <w:tab w:val="left" w:pos="4860"/>
        </w:tabs>
        <w:wordWrap w:val="0"/>
        <w:spacing w:line="588" w:lineRule="exact"/>
        <w:ind w:right="1560" w:firstLine="420" w:firstLineChars="200"/>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日</w:t>
      </w:r>
      <w:r>
        <w:rPr>
          <w:rFonts w:ascii="宋体" w:hAnsi="宋体"/>
          <w:color w:val="auto"/>
          <w:szCs w:val="21"/>
          <w:highlight w:val="none"/>
        </w:rPr>
        <w:t xml:space="preserve">  </w:t>
      </w:r>
      <w:r>
        <w:rPr>
          <w:rFonts w:hint="eastAsia" w:ascii="宋体" w:hAnsi="宋体"/>
          <w:color w:val="auto"/>
          <w:szCs w:val="21"/>
          <w:highlight w:val="none"/>
        </w:rPr>
        <w:t>期：</w:t>
      </w:r>
    </w:p>
    <w:p w14:paraId="752A2BC6">
      <w:pPr>
        <w:wordWrap w:val="0"/>
        <w:spacing w:line="400" w:lineRule="exact"/>
        <w:ind w:firstLine="422" w:firstLineChars="200"/>
        <w:rPr>
          <w:rFonts w:ascii="宋体" w:hAnsi="宋体"/>
          <w:b/>
          <w:color w:val="auto"/>
          <w:szCs w:val="21"/>
          <w:highlight w:val="none"/>
        </w:rPr>
      </w:pPr>
    </w:p>
    <w:p w14:paraId="757C36C1">
      <w:pPr>
        <w:bidi w:val="0"/>
        <w:jc w:val="left"/>
        <w:rPr>
          <w:rFonts w:ascii="Times New Roman" w:hAnsi="Times New Roman" w:eastAsia="宋体" w:cs="Times New Roman"/>
          <w:color w:val="auto"/>
          <w:kern w:val="2"/>
          <w:sz w:val="21"/>
          <w:szCs w:val="24"/>
          <w:highlight w:val="none"/>
          <w:lang w:val="en-US" w:eastAsia="zh-CN" w:bidi="ar-SA"/>
        </w:rPr>
        <w:sectPr>
          <w:pgSz w:w="11907" w:h="16840"/>
          <w:pgMar w:top="1276" w:right="1474" w:bottom="1242" w:left="1474" w:header="720" w:footer="720" w:gutter="0"/>
          <w:cols w:space="720" w:num="1"/>
          <w:docGrid w:linePitch="285" w:charSpace="0"/>
        </w:sectPr>
      </w:pPr>
    </w:p>
    <w:p w14:paraId="6EA7821F">
      <w:pPr>
        <w:bidi w:val="0"/>
        <w:jc w:val="left"/>
        <w:rPr>
          <w:rFonts w:ascii="Times New Roman" w:hAnsi="Times New Roman" w:eastAsia="宋体" w:cs="Times New Roman"/>
          <w:color w:val="auto"/>
          <w:kern w:val="2"/>
          <w:sz w:val="21"/>
          <w:szCs w:val="24"/>
          <w:highlight w:val="none"/>
          <w:lang w:val="en-US" w:eastAsia="zh-CN" w:bidi="ar-SA"/>
        </w:rPr>
      </w:pPr>
    </w:p>
    <w:p w14:paraId="114EFE1E">
      <w:pPr>
        <w:pStyle w:val="15"/>
        <w:spacing w:line="520" w:lineRule="exact"/>
        <w:jc w:val="center"/>
        <w:rPr>
          <w:rFonts w:hint="eastAsia" w:ascii="Times New Roman" w:hAnsi="Times New Roman" w:eastAsia="宋体" w:cs="Times New Roman"/>
          <w:b/>
          <w:color w:val="auto"/>
          <w:sz w:val="21"/>
          <w:szCs w:val="21"/>
          <w:highlight w:val="none"/>
        </w:rPr>
      </w:pPr>
      <w:r>
        <w:rPr>
          <w:rFonts w:hint="eastAsia" w:ascii="Times New Roman" w:hAnsi="Times New Roman" w:eastAsia="宋体" w:cs="Times New Roman"/>
          <w:b/>
          <w:color w:val="auto"/>
          <w:sz w:val="21"/>
          <w:szCs w:val="21"/>
          <w:highlight w:val="none"/>
          <w:lang w:val="en-US" w:eastAsia="zh-CN"/>
        </w:rPr>
        <w:t>关于符合本国产品标准的</w:t>
      </w:r>
      <w:r>
        <w:rPr>
          <w:rFonts w:hint="eastAsia" w:ascii="Times New Roman" w:hAnsi="Times New Roman" w:eastAsia="宋体" w:cs="Times New Roman"/>
          <w:b/>
          <w:color w:val="auto"/>
          <w:sz w:val="21"/>
          <w:szCs w:val="21"/>
          <w:highlight w:val="none"/>
        </w:rPr>
        <w:t>声明函</w:t>
      </w:r>
    </w:p>
    <w:p w14:paraId="6F07FA40">
      <w:pPr>
        <w:spacing w:line="360" w:lineRule="auto"/>
        <w:ind w:firstLine="480"/>
        <w:rPr>
          <w:rFonts w:hint="eastAsia" w:ascii="宋体" w:hAnsi="宋体" w:cs="宋体"/>
          <w:color w:val="auto"/>
          <w:szCs w:val="21"/>
          <w:highlight w:val="none"/>
        </w:rPr>
      </w:pPr>
    </w:p>
    <w:p w14:paraId="4226400E">
      <w:pPr>
        <w:spacing w:line="360" w:lineRule="auto"/>
        <w:ind w:firstLine="48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本公司（单位）郑重声明，根据《国务院办公厅关于在政府采购中实施本国产品标准及相关政策的通知》（国办发[2025]34号）的规定，本公司（单位）提供的以下产品属于本国产品。具体情况如下：</w:t>
      </w:r>
    </w:p>
    <w:p w14:paraId="548BCE03">
      <w:pPr>
        <w:numPr>
          <w:ilvl w:val="0"/>
          <w:numId w:val="28"/>
        </w:numPr>
        <w:spacing w:line="360" w:lineRule="auto"/>
        <w:ind w:firstLine="630" w:firstLineChars="300"/>
        <w:rPr>
          <w:rFonts w:hint="eastAsia"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监控摄像设备1（200万宽动态半球摄像机）</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监控摄像设备（200万宽动态半球摄像机）</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监控摄像设备（200万宽动态半球摄像机）</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监控摄像设备（200万宽动态半球摄像机）</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64282896">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监控摄像设备2（200万特写摄像机）</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监控摄像设备（200万特写摄像机）</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监控摄像设备（200万特写摄像机）</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监控摄像设备（200万特写摄像机）</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26CE501C">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监控摄像设备3（200万全景摄像机）</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监控摄像设备（200万全景摄像机）</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监控摄像设备（200万全景摄像机）</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监控摄像设备（200万全景摄像机）</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37BA7FD8">
      <w:pPr>
        <w:numPr>
          <w:ilvl w:val="0"/>
          <w:numId w:val="28"/>
        </w:numPr>
        <w:spacing w:line="360" w:lineRule="auto"/>
        <w:ind w:firstLine="630" w:firstLineChars="300"/>
        <w:rPr>
          <w:rFonts w:hint="eastAsia"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监控摄像设备4（物品拍照球机IP/AI）</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监控摄像设备（物品拍照球机IP/AI）</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监控摄像设备（物品拍照球机IP/AI）</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监控摄像设备（物品拍照球机IP/AI）</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00AEF84B">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录像设备（32路16盘位NVR）</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录像设备（32路16盘位NVR）</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录像设备（32路16盘位NVR）</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录像设备（32路16盘位NVR）</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2A7B45C9">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其他电源设备安装（1U机架式）</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其他电源设备安装（1U机架式）</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其他电源设备安装（1U机架式）</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其他电源设备安装（1U机架式）</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287735A8">
      <w:pPr>
        <w:numPr>
          <w:ilvl w:val="0"/>
          <w:numId w:val="28"/>
        </w:numPr>
        <w:spacing w:line="360" w:lineRule="auto"/>
        <w:ind w:firstLine="630" w:firstLineChars="300"/>
        <w:rPr>
          <w:rFonts w:hint="eastAsia"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存储设备（硬盘（6T））</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存储设备（硬盘（6T））</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存储设备（硬盘（6T））</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存储设备（硬盘（6T））</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2343BE62">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 xml:space="preserve">机柜、机架[42U机柜（含PDU ）] </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 xml:space="preserve">机柜、机架[42U机柜（含PDU ）] </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 xml:space="preserve">机柜、机架[42U机柜（含PDU ）] </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 xml:space="preserve">机柜、机架[42U机柜（含PDU ）] </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71542E35">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交换机（24口交换机）</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交换机（24口交换机）</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交换机（24口交换机）</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交换机（24口交换机）</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1CCAC869">
      <w:pPr>
        <w:numPr>
          <w:ilvl w:val="0"/>
          <w:numId w:val="28"/>
        </w:numPr>
        <w:spacing w:line="360" w:lineRule="auto"/>
        <w:ind w:firstLine="630" w:firstLineChars="300"/>
        <w:rPr>
          <w:rFonts w:hint="eastAsia"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交换机（24口交换机）</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交换机（24口交换机）</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交换机（24口交换机）</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交换机（24口交换机）</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38BDA2FD">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交换机（核心交换机）</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交换机（核心交换机）</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交换机（核心交换机）</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交换机（核心交换机）</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193F9B66">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eastAsia="宋体" w:cs="宋体"/>
          <w:color w:val="auto"/>
          <w:szCs w:val="21"/>
          <w:highlight w:val="none"/>
          <w:u w:val="single"/>
          <w:lang w:val="en-US" w:eastAsia="zh-CN"/>
        </w:rPr>
        <w:t>配线架</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配线架</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配线架</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配线架</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44A2AED0">
      <w:pPr>
        <w:numPr>
          <w:ilvl w:val="0"/>
          <w:numId w:val="28"/>
        </w:numPr>
        <w:spacing w:line="360" w:lineRule="auto"/>
        <w:ind w:firstLine="630" w:firstLineChars="300"/>
        <w:rPr>
          <w:rFonts w:hint="eastAsia"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配线架（理线架）</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配线架（理线架）</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配线架（理线架）</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配线架（理线架）</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79792970">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显示设备（温湿度显示屏）</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显示设备（温湿度显示屏）</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显示设备（温湿度显示屏）</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显示设备（温湿度显示屏）</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140632CD">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扩声系统设备（吸顶拾音器 ）</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扩声系统设备（吸顶拾音器 ）</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扩声系统设备（吸顶拾音器 ）</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扩声系统设备（吸顶拾音器 ）</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3BCCE235">
      <w:pPr>
        <w:numPr>
          <w:ilvl w:val="0"/>
          <w:numId w:val="28"/>
        </w:numPr>
        <w:spacing w:line="360" w:lineRule="auto"/>
        <w:ind w:firstLine="630" w:firstLineChars="300"/>
        <w:rPr>
          <w:rFonts w:hint="eastAsia"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光纤盒（双工耦合器）</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光纤盒（双工耦合器）</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光纤盒（双工耦合器）</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光纤盒（双工耦合器）</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6B803A62">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布放尾纤（1米单模LC尾纤）</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布放尾纤（1米单模LC尾纤）</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布放尾纤（1米单模LC尾纤）</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布放尾纤（1米单模LC尾纤）</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3EEA2857">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跳线（2米LC-LC光纤跳线）</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跳线（2米LC-LC光纤跳线）</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跳线（2米LC-LC光纤跳线）</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跳线（2米LC-LC光纤跳线）</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0A16BF9C">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出入口目标识别设备（200万像素双目摄像头）</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出入口目标识别设备（200万像素双目摄像头）</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出入口目标识别设备（200万像素双目摄像头）</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出入口目标识别设备（200万像素双目摄像头）</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2AC85914">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出入口目标识别设备（单门磁力锁）</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出入口目标识别设备（单门磁力锁）</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出入口目标识别设备（单门磁力锁）</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出入口目标识别设备（单门磁力锁）</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05D97620">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出入口目标识别设备（双门磁力锁）</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出入口目标识别设备（双门磁力锁）</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出入口目标识别设备（双门磁力锁）</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出入口目标识别设备（双门磁力锁）</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6ADA2157">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出入口目标识别设备（出门按扭）</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出入口目标识别设备（出门按扭）</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出入口目标识别设备（出门按扭）</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出入口目标识别设备（出门按扭）</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71D51C9B">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其他电源设备安装（1U机架式）</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其他电源设备安装（1U机架式）</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其他电源设备安装（1U机架式）</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其他电源设备安装（1U机架式）</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61536EA7">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机柜、机架（42U机柜（含PDU ））</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机柜、机架（42U机柜（含PDU ））</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机柜、机架（42U机柜（含PDU ））</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机柜、机架（42U机柜（含PDU ））</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7B2F9A01">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交换机（24口交换机）</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交换机（24口交换机）</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交换机（24口交换机）</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交换机（24口交换机）</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4A052D2B">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配电箱（UPS配电箱）</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配电箱（UPS配电箱）</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配电箱（UPS配电箱）</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配电箱（UPS配电箱）</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67EB8997">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配线架（配线架1U）</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配线架（配线架1U）</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配线架（配线架1U）</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配线架（配线架1U）</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49BDDE66">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交换机（24口千兆接入层交换机 ）</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交换机（24口千兆接入层交换机 ）</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交换机（24口千兆接入层交换机 ）</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交换机（24口千兆接入层交换机 ）</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3CE9C27E">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配线架（100对110配线架 ）</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配线架（100对110配线架 ）</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配线架（100对110配线架 ）</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配线架（100对110配线架 ）</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01D07EA4">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配线架（理线架）</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配线架（理线架 ）</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配线架（理线架 ）</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配线架（理线架 ）</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38FDE025">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信息插座（单孔地插（含底盒））</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信息插座（单孔地插（含底盒））</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信息插座（单孔地插（含底盒））</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信息插座（单孔地插（含底盒））</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544943B5">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信息插座（双孔地插（含底盒））</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信息插座（双孔地插（含底盒））</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信息插座（双孔地插（含底盒））</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信息插座（双孔地插（含底盒））</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78E8B3EA">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信息插座（单口信息面板 ）</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信息插座（单口信息面板 ）</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信息插座（单口信息面板 ）</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信息插座（单口信息面板 ）</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3B6C4623">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信息插座（双口信息面板 ）</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信息插座（双口信息面板 ）</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信息插座（双口信息面板 ）</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信息插座（双口信息面板 ）</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40C8E257">
      <w:pPr>
        <w:numPr>
          <w:ilvl w:val="0"/>
          <w:numId w:val="28"/>
        </w:numPr>
        <w:spacing w:line="360" w:lineRule="auto"/>
        <w:ind w:firstLine="630" w:firstLineChars="300"/>
        <w:rPr>
          <w:rFonts w:hint="default" w:ascii="宋体" w:hAnsi="宋体" w:cs="宋体"/>
          <w:color w:val="auto"/>
          <w:szCs w:val="21"/>
          <w:highlight w:val="none"/>
          <w:u w:val="none"/>
          <w:lang w:val="en-US" w:eastAsia="zh-CN"/>
        </w:rPr>
      </w:pPr>
      <w:r>
        <w:rPr>
          <w:rFonts w:hint="eastAsia" w:ascii="宋体" w:hAnsi="宋体" w:cs="宋体"/>
          <w:color w:val="auto"/>
          <w:szCs w:val="21"/>
          <w:highlight w:val="none"/>
          <w:u w:val="single"/>
          <w:lang w:val="en-US" w:eastAsia="zh-CN"/>
        </w:rPr>
        <w:t>信息插座（有线电视插座面）</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信息插座（有线电视插座面）</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信息插座（有线电视插座面）</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信息插座（有线电视插座面）</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u w:val="none"/>
          <w:lang w:val="en-US" w:eastAsia="zh-CN"/>
        </w:rPr>
        <w:t>在中国境内完成。</w:t>
      </w:r>
    </w:p>
    <w:p w14:paraId="6EF046D9">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信息插座（开关盒插座盒）</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信息插座（开关盒插座盒）</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信息插座（开关盒插座盒）</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信息插座（开关盒插座盒）</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5759A60E">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跳线（2米LC-LC光纤跳线）</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跳线（2米LC-LC光纤跳线）</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跳线（2米LC-LC光纤跳线）</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跳线（2米LC-LC光纤跳线）</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48FDBC33">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光纤盒（双工耦合器）</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光纤盒（双工耦合器）</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光纤盒（双工耦合器）</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光纤盒（双工耦合器）</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263D59DE">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布放尾纤（1米单模LC尾纤）</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布放尾纤（1米单模LC尾纤）</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布放尾纤（1米单模LC尾纤）</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布放尾纤（1米单模LC尾纤）</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01674862">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机柜、机架（42U机柜（含PDU ））</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机柜、机架（42U机柜（含PDU ））</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机柜、机架（42U机柜（含PDU ））</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机柜、机架（42U机柜（含PDU ））</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5CB55F8A">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光纤测试</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光纤测试</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光纤测试</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光纤测试</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1E8B33B5">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光纤测试</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光纤测试</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光纤测试</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光纤测试</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5F4966C9">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交换机（24口交换机 ）</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交换机（24口交换机 ）</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交换机（24口交换机 ）</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交换机（24口交换机 ）</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12D977FA">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声光报警器</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声光报警器</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声光报警器</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声光报警器</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7BEFA9A0">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小电器（网络继电器）</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。小电器（网络继电器）的中国境内生产的组件成本占比≥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小电器（网络继电器）</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小电器（网络继电器）</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02919AA6">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交换机（24口千兆接入层交换机）</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交换机（24口千兆接入层交换机）</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交换机（24口千兆接入层交换机）</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交换机（24口千兆接入层交换机）</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14060856">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入侵报警控制器（对讲分机）</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入侵报警控制器（对讲分机）</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入侵报警控制器（对讲分机）</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入侵报警控制器（对讲分机）</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502AF5C3">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入侵报警控制器（对讲分机）</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入侵报警控制器（对讲分机）</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入侵报警控制器（对讲分机）</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入侵报警控制器（对讲分机）</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0D4DBAF7">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交换机（交换机）</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b w:val="0"/>
          <w:bCs w:val="0"/>
          <w:color w:val="auto"/>
          <w:szCs w:val="21"/>
          <w:highlight w:val="none"/>
          <w:lang w:val="en-US" w:eastAsia="zh-CN"/>
        </w:rPr>
        <w:t>。</w:t>
      </w:r>
      <w:r>
        <w:rPr>
          <w:rFonts w:hint="eastAsia" w:ascii="Arial" w:hAnsi="Arial" w:eastAsia="宋体" w:cs="宋体"/>
          <w:b w:val="0"/>
          <w:bCs w:val="0"/>
          <w:color w:val="auto"/>
          <w:sz w:val="21"/>
          <w:szCs w:val="21"/>
          <w:highlight w:val="none"/>
          <w:u w:val="single"/>
          <w:lang w:val="en-US" w:eastAsia="zh-CN"/>
        </w:rPr>
        <w:t>交换机（交换机）</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Arial" w:hAnsi="Arial" w:eastAsia="宋体" w:cs="宋体"/>
          <w:b w:val="0"/>
          <w:bCs w:val="0"/>
          <w:color w:val="auto"/>
          <w:sz w:val="21"/>
          <w:szCs w:val="21"/>
          <w:highlight w:val="none"/>
          <w:u w:val="single"/>
          <w:lang w:val="en-US" w:eastAsia="zh-CN"/>
        </w:rPr>
        <w:t>交换机（交换机）</w:t>
      </w:r>
      <w:r>
        <w:rPr>
          <w:rFonts w:hint="eastAsia" w:ascii="宋体" w:hAnsi="宋体" w:cs="宋体"/>
          <w:b w:val="0"/>
          <w:bCs w:val="0"/>
          <w:color w:val="auto"/>
          <w:szCs w:val="21"/>
          <w:highlight w:val="none"/>
          <w:lang w:val="en-US" w:eastAsia="zh-CN"/>
        </w:rPr>
        <w:t>的</w:t>
      </w:r>
      <w:r>
        <w:rPr>
          <w:rFonts w:hint="eastAsia" w:ascii="宋体" w:hAnsi="宋体" w:cs="宋体"/>
          <w:b w:val="0"/>
          <w:bCs w:val="0"/>
          <w:color w:val="auto"/>
          <w:szCs w:val="21"/>
          <w:highlight w:val="none"/>
          <w:u w:val="single"/>
          <w:lang w:val="en-US" w:eastAsia="zh-CN"/>
        </w:rPr>
        <w:t>（关键组件）（可不填）</w:t>
      </w:r>
      <w:r>
        <w:rPr>
          <w:rFonts w:hint="eastAsia" w:ascii="宋体" w:hAnsi="宋体" w:cs="宋体"/>
          <w:b w:val="0"/>
          <w:bCs w:val="0"/>
          <w:color w:val="auto"/>
          <w:szCs w:val="21"/>
          <w:highlight w:val="none"/>
          <w:lang w:val="en-US" w:eastAsia="zh-CN"/>
        </w:rPr>
        <w:t>在中国境内生产。</w:t>
      </w:r>
      <w:r>
        <w:rPr>
          <w:rFonts w:hint="eastAsia" w:ascii="Arial" w:hAnsi="Arial" w:eastAsia="宋体" w:cs="宋体"/>
          <w:b w:val="0"/>
          <w:bCs w:val="0"/>
          <w:color w:val="auto"/>
          <w:sz w:val="21"/>
          <w:szCs w:val="21"/>
          <w:highlight w:val="none"/>
          <w:u w:val="single"/>
          <w:lang w:val="en-US" w:eastAsia="zh-CN"/>
        </w:rPr>
        <w:t>交换机（交换机）</w:t>
      </w:r>
      <w:r>
        <w:rPr>
          <w:rFonts w:hint="eastAsia" w:ascii="宋体" w:hAnsi="宋体" w:cs="宋体"/>
          <w:b w:val="0"/>
          <w:bCs w:val="0"/>
          <w:color w:val="auto"/>
          <w:szCs w:val="21"/>
          <w:highlight w:val="none"/>
          <w:lang w:val="en-US" w:eastAsia="zh-CN"/>
        </w:rPr>
        <w:t>的</w:t>
      </w:r>
      <w:r>
        <w:rPr>
          <w:rFonts w:hint="eastAsia" w:ascii="宋体" w:hAnsi="宋体" w:cs="宋体"/>
          <w:b w:val="0"/>
          <w:bCs w:val="0"/>
          <w:color w:val="auto"/>
          <w:szCs w:val="21"/>
          <w:highlight w:val="none"/>
          <w:u w:val="single"/>
          <w:lang w:val="en-US" w:eastAsia="zh-CN"/>
        </w:rPr>
        <w:t>（关键工序）（可不填）</w:t>
      </w:r>
      <w:r>
        <w:rPr>
          <w:rFonts w:hint="eastAsia" w:ascii="宋体" w:hAnsi="宋体" w:cs="宋体"/>
          <w:b w:val="0"/>
          <w:bCs w:val="0"/>
          <w:color w:val="auto"/>
          <w:szCs w:val="21"/>
          <w:highlight w:val="none"/>
          <w:lang w:val="en-US" w:eastAsia="zh-CN"/>
        </w:rPr>
        <w:t>在</w:t>
      </w:r>
      <w:r>
        <w:rPr>
          <w:rFonts w:hint="eastAsia" w:ascii="宋体" w:hAnsi="宋体" w:cs="宋体"/>
          <w:color w:val="auto"/>
          <w:szCs w:val="21"/>
          <w:highlight w:val="none"/>
          <w:lang w:val="en-US" w:eastAsia="zh-CN"/>
        </w:rPr>
        <w:t>中国境内完成。</w:t>
      </w:r>
    </w:p>
    <w:p w14:paraId="4B704DD4">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 xml:space="preserve">视频控制设备（编程键盘） </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 xml:space="preserve">视频控制设备（编程键盘） </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 xml:space="preserve">视频控制设备（编程键盘） </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 xml:space="preserve">视频控制设备（编程键盘） </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5AB72EFE">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按钮（紧急报警按钮）</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按钮（紧急报警按钮）</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按钮（紧急报警按钮）</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按钮（紧急报警按钮）</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0C086E00">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火灾报警系统控制主机（报警主机）</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火灾报警系统控制主机（报警主机）</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火灾报警系统控制主机（报警主机）</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火灾报警系统控制主机（报警主机）</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28D8476F">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机柜、机架（机柜A-PDU1 2.5KW）</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机柜、机架（机柜A-PDU1 2.5KW）</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机柜、机架（机柜A-PDU1 2.5KW）</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机柜、机架（机柜A-PDU1 2.5KW）</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016C860E">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机柜、机架（机柜B-PDU1 2.5KW）</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机柜、机架（机柜B-PDU1 2.5KW）</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机柜、机架（机柜B-PDU1 2.5KW）</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机柜、机架（机柜B-PDU1 2.5KW）</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5EEE9AED">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机柜、机架（机柜C-PDU1 2.5KW）</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机柜、机架（机柜C-PDU1 2.5KW）</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机柜、机架（机柜C-PDU1 2.5KW）</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机柜、机架（机柜C-PDU1 2.5KW）</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7ABD2E56">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机柜、机架（机柜A-PDU2 0.50KW）</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机柜、机架（机柜A-PDU2 0.50KW）</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机柜、机架（机柜A-PDU2 0.50KW）</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机柜、机架（机柜A-PDU2 0.50KW）</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1CCA9204">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机柜、机架（机柜B-PDU2 0.5KW）</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机柜、机架（机柜B-PDU2 0. 5KW）</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机柜、机架（机柜B-PDU2 0. 5KW）</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机柜、机架（机柜B-PDU2 0. 5KW）</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1B23B4FF">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机柜、机架（机柜C-PDU2 1.00KW）</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机柜、机架（机柜C-PDU2 1.00KW）</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机柜、机架（机柜C-PDU2 1.00KW）</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机柜、机架（机柜C-PDU2 1.00KW）</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2A0FA5CD">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电池柜（UPS电池）</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电池柜（UPS电池）</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电池柜（UPS电池）</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电池柜（UPS电池）</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1B8AC193">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蓄电池（UPS电池）</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蓄电池（UPS电池）</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蓄电池（UPS电池）</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蓄电池（UPS电池）</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172E4B3F">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配线架（NPE配线架）</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配线架（NPE配线架）</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配线架（NPE配线架）</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配线架（NPE配线架）</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4C669295">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电力电缆（电力电缆WDZYJY-3*6）</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电力电缆（电力电缆WDZYJY-3*6）</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电力电缆（电力电缆WDZYJY-3*6）</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电力电缆（电力电缆WDZYJY-3*6）</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33A854FC">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电力电缆（电力电缆WDZYJY-3*4）</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电力电缆（电力电缆WDZYJY-3*4）</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电力电缆（电力电缆WDZYJY-3*4）</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电力电缆（电力电缆WDZYJY-3*4）</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33C61FB4">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监控摄像设备5（200万宽动态半球摄像机）</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监控摄像设备（200万宽动态半球摄像机）</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监控摄像设备（200万宽动态半球摄像机）</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监控摄像设备（200万宽动态半球摄像机）</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26BB3592">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 xml:space="preserve">监控摄像设备6（红外枪式摄像机） </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 xml:space="preserve">监控摄像设备（红外枪式摄像机） </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 xml:space="preserve">监控摄像设备（红外枪式摄像机） </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 xml:space="preserve">监控摄像设备（红外枪式摄像机） </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45601C4E">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出入口目标识别设备（200万像素双目摄像头）</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出入口目标识别设备（200万像素双目摄像头）</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出入口目标识别设备（200万像素双目摄像头）</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出入口目标识别设备（200万像素双目摄像头）</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2D7F7E76">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出入口目标识别设备（单门磁力锁）</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出入口目标识别设备（单门磁力锁）</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出入口目标识别设备（单门磁力锁）</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出入口目标识别设备（单门磁力锁）</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4220A937">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出入口目标识别设备（双门磁力锁)</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出入口目标识别设备（双门磁力锁)</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出入口目标识别设备（双门磁力锁)</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出入口目标识别设备（双门磁力锁)</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00B1EA93">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出入口目标识别设备（出门按扭）</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出入口目标识别设备（出门按扭）</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出入口目标识别设备（出门按扭）</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出入口目标识别设备（出门按扭）</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3A73A5E5">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交换机（24口交换机）</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交换机（24口交换机）</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交换机（24口交换机）</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识植物和比较与测量实验箱</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737AC6C3">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信息插座（单孔地插（含底盒））</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信息插座（单孔地插（含底盒））</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信息插座（单孔地插（含底盒））</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信息插座（单孔地插（含底盒））</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15243CEB">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信息插座（双孔地插（含底盒））</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信息插座（双孔地插（含底盒））</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信息插座（双孔地插（含底盒））</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信息插座（双孔地插（含底盒））</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678075FE">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信息插座（单口信息面板）</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信息插座（单口信息面板）</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信息插座（单口信息面板）</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信息插座（单口信息面板）</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26FEB08E">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信息插座（双口信息面板）</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信息插座（双口信息面板）</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信息插座（双口信息面板）</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信息插座（双口信息面板）</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64D326A2">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信息插座（电话模块）</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信息插座（电话模块）</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信息插座（电话模块）</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信息插座（电话模块）</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55EBAE7E">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信息插座（网络模块）</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信息插座（网络模块）</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信息插座（网络模块）</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信息插座（网络模块）</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3148F790">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信息插座（开关盒插座盒）</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信息插座（开关盒插座盒）</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信息插座（开关盒插座盒）</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信息插座（开关盒插座盒）</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74A9F347">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交换机（24口交换机）</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交换机（24口交换机）</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交换机（24口交换机）</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交换机（24口交换机）</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258C705B">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配线架（NPE配线架）</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配线架（NPE配线架）</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配线架（NPE配线架）</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配线架（NPE配线架）</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62FC97ED">
      <w:pPr>
        <w:numPr>
          <w:ilvl w:val="0"/>
          <w:numId w:val="28"/>
        </w:numPr>
        <w:spacing w:line="360" w:lineRule="auto"/>
        <w:ind w:firstLine="630" w:firstLineChars="300"/>
        <w:rPr>
          <w:rFonts w:hint="default" w:ascii="宋体" w:hAnsi="宋体" w:cs="宋体"/>
          <w:color w:val="auto"/>
          <w:szCs w:val="21"/>
          <w:highlight w:val="none"/>
          <w:lang w:val="en-US" w:eastAsia="zh-CN"/>
        </w:rPr>
      </w:pPr>
      <w:r>
        <w:rPr>
          <w:rFonts w:hint="eastAsia" w:ascii="宋体" w:hAnsi="宋体" w:cs="宋体"/>
          <w:color w:val="auto"/>
          <w:szCs w:val="21"/>
          <w:highlight w:val="none"/>
          <w:u w:val="single"/>
          <w:lang w:val="en-US" w:eastAsia="zh-CN"/>
        </w:rPr>
        <w:t>配线架（理线架 ）</w:t>
      </w:r>
      <w:r>
        <w:rPr>
          <w:rFonts w:hint="eastAsia" w:ascii="宋体" w:hAnsi="宋体" w:cs="宋体"/>
          <w:color w:val="auto"/>
          <w:szCs w:val="21"/>
          <w:highlight w:val="none"/>
          <w:lang w:val="en-US" w:eastAsia="zh-CN"/>
        </w:rPr>
        <w:t>，生产厂为</w:t>
      </w:r>
      <w:r>
        <w:rPr>
          <w:rFonts w:hint="eastAsia" w:ascii="宋体" w:hAnsi="宋体" w:cs="宋体"/>
          <w:color w:val="auto"/>
          <w:szCs w:val="21"/>
          <w:highlight w:val="none"/>
          <w:u w:val="single"/>
          <w:lang w:val="en-US" w:eastAsia="zh-CN"/>
        </w:rPr>
        <w:t>（厂名）</w:t>
      </w:r>
      <w:r>
        <w:rPr>
          <w:rFonts w:hint="eastAsia" w:ascii="宋体" w:hAnsi="宋体" w:cs="宋体"/>
          <w:color w:val="auto"/>
          <w:szCs w:val="21"/>
          <w:highlight w:val="none"/>
          <w:lang w:val="en-US" w:eastAsia="zh-CN"/>
        </w:rPr>
        <w:t>，厂址为</w:t>
      </w:r>
      <w:r>
        <w:rPr>
          <w:rFonts w:hint="eastAsia" w:ascii="宋体" w:hAnsi="宋体" w:cs="宋体"/>
          <w:color w:val="auto"/>
          <w:szCs w:val="21"/>
          <w:highlight w:val="none"/>
          <w:u w:val="single"/>
          <w:lang w:val="en-US" w:eastAsia="zh-CN"/>
        </w:rPr>
        <w:t>（生产厂址）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配线架（理线架 ）</w:t>
      </w:r>
      <w:r>
        <w:rPr>
          <w:rFonts w:hint="eastAsia" w:ascii="宋体" w:hAnsi="宋体" w:cs="宋体"/>
          <w:color w:val="auto"/>
          <w:szCs w:val="21"/>
          <w:highlight w:val="none"/>
          <w:lang w:val="en-US" w:eastAsia="zh-CN"/>
        </w:rPr>
        <w:t>的中国境内生产的组件成本占比≥</w:t>
      </w:r>
      <w:r>
        <w:rPr>
          <w:rFonts w:hint="eastAsia" w:ascii="宋体" w:hAnsi="宋体" w:cs="宋体"/>
          <w:color w:val="auto"/>
          <w:szCs w:val="21"/>
          <w:highlight w:val="none"/>
          <w:u w:val="single"/>
          <w:lang w:val="en-US" w:eastAsia="zh-CN"/>
        </w:rPr>
        <w:t>（规定比例）（可不填）</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配线架（理线架 ）</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（关键组件）（可不填）</w:t>
      </w:r>
      <w:r>
        <w:rPr>
          <w:rFonts w:hint="eastAsia" w:ascii="宋体" w:hAnsi="宋体" w:cs="宋体"/>
          <w:color w:val="auto"/>
          <w:szCs w:val="21"/>
          <w:highlight w:val="none"/>
          <w:lang w:val="en-US" w:eastAsia="zh-CN"/>
        </w:rPr>
        <w:t>在中国境内生产。</w:t>
      </w:r>
      <w:r>
        <w:rPr>
          <w:rFonts w:hint="eastAsia" w:ascii="宋体" w:hAnsi="宋体" w:cs="宋体"/>
          <w:color w:val="auto"/>
          <w:szCs w:val="21"/>
          <w:highlight w:val="none"/>
          <w:u w:val="single"/>
          <w:lang w:val="en-US" w:eastAsia="zh-CN"/>
        </w:rPr>
        <w:t>配线架（理线架 ）</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（关键工序）（可不填）</w:t>
      </w:r>
      <w:r>
        <w:rPr>
          <w:rFonts w:hint="eastAsia" w:ascii="宋体" w:hAnsi="宋体" w:cs="宋体"/>
          <w:color w:val="auto"/>
          <w:szCs w:val="21"/>
          <w:highlight w:val="none"/>
          <w:lang w:val="en-US" w:eastAsia="zh-CN"/>
        </w:rPr>
        <w:t>在中国境内完成。</w:t>
      </w:r>
    </w:p>
    <w:p w14:paraId="4AD7340F">
      <w:pPr>
        <w:spacing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本企业对上述声明内容的真实性负责。如有虚假，将依法承担相应责任。</w:t>
      </w:r>
    </w:p>
    <w:p w14:paraId="4409D74C">
      <w:pPr>
        <w:rPr>
          <w:rFonts w:ascii="宋体" w:hAnsi="宋体" w:cs="宋体"/>
          <w:color w:val="auto"/>
          <w:highlight w:val="none"/>
        </w:rPr>
      </w:pPr>
    </w:p>
    <w:p w14:paraId="6EEDB899">
      <w:pPr>
        <w:spacing w:line="360" w:lineRule="auto"/>
        <w:rPr>
          <w:rFonts w:hint="eastAsia"/>
          <w:color w:val="auto"/>
          <w:highlight w:val="none"/>
          <w:lang w:val="en-US" w:eastAsia="zh-CN"/>
        </w:rPr>
      </w:pPr>
    </w:p>
    <w:p w14:paraId="76017734">
      <w:pPr>
        <w:spacing w:line="360" w:lineRule="auto"/>
        <w:rPr>
          <w:rFonts w:hint="eastAsia"/>
          <w:color w:val="auto"/>
          <w:highlight w:val="none"/>
          <w:lang w:val="en-US" w:eastAsia="zh-CN"/>
        </w:rPr>
      </w:pPr>
      <w:r>
        <w:rPr>
          <w:rFonts w:hint="eastAsia"/>
          <w:color w:val="auto"/>
          <w:highlight w:val="none"/>
          <w:lang w:val="en-US" w:eastAsia="zh-CN"/>
        </w:rPr>
        <w:t>备注：</w:t>
      </w:r>
    </w:p>
    <w:p w14:paraId="58C00F37">
      <w:pPr>
        <w:spacing w:line="360" w:lineRule="auto"/>
        <w:rPr>
          <w:rFonts w:hint="eastAsia"/>
          <w:color w:val="auto"/>
          <w:highlight w:val="none"/>
          <w:lang w:val="en-US" w:eastAsia="zh-CN"/>
        </w:rPr>
      </w:pPr>
      <w:r>
        <w:rPr>
          <w:rFonts w:hint="eastAsia"/>
          <w:color w:val="auto"/>
          <w:highlight w:val="none"/>
          <w:lang w:val="en-US" w:eastAsia="zh-CN"/>
        </w:rPr>
        <w:t>1、产品如有型号，请在“产品名称”栏一并填写。</w:t>
      </w:r>
    </w:p>
    <w:p w14:paraId="50B7B7CD">
      <w:pPr>
        <w:numPr>
          <w:ilvl w:val="0"/>
          <w:numId w:val="29"/>
        </w:numPr>
        <w:spacing w:line="360" w:lineRule="auto"/>
        <w:rPr>
          <w:rFonts w:hint="eastAsia"/>
          <w:color w:val="auto"/>
          <w:highlight w:val="none"/>
          <w:lang w:val="en-US" w:eastAsia="zh-CN"/>
        </w:rPr>
      </w:pPr>
      <w:r>
        <w:rPr>
          <w:rFonts w:hint="eastAsia"/>
          <w:color w:val="auto"/>
          <w:highlight w:val="none"/>
          <w:lang w:val="en-US" w:eastAsia="zh-CN"/>
        </w:rPr>
        <w:t>厂名：生产厂名与厂址应与生产厂营业执照载明的相关信息保持一致。</w:t>
      </w:r>
    </w:p>
    <w:p w14:paraId="14640743">
      <w:pPr>
        <w:numPr>
          <w:ilvl w:val="0"/>
          <w:numId w:val="29"/>
        </w:numPr>
        <w:spacing w:line="360" w:lineRule="auto"/>
        <w:rPr>
          <w:rFonts w:hint="eastAsia"/>
          <w:color w:val="auto"/>
          <w:highlight w:val="none"/>
          <w:lang w:val="en-US" w:eastAsia="zh-CN"/>
        </w:rPr>
      </w:pPr>
      <w:r>
        <w:rPr>
          <w:rFonts w:hint="eastAsia"/>
          <w:color w:val="auto"/>
          <w:highlight w:val="none"/>
          <w:lang w:val="en-US" w:eastAsia="zh-CN"/>
        </w:rPr>
        <w:t>规定比例：该产品的中国境内生产的组件成本占比相关要求实施前，“规定比例”栏可不填，下同。</w:t>
      </w:r>
    </w:p>
    <w:p w14:paraId="4C94A0B6">
      <w:pPr>
        <w:numPr>
          <w:ilvl w:val="0"/>
          <w:numId w:val="29"/>
        </w:numPr>
        <w:spacing w:line="360" w:lineRule="auto"/>
        <w:rPr>
          <w:rFonts w:hint="default"/>
          <w:color w:val="auto"/>
          <w:highlight w:val="none"/>
          <w:lang w:val="en-US" w:eastAsia="zh-CN"/>
        </w:rPr>
      </w:pPr>
      <w:r>
        <w:rPr>
          <w:rFonts w:hint="eastAsia"/>
          <w:color w:val="auto"/>
          <w:highlight w:val="none"/>
          <w:lang w:val="en-US" w:eastAsia="zh-CN"/>
        </w:rPr>
        <w:t>关键组件：该产品的关键组件要求实施前，“关键组件”栏可不填，下同。</w:t>
      </w:r>
    </w:p>
    <w:p w14:paraId="5AA1A139">
      <w:pPr>
        <w:numPr>
          <w:ilvl w:val="0"/>
          <w:numId w:val="29"/>
        </w:numPr>
        <w:spacing w:line="360" w:lineRule="auto"/>
        <w:rPr>
          <w:color w:val="auto"/>
          <w:highlight w:val="none"/>
        </w:rPr>
      </w:pPr>
      <w:r>
        <w:rPr>
          <w:rFonts w:hint="eastAsia"/>
          <w:color w:val="auto"/>
          <w:highlight w:val="none"/>
          <w:lang w:val="en-US" w:eastAsia="zh-CN"/>
        </w:rPr>
        <w:t>关键工序</w:t>
      </w:r>
      <w:r>
        <w:rPr>
          <w:rFonts w:hint="default"/>
          <w:color w:val="auto"/>
          <w:highlight w:val="none"/>
          <w:lang w:val="en-US" w:eastAsia="zh-CN"/>
        </w:rPr>
        <w:t>：该产品的关键</w:t>
      </w:r>
      <w:r>
        <w:rPr>
          <w:rFonts w:hint="eastAsia"/>
          <w:color w:val="auto"/>
          <w:highlight w:val="none"/>
          <w:lang w:val="en-US" w:eastAsia="zh-CN"/>
        </w:rPr>
        <w:t>工序</w:t>
      </w:r>
      <w:r>
        <w:rPr>
          <w:rFonts w:hint="default"/>
          <w:color w:val="auto"/>
          <w:highlight w:val="none"/>
          <w:lang w:val="en-US" w:eastAsia="zh-CN"/>
        </w:rPr>
        <w:t>要求实施前，“关键</w:t>
      </w:r>
      <w:r>
        <w:rPr>
          <w:rFonts w:hint="eastAsia"/>
          <w:color w:val="auto"/>
          <w:highlight w:val="none"/>
          <w:lang w:val="en-US" w:eastAsia="zh-CN"/>
        </w:rPr>
        <w:t>工序</w:t>
      </w:r>
      <w:r>
        <w:rPr>
          <w:rFonts w:hint="default"/>
          <w:color w:val="auto"/>
          <w:highlight w:val="none"/>
          <w:lang w:val="en-US" w:eastAsia="zh-CN"/>
        </w:rPr>
        <w:t>”栏可不填，下同。</w:t>
      </w:r>
    </w:p>
    <w:p w14:paraId="132528E5">
      <w:pPr>
        <w:spacing w:line="360" w:lineRule="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本公司(单位)对上述声明内容的真实性负责。如有虚假，愿承担相应法律责任。</w:t>
      </w:r>
    </w:p>
    <w:p w14:paraId="4C83AB27">
      <w:pPr>
        <w:pStyle w:val="55"/>
        <w:rPr>
          <w:rFonts w:ascii="宋体" w:hAnsi="宋体" w:eastAsia="宋体" w:cs="Times New Roman"/>
          <w:color w:val="auto"/>
          <w:spacing w:val="6"/>
          <w:kern w:val="2"/>
          <w:sz w:val="21"/>
          <w:szCs w:val="21"/>
          <w:highlight w:val="none"/>
          <w:lang w:val="en-US" w:eastAsia="zh-CN" w:bidi="ar-SA"/>
        </w:rPr>
      </w:pPr>
      <w:r>
        <w:rPr>
          <w:rFonts w:ascii="宋体" w:hAnsi="宋体" w:eastAsia="宋体" w:cs="Times New Roman"/>
          <w:color w:val="auto"/>
          <w:spacing w:val="6"/>
          <w:kern w:val="2"/>
          <w:sz w:val="21"/>
          <w:szCs w:val="21"/>
          <w:highlight w:val="none"/>
          <w:lang w:val="en-US" w:eastAsia="zh-CN" w:bidi="ar-SA"/>
        </w:rPr>
        <w:t xml:space="preserve">供应商（盖章）： </w:t>
      </w:r>
    </w:p>
    <w:p w14:paraId="1C398157">
      <w:pPr>
        <w:pStyle w:val="55"/>
        <w:rPr>
          <w:rFonts w:hint="eastAsia" w:ascii="宋体" w:hAnsi="宋体" w:eastAsia="宋体" w:cs="Times New Roman"/>
          <w:color w:val="auto"/>
          <w:spacing w:val="6"/>
          <w:kern w:val="2"/>
          <w:sz w:val="21"/>
          <w:szCs w:val="21"/>
          <w:highlight w:val="none"/>
          <w:lang w:val="zh-CN" w:eastAsia="zh-CN" w:bidi="ar-SA"/>
        </w:rPr>
      </w:pPr>
      <w:r>
        <w:rPr>
          <w:rFonts w:ascii="宋体" w:hAnsi="宋体" w:eastAsia="宋体" w:cs="Times New Roman"/>
          <w:color w:val="auto"/>
          <w:spacing w:val="6"/>
          <w:kern w:val="2"/>
          <w:sz w:val="21"/>
          <w:szCs w:val="21"/>
          <w:highlight w:val="none"/>
          <w:lang w:val="en-US" w:eastAsia="zh-CN" w:bidi="ar-SA"/>
        </w:rPr>
        <w:t>日期：</w:t>
      </w:r>
    </w:p>
    <w:p w14:paraId="79D9FE84">
      <w:pPr>
        <w:widowControl/>
        <w:spacing w:line="360" w:lineRule="auto"/>
        <w:ind w:firstLine="420" w:firstLineChars="200"/>
        <w:jc w:val="left"/>
        <w:rPr>
          <w:color w:val="auto"/>
          <w:szCs w:val="21"/>
          <w:highlight w:val="none"/>
        </w:rPr>
      </w:pPr>
      <w:r>
        <w:rPr>
          <w:rFonts w:hint="eastAsia" w:ascii="Times New Roman" w:hAnsi="Times New Roman" w:eastAsia="宋体" w:cs="Times New Roman"/>
          <w:color w:val="auto"/>
          <w:highlight w:val="none"/>
          <w:lang w:val="zh-CN" w:eastAsia="zh-CN"/>
        </w:rPr>
        <w:br w:type="page"/>
      </w:r>
    </w:p>
    <w:p w14:paraId="7C822213">
      <w:pPr>
        <w:widowControl/>
        <w:adjustRightInd/>
        <w:spacing w:line="360" w:lineRule="auto"/>
        <w:jc w:val="center"/>
        <w:rPr>
          <w:rFonts w:hint="eastAsia" w:ascii="宋体" w:hAnsi="宋体" w:cs="宋体"/>
          <w:b/>
          <w:color w:val="auto"/>
          <w:kern w:val="0"/>
          <w:sz w:val="30"/>
          <w:szCs w:val="30"/>
          <w:highlight w:val="none"/>
          <w:lang w:val="zh-CN"/>
        </w:rPr>
      </w:pPr>
      <w:r>
        <w:rPr>
          <w:rFonts w:hint="eastAsia" w:ascii="宋体" w:hAnsi="宋体" w:cs="宋体"/>
          <w:b/>
          <w:color w:val="auto"/>
          <w:kern w:val="0"/>
          <w:sz w:val="30"/>
          <w:szCs w:val="30"/>
          <w:highlight w:val="none"/>
          <w:lang w:val="zh-CN"/>
        </w:rPr>
        <w:t>关于本国产品成本比例的声明函</w:t>
      </w:r>
    </w:p>
    <w:p w14:paraId="613BA00F">
      <w:pPr>
        <w:widowControl/>
        <w:adjustRightInd/>
        <w:spacing w:line="360" w:lineRule="auto"/>
        <w:jc w:val="center"/>
        <w:rPr>
          <w:rFonts w:hint="eastAsia" w:ascii="宋体" w:hAnsi="宋体" w:cs="宋体"/>
          <w:b/>
          <w:color w:val="auto"/>
          <w:kern w:val="0"/>
          <w:sz w:val="24"/>
          <w:highlight w:val="none"/>
          <w:lang w:val="zh-CN"/>
        </w:rPr>
      </w:pPr>
      <w:r>
        <w:rPr>
          <w:rFonts w:hint="eastAsia" w:ascii="宋体" w:hAnsi="宋体" w:cs="宋体"/>
          <w:b/>
          <w:color w:val="auto"/>
          <w:kern w:val="0"/>
          <w:sz w:val="24"/>
          <w:highlight w:val="none"/>
          <w:lang w:val="zh-CN"/>
        </w:rPr>
        <w:t>（当采购项目或者采购包中含有多种产品时）</w:t>
      </w:r>
    </w:p>
    <w:p w14:paraId="6991F678">
      <w:pPr>
        <w:snapToGrid w:val="0"/>
        <w:spacing w:line="360" w:lineRule="auto"/>
        <w:ind w:firstLine="504" w:firstLineChars="200"/>
        <w:rPr>
          <w:rFonts w:hint="eastAsia" w:ascii="宋体" w:hAnsi="宋体" w:cs="宋体"/>
          <w:color w:val="auto"/>
          <w:spacing w:val="6"/>
          <w:kern w:val="0"/>
          <w:sz w:val="24"/>
          <w:highlight w:val="none"/>
        </w:rPr>
      </w:pPr>
    </w:p>
    <w:p w14:paraId="64A26B13">
      <w:pPr>
        <w:snapToGrid w:val="0"/>
        <w:spacing w:line="360" w:lineRule="auto"/>
        <w:ind w:firstLine="464" w:firstLineChars="200"/>
        <w:rPr>
          <w:rFonts w:hint="eastAsia" w:ascii="宋体" w:hAnsi="宋体" w:cs="宋体"/>
          <w:color w:val="auto"/>
          <w:spacing w:val="6"/>
          <w:kern w:val="0"/>
          <w:sz w:val="22"/>
          <w:szCs w:val="22"/>
          <w:highlight w:val="none"/>
        </w:rPr>
      </w:pPr>
      <w:r>
        <w:rPr>
          <w:rFonts w:hint="eastAsia" w:ascii="宋体" w:hAnsi="宋体" w:cs="宋体"/>
          <w:color w:val="auto"/>
          <w:spacing w:val="6"/>
          <w:kern w:val="0"/>
          <w:sz w:val="22"/>
          <w:szCs w:val="22"/>
          <w:highlight w:val="none"/>
        </w:rPr>
        <w:t>本公司（单位）郑重声明，根据《国务院办公厅关于在政府采购中实施本国产品标准及相关政策的通知》（国办发〔2025〕34号）的规定，本公司（单位）提供的符合本国产品标准的产品成本之和占提供的全部产品成本之和的比例达到</w:t>
      </w:r>
      <w:r>
        <w:rPr>
          <w:rFonts w:hint="eastAsia" w:ascii="宋体" w:hAnsi="宋体" w:cs="宋体"/>
          <w:color w:val="auto"/>
          <w:spacing w:val="6"/>
          <w:kern w:val="0"/>
          <w:sz w:val="22"/>
          <w:szCs w:val="22"/>
          <w:highlight w:val="none"/>
          <w:u w:val="single"/>
        </w:rPr>
        <w:t xml:space="preserve">    </w:t>
      </w:r>
      <w:r>
        <w:rPr>
          <w:rFonts w:hint="eastAsia" w:ascii="宋体" w:hAnsi="宋体" w:cs="宋体"/>
          <w:color w:val="auto"/>
          <w:spacing w:val="6"/>
          <w:kern w:val="0"/>
          <w:sz w:val="22"/>
          <w:szCs w:val="22"/>
          <w:highlight w:val="none"/>
        </w:rPr>
        <w:t>%。</w:t>
      </w:r>
    </w:p>
    <w:p w14:paraId="43B46C55">
      <w:pPr>
        <w:snapToGrid w:val="0"/>
        <w:spacing w:line="360" w:lineRule="auto"/>
        <w:ind w:firstLine="464" w:firstLineChars="200"/>
        <w:rPr>
          <w:rFonts w:hint="eastAsia" w:ascii="宋体" w:hAnsi="宋体" w:cs="宋体"/>
          <w:color w:val="auto"/>
          <w:spacing w:val="6"/>
          <w:kern w:val="0"/>
          <w:sz w:val="22"/>
          <w:szCs w:val="22"/>
          <w:highlight w:val="none"/>
        </w:rPr>
      </w:pPr>
      <w:r>
        <w:rPr>
          <w:rFonts w:hint="eastAsia" w:ascii="宋体" w:hAnsi="宋体" w:cs="宋体"/>
          <w:color w:val="auto"/>
          <w:spacing w:val="6"/>
          <w:kern w:val="0"/>
          <w:sz w:val="22"/>
          <w:szCs w:val="22"/>
          <w:highlight w:val="none"/>
        </w:rPr>
        <w:t>本公司（单位）对上述声明内容的真实性负责。如有虚假，愿承担相应法律责任。</w:t>
      </w:r>
    </w:p>
    <w:p w14:paraId="0B9DCC9A">
      <w:pPr>
        <w:snapToGrid w:val="0"/>
        <w:spacing w:line="360" w:lineRule="auto"/>
        <w:ind w:firstLine="504" w:firstLineChars="200"/>
        <w:rPr>
          <w:rFonts w:hint="eastAsia" w:ascii="宋体" w:hAnsi="宋体" w:cs="宋体"/>
          <w:color w:val="auto"/>
          <w:spacing w:val="6"/>
          <w:kern w:val="0"/>
          <w:sz w:val="24"/>
          <w:highlight w:val="none"/>
        </w:rPr>
      </w:pPr>
    </w:p>
    <w:p w14:paraId="2F461A61">
      <w:pPr>
        <w:spacing w:line="360" w:lineRule="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注：当采购项目或者采购包中含有多种产品，供应商为该采购项目或者采购包提供的符合本国产品 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2A1B791">
      <w:pPr>
        <w:spacing w:line="360" w:lineRule="auto"/>
        <w:ind w:firstLine="4800" w:firstLineChars="2000"/>
        <w:rPr>
          <w:rFonts w:hint="eastAsia" w:ascii="宋体" w:hAnsi="宋体" w:cs="宋体"/>
          <w:color w:val="auto"/>
          <w:sz w:val="24"/>
          <w:highlight w:val="none"/>
        </w:rPr>
      </w:pPr>
    </w:p>
    <w:p w14:paraId="7A276770">
      <w:pPr>
        <w:spacing w:line="360" w:lineRule="auto"/>
        <w:ind w:firstLine="4800" w:firstLineChars="2000"/>
        <w:rPr>
          <w:rFonts w:hint="eastAsia" w:ascii="宋体" w:hAnsi="宋体" w:cs="宋体"/>
          <w:color w:val="auto"/>
          <w:sz w:val="24"/>
          <w:highlight w:val="none"/>
        </w:rPr>
      </w:pPr>
    </w:p>
    <w:p w14:paraId="7677A1EB">
      <w:pPr>
        <w:pStyle w:val="55"/>
        <w:rPr>
          <w:rFonts w:ascii="宋体" w:hAnsi="宋体" w:eastAsia="宋体" w:cs="Times New Roman"/>
          <w:color w:val="auto"/>
          <w:spacing w:val="6"/>
          <w:kern w:val="2"/>
          <w:sz w:val="21"/>
          <w:szCs w:val="21"/>
          <w:highlight w:val="none"/>
          <w:lang w:val="en-US" w:eastAsia="zh-CN" w:bidi="ar-SA"/>
        </w:rPr>
      </w:pPr>
      <w:r>
        <w:rPr>
          <w:rFonts w:ascii="宋体" w:hAnsi="宋体" w:eastAsia="宋体" w:cs="Times New Roman"/>
          <w:color w:val="auto"/>
          <w:spacing w:val="6"/>
          <w:kern w:val="2"/>
          <w:sz w:val="21"/>
          <w:szCs w:val="21"/>
          <w:highlight w:val="none"/>
          <w:lang w:val="en-US" w:eastAsia="zh-CN" w:bidi="ar-SA"/>
        </w:rPr>
        <w:t xml:space="preserve">供应商（盖章）： </w:t>
      </w:r>
    </w:p>
    <w:p w14:paraId="414C4979">
      <w:pPr>
        <w:pStyle w:val="55"/>
        <w:rPr>
          <w:rFonts w:ascii="宋体" w:hAnsi="宋体" w:eastAsia="宋体" w:cs="Times New Roman"/>
          <w:color w:val="auto"/>
          <w:spacing w:val="6"/>
          <w:kern w:val="2"/>
          <w:sz w:val="21"/>
          <w:szCs w:val="21"/>
          <w:highlight w:val="none"/>
          <w:lang w:val="en-US" w:eastAsia="zh-CN" w:bidi="ar-SA"/>
        </w:rPr>
      </w:pPr>
      <w:r>
        <w:rPr>
          <w:rFonts w:ascii="宋体" w:hAnsi="宋体" w:eastAsia="宋体" w:cs="Times New Roman"/>
          <w:color w:val="auto"/>
          <w:spacing w:val="6"/>
          <w:kern w:val="2"/>
          <w:sz w:val="21"/>
          <w:szCs w:val="21"/>
          <w:highlight w:val="none"/>
          <w:lang w:val="en-US" w:eastAsia="zh-CN" w:bidi="ar-SA"/>
        </w:rPr>
        <w:t>日期：</w:t>
      </w:r>
    </w:p>
    <w:p w14:paraId="01970D94">
      <w:pPr>
        <w:rPr>
          <w:rFonts w:ascii="宋体" w:hAnsi="宋体" w:eastAsia="宋体" w:cs="Times New Roman"/>
          <w:color w:val="auto"/>
          <w:spacing w:val="6"/>
          <w:kern w:val="2"/>
          <w:sz w:val="21"/>
          <w:szCs w:val="21"/>
          <w:highlight w:val="none"/>
          <w:lang w:val="en-US" w:eastAsia="zh-CN" w:bidi="ar-SA"/>
        </w:rPr>
      </w:pPr>
      <w:r>
        <w:rPr>
          <w:rFonts w:ascii="宋体" w:hAnsi="宋体" w:eastAsia="宋体" w:cs="Times New Roman"/>
          <w:color w:val="auto"/>
          <w:spacing w:val="6"/>
          <w:kern w:val="2"/>
          <w:sz w:val="21"/>
          <w:szCs w:val="21"/>
          <w:highlight w:val="none"/>
          <w:lang w:val="en-US" w:eastAsia="zh-CN" w:bidi="ar-SA"/>
        </w:rPr>
        <w:br w:type="page"/>
      </w:r>
    </w:p>
    <w:p w14:paraId="64F4E4D5">
      <w:pPr>
        <w:widowControl/>
        <w:rPr>
          <w:rFonts w:hint="eastAsia" w:ascii="宋体" w:hAnsi="宋体" w:cs="宋体"/>
          <w:b/>
          <w:bCs/>
          <w:color w:val="auto"/>
          <w:szCs w:val="21"/>
          <w:highlight w:val="none"/>
        </w:rPr>
      </w:pPr>
    </w:p>
    <w:p w14:paraId="0BCDBF7E">
      <w:pPr>
        <w:keepNext/>
        <w:keepLines/>
        <w:jc w:val="left"/>
        <w:outlineLvl w:val="1"/>
        <w:rPr>
          <w:rFonts w:hint="eastAsia" w:ascii="宋体" w:hAnsi="宋体" w:cs="宋体"/>
          <w:b/>
          <w:color w:val="auto"/>
          <w:sz w:val="32"/>
          <w:szCs w:val="32"/>
          <w:highlight w:val="none"/>
        </w:rPr>
      </w:pPr>
      <w:r>
        <w:rPr>
          <w:rFonts w:hint="eastAsia" w:ascii="宋体" w:hAnsi="宋体" w:cs="宋体"/>
          <w:b/>
          <w:bCs/>
          <w:color w:val="auto"/>
          <w:sz w:val="28"/>
          <w:szCs w:val="28"/>
          <w:highlight w:val="none"/>
        </w:rPr>
        <w:t>附：</w:t>
      </w:r>
      <w:r>
        <w:rPr>
          <w:rStyle w:val="47"/>
          <w:rFonts w:hint="eastAsia" w:ascii="宋体" w:hAnsi="宋体" w:cs="宋体"/>
          <w:bCs w:val="0"/>
          <w:color w:val="auto"/>
          <w:sz w:val="32"/>
          <w:szCs w:val="32"/>
          <w:highlight w:val="none"/>
          <w:shd w:val="clear" w:color="auto" w:fill="FFFFFF"/>
        </w:rPr>
        <w:t>中国境内生产的组件成本核算基本规则</w:t>
      </w:r>
    </w:p>
    <w:p w14:paraId="6EDCAB78">
      <w:pPr>
        <w:pStyle w:val="39"/>
        <w:shd w:val="clear" w:color="auto" w:fill="FFFFFF"/>
        <w:spacing w:before="30" w:beforeAutospacing="0" w:after="30" w:afterAutospacing="0" w:line="360" w:lineRule="auto"/>
        <w:rPr>
          <w:rFonts w:hint="eastAsia" w:cs="宋体"/>
          <w:color w:val="auto"/>
          <w:highlight w:val="none"/>
        </w:rPr>
      </w:pPr>
    </w:p>
    <w:p w14:paraId="1B8DEAAD">
      <w:pPr>
        <w:pStyle w:val="39"/>
        <w:shd w:val="clear" w:color="auto" w:fill="FFFFFF"/>
        <w:spacing w:before="30" w:beforeAutospacing="0" w:after="30" w:afterAutospacing="0" w:line="360" w:lineRule="auto"/>
        <w:ind w:firstLine="420"/>
        <w:rPr>
          <w:rFonts w:hint="eastAsia" w:cs="宋体"/>
          <w:color w:val="auto"/>
          <w:highlight w:val="none"/>
        </w:rPr>
      </w:pPr>
      <w:r>
        <w:rPr>
          <w:rFonts w:hint="eastAsia" w:cs="宋体"/>
          <w:color w:val="auto"/>
          <w:highlight w:val="none"/>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4FD0D124">
      <w:pPr>
        <w:pStyle w:val="39"/>
        <w:shd w:val="clear" w:color="auto" w:fill="FFFFFF"/>
        <w:spacing w:before="30" w:beforeAutospacing="0" w:after="30" w:afterAutospacing="0" w:line="360" w:lineRule="auto"/>
        <w:ind w:firstLine="420"/>
        <w:rPr>
          <w:rFonts w:hint="eastAsia" w:cs="宋体"/>
          <w:color w:val="auto"/>
          <w:highlight w:val="none"/>
        </w:rPr>
      </w:pPr>
      <w:r>
        <w:rPr>
          <w:rFonts w:hint="eastAsia" w:cs="宋体"/>
          <w:color w:val="auto"/>
          <w:highlight w:val="none"/>
          <w:shd w:val="clear" w:color="auto" w:fill="FFFFFF"/>
        </w:rPr>
        <w:t>一、产品的一级组件是指直接组成产品的组件。产品的二级组件是指直接组成产品一级组件的组件。一级组件不可分解的，视同二级组件。</w:t>
      </w:r>
    </w:p>
    <w:p w14:paraId="10135F5C">
      <w:pPr>
        <w:pStyle w:val="39"/>
        <w:shd w:val="clear" w:color="auto" w:fill="FFFFFF"/>
        <w:spacing w:before="30" w:beforeAutospacing="0" w:after="30" w:afterAutospacing="0" w:line="360" w:lineRule="auto"/>
        <w:ind w:firstLine="420"/>
        <w:rPr>
          <w:rFonts w:hint="eastAsia" w:cs="宋体"/>
          <w:color w:val="auto"/>
          <w:highlight w:val="none"/>
        </w:rPr>
      </w:pPr>
      <w:r>
        <w:rPr>
          <w:rFonts w:hint="eastAsia" w:cs="宋体"/>
          <w:color w:val="auto"/>
          <w:highlight w:val="none"/>
          <w:shd w:val="clear" w:color="auto" w:fill="FFFFFF"/>
        </w:rPr>
        <w:t>二、二级组件在中国境内生产的，其全部成本计入中国境内生产的组件成本；二级组件不在中国境内生产的，其成本不计入中国境内生产的组件成本。</w:t>
      </w:r>
    </w:p>
    <w:p w14:paraId="04245AE5">
      <w:pPr>
        <w:pStyle w:val="39"/>
        <w:shd w:val="clear" w:color="auto" w:fill="FFFFFF"/>
        <w:spacing w:before="30" w:beforeAutospacing="0" w:after="30" w:afterAutospacing="0" w:line="360" w:lineRule="auto"/>
        <w:ind w:firstLine="420"/>
        <w:rPr>
          <w:rFonts w:hint="eastAsia" w:cs="宋体"/>
          <w:color w:val="auto"/>
          <w:highlight w:val="none"/>
        </w:rPr>
      </w:pPr>
      <w:r>
        <w:rPr>
          <w:rFonts w:hint="eastAsia" w:cs="宋体"/>
          <w:color w:val="auto"/>
          <w:highlight w:val="none"/>
          <w:shd w:val="clear" w:color="auto" w:fill="FFFFFF"/>
        </w:rPr>
        <w:t>三、产品总成本和组件成本以相关会计核算数据、采购合同、进货记录等为基础进行计算。</w:t>
      </w:r>
    </w:p>
    <w:p w14:paraId="50A58A8D">
      <w:pPr>
        <w:pStyle w:val="39"/>
        <w:shd w:val="clear" w:color="auto" w:fill="FFFFFF"/>
        <w:spacing w:before="30" w:beforeAutospacing="0" w:after="30" w:afterAutospacing="0" w:line="360" w:lineRule="auto"/>
        <w:ind w:firstLine="420"/>
        <w:rPr>
          <w:rFonts w:hint="eastAsia" w:cs="宋体"/>
          <w:color w:val="auto"/>
          <w:highlight w:val="none"/>
        </w:rPr>
      </w:pPr>
      <w:r>
        <w:rPr>
          <w:rFonts w:hint="eastAsia" w:cs="宋体"/>
          <w:color w:val="auto"/>
          <w:highlight w:val="none"/>
          <w:shd w:val="clear" w:color="auto" w:fill="FFFFFF"/>
        </w:rPr>
        <w:t>四、需要对成本核算规则予以进一步明确的其他有关事项，由财政部会同有关部门另行规定。</w:t>
      </w:r>
    </w:p>
    <w:p w14:paraId="1ACFCB52">
      <w:pPr>
        <w:pStyle w:val="55"/>
        <w:rPr>
          <w:rFonts w:hint="eastAsia" w:ascii="宋体" w:hAnsi="宋体" w:eastAsia="宋体" w:cs="Times New Roman"/>
          <w:color w:val="auto"/>
          <w:spacing w:val="6"/>
          <w:kern w:val="2"/>
          <w:sz w:val="21"/>
          <w:szCs w:val="21"/>
          <w:highlight w:val="none"/>
          <w:lang w:val="zh-CN" w:eastAsia="zh-CN" w:bidi="ar-SA"/>
        </w:rPr>
      </w:pPr>
    </w:p>
    <w:p w14:paraId="61E7D9D0">
      <w:pPr>
        <w:snapToGrid w:val="0"/>
        <w:spacing w:line="360" w:lineRule="auto"/>
        <w:jc w:val="center"/>
        <w:rPr>
          <w:rFonts w:hint="eastAsia" w:ascii="宋体" w:hAnsi="宋体" w:eastAsia="宋体" w:cs="宋体"/>
          <w:b/>
          <w:bCs/>
          <w:color w:val="auto"/>
          <w:sz w:val="28"/>
          <w:szCs w:val="28"/>
          <w:highlight w:val="none"/>
        </w:rPr>
      </w:pPr>
      <w:r>
        <w:rPr>
          <w:rFonts w:eastAsia="仿宋"/>
          <w:color w:val="auto"/>
          <w:highlight w:val="none"/>
        </w:rPr>
        <w:br w:type="page"/>
      </w:r>
      <w:r>
        <w:rPr>
          <w:rFonts w:hint="eastAsia" w:ascii="宋体" w:hAnsi="宋体" w:eastAsia="宋体" w:cs="宋体"/>
          <w:b/>
          <w:color w:val="auto"/>
          <w:sz w:val="32"/>
          <w:szCs w:val="32"/>
          <w:highlight w:val="none"/>
        </w:rPr>
        <w:t>四、电子备份投标文件</w:t>
      </w:r>
    </w:p>
    <w:p w14:paraId="6832F4A0">
      <w:pPr>
        <w:snapToGrid w:val="0"/>
        <w:spacing w:line="360" w:lineRule="auto"/>
        <w:rPr>
          <w:rFonts w:hint="eastAsia" w:ascii="宋体" w:hAnsi="宋体" w:eastAsia="宋体" w:cs="宋体"/>
          <w:b/>
          <w:color w:val="auto"/>
          <w:sz w:val="28"/>
          <w:szCs w:val="28"/>
          <w:highlight w:val="none"/>
          <w:lang w:bidi="ar"/>
        </w:rPr>
      </w:pPr>
      <w:r>
        <w:rPr>
          <w:rFonts w:hint="eastAsia" w:ascii="宋体" w:hAnsi="宋体" w:eastAsia="宋体" w:cs="宋体"/>
          <w:color w:val="auto"/>
          <w:szCs w:val="21"/>
          <w:highlight w:val="none"/>
        </w:rPr>
        <w:t>电子备份投标文件</w:t>
      </w:r>
      <w:r>
        <w:rPr>
          <w:rFonts w:hint="eastAsia" w:ascii="宋体" w:hAnsi="宋体" w:eastAsia="宋体" w:cs="宋体"/>
          <w:color w:val="auto"/>
          <w:highlight w:val="none"/>
        </w:rPr>
        <w:t>的外包装封面格式：</w:t>
      </w:r>
    </w:p>
    <w:p w14:paraId="0EFC7B0B">
      <w:pPr>
        <w:snapToGrid w:val="0"/>
        <w:spacing w:line="360" w:lineRule="auto"/>
        <w:ind w:firstLine="275" w:firstLineChars="98"/>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t>外包装格式：</w:t>
      </w:r>
    </w:p>
    <w:p w14:paraId="3823E407">
      <w:pPr>
        <w:snapToGrid w:val="0"/>
        <w:spacing w:line="360" w:lineRule="auto"/>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电子备份投标文件</w:t>
      </w:r>
    </w:p>
    <w:p w14:paraId="1420E631">
      <w:pPr>
        <w:spacing w:line="480" w:lineRule="auto"/>
        <w:ind w:firstLine="1080" w:firstLineChars="45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bidi="ar"/>
        </w:rPr>
        <w:t>项目名称：</w:t>
      </w:r>
      <w:r>
        <w:rPr>
          <w:rFonts w:hint="eastAsia" w:ascii="宋体" w:hAnsi="宋体" w:eastAsia="宋体" w:cs="宋体"/>
          <w:bCs/>
          <w:i/>
          <w:color w:val="auto"/>
          <w:sz w:val="24"/>
          <w:highlight w:val="none"/>
          <w:u w:val="single"/>
          <w:lang w:bidi="ar"/>
        </w:rPr>
        <w:t xml:space="preserve"> </w:t>
      </w:r>
      <w:r>
        <w:rPr>
          <w:rFonts w:hint="eastAsia" w:ascii="宋体" w:hAnsi="宋体" w:eastAsia="宋体" w:cs="宋体"/>
          <w:bCs/>
          <w:color w:val="auto"/>
          <w:sz w:val="24"/>
          <w:highlight w:val="none"/>
          <w:u w:val="single"/>
        </w:rPr>
        <w:t xml:space="preserve">                                             </w:t>
      </w:r>
    </w:p>
    <w:p w14:paraId="2561DCB2">
      <w:pPr>
        <w:spacing w:line="480" w:lineRule="auto"/>
        <w:ind w:firstLine="1080" w:firstLineChars="45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bidi="ar"/>
        </w:rPr>
        <w:t>项目编号：</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lang w:bidi="ar"/>
        </w:rPr>
        <w:t xml:space="preserve">  </w:t>
      </w:r>
    </w:p>
    <w:p w14:paraId="77F0EB45">
      <w:pPr>
        <w:spacing w:line="480" w:lineRule="auto"/>
        <w:ind w:firstLine="1080" w:firstLineChars="450"/>
        <w:rPr>
          <w:rFonts w:hint="eastAsia" w:ascii="宋体" w:hAnsi="宋体" w:eastAsia="宋体" w:cs="宋体"/>
          <w:bCs/>
          <w:color w:val="auto"/>
          <w:sz w:val="24"/>
          <w:highlight w:val="none"/>
          <w:u w:val="single"/>
          <w:lang w:bidi="ar"/>
        </w:rPr>
      </w:pPr>
      <w:r>
        <w:rPr>
          <w:rFonts w:hint="eastAsia" w:ascii="宋体" w:hAnsi="宋体" w:eastAsia="宋体" w:cs="宋体"/>
          <w:bCs/>
          <w:color w:val="auto"/>
          <w:sz w:val="24"/>
          <w:highlight w:val="none"/>
          <w:lang w:bidi="ar"/>
        </w:rPr>
        <w:t>投标人名称：</w:t>
      </w:r>
      <w:r>
        <w:rPr>
          <w:rFonts w:hint="eastAsia" w:ascii="宋体" w:hAnsi="宋体" w:eastAsia="宋体" w:cs="宋体"/>
          <w:bCs/>
          <w:color w:val="auto"/>
          <w:sz w:val="24"/>
          <w:highlight w:val="none"/>
          <w:u w:val="single"/>
          <w:lang w:bidi="ar"/>
        </w:rPr>
        <w:t xml:space="preserve">        </w:t>
      </w:r>
      <w:r>
        <w:rPr>
          <w:rFonts w:hint="eastAsia" w:ascii="宋体" w:hAnsi="宋体" w:eastAsia="宋体" w:cs="宋体"/>
          <w:bCs/>
          <w:color w:val="auto"/>
          <w:sz w:val="24"/>
          <w:highlight w:val="none"/>
          <w:u w:val="single"/>
        </w:rPr>
        <w:t xml:space="preserve">[填写单位名称并盖章] </w:t>
      </w:r>
      <w:r>
        <w:rPr>
          <w:rFonts w:hint="eastAsia" w:ascii="宋体" w:hAnsi="宋体" w:eastAsia="宋体" w:cs="宋体"/>
          <w:bCs/>
          <w:color w:val="auto"/>
          <w:sz w:val="24"/>
          <w:highlight w:val="none"/>
          <w:u w:val="single"/>
          <w:lang w:bidi="ar"/>
        </w:rPr>
        <w:t xml:space="preserve">            </w:t>
      </w:r>
    </w:p>
    <w:p w14:paraId="2B20C5D8">
      <w:pPr>
        <w:spacing w:line="480" w:lineRule="auto"/>
        <w:ind w:firstLine="1080" w:firstLineChars="450"/>
        <w:rPr>
          <w:rFonts w:hint="eastAsia" w:ascii="宋体" w:hAnsi="宋体" w:eastAsia="宋体" w:cs="宋体"/>
          <w:bCs/>
          <w:color w:val="auto"/>
          <w:sz w:val="24"/>
          <w:highlight w:val="none"/>
          <w:lang w:bidi="ar"/>
        </w:rPr>
      </w:pPr>
      <w:r>
        <w:rPr>
          <w:rFonts w:hint="eastAsia" w:ascii="宋体" w:hAnsi="宋体" w:eastAsia="宋体" w:cs="宋体"/>
          <w:bCs/>
          <w:color w:val="auto"/>
          <w:sz w:val="24"/>
          <w:highlight w:val="none"/>
          <w:lang w:bidi="ar"/>
        </w:rPr>
        <w:t xml:space="preserve">标项： </w:t>
      </w:r>
      <w:r>
        <w:rPr>
          <w:rFonts w:hint="eastAsia" w:ascii="宋体" w:hAnsi="宋体" w:eastAsia="宋体" w:cs="宋体"/>
          <w:bCs/>
          <w:color w:val="auto"/>
          <w:sz w:val="24"/>
          <w:highlight w:val="none"/>
          <w:u w:val="single"/>
          <w:lang w:bidi="ar"/>
        </w:rPr>
        <w:t xml:space="preserve">     </w:t>
      </w:r>
      <w:r>
        <w:rPr>
          <w:rFonts w:hint="eastAsia" w:ascii="宋体" w:hAnsi="宋体" w:eastAsia="宋体" w:cs="宋体"/>
          <w:bCs/>
          <w:color w:val="auto"/>
          <w:sz w:val="24"/>
          <w:highlight w:val="none"/>
          <w:u w:val="single"/>
          <w:lang w:val="en-US" w:eastAsia="zh-CN" w:bidi="ar"/>
        </w:rPr>
        <w:t>1</w:t>
      </w:r>
      <w:r>
        <w:rPr>
          <w:rFonts w:hint="eastAsia" w:ascii="宋体" w:hAnsi="宋体" w:eastAsia="宋体" w:cs="宋体"/>
          <w:bCs/>
          <w:color w:val="auto"/>
          <w:sz w:val="24"/>
          <w:highlight w:val="none"/>
          <w:u w:val="single"/>
          <w:lang w:bidi="ar"/>
        </w:rPr>
        <w:t xml:space="preserve">     </w:t>
      </w:r>
    </w:p>
    <w:p w14:paraId="7AA92378">
      <w:pPr>
        <w:snapToGrid w:val="0"/>
        <w:spacing w:line="480" w:lineRule="auto"/>
        <w:ind w:firstLine="1080" w:firstLineChars="45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bidi="ar"/>
        </w:rPr>
        <w:t>供应商地址：</w:t>
      </w:r>
      <w:r>
        <w:rPr>
          <w:rFonts w:hint="eastAsia" w:ascii="宋体" w:hAnsi="宋体" w:eastAsia="宋体" w:cs="宋体"/>
          <w:bCs/>
          <w:color w:val="auto"/>
          <w:sz w:val="24"/>
          <w:highlight w:val="none"/>
          <w:u w:val="single"/>
          <w:lang w:bidi="ar"/>
        </w:rPr>
        <w:t xml:space="preserve">                                       </w:t>
      </w:r>
    </w:p>
    <w:p w14:paraId="73442542">
      <w:pPr>
        <w:snapToGrid w:val="0"/>
        <w:spacing w:line="480" w:lineRule="auto"/>
        <w:ind w:firstLine="1080" w:firstLineChars="450"/>
        <w:rPr>
          <w:rFonts w:hint="eastAsia" w:ascii="宋体" w:hAnsi="宋体" w:eastAsia="宋体" w:cs="宋体"/>
          <w:color w:val="auto"/>
          <w:sz w:val="24"/>
          <w:highlight w:val="none"/>
        </w:rPr>
      </w:pPr>
      <w:r>
        <w:rPr>
          <w:rFonts w:hint="eastAsia" w:ascii="宋体" w:hAnsi="宋体" w:eastAsia="宋体" w:cs="宋体"/>
          <w:bCs/>
          <w:color w:val="auto"/>
          <w:sz w:val="24"/>
          <w:highlight w:val="none"/>
          <w:lang w:bidi="ar"/>
        </w:rPr>
        <w:t>法定代表人或其被授权代表</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u w:val="single"/>
        </w:rPr>
        <w:t xml:space="preserve">     [签字或盖章]           </w:t>
      </w:r>
    </w:p>
    <w:p w14:paraId="6D445C72">
      <w:pPr>
        <w:snapToGrid w:val="0"/>
        <w:spacing w:line="360" w:lineRule="auto"/>
        <w:jc w:val="center"/>
        <w:rPr>
          <w:rFonts w:hint="eastAsia" w:ascii="宋体" w:hAnsi="宋体" w:eastAsia="宋体" w:cs="宋体"/>
          <w:bCs/>
          <w:color w:val="auto"/>
          <w:sz w:val="24"/>
          <w:highlight w:val="none"/>
          <w:lang w:bidi="ar"/>
        </w:rPr>
      </w:pPr>
      <w:r>
        <w:rPr>
          <w:rFonts w:hint="eastAsia" w:ascii="宋体" w:hAnsi="宋体" w:eastAsia="宋体" w:cs="宋体"/>
          <w:bCs/>
          <w:color w:val="auto"/>
          <w:sz w:val="24"/>
          <w:highlight w:val="none"/>
          <w:lang w:bidi="ar"/>
        </w:rPr>
        <w:t>年  月  日</w:t>
      </w:r>
    </w:p>
    <w:p w14:paraId="3630C036">
      <w:pPr>
        <w:rPr>
          <w:color w:val="auto"/>
          <w:highlight w:val="none"/>
        </w:rPr>
      </w:pPr>
    </w:p>
    <w:sectPr>
      <w:pgSz w:w="11907" w:h="16840"/>
      <w:pgMar w:top="1276" w:right="1474" w:bottom="1242" w:left="1474" w:header="720" w:footer="720"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10006FF" w:usb1="4000205B" w:usb2="0000001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0" w:usb3="00000000" w:csb0="00000000" w:csb1="00000000"/>
  </w:font>
  <w:font w:name="ヒラギノ角ゴ Pro W3">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幼圆">
    <w:altName w:val="宋体"/>
    <w:panose1 w:val="02010509060101010101"/>
    <w:charset w:val="86"/>
    <w:family w:val="modern"/>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EE618">
    <w:pPr>
      <w:pStyle w:val="26"/>
      <w:tabs>
        <w:tab w:val="center" w:pos="4479"/>
        <w:tab w:val="left" w:pos="640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03E9B">
    <w:pPr>
      <w:pStyle w:val="26"/>
      <w:tabs>
        <w:tab w:val="center" w:pos="4479"/>
        <w:tab w:val="left" w:pos="6405"/>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7B5180">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MSHnA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MSHnAtAgAAVwQAAA4AAAAAAAAAAQAgAAAAHwEAAGRycy9lMm9Eb2MueG1sUEsFBgAAAAAG&#10;AAYAWQEAAL4FAAAAAA==&#10;">
              <v:fill on="f" focussize="0,0"/>
              <v:stroke on="f" weight="0.5pt"/>
              <v:imagedata o:title=""/>
              <o:lock v:ext="edit" aspectratio="f"/>
              <v:textbox inset="0mm,0mm,0mm,0mm" style="mso-fit-shape-to-text:t;">
                <w:txbxContent>
                  <w:p w14:paraId="4E7B5180">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91FF6">
    <w:pPr>
      <w:pStyle w:val="26"/>
      <w:tabs>
        <w:tab w:val="center" w:pos="4479"/>
        <w:tab w:val="left" w:pos="6405"/>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D5055">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B+RKA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gfkSgKwIAAFcEAAAOAAAAAAAAAAEAIAAAAB8BAABkcnMvZTJvRG9jLnhtbFBLBQYAAAAABgAG&#10;AFkBAAC8BQAAAAA=&#10;">
              <v:fill on="f" focussize="0,0"/>
              <v:stroke on="f" weight="0.5pt"/>
              <v:imagedata o:title=""/>
              <o:lock v:ext="edit" aspectratio="f"/>
              <v:textbox inset="0mm,0mm,0mm,0mm" style="mso-fit-shape-to-text:t;">
                <w:txbxContent>
                  <w:p w14:paraId="58DD5055">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1F934">
    <w:pPr>
      <w:rPr>
        <w:rFonts w:ascii="仿宋_GB2312" w:eastAsia="仿宋_GB23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E9922">
                          <w:pPr>
                            <w:pStyle w:val="2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L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LgtAgAAVwQAAA4AAAAAAAAAAQAgAAAAHwEAAGRycy9lMm9Eb2MueG1sUEsFBgAAAAAG&#10;AAYAWQEAAL4FAAAAAA==&#10;">
              <v:fill on="f" focussize="0,0"/>
              <v:stroke on="f" weight="0.5pt"/>
              <v:imagedata o:title=""/>
              <o:lock v:ext="edit" aspectratio="f"/>
              <v:textbox inset="0mm,0mm,0mm,0mm" style="mso-fit-shape-to-text:t;">
                <w:txbxContent>
                  <w:p w14:paraId="0DCE9922">
                    <w:pPr>
                      <w:pStyle w:val="2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DA020">
    <w:pPr>
      <w:rPr>
        <w:rFonts w:ascii="仿宋_GB2312" w:eastAsia="仿宋_GB231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CBB2EF">
                          <w:pPr>
                            <w:pStyle w:val="26"/>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2NaItAgAAVwQAAA4AAABkcnMvZTJvRG9jLnhtbK1UzY7TMBC+I/EO&#10;lu80aYFV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JtX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Y2NaItAgAAVwQAAA4AAAAAAAAAAQAgAAAAHwEAAGRycy9lMm9Eb2MueG1sUEsFBgAAAAAG&#10;AAYAWQEAAL4FAAAAAA==&#10;">
              <v:fill on="f" focussize="0,0"/>
              <v:stroke on="f" weight="0.5pt"/>
              <v:imagedata o:title=""/>
              <o:lock v:ext="edit" aspectratio="f"/>
              <v:textbox inset="0mm,0mm,0mm,0mm" style="mso-fit-shape-to-text:t;">
                <w:txbxContent>
                  <w:p w14:paraId="6FCBB2EF">
                    <w:pPr>
                      <w:pStyle w:val="26"/>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CE050">
    <w:pPr>
      <w:pStyle w:val="2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75E5E2">
                          <w:pPr>
                            <w:pStyle w:val="26"/>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57ZuItAgAAVw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57ZuItAgAAVwQAAA4AAAAAAAAAAQAgAAAAHwEAAGRycy9lMm9Eb2MueG1sUEsFBgAAAAAG&#10;AAYAWQEAAL4FAAAAAA==&#10;">
              <v:fill on="f" focussize="0,0"/>
              <v:stroke on="f" weight="0.5pt"/>
              <v:imagedata o:title=""/>
              <o:lock v:ext="edit" aspectratio="f"/>
              <v:textbox inset="0mm,0mm,0mm,0mm" style="mso-fit-shape-to-text:t;">
                <w:txbxContent>
                  <w:p w14:paraId="7B75E5E2">
                    <w:pPr>
                      <w:pStyle w:val="26"/>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F29D9">
    <w:pPr>
      <w:pStyle w:val="26"/>
      <w:ind w:firstLine="48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D0A407">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tkyItAgAAV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6DbLwlbvLI/Q&#10;UTxvV8cAAVtdoyidEr1W6Le2Mv1sxIb+c99GPf4P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atkyItAgAAVwQAAA4AAAAAAAAAAQAgAAAAHwEAAGRycy9lMm9Eb2MueG1sUEsFBgAAAAAG&#10;AAYAWQEAAL4FAAAAAA==&#10;">
              <v:fill on="f" focussize="0,0"/>
              <v:stroke on="f" weight="0.5pt"/>
              <v:imagedata o:title=""/>
              <o:lock v:ext="edit" aspectratio="f"/>
              <v:textbox inset="0mm,0mm,0mm,0mm" style="mso-fit-shape-to-text:t;">
                <w:txbxContent>
                  <w:p w14:paraId="05D0A407">
                    <w:pPr>
                      <w:pStyle w:val="26"/>
                    </w:pPr>
                    <w:r>
                      <w:fldChar w:fldCharType="begin"/>
                    </w:r>
                    <w:r>
                      <w:instrText xml:space="preserve"> PAGE  \* MERGEFORMAT </w:instrText>
                    </w:r>
                    <w:r>
                      <w:fldChar w:fldCharType="separate"/>
                    </w:r>
                    <w:r>
                      <w:t>1</w:t>
                    </w:r>
                    <w:r>
                      <w:fldChar w:fldCharType="end"/>
                    </w:r>
                  </w:p>
                </w:txbxContent>
              </v:textbox>
            </v:shape>
          </w:pict>
        </mc:Fallback>
      </mc:AlternateContent>
    </w:r>
  </w:p>
  <w:p w14:paraId="11C0ADA5">
    <w:pPr>
      <w:pStyle w:val="26"/>
      <w:ind w:firstLine="4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C97DA">
    <w:pPr>
      <w:pStyle w:val="26"/>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8DF4D6">
                          <w:pPr>
                            <w:pStyle w:val="26"/>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gwGItAgAAVwQAAA4AAABkcnMvZTJvRG9jLnhtbK1UzY7TMBC+I/EO&#10;lu80aRFL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JvXlGimUPHT92+n&#10;H79OP78SnEGg1voZ4jYWkaF7azq0zXDucRh5d5VT8QtGBH7Ie7zIK7pAeLw0nUynOVwcvmED/Ozh&#10;unU+vBNGkWgU1KF+SVZ2uPWhDx1CYjZt1o2UqYZSk7agVy9f5e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7gwGItAgAAVwQAAA4AAAAAAAAAAQAgAAAAHwEAAGRycy9lMm9Eb2MueG1sUEsFBgAAAAAG&#10;AAYAWQEAAL4FAAAAAA==&#10;">
              <v:fill on="f" focussize="0,0"/>
              <v:stroke on="f" weight="0.5pt"/>
              <v:imagedata o:title=""/>
              <o:lock v:ext="edit" aspectratio="f"/>
              <v:textbox inset="0mm,0mm,0mm,0mm" style="mso-fit-shape-to-text:t;">
                <w:txbxContent>
                  <w:p w14:paraId="0A8DF4D6">
                    <w:pPr>
                      <w:pStyle w:val="26"/>
                    </w:pPr>
                    <w:r>
                      <w:fldChar w:fldCharType="begin"/>
                    </w:r>
                    <w:r>
                      <w:instrText xml:space="preserve"> PAGE  \* MERGEFORMAT </w:instrText>
                    </w:r>
                    <w:r>
                      <w:fldChar w:fldCharType="separate"/>
                    </w:r>
                    <w:r>
                      <w:t>82</w:t>
                    </w:r>
                    <w:r>
                      <w:fldChar w:fldCharType="end"/>
                    </w:r>
                  </w:p>
                </w:txbxContent>
              </v:textbox>
            </v:shape>
          </w:pict>
        </mc:Fallback>
      </mc:AlternateContent>
    </w:r>
  </w:p>
  <w:p w14:paraId="6010A884">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1113E">
    <w:pPr>
      <w:pStyle w:val="2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8F262">
    <w:pPr>
      <w:pStyle w:val="28"/>
      <w:pBdr>
        <w:bottom w:val="none" w:color="auto" w:sz="0" w:space="1"/>
      </w:pBdr>
      <w:tabs>
        <w:tab w:val="left" w:pos="5943"/>
      </w:tabs>
      <w:jc w:val="left"/>
      <w:rPr>
        <w:rFonts w:hint="eastAsia" w:eastAsia="宋体"/>
        <w:lang w:eastAsia="zh-CN"/>
      </w:rPr>
    </w:pPr>
    <w:r>
      <w:rPr>
        <w:rFonts w:hint="eastAsia"/>
        <w:lang w:eastAsia="zh-CN"/>
      </w:rPr>
      <w:tab/>
    </w:r>
    <w:r>
      <w:rPr>
        <w:rFonts w:hint="eastAsia"/>
        <w:lang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3DEEC">
    <w:pPr>
      <w:pStyle w:val="28"/>
      <w:pBdr>
        <w:bottom w:val="none" w:color="auto" w:sz="0" w:space="1"/>
      </w:pBd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BDDF1">
    <w:pPr>
      <w:pStyle w:val="28"/>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8A0F9">
    <w:pPr>
      <w:pStyle w:val="28"/>
      <w:pBdr>
        <w:bottom w:val="none" w:color="auto" w:sz="0" w:space="0"/>
      </w:pBdr>
      <w:ind w:firstLine="48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267FD">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134720"/>
    <w:multiLevelType w:val="singleLevel"/>
    <w:tmpl w:val="B2134720"/>
    <w:lvl w:ilvl="0" w:tentative="0">
      <w:start w:val="2"/>
      <w:numFmt w:val="chineseCounting"/>
      <w:suff w:val="space"/>
      <w:lvlText w:val="第%1部分"/>
      <w:lvlJc w:val="left"/>
      <w:rPr>
        <w:rFonts w:hint="eastAsia"/>
      </w:rPr>
    </w:lvl>
  </w:abstractNum>
  <w:abstractNum w:abstractNumId="1">
    <w:nsid w:val="B281BC9F"/>
    <w:multiLevelType w:val="singleLevel"/>
    <w:tmpl w:val="B281BC9F"/>
    <w:lvl w:ilvl="0" w:tentative="0">
      <w:start w:val="1"/>
      <w:numFmt w:val="decimal"/>
      <w:suff w:val="nothing"/>
      <w:lvlText w:val="%1、"/>
      <w:lvlJc w:val="left"/>
    </w:lvl>
  </w:abstractNum>
  <w:abstractNum w:abstractNumId="2">
    <w:nsid w:val="DF8DFBB2"/>
    <w:multiLevelType w:val="singleLevel"/>
    <w:tmpl w:val="DF8DFBB2"/>
    <w:lvl w:ilvl="0" w:tentative="0">
      <w:start w:val="1"/>
      <w:numFmt w:val="chineseCounting"/>
      <w:suff w:val="nothing"/>
      <w:lvlText w:val="%1、"/>
      <w:lvlJc w:val="left"/>
      <w:pPr>
        <w:ind w:left="0" w:firstLine="420"/>
      </w:pPr>
      <w:rPr>
        <w:rFonts w:hint="eastAsia"/>
      </w:rPr>
    </w:lvl>
  </w:abstractNum>
  <w:abstractNum w:abstractNumId="3">
    <w:nsid w:val="F5E80F08"/>
    <w:multiLevelType w:val="singleLevel"/>
    <w:tmpl w:val="F5E80F08"/>
    <w:lvl w:ilvl="0" w:tentative="0">
      <w:start w:val="23"/>
      <w:numFmt w:val="decimal"/>
      <w:suff w:val="space"/>
      <w:lvlText w:val="%1."/>
      <w:lvlJc w:val="left"/>
    </w:lvl>
  </w:abstractNum>
  <w:abstractNum w:abstractNumId="4">
    <w:nsid w:val="00000003"/>
    <w:multiLevelType w:val="singleLevel"/>
    <w:tmpl w:val="00000003"/>
    <w:lvl w:ilvl="0" w:tentative="0">
      <w:start w:val="1"/>
      <w:numFmt w:val="decimal"/>
      <w:suff w:val="nothing"/>
      <w:lvlText w:val="%1、"/>
      <w:lvlJc w:val="left"/>
      <w:pPr>
        <w:tabs>
          <w:tab w:val="left" w:pos="0"/>
        </w:tabs>
        <w:ind w:left="0" w:firstLine="0"/>
      </w:pPr>
    </w:lvl>
  </w:abstractNum>
  <w:abstractNum w:abstractNumId="5">
    <w:nsid w:val="00000008"/>
    <w:multiLevelType w:val="singleLevel"/>
    <w:tmpl w:val="00000008"/>
    <w:lvl w:ilvl="0" w:tentative="0">
      <w:start w:val="1"/>
      <w:numFmt w:val="decimal"/>
      <w:pStyle w:val="9"/>
      <w:lvlText w:val="%1."/>
      <w:lvlJc w:val="left"/>
      <w:pPr>
        <w:tabs>
          <w:tab w:val="left" w:pos="2040"/>
        </w:tabs>
        <w:ind w:left="2040" w:hanging="360"/>
      </w:pPr>
    </w:lvl>
  </w:abstractNum>
  <w:abstractNum w:abstractNumId="6">
    <w:nsid w:val="00000009"/>
    <w:multiLevelType w:val="singleLevel"/>
    <w:tmpl w:val="00000009"/>
    <w:lvl w:ilvl="0" w:tentative="0">
      <w:start w:val="1"/>
      <w:numFmt w:val="decimal"/>
      <w:pStyle w:val="13"/>
      <w:lvlText w:val="%1."/>
      <w:lvlJc w:val="left"/>
      <w:pPr>
        <w:tabs>
          <w:tab w:val="left" w:pos="1620"/>
        </w:tabs>
        <w:ind w:left="1620" w:hanging="360"/>
      </w:pPr>
    </w:lvl>
  </w:abstractNum>
  <w:abstractNum w:abstractNumId="7">
    <w:nsid w:val="0000000A"/>
    <w:multiLevelType w:val="singleLevel"/>
    <w:tmpl w:val="0000000A"/>
    <w:lvl w:ilvl="0" w:tentative="0">
      <w:start w:val="1"/>
      <w:numFmt w:val="decimal"/>
      <w:pStyle w:val="10"/>
      <w:lvlText w:val="%1."/>
      <w:lvlJc w:val="left"/>
      <w:pPr>
        <w:tabs>
          <w:tab w:val="left" w:pos="780"/>
        </w:tabs>
        <w:ind w:left="780" w:hanging="360"/>
      </w:pPr>
    </w:lvl>
  </w:abstractNum>
  <w:abstractNum w:abstractNumId="8">
    <w:nsid w:val="0000000B"/>
    <w:multiLevelType w:val="singleLevel"/>
    <w:tmpl w:val="0000000B"/>
    <w:lvl w:ilvl="0" w:tentative="0">
      <w:start w:val="1"/>
      <w:numFmt w:val="bullet"/>
      <w:pStyle w:val="23"/>
      <w:lvlText w:val=""/>
      <w:lvlJc w:val="left"/>
      <w:pPr>
        <w:tabs>
          <w:tab w:val="left" w:pos="2040"/>
        </w:tabs>
        <w:ind w:left="2040" w:hanging="360"/>
      </w:pPr>
      <w:rPr>
        <w:rFonts w:hint="default" w:ascii="Wingdings" w:hAnsi="Wingdings"/>
      </w:rPr>
    </w:lvl>
  </w:abstractNum>
  <w:abstractNum w:abstractNumId="9">
    <w:nsid w:val="0000000C"/>
    <w:multiLevelType w:val="singleLevel"/>
    <w:tmpl w:val="0000000C"/>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10">
    <w:nsid w:val="0000000D"/>
    <w:multiLevelType w:val="singleLevel"/>
    <w:tmpl w:val="0000000D"/>
    <w:lvl w:ilvl="0" w:tentative="0">
      <w:start w:val="1"/>
      <w:numFmt w:val="bullet"/>
      <w:pStyle w:val="34"/>
      <w:lvlText w:val=""/>
      <w:lvlJc w:val="left"/>
      <w:pPr>
        <w:tabs>
          <w:tab w:val="left" w:pos="780"/>
        </w:tabs>
        <w:ind w:left="780" w:hanging="360"/>
      </w:pPr>
      <w:rPr>
        <w:rFonts w:hint="default" w:ascii="Wingdings" w:hAnsi="Wingdings"/>
      </w:rPr>
    </w:lvl>
  </w:abstractNum>
  <w:abstractNum w:abstractNumId="11">
    <w:nsid w:val="0000000E"/>
    <w:multiLevelType w:val="singleLevel"/>
    <w:tmpl w:val="0000000E"/>
    <w:lvl w:ilvl="0" w:tentative="0">
      <w:start w:val="1"/>
      <w:numFmt w:val="bullet"/>
      <w:pStyle w:val="69"/>
      <w:lvlText w:val=""/>
      <w:lvlJc w:val="left"/>
      <w:pPr>
        <w:tabs>
          <w:tab w:val="left" w:pos="360"/>
        </w:tabs>
        <w:ind w:left="360" w:hanging="360"/>
      </w:pPr>
      <w:rPr>
        <w:rFonts w:hint="default" w:ascii="Wingdings" w:hAnsi="Wingdings"/>
      </w:rPr>
    </w:lvl>
  </w:abstractNum>
  <w:abstractNum w:abstractNumId="12">
    <w:nsid w:val="0000000F"/>
    <w:multiLevelType w:val="multilevel"/>
    <w:tmpl w:val="0000000F"/>
    <w:lvl w:ilvl="0" w:tentative="0">
      <w:start w:val="1"/>
      <w:numFmt w:val="decimal"/>
      <w:lvlText w:val="（%1）"/>
      <w:lvlJc w:val="left"/>
      <w:pPr>
        <w:tabs>
          <w:tab w:val="left" w:pos="1200"/>
        </w:tabs>
        <w:ind w:left="1200" w:hanging="720"/>
      </w:pPr>
      <w:rPr>
        <w:rFonts w:hint="eastAsia" w:ascii="宋体" w:hAnsi="Times New Roman" w:eastAsia="宋体"/>
      </w:rPr>
    </w:lvl>
    <w:lvl w:ilvl="1" w:tentative="0">
      <w:start w:val="1"/>
      <w:numFmt w:val="lowerLetter"/>
      <w:lvlText w:val="%2)"/>
      <w:lvlJc w:val="left"/>
      <w:pPr>
        <w:tabs>
          <w:tab w:val="left" w:pos="1320"/>
        </w:tabs>
        <w:ind w:left="1320" w:hanging="420"/>
      </w:pPr>
      <w:rPr>
        <w:rFonts w:hint="eastAsia"/>
      </w:rPr>
    </w:lvl>
    <w:lvl w:ilvl="2" w:tentative="0">
      <w:start w:val="1"/>
      <w:numFmt w:val="lowerRoman"/>
      <w:lvlText w:val="%3."/>
      <w:lvlJc w:val="right"/>
      <w:pPr>
        <w:tabs>
          <w:tab w:val="left" w:pos="1740"/>
        </w:tabs>
        <w:ind w:left="1740" w:hanging="420"/>
      </w:pPr>
      <w:rPr>
        <w:rFonts w:hint="eastAsia"/>
      </w:rPr>
    </w:lvl>
    <w:lvl w:ilvl="3" w:tentative="0">
      <w:start w:val="1"/>
      <w:numFmt w:val="decimal"/>
      <w:lvlText w:val="%4."/>
      <w:lvlJc w:val="left"/>
      <w:pPr>
        <w:tabs>
          <w:tab w:val="left" w:pos="2160"/>
        </w:tabs>
        <w:ind w:left="2160" w:hanging="420"/>
      </w:pPr>
      <w:rPr>
        <w:rFonts w:hint="eastAsia"/>
      </w:rPr>
    </w:lvl>
    <w:lvl w:ilvl="4" w:tentative="0">
      <w:start w:val="1"/>
      <w:numFmt w:val="lowerLetter"/>
      <w:lvlText w:val="%5)"/>
      <w:lvlJc w:val="left"/>
      <w:pPr>
        <w:tabs>
          <w:tab w:val="left" w:pos="2580"/>
        </w:tabs>
        <w:ind w:left="2580" w:hanging="420"/>
      </w:pPr>
      <w:rPr>
        <w:rFonts w:hint="eastAsia"/>
      </w:rPr>
    </w:lvl>
    <w:lvl w:ilvl="5" w:tentative="0">
      <w:start w:val="1"/>
      <w:numFmt w:val="lowerRoman"/>
      <w:lvlText w:val="%6."/>
      <w:lvlJc w:val="right"/>
      <w:pPr>
        <w:tabs>
          <w:tab w:val="left" w:pos="3000"/>
        </w:tabs>
        <w:ind w:left="3000" w:hanging="42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abstractNum w:abstractNumId="13">
    <w:nsid w:val="00000010"/>
    <w:multiLevelType w:val="multilevel"/>
    <w:tmpl w:val="00000010"/>
    <w:lvl w:ilvl="0" w:tentative="0">
      <w:start w:val="1"/>
      <w:numFmt w:val="decimal"/>
      <w:lvlText w:val="（%1）"/>
      <w:lvlJc w:val="left"/>
      <w:pPr>
        <w:tabs>
          <w:tab w:val="left" w:pos="1200"/>
        </w:tabs>
        <w:ind w:left="1200" w:hanging="720"/>
      </w:pPr>
      <w:rPr>
        <w:rFonts w:hint="eastAsia" w:ascii="宋体" w:hAnsi="Times New Roman" w:eastAsia="宋体"/>
      </w:rPr>
    </w:lvl>
    <w:lvl w:ilvl="1" w:tentative="0">
      <w:start w:val="1"/>
      <w:numFmt w:val="lowerLetter"/>
      <w:lvlText w:val="%2)"/>
      <w:lvlJc w:val="left"/>
      <w:pPr>
        <w:tabs>
          <w:tab w:val="left" w:pos="1320"/>
        </w:tabs>
        <w:ind w:left="1320" w:hanging="420"/>
      </w:pPr>
      <w:rPr>
        <w:rFonts w:hint="eastAsia"/>
      </w:rPr>
    </w:lvl>
    <w:lvl w:ilvl="2" w:tentative="0">
      <w:start w:val="1"/>
      <w:numFmt w:val="lowerRoman"/>
      <w:lvlText w:val="%3."/>
      <w:lvlJc w:val="right"/>
      <w:pPr>
        <w:tabs>
          <w:tab w:val="left" w:pos="1740"/>
        </w:tabs>
        <w:ind w:left="1740" w:hanging="420"/>
      </w:pPr>
      <w:rPr>
        <w:rFonts w:hint="eastAsia"/>
      </w:rPr>
    </w:lvl>
    <w:lvl w:ilvl="3" w:tentative="0">
      <w:start w:val="1"/>
      <w:numFmt w:val="decimal"/>
      <w:lvlText w:val="%4."/>
      <w:lvlJc w:val="left"/>
      <w:pPr>
        <w:tabs>
          <w:tab w:val="left" w:pos="2160"/>
        </w:tabs>
        <w:ind w:left="2160" w:hanging="420"/>
      </w:pPr>
      <w:rPr>
        <w:rFonts w:hint="eastAsia"/>
      </w:rPr>
    </w:lvl>
    <w:lvl w:ilvl="4" w:tentative="0">
      <w:start w:val="1"/>
      <w:numFmt w:val="lowerLetter"/>
      <w:lvlText w:val="%5)"/>
      <w:lvlJc w:val="left"/>
      <w:pPr>
        <w:tabs>
          <w:tab w:val="left" w:pos="2580"/>
        </w:tabs>
        <w:ind w:left="2580" w:hanging="420"/>
      </w:pPr>
      <w:rPr>
        <w:rFonts w:hint="eastAsia"/>
      </w:rPr>
    </w:lvl>
    <w:lvl w:ilvl="5" w:tentative="0">
      <w:start w:val="1"/>
      <w:numFmt w:val="lowerRoman"/>
      <w:lvlText w:val="%6."/>
      <w:lvlJc w:val="right"/>
      <w:pPr>
        <w:tabs>
          <w:tab w:val="left" w:pos="3000"/>
        </w:tabs>
        <w:ind w:left="3000" w:hanging="42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abstractNum w:abstractNumId="14">
    <w:nsid w:val="00000012"/>
    <w:multiLevelType w:val="multilevel"/>
    <w:tmpl w:val="00000012"/>
    <w:lvl w:ilvl="0" w:tentative="0">
      <w:start w:val="1"/>
      <w:numFmt w:val="decimal"/>
      <w:pStyle w:val="164"/>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5">
    <w:nsid w:val="0000001B"/>
    <w:multiLevelType w:val="singleLevel"/>
    <w:tmpl w:val="0000001B"/>
    <w:lvl w:ilvl="0" w:tentative="0">
      <w:start w:val="1"/>
      <w:numFmt w:val="decimal"/>
      <w:suff w:val="nothing"/>
      <w:lvlText w:val="4.%1 "/>
      <w:lvlJc w:val="left"/>
      <w:pPr>
        <w:ind w:left="0" w:firstLine="400"/>
      </w:pPr>
      <w:rPr>
        <w:rFonts w:hint="default"/>
      </w:rPr>
    </w:lvl>
  </w:abstractNum>
  <w:abstractNum w:abstractNumId="16">
    <w:nsid w:val="0000002B"/>
    <w:multiLevelType w:val="singleLevel"/>
    <w:tmpl w:val="0000002B"/>
    <w:lvl w:ilvl="0" w:tentative="0">
      <w:start w:val="5"/>
      <w:numFmt w:val="decimal"/>
      <w:suff w:val="nothing"/>
      <w:lvlText w:val="%1、"/>
      <w:lvlJc w:val="left"/>
    </w:lvl>
  </w:abstractNum>
  <w:abstractNum w:abstractNumId="17">
    <w:nsid w:val="0000002C"/>
    <w:multiLevelType w:val="singleLevel"/>
    <w:tmpl w:val="0000002C"/>
    <w:lvl w:ilvl="0" w:tentative="0">
      <w:start w:val="1"/>
      <w:numFmt w:val="chineseCounting"/>
      <w:suff w:val="nothing"/>
      <w:lvlText w:val="%1、"/>
      <w:lvlJc w:val="left"/>
      <w:pPr>
        <w:ind w:left="0" w:firstLine="420"/>
      </w:pPr>
      <w:rPr>
        <w:rFonts w:hint="eastAsia"/>
      </w:rPr>
    </w:lvl>
  </w:abstractNum>
  <w:abstractNum w:abstractNumId="18">
    <w:nsid w:val="0000002E"/>
    <w:multiLevelType w:val="singleLevel"/>
    <w:tmpl w:val="0000002E"/>
    <w:lvl w:ilvl="0" w:tentative="0">
      <w:start w:val="1"/>
      <w:numFmt w:val="decimal"/>
      <w:suff w:val="nothing"/>
      <w:lvlText w:val="%1、"/>
      <w:lvlJc w:val="left"/>
      <w:pPr>
        <w:tabs>
          <w:tab w:val="left" w:pos="0"/>
        </w:tabs>
        <w:ind w:firstLine="403"/>
      </w:pPr>
      <w:rPr>
        <w:rFonts w:hint="default" w:ascii="Arial" w:hAnsi="Arial" w:eastAsia="宋体" w:cs="宋体"/>
        <w:b w:val="0"/>
        <w:bCs w:val="0"/>
      </w:rPr>
    </w:lvl>
  </w:abstractNum>
  <w:abstractNum w:abstractNumId="19">
    <w:nsid w:val="00000041"/>
    <w:multiLevelType w:val="singleLevel"/>
    <w:tmpl w:val="00000041"/>
    <w:lvl w:ilvl="0" w:tentative="0">
      <w:start w:val="1"/>
      <w:numFmt w:val="decimal"/>
      <w:suff w:val="nothing"/>
      <w:lvlText w:val="7.%1 "/>
      <w:lvlJc w:val="left"/>
      <w:pPr>
        <w:ind w:left="0" w:firstLine="400"/>
      </w:pPr>
      <w:rPr>
        <w:rFonts w:hint="default"/>
      </w:rPr>
    </w:lvl>
  </w:abstractNum>
  <w:abstractNum w:abstractNumId="20">
    <w:nsid w:val="00000046"/>
    <w:multiLevelType w:val="singleLevel"/>
    <w:tmpl w:val="00000046"/>
    <w:lvl w:ilvl="0" w:tentative="0">
      <w:start w:val="1"/>
      <w:numFmt w:val="decimal"/>
      <w:suff w:val="nothing"/>
      <w:lvlText w:val="4.2.%1 "/>
      <w:lvlJc w:val="left"/>
      <w:pPr>
        <w:ind w:left="0" w:firstLine="400"/>
      </w:pPr>
      <w:rPr>
        <w:rFonts w:hint="default"/>
      </w:rPr>
    </w:lvl>
  </w:abstractNum>
  <w:abstractNum w:abstractNumId="21">
    <w:nsid w:val="0000004C"/>
    <w:multiLevelType w:val="singleLevel"/>
    <w:tmpl w:val="0000004C"/>
    <w:lvl w:ilvl="0" w:tentative="0">
      <w:start w:val="1"/>
      <w:numFmt w:val="decimal"/>
      <w:suff w:val="nothing"/>
      <w:lvlText w:val="%1、"/>
      <w:lvlJc w:val="left"/>
      <w:rPr>
        <w:rFonts w:hint="default"/>
        <w:color w:val="auto"/>
      </w:rPr>
    </w:lvl>
  </w:abstractNum>
  <w:abstractNum w:abstractNumId="22">
    <w:nsid w:val="00000054"/>
    <w:multiLevelType w:val="singleLevel"/>
    <w:tmpl w:val="00000054"/>
    <w:lvl w:ilvl="0" w:tentative="0">
      <w:start w:val="1"/>
      <w:numFmt w:val="decimal"/>
      <w:suff w:val="nothing"/>
      <w:lvlText w:val="%1、"/>
      <w:lvlJc w:val="left"/>
    </w:lvl>
  </w:abstractNum>
  <w:abstractNum w:abstractNumId="23">
    <w:nsid w:val="0000005A"/>
    <w:multiLevelType w:val="singleLevel"/>
    <w:tmpl w:val="0000005A"/>
    <w:lvl w:ilvl="0" w:tentative="0">
      <w:start w:val="1"/>
      <w:numFmt w:val="decimal"/>
      <w:suff w:val="nothing"/>
      <w:lvlText w:val="5.%1 "/>
      <w:lvlJc w:val="left"/>
      <w:pPr>
        <w:ind w:left="0" w:firstLine="400"/>
      </w:pPr>
      <w:rPr>
        <w:rFonts w:hint="default"/>
      </w:rPr>
    </w:lvl>
  </w:abstractNum>
  <w:abstractNum w:abstractNumId="24">
    <w:nsid w:val="22B8CB0C"/>
    <w:multiLevelType w:val="singleLevel"/>
    <w:tmpl w:val="22B8CB0C"/>
    <w:lvl w:ilvl="0" w:tentative="0">
      <w:start w:val="2"/>
      <w:numFmt w:val="decimal"/>
      <w:suff w:val="nothing"/>
      <w:lvlText w:val="%1、"/>
      <w:lvlJc w:val="left"/>
    </w:lvl>
  </w:abstractNum>
  <w:abstractNum w:abstractNumId="25">
    <w:nsid w:val="42B7E391"/>
    <w:multiLevelType w:val="singleLevel"/>
    <w:tmpl w:val="42B7E391"/>
    <w:lvl w:ilvl="0" w:tentative="0">
      <w:start w:val="1"/>
      <w:numFmt w:val="chineseCounting"/>
      <w:suff w:val="nothing"/>
      <w:lvlText w:val="%1、"/>
      <w:lvlJc w:val="left"/>
      <w:pPr>
        <w:ind w:left="0" w:firstLine="420"/>
      </w:pPr>
      <w:rPr>
        <w:rFonts w:hint="eastAsia"/>
      </w:rPr>
    </w:lvl>
  </w:abstractNum>
  <w:abstractNum w:abstractNumId="26">
    <w:nsid w:val="506971A5"/>
    <w:multiLevelType w:val="singleLevel"/>
    <w:tmpl w:val="506971A5"/>
    <w:lvl w:ilvl="0" w:tentative="0">
      <w:start w:val="1"/>
      <w:numFmt w:val="chineseCounting"/>
      <w:suff w:val="nothing"/>
      <w:lvlText w:val="%1、"/>
      <w:lvlJc w:val="left"/>
      <w:pPr>
        <w:ind w:left="0" w:firstLine="420"/>
      </w:pPr>
      <w:rPr>
        <w:rFonts w:hint="eastAsia"/>
      </w:rPr>
    </w:lvl>
  </w:abstractNum>
  <w:abstractNum w:abstractNumId="27">
    <w:nsid w:val="50E30753"/>
    <w:multiLevelType w:val="singleLevel"/>
    <w:tmpl w:val="50E30753"/>
    <w:lvl w:ilvl="0" w:tentative="0">
      <w:start w:val="1"/>
      <w:numFmt w:val="decimal"/>
      <w:suff w:val="space"/>
      <w:lvlText w:val="%1、"/>
      <w:lvlJc w:val="left"/>
    </w:lvl>
  </w:abstractNum>
  <w:abstractNum w:abstractNumId="28">
    <w:nsid w:val="692F7078"/>
    <w:multiLevelType w:val="singleLevel"/>
    <w:tmpl w:val="692F7078"/>
    <w:lvl w:ilvl="0" w:tentative="0">
      <w:start w:val="1"/>
      <w:numFmt w:val="chineseCounting"/>
      <w:suff w:val="nothing"/>
      <w:lvlText w:val="%1、"/>
      <w:lvlJc w:val="left"/>
      <w:pPr>
        <w:ind w:left="0" w:firstLine="420"/>
      </w:pPr>
      <w:rPr>
        <w:rFonts w:hint="eastAsia"/>
      </w:rPr>
    </w:lvl>
  </w:abstractNum>
  <w:num w:numId="1">
    <w:abstractNumId w:val="14"/>
  </w:num>
  <w:num w:numId="2">
    <w:abstractNumId w:val="5"/>
  </w:num>
  <w:num w:numId="3">
    <w:abstractNumId w:val="7"/>
  </w:num>
  <w:num w:numId="4">
    <w:abstractNumId w:val="6"/>
  </w:num>
  <w:num w:numId="5">
    <w:abstractNumId w:val="9"/>
  </w:num>
  <w:num w:numId="6">
    <w:abstractNumId w:val="8"/>
  </w:num>
  <w:num w:numId="7">
    <w:abstractNumId w:val="10"/>
  </w:num>
  <w:num w:numId="8">
    <w:abstractNumId w:val="11"/>
  </w:num>
  <w:num w:numId="9">
    <w:abstractNumId w:val="18"/>
  </w:num>
  <w:num w:numId="10">
    <w:abstractNumId w:val="26"/>
  </w:num>
  <w:num w:numId="11">
    <w:abstractNumId w:val="3"/>
  </w:num>
  <w:num w:numId="12">
    <w:abstractNumId w:val="1"/>
  </w:num>
  <w:num w:numId="13">
    <w:abstractNumId w:val="17"/>
  </w:num>
  <w:num w:numId="14">
    <w:abstractNumId w:val="15"/>
  </w:num>
  <w:num w:numId="15">
    <w:abstractNumId w:val="20"/>
  </w:num>
  <w:num w:numId="16">
    <w:abstractNumId w:val="16"/>
  </w:num>
  <w:num w:numId="17">
    <w:abstractNumId w:val="23"/>
  </w:num>
  <w:num w:numId="18">
    <w:abstractNumId w:val="19"/>
  </w:num>
  <w:num w:numId="19">
    <w:abstractNumId w:val="0"/>
  </w:num>
  <w:num w:numId="20">
    <w:abstractNumId w:val="2"/>
  </w:num>
  <w:num w:numId="21">
    <w:abstractNumId w:val="28"/>
  </w:num>
  <w:num w:numId="22">
    <w:abstractNumId w:val="4"/>
  </w:num>
  <w:num w:numId="23">
    <w:abstractNumId w:val="13"/>
  </w:num>
  <w:num w:numId="24">
    <w:abstractNumId w:val="12"/>
  </w:num>
  <w:num w:numId="25">
    <w:abstractNumId w:val="25"/>
  </w:num>
  <w:num w:numId="26">
    <w:abstractNumId w:val="21"/>
  </w:num>
  <w:num w:numId="27">
    <w:abstractNumId w:val="22"/>
  </w:num>
  <w:num w:numId="28">
    <w:abstractNumId w:val="27"/>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RiOWM1YzEyYTA3ZWQwNjJjNjQ3MzY3NTdlOTY1ODUifQ=="/>
  </w:docVars>
  <w:rsids>
    <w:rsidRoot w:val="00302E44"/>
    <w:rsid w:val="000017C2"/>
    <w:rsid w:val="00002BD2"/>
    <w:rsid w:val="000038B4"/>
    <w:rsid w:val="00015BE4"/>
    <w:rsid w:val="000165FA"/>
    <w:rsid w:val="000201C2"/>
    <w:rsid w:val="00021C07"/>
    <w:rsid w:val="00023FA1"/>
    <w:rsid w:val="00024BE6"/>
    <w:rsid w:val="000313D9"/>
    <w:rsid w:val="00032694"/>
    <w:rsid w:val="00036C61"/>
    <w:rsid w:val="00046E77"/>
    <w:rsid w:val="000604C6"/>
    <w:rsid w:val="0006464D"/>
    <w:rsid w:val="00070C1F"/>
    <w:rsid w:val="0009732E"/>
    <w:rsid w:val="000A0692"/>
    <w:rsid w:val="000A1958"/>
    <w:rsid w:val="000A3F7D"/>
    <w:rsid w:val="000B57B0"/>
    <w:rsid w:val="000B6F2C"/>
    <w:rsid w:val="000C6EF6"/>
    <w:rsid w:val="000D10CE"/>
    <w:rsid w:val="000D3DD4"/>
    <w:rsid w:val="000D59A4"/>
    <w:rsid w:val="000D6F76"/>
    <w:rsid w:val="000E4334"/>
    <w:rsid w:val="000E73E3"/>
    <w:rsid w:val="000F1153"/>
    <w:rsid w:val="000F33AE"/>
    <w:rsid w:val="000F62B8"/>
    <w:rsid w:val="000F740D"/>
    <w:rsid w:val="001040EF"/>
    <w:rsid w:val="001206CB"/>
    <w:rsid w:val="00120D34"/>
    <w:rsid w:val="00130C9F"/>
    <w:rsid w:val="001371B0"/>
    <w:rsid w:val="001400C0"/>
    <w:rsid w:val="00144CDA"/>
    <w:rsid w:val="001454A8"/>
    <w:rsid w:val="0014743F"/>
    <w:rsid w:val="00156985"/>
    <w:rsid w:val="001735C1"/>
    <w:rsid w:val="0017408E"/>
    <w:rsid w:val="00177EA1"/>
    <w:rsid w:val="0018524B"/>
    <w:rsid w:val="00185931"/>
    <w:rsid w:val="00185C77"/>
    <w:rsid w:val="001A0A24"/>
    <w:rsid w:val="001A0E97"/>
    <w:rsid w:val="001A6431"/>
    <w:rsid w:val="001C3FBA"/>
    <w:rsid w:val="001C65DB"/>
    <w:rsid w:val="001D0A60"/>
    <w:rsid w:val="001D6D8E"/>
    <w:rsid w:val="001E0C13"/>
    <w:rsid w:val="001F1714"/>
    <w:rsid w:val="001F1B71"/>
    <w:rsid w:val="001F30CC"/>
    <w:rsid w:val="001F4EEF"/>
    <w:rsid w:val="002002BA"/>
    <w:rsid w:val="00200BCD"/>
    <w:rsid w:val="00202C98"/>
    <w:rsid w:val="00206E67"/>
    <w:rsid w:val="002107F0"/>
    <w:rsid w:val="00211E04"/>
    <w:rsid w:val="002120F5"/>
    <w:rsid w:val="00214AF2"/>
    <w:rsid w:val="00217C29"/>
    <w:rsid w:val="00222F14"/>
    <w:rsid w:val="00225C9A"/>
    <w:rsid w:val="00230899"/>
    <w:rsid w:val="00231B79"/>
    <w:rsid w:val="00242A99"/>
    <w:rsid w:val="00254CE2"/>
    <w:rsid w:val="0026527C"/>
    <w:rsid w:val="0027194C"/>
    <w:rsid w:val="00275CB2"/>
    <w:rsid w:val="002815CE"/>
    <w:rsid w:val="0028204A"/>
    <w:rsid w:val="002841DB"/>
    <w:rsid w:val="002856CE"/>
    <w:rsid w:val="002936D6"/>
    <w:rsid w:val="002A1588"/>
    <w:rsid w:val="002A2CC2"/>
    <w:rsid w:val="002B542D"/>
    <w:rsid w:val="002B77E4"/>
    <w:rsid w:val="002C25BD"/>
    <w:rsid w:val="002C345F"/>
    <w:rsid w:val="002C4E3F"/>
    <w:rsid w:val="002D4CAC"/>
    <w:rsid w:val="002D6CF1"/>
    <w:rsid w:val="002E2AB4"/>
    <w:rsid w:val="002E3475"/>
    <w:rsid w:val="002F07C6"/>
    <w:rsid w:val="002F188F"/>
    <w:rsid w:val="002F2CBB"/>
    <w:rsid w:val="002F44E9"/>
    <w:rsid w:val="002F5220"/>
    <w:rsid w:val="0030074A"/>
    <w:rsid w:val="00302E33"/>
    <w:rsid w:val="00302E44"/>
    <w:rsid w:val="0030407A"/>
    <w:rsid w:val="00305BAD"/>
    <w:rsid w:val="00307DF3"/>
    <w:rsid w:val="00312958"/>
    <w:rsid w:val="00316408"/>
    <w:rsid w:val="00321E63"/>
    <w:rsid w:val="00333849"/>
    <w:rsid w:val="003343F5"/>
    <w:rsid w:val="00340C9D"/>
    <w:rsid w:val="00341F71"/>
    <w:rsid w:val="00350E64"/>
    <w:rsid w:val="003537CA"/>
    <w:rsid w:val="003725B5"/>
    <w:rsid w:val="00375879"/>
    <w:rsid w:val="00381228"/>
    <w:rsid w:val="00390F32"/>
    <w:rsid w:val="003917A5"/>
    <w:rsid w:val="003B0217"/>
    <w:rsid w:val="003B19B3"/>
    <w:rsid w:val="003B2532"/>
    <w:rsid w:val="003B2A42"/>
    <w:rsid w:val="003B44B8"/>
    <w:rsid w:val="003B59A8"/>
    <w:rsid w:val="003B5F90"/>
    <w:rsid w:val="003C2403"/>
    <w:rsid w:val="003C3A14"/>
    <w:rsid w:val="003C42DC"/>
    <w:rsid w:val="003C4426"/>
    <w:rsid w:val="003C5033"/>
    <w:rsid w:val="003D3F49"/>
    <w:rsid w:val="003D6754"/>
    <w:rsid w:val="003E285C"/>
    <w:rsid w:val="003E54A4"/>
    <w:rsid w:val="003E6065"/>
    <w:rsid w:val="003E7164"/>
    <w:rsid w:val="003E7D8E"/>
    <w:rsid w:val="003F12D5"/>
    <w:rsid w:val="003F3CB8"/>
    <w:rsid w:val="003F4F5D"/>
    <w:rsid w:val="00407B88"/>
    <w:rsid w:val="00407FA0"/>
    <w:rsid w:val="00411F46"/>
    <w:rsid w:val="0041311C"/>
    <w:rsid w:val="0041459B"/>
    <w:rsid w:val="0042395F"/>
    <w:rsid w:val="004252D3"/>
    <w:rsid w:val="00435569"/>
    <w:rsid w:val="00440200"/>
    <w:rsid w:val="00441D67"/>
    <w:rsid w:val="00451449"/>
    <w:rsid w:val="00451835"/>
    <w:rsid w:val="00454797"/>
    <w:rsid w:val="0045576E"/>
    <w:rsid w:val="0045654F"/>
    <w:rsid w:val="00456D5D"/>
    <w:rsid w:val="004720E1"/>
    <w:rsid w:val="004743FB"/>
    <w:rsid w:val="00475A69"/>
    <w:rsid w:val="00482108"/>
    <w:rsid w:val="004843A3"/>
    <w:rsid w:val="004843A8"/>
    <w:rsid w:val="0048528B"/>
    <w:rsid w:val="00491FC3"/>
    <w:rsid w:val="004A55D8"/>
    <w:rsid w:val="004A65C7"/>
    <w:rsid w:val="004B53DE"/>
    <w:rsid w:val="004B6FFC"/>
    <w:rsid w:val="004C265D"/>
    <w:rsid w:val="004C2BFD"/>
    <w:rsid w:val="004C7E32"/>
    <w:rsid w:val="004D32BC"/>
    <w:rsid w:val="004E155F"/>
    <w:rsid w:val="004E4720"/>
    <w:rsid w:val="004F27BC"/>
    <w:rsid w:val="004F4A24"/>
    <w:rsid w:val="004F4FB8"/>
    <w:rsid w:val="005021A2"/>
    <w:rsid w:val="00502E9E"/>
    <w:rsid w:val="00507D91"/>
    <w:rsid w:val="00512D78"/>
    <w:rsid w:val="00527310"/>
    <w:rsid w:val="005304BB"/>
    <w:rsid w:val="005312EF"/>
    <w:rsid w:val="00533F72"/>
    <w:rsid w:val="00542469"/>
    <w:rsid w:val="00542669"/>
    <w:rsid w:val="0054281E"/>
    <w:rsid w:val="00543010"/>
    <w:rsid w:val="005468DC"/>
    <w:rsid w:val="0055785F"/>
    <w:rsid w:val="005657AE"/>
    <w:rsid w:val="005704F1"/>
    <w:rsid w:val="0057298E"/>
    <w:rsid w:val="0057376B"/>
    <w:rsid w:val="00583ABF"/>
    <w:rsid w:val="00583AD5"/>
    <w:rsid w:val="00591500"/>
    <w:rsid w:val="005932D0"/>
    <w:rsid w:val="00596518"/>
    <w:rsid w:val="005A099A"/>
    <w:rsid w:val="005A2E1D"/>
    <w:rsid w:val="005A30B1"/>
    <w:rsid w:val="005A559D"/>
    <w:rsid w:val="005B0625"/>
    <w:rsid w:val="005B20AC"/>
    <w:rsid w:val="005C0522"/>
    <w:rsid w:val="005C3109"/>
    <w:rsid w:val="005D2013"/>
    <w:rsid w:val="005E0112"/>
    <w:rsid w:val="005E0AF4"/>
    <w:rsid w:val="005E0E31"/>
    <w:rsid w:val="005E0E45"/>
    <w:rsid w:val="005E4072"/>
    <w:rsid w:val="005E5231"/>
    <w:rsid w:val="005F1B95"/>
    <w:rsid w:val="005F3835"/>
    <w:rsid w:val="005F3AE3"/>
    <w:rsid w:val="005F6AA0"/>
    <w:rsid w:val="00611DD7"/>
    <w:rsid w:val="00617AB2"/>
    <w:rsid w:val="00620D87"/>
    <w:rsid w:val="00621DE9"/>
    <w:rsid w:val="00631309"/>
    <w:rsid w:val="00640749"/>
    <w:rsid w:val="00642B4B"/>
    <w:rsid w:val="00647D38"/>
    <w:rsid w:val="00650DDD"/>
    <w:rsid w:val="0066031E"/>
    <w:rsid w:val="006649FF"/>
    <w:rsid w:val="006700F6"/>
    <w:rsid w:val="00670C69"/>
    <w:rsid w:val="00672CE7"/>
    <w:rsid w:val="00674DB1"/>
    <w:rsid w:val="00676527"/>
    <w:rsid w:val="00684C94"/>
    <w:rsid w:val="00693EDF"/>
    <w:rsid w:val="006A2B61"/>
    <w:rsid w:val="006A60A6"/>
    <w:rsid w:val="006B13E9"/>
    <w:rsid w:val="006B2EF9"/>
    <w:rsid w:val="006B3F94"/>
    <w:rsid w:val="006B65C0"/>
    <w:rsid w:val="006B7300"/>
    <w:rsid w:val="006C451C"/>
    <w:rsid w:val="006D77C2"/>
    <w:rsid w:val="006E401B"/>
    <w:rsid w:val="006F378D"/>
    <w:rsid w:val="006F4665"/>
    <w:rsid w:val="006F5FD1"/>
    <w:rsid w:val="00707FEE"/>
    <w:rsid w:val="00711F71"/>
    <w:rsid w:val="00713367"/>
    <w:rsid w:val="007175EB"/>
    <w:rsid w:val="00720C9D"/>
    <w:rsid w:val="00727F04"/>
    <w:rsid w:val="007320D7"/>
    <w:rsid w:val="00733247"/>
    <w:rsid w:val="00744A72"/>
    <w:rsid w:val="00744CFA"/>
    <w:rsid w:val="00744DDE"/>
    <w:rsid w:val="007457D5"/>
    <w:rsid w:val="00746DF4"/>
    <w:rsid w:val="00750970"/>
    <w:rsid w:val="00750EA8"/>
    <w:rsid w:val="00763523"/>
    <w:rsid w:val="00764D05"/>
    <w:rsid w:val="00764FCB"/>
    <w:rsid w:val="007702D3"/>
    <w:rsid w:val="00770D40"/>
    <w:rsid w:val="007717E8"/>
    <w:rsid w:val="00775E3F"/>
    <w:rsid w:val="00777E85"/>
    <w:rsid w:val="00786BFA"/>
    <w:rsid w:val="00790273"/>
    <w:rsid w:val="007950DF"/>
    <w:rsid w:val="007A10CA"/>
    <w:rsid w:val="007B08D3"/>
    <w:rsid w:val="007B5F33"/>
    <w:rsid w:val="007C189B"/>
    <w:rsid w:val="007C5780"/>
    <w:rsid w:val="007D635C"/>
    <w:rsid w:val="007E18B1"/>
    <w:rsid w:val="007E736C"/>
    <w:rsid w:val="007E7429"/>
    <w:rsid w:val="007F08DF"/>
    <w:rsid w:val="007F1FD8"/>
    <w:rsid w:val="007F21A0"/>
    <w:rsid w:val="00802D0C"/>
    <w:rsid w:val="00803311"/>
    <w:rsid w:val="00803F82"/>
    <w:rsid w:val="008049A8"/>
    <w:rsid w:val="008049FB"/>
    <w:rsid w:val="008053DA"/>
    <w:rsid w:val="00806EE6"/>
    <w:rsid w:val="008114C7"/>
    <w:rsid w:val="0081557F"/>
    <w:rsid w:val="00821529"/>
    <w:rsid w:val="0082279A"/>
    <w:rsid w:val="00822810"/>
    <w:rsid w:val="00826F68"/>
    <w:rsid w:val="00831C08"/>
    <w:rsid w:val="00835A59"/>
    <w:rsid w:val="00840645"/>
    <w:rsid w:val="0084142A"/>
    <w:rsid w:val="00850F06"/>
    <w:rsid w:val="00852397"/>
    <w:rsid w:val="0086230B"/>
    <w:rsid w:val="008774E6"/>
    <w:rsid w:val="00884DBA"/>
    <w:rsid w:val="008962F6"/>
    <w:rsid w:val="00897EBE"/>
    <w:rsid w:val="008C0DE8"/>
    <w:rsid w:val="008C1AA0"/>
    <w:rsid w:val="008C469A"/>
    <w:rsid w:val="008C5C83"/>
    <w:rsid w:val="008C7514"/>
    <w:rsid w:val="008D295E"/>
    <w:rsid w:val="008D3413"/>
    <w:rsid w:val="008D747B"/>
    <w:rsid w:val="008F17AA"/>
    <w:rsid w:val="008F2860"/>
    <w:rsid w:val="008F7E65"/>
    <w:rsid w:val="00911E1D"/>
    <w:rsid w:val="0091239F"/>
    <w:rsid w:val="00915FD0"/>
    <w:rsid w:val="009161FD"/>
    <w:rsid w:val="00926010"/>
    <w:rsid w:val="009305D9"/>
    <w:rsid w:val="009319A8"/>
    <w:rsid w:val="00943A82"/>
    <w:rsid w:val="0094488A"/>
    <w:rsid w:val="009462F3"/>
    <w:rsid w:val="009517F0"/>
    <w:rsid w:val="00953E6A"/>
    <w:rsid w:val="00966F04"/>
    <w:rsid w:val="00971C18"/>
    <w:rsid w:val="0097350E"/>
    <w:rsid w:val="00980691"/>
    <w:rsid w:val="00984B2F"/>
    <w:rsid w:val="00994131"/>
    <w:rsid w:val="0099537E"/>
    <w:rsid w:val="00996257"/>
    <w:rsid w:val="009A44AF"/>
    <w:rsid w:val="009A4DB9"/>
    <w:rsid w:val="009A78C1"/>
    <w:rsid w:val="009B03F6"/>
    <w:rsid w:val="009B27B5"/>
    <w:rsid w:val="009B4526"/>
    <w:rsid w:val="009B56B7"/>
    <w:rsid w:val="009C02B1"/>
    <w:rsid w:val="009C3373"/>
    <w:rsid w:val="009C7BC0"/>
    <w:rsid w:val="009D0C1A"/>
    <w:rsid w:val="009D1E7B"/>
    <w:rsid w:val="009D211F"/>
    <w:rsid w:val="009E4F25"/>
    <w:rsid w:val="009E666D"/>
    <w:rsid w:val="009F2D22"/>
    <w:rsid w:val="009F3426"/>
    <w:rsid w:val="009F649E"/>
    <w:rsid w:val="009F7CBB"/>
    <w:rsid w:val="00A1380D"/>
    <w:rsid w:val="00A203F4"/>
    <w:rsid w:val="00A217F7"/>
    <w:rsid w:val="00A36EEB"/>
    <w:rsid w:val="00A43C52"/>
    <w:rsid w:val="00A466C2"/>
    <w:rsid w:val="00A57200"/>
    <w:rsid w:val="00A71B3C"/>
    <w:rsid w:val="00A74CD2"/>
    <w:rsid w:val="00A75274"/>
    <w:rsid w:val="00A75E3B"/>
    <w:rsid w:val="00A7634D"/>
    <w:rsid w:val="00A774E4"/>
    <w:rsid w:val="00A9386C"/>
    <w:rsid w:val="00A94829"/>
    <w:rsid w:val="00A95C52"/>
    <w:rsid w:val="00AA5767"/>
    <w:rsid w:val="00AA5933"/>
    <w:rsid w:val="00AB7ED9"/>
    <w:rsid w:val="00AC2AB4"/>
    <w:rsid w:val="00AC4B5E"/>
    <w:rsid w:val="00AD2200"/>
    <w:rsid w:val="00AE735A"/>
    <w:rsid w:val="00AE7DCF"/>
    <w:rsid w:val="00AF077A"/>
    <w:rsid w:val="00AF4CA6"/>
    <w:rsid w:val="00AF7234"/>
    <w:rsid w:val="00B00B2D"/>
    <w:rsid w:val="00B01569"/>
    <w:rsid w:val="00B03B4E"/>
    <w:rsid w:val="00B11D25"/>
    <w:rsid w:val="00B14FB3"/>
    <w:rsid w:val="00B16393"/>
    <w:rsid w:val="00B20DE0"/>
    <w:rsid w:val="00B2267C"/>
    <w:rsid w:val="00B2779C"/>
    <w:rsid w:val="00B32BAE"/>
    <w:rsid w:val="00B3459D"/>
    <w:rsid w:val="00B34BC1"/>
    <w:rsid w:val="00B34F4D"/>
    <w:rsid w:val="00B350AE"/>
    <w:rsid w:val="00B37C6E"/>
    <w:rsid w:val="00B455A4"/>
    <w:rsid w:val="00B45F2C"/>
    <w:rsid w:val="00B47683"/>
    <w:rsid w:val="00B51B08"/>
    <w:rsid w:val="00B51DB2"/>
    <w:rsid w:val="00B537BA"/>
    <w:rsid w:val="00B53B9F"/>
    <w:rsid w:val="00B57806"/>
    <w:rsid w:val="00B63888"/>
    <w:rsid w:val="00B645A9"/>
    <w:rsid w:val="00B73679"/>
    <w:rsid w:val="00B73DC1"/>
    <w:rsid w:val="00B74226"/>
    <w:rsid w:val="00B7543B"/>
    <w:rsid w:val="00B75FA2"/>
    <w:rsid w:val="00B834B9"/>
    <w:rsid w:val="00B8554F"/>
    <w:rsid w:val="00B95C4B"/>
    <w:rsid w:val="00B9729E"/>
    <w:rsid w:val="00BB050C"/>
    <w:rsid w:val="00BB56CC"/>
    <w:rsid w:val="00BB6E23"/>
    <w:rsid w:val="00BB798E"/>
    <w:rsid w:val="00BB7B9D"/>
    <w:rsid w:val="00BD0B03"/>
    <w:rsid w:val="00BD0DD4"/>
    <w:rsid w:val="00BD1257"/>
    <w:rsid w:val="00BD3123"/>
    <w:rsid w:val="00BD541B"/>
    <w:rsid w:val="00BE04F2"/>
    <w:rsid w:val="00BE0C0E"/>
    <w:rsid w:val="00BE77B7"/>
    <w:rsid w:val="00BE7CE1"/>
    <w:rsid w:val="00BF42EA"/>
    <w:rsid w:val="00C02298"/>
    <w:rsid w:val="00C03CCE"/>
    <w:rsid w:val="00C055D9"/>
    <w:rsid w:val="00C17D4F"/>
    <w:rsid w:val="00C21A8B"/>
    <w:rsid w:val="00C23DF5"/>
    <w:rsid w:val="00C247E2"/>
    <w:rsid w:val="00C25A81"/>
    <w:rsid w:val="00C27E28"/>
    <w:rsid w:val="00C30BCE"/>
    <w:rsid w:val="00C346DA"/>
    <w:rsid w:val="00C352C7"/>
    <w:rsid w:val="00C35C83"/>
    <w:rsid w:val="00C366BB"/>
    <w:rsid w:val="00C368A7"/>
    <w:rsid w:val="00C46C77"/>
    <w:rsid w:val="00C46D4D"/>
    <w:rsid w:val="00C532A7"/>
    <w:rsid w:val="00C54EAC"/>
    <w:rsid w:val="00C56467"/>
    <w:rsid w:val="00C568BD"/>
    <w:rsid w:val="00C57619"/>
    <w:rsid w:val="00C70023"/>
    <w:rsid w:val="00C75402"/>
    <w:rsid w:val="00C77551"/>
    <w:rsid w:val="00C843A8"/>
    <w:rsid w:val="00C8522D"/>
    <w:rsid w:val="00C86B04"/>
    <w:rsid w:val="00C9053A"/>
    <w:rsid w:val="00C92C5C"/>
    <w:rsid w:val="00C94698"/>
    <w:rsid w:val="00C95C5F"/>
    <w:rsid w:val="00CA21E6"/>
    <w:rsid w:val="00CA2A30"/>
    <w:rsid w:val="00CA4CDC"/>
    <w:rsid w:val="00CB3A67"/>
    <w:rsid w:val="00CC0B51"/>
    <w:rsid w:val="00CC0D90"/>
    <w:rsid w:val="00CC2A60"/>
    <w:rsid w:val="00CC364F"/>
    <w:rsid w:val="00CC55E8"/>
    <w:rsid w:val="00CD1A5D"/>
    <w:rsid w:val="00CD5B9A"/>
    <w:rsid w:val="00CE0291"/>
    <w:rsid w:val="00CE19E1"/>
    <w:rsid w:val="00CE3D99"/>
    <w:rsid w:val="00CF37FF"/>
    <w:rsid w:val="00CF4097"/>
    <w:rsid w:val="00CF5507"/>
    <w:rsid w:val="00D01FB5"/>
    <w:rsid w:val="00D20DBB"/>
    <w:rsid w:val="00D21EDF"/>
    <w:rsid w:val="00D231A1"/>
    <w:rsid w:val="00D27853"/>
    <w:rsid w:val="00D32B12"/>
    <w:rsid w:val="00D34268"/>
    <w:rsid w:val="00D35370"/>
    <w:rsid w:val="00D35D25"/>
    <w:rsid w:val="00D42959"/>
    <w:rsid w:val="00D44667"/>
    <w:rsid w:val="00D57783"/>
    <w:rsid w:val="00D673E3"/>
    <w:rsid w:val="00D71626"/>
    <w:rsid w:val="00D72A3E"/>
    <w:rsid w:val="00D7300E"/>
    <w:rsid w:val="00D743CC"/>
    <w:rsid w:val="00D756E0"/>
    <w:rsid w:val="00D762DE"/>
    <w:rsid w:val="00D76ED8"/>
    <w:rsid w:val="00D775D9"/>
    <w:rsid w:val="00D8095F"/>
    <w:rsid w:val="00D81008"/>
    <w:rsid w:val="00D83F3D"/>
    <w:rsid w:val="00D96812"/>
    <w:rsid w:val="00DA0007"/>
    <w:rsid w:val="00DA307C"/>
    <w:rsid w:val="00DA460D"/>
    <w:rsid w:val="00DB1C50"/>
    <w:rsid w:val="00DC4CD9"/>
    <w:rsid w:val="00DC6F2E"/>
    <w:rsid w:val="00DC71F5"/>
    <w:rsid w:val="00DC78E0"/>
    <w:rsid w:val="00DE0B31"/>
    <w:rsid w:val="00DE47BC"/>
    <w:rsid w:val="00DE5AED"/>
    <w:rsid w:val="00DF35E6"/>
    <w:rsid w:val="00DF73A9"/>
    <w:rsid w:val="00E0013E"/>
    <w:rsid w:val="00E07AD9"/>
    <w:rsid w:val="00E11E48"/>
    <w:rsid w:val="00E14B39"/>
    <w:rsid w:val="00E20048"/>
    <w:rsid w:val="00E204CD"/>
    <w:rsid w:val="00E24A78"/>
    <w:rsid w:val="00E24BD8"/>
    <w:rsid w:val="00E25BC7"/>
    <w:rsid w:val="00E31D70"/>
    <w:rsid w:val="00E32D8B"/>
    <w:rsid w:val="00E331D4"/>
    <w:rsid w:val="00E33C02"/>
    <w:rsid w:val="00E34B83"/>
    <w:rsid w:val="00E3646C"/>
    <w:rsid w:val="00E47291"/>
    <w:rsid w:val="00E514B5"/>
    <w:rsid w:val="00E5385D"/>
    <w:rsid w:val="00E56A4E"/>
    <w:rsid w:val="00E56B38"/>
    <w:rsid w:val="00E61275"/>
    <w:rsid w:val="00E650D5"/>
    <w:rsid w:val="00E74619"/>
    <w:rsid w:val="00E77A84"/>
    <w:rsid w:val="00E8623A"/>
    <w:rsid w:val="00E90682"/>
    <w:rsid w:val="00EA2FC0"/>
    <w:rsid w:val="00EB0113"/>
    <w:rsid w:val="00EB2A58"/>
    <w:rsid w:val="00EC4814"/>
    <w:rsid w:val="00EC61DD"/>
    <w:rsid w:val="00EE3D73"/>
    <w:rsid w:val="00EE6BC4"/>
    <w:rsid w:val="00EE758F"/>
    <w:rsid w:val="00EF2E93"/>
    <w:rsid w:val="00EF67F1"/>
    <w:rsid w:val="00F03663"/>
    <w:rsid w:val="00F03E2E"/>
    <w:rsid w:val="00F046A6"/>
    <w:rsid w:val="00F046AF"/>
    <w:rsid w:val="00F06136"/>
    <w:rsid w:val="00F107F2"/>
    <w:rsid w:val="00F12C34"/>
    <w:rsid w:val="00F148E3"/>
    <w:rsid w:val="00F15A16"/>
    <w:rsid w:val="00F15A35"/>
    <w:rsid w:val="00F23D3B"/>
    <w:rsid w:val="00F42B68"/>
    <w:rsid w:val="00F45FAD"/>
    <w:rsid w:val="00F51A38"/>
    <w:rsid w:val="00F52D87"/>
    <w:rsid w:val="00F5537F"/>
    <w:rsid w:val="00F56EC4"/>
    <w:rsid w:val="00F57379"/>
    <w:rsid w:val="00F576C5"/>
    <w:rsid w:val="00F70CFA"/>
    <w:rsid w:val="00F7166C"/>
    <w:rsid w:val="00F750AF"/>
    <w:rsid w:val="00F82D53"/>
    <w:rsid w:val="00F84523"/>
    <w:rsid w:val="00F8452F"/>
    <w:rsid w:val="00F87202"/>
    <w:rsid w:val="00F95F99"/>
    <w:rsid w:val="00FA5ED9"/>
    <w:rsid w:val="00FA66B6"/>
    <w:rsid w:val="00FB0679"/>
    <w:rsid w:val="00FB0E91"/>
    <w:rsid w:val="00FB3365"/>
    <w:rsid w:val="00FB404B"/>
    <w:rsid w:val="00FB5009"/>
    <w:rsid w:val="00FB5A71"/>
    <w:rsid w:val="00FB78BD"/>
    <w:rsid w:val="00FC3536"/>
    <w:rsid w:val="00FD0DAC"/>
    <w:rsid w:val="00FD1586"/>
    <w:rsid w:val="00FE3065"/>
    <w:rsid w:val="00FE497C"/>
    <w:rsid w:val="00FF7CB0"/>
    <w:rsid w:val="01030184"/>
    <w:rsid w:val="01110945"/>
    <w:rsid w:val="01255A32"/>
    <w:rsid w:val="01300309"/>
    <w:rsid w:val="017936BE"/>
    <w:rsid w:val="01880CD9"/>
    <w:rsid w:val="01D834EB"/>
    <w:rsid w:val="01F62F61"/>
    <w:rsid w:val="01FA0FBF"/>
    <w:rsid w:val="02074D28"/>
    <w:rsid w:val="02174B17"/>
    <w:rsid w:val="024147A7"/>
    <w:rsid w:val="025079CC"/>
    <w:rsid w:val="0256755B"/>
    <w:rsid w:val="027A149C"/>
    <w:rsid w:val="027C0364"/>
    <w:rsid w:val="02DC2947"/>
    <w:rsid w:val="032633D2"/>
    <w:rsid w:val="032F6BF2"/>
    <w:rsid w:val="035C7BE4"/>
    <w:rsid w:val="039C5442"/>
    <w:rsid w:val="03A61B23"/>
    <w:rsid w:val="045444E5"/>
    <w:rsid w:val="04616819"/>
    <w:rsid w:val="04720898"/>
    <w:rsid w:val="0477644A"/>
    <w:rsid w:val="047A1C27"/>
    <w:rsid w:val="04B8274F"/>
    <w:rsid w:val="056E60F9"/>
    <w:rsid w:val="05944396"/>
    <w:rsid w:val="05CC4D8D"/>
    <w:rsid w:val="05F1454D"/>
    <w:rsid w:val="05FD219C"/>
    <w:rsid w:val="06071298"/>
    <w:rsid w:val="06326665"/>
    <w:rsid w:val="064006F3"/>
    <w:rsid w:val="066A295E"/>
    <w:rsid w:val="068F5631"/>
    <w:rsid w:val="06BC1678"/>
    <w:rsid w:val="07414C7E"/>
    <w:rsid w:val="074A2B17"/>
    <w:rsid w:val="07867C5E"/>
    <w:rsid w:val="079B7E36"/>
    <w:rsid w:val="07BA6213"/>
    <w:rsid w:val="07DA6E63"/>
    <w:rsid w:val="07E87ECE"/>
    <w:rsid w:val="07FB495C"/>
    <w:rsid w:val="083F797F"/>
    <w:rsid w:val="08566507"/>
    <w:rsid w:val="086521EE"/>
    <w:rsid w:val="088F5575"/>
    <w:rsid w:val="08C2594B"/>
    <w:rsid w:val="08D7003B"/>
    <w:rsid w:val="08FE250B"/>
    <w:rsid w:val="090F2D06"/>
    <w:rsid w:val="090F52AF"/>
    <w:rsid w:val="09146B64"/>
    <w:rsid w:val="0921686E"/>
    <w:rsid w:val="0938097C"/>
    <w:rsid w:val="09DE0275"/>
    <w:rsid w:val="0A081A83"/>
    <w:rsid w:val="0A701907"/>
    <w:rsid w:val="0A762E91"/>
    <w:rsid w:val="0A7D10B3"/>
    <w:rsid w:val="0A9A7E3B"/>
    <w:rsid w:val="0A9B28F7"/>
    <w:rsid w:val="0AB737EF"/>
    <w:rsid w:val="0ACE73C3"/>
    <w:rsid w:val="0B3A00B3"/>
    <w:rsid w:val="0B7A250D"/>
    <w:rsid w:val="0B92139F"/>
    <w:rsid w:val="0BD45DA0"/>
    <w:rsid w:val="0BE21187"/>
    <w:rsid w:val="0C0B7609"/>
    <w:rsid w:val="0C285033"/>
    <w:rsid w:val="0C380F08"/>
    <w:rsid w:val="0C4843B9"/>
    <w:rsid w:val="0C540FAF"/>
    <w:rsid w:val="0C730EDC"/>
    <w:rsid w:val="0CC13F57"/>
    <w:rsid w:val="0CDE68AC"/>
    <w:rsid w:val="0D2B1976"/>
    <w:rsid w:val="0D590752"/>
    <w:rsid w:val="0D6945E7"/>
    <w:rsid w:val="0D9553DC"/>
    <w:rsid w:val="0DA3027C"/>
    <w:rsid w:val="0DEC7708"/>
    <w:rsid w:val="0DFA0E1A"/>
    <w:rsid w:val="0E3D77CB"/>
    <w:rsid w:val="0E5A2621"/>
    <w:rsid w:val="0E5B5776"/>
    <w:rsid w:val="0E8B5D67"/>
    <w:rsid w:val="0ECC307F"/>
    <w:rsid w:val="0ECE5B8F"/>
    <w:rsid w:val="0EDB310F"/>
    <w:rsid w:val="0F0B3BEA"/>
    <w:rsid w:val="0F673762"/>
    <w:rsid w:val="0F8A0744"/>
    <w:rsid w:val="0F9653C9"/>
    <w:rsid w:val="0F9C2ED8"/>
    <w:rsid w:val="0F9D0B98"/>
    <w:rsid w:val="0FA802DC"/>
    <w:rsid w:val="0FB51D65"/>
    <w:rsid w:val="0FB6788B"/>
    <w:rsid w:val="0FC401FA"/>
    <w:rsid w:val="0FD91E42"/>
    <w:rsid w:val="0FFD6BAB"/>
    <w:rsid w:val="10134AF1"/>
    <w:rsid w:val="101C76FE"/>
    <w:rsid w:val="10525806"/>
    <w:rsid w:val="106A61FD"/>
    <w:rsid w:val="10806817"/>
    <w:rsid w:val="10835984"/>
    <w:rsid w:val="109850F7"/>
    <w:rsid w:val="10A262F3"/>
    <w:rsid w:val="10AA256E"/>
    <w:rsid w:val="10E914E9"/>
    <w:rsid w:val="10F6497A"/>
    <w:rsid w:val="11027F51"/>
    <w:rsid w:val="110D4E9A"/>
    <w:rsid w:val="113066C1"/>
    <w:rsid w:val="114772FC"/>
    <w:rsid w:val="11531836"/>
    <w:rsid w:val="11743805"/>
    <w:rsid w:val="11A55E09"/>
    <w:rsid w:val="11C10E95"/>
    <w:rsid w:val="11D902BB"/>
    <w:rsid w:val="11DF7B49"/>
    <w:rsid w:val="12253344"/>
    <w:rsid w:val="122B4561"/>
    <w:rsid w:val="127E6D86"/>
    <w:rsid w:val="129C0C20"/>
    <w:rsid w:val="129E4FF1"/>
    <w:rsid w:val="129F387D"/>
    <w:rsid w:val="12D47F8E"/>
    <w:rsid w:val="1312750D"/>
    <w:rsid w:val="133C5F8A"/>
    <w:rsid w:val="135950FD"/>
    <w:rsid w:val="138B0FFA"/>
    <w:rsid w:val="13936861"/>
    <w:rsid w:val="13C14B00"/>
    <w:rsid w:val="13D1085A"/>
    <w:rsid w:val="142F15AD"/>
    <w:rsid w:val="145204CA"/>
    <w:rsid w:val="146D2C0E"/>
    <w:rsid w:val="148C2DFC"/>
    <w:rsid w:val="15075A8F"/>
    <w:rsid w:val="15101650"/>
    <w:rsid w:val="151B3F33"/>
    <w:rsid w:val="152359C3"/>
    <w:rsid w:val="15CE5185"/>
    <w:rsid w:val="160A0A0C"/>
    <w:rsid w:val="160E21CF"/>
    <w:rsid w:val="16323814"/>
    <w:rsid w:val="163836F0"/>
    <w:rsid w:val="16981900"/>
    <w:rsid w:val="16B1368B"/>
    <w:rsid w:val="16DD1699"/>
    <w:rsid w:val="175D7147"/>
    <w:rsid w:val="17C0574B"/>
    <w:rsid w:val="17E07B9B"/>
    <w:rsid w:val="17FF6273"/>
    <w:rsid w:val="186303EB"/>
    <w:rsid w:val="186D1358"/>
    <w:rsid w:val="18887FCB"/>
    <w:rsid w:val="18A9599D"/>
    <w:rsid w:val="191E6BCD"/>
    <w:rsid w:val="19440065"/>
    <w:rsid w:val="196A1E12"/>
    <w:rsid w:val="197D6789"/>
    <w:rsid w:val="198723E7"/>
    <w:rsid w:val="199650A7"/>
    <w:rsid w:val="19DD40A3"/>
    <w:rsid w:val="19E716B5"/>
    <w:rsid w:val="1AEC23CA"/>
    <w:rsid w:val="1B0911B7"/>
    <w:rsid w:val="1B261D6D"/>
    <w:rsid w:val="1B3339A4"/>
    <w:rsid w:val="1B394DD8"/>
    <w:rsid w:val="1B5543FC"/>
    <w:rsid w:val="1B6449E7"/>
    <w:rsid w:val="1B8569D3"/>
    <w:rsid w:val="1B9253AE"/>
    <w:rsid w:val="1B936BA3"/>
    <w:rsid w:val="1BAB1783"/>
    <w:rsid w:val="1BCA7CE3"/>
    <w:rsid w:val="1BD16808"/>
    <w:rsid w:val="1BDB2B53"/>
    <w:rsid w:val="1BEA0FE8"/>
    <w:rsid w:val="1BFB0EDE"/>
    <w:rsid w:val="1C084FFF"/>
    <w:rsid w:val="1C9A7E12"/>
    <w:rsid w:val="1CA422C3"/>
    <w:rsid w:val="1CC01D49"/>
    <w:rsid w:val="1CCB4B12"/>
    <w:rsid w:val="1CFE6E95"/>
    <w:rsid w:val="1D800E13"/>
    <w:rsid w:val="1E2244CC"/>
    <w:rsid w:val="1E2E3AEF"/>
    <w:rsid w:val="1E4622A4"/>
    <w:rsid w:val="1E56053E"/>
    <w:rsid w:val="1E5E66C1"/>
    <w:rsid w:val="1E7673BE"/>
    <w:rsid w:val="1E8B697F"/>
    <w:rsid w:val="1EC07BE3"/>
    <w:rsid w:val="1EFB4E1D"/>
    <w:rsid w:val="1F183C7A"/>
    <w:rsid w:val="1F1A3993"/>
    <w:rsid w:val="1F1F369F"/>
    <w:rsid w:val="1F7652AF"/>
    <w:rsid w:val="1F830D3F"/>
    <w:rsid w:val="1FC32B0F"/>
    <w:rsid w:val="202B58D5"/>
    <w:rsid w:val="203E3E1F"/>
    <w:rsid w:val="2055435D"/>
    <w:rsid w:val="2065105D"/>
    <w:rsid w:val="206550E2"/>
    <w:rsid w:val="208A17F4"/>
    <w:rsid w:val="20C95B9E"/>
    <w:rsid w:val="20E63AC6"/>
    <w:rsid w:val="20F13D8E"/>
    <w:rsid w:val="20FA6F75"/>
    <w:rsid w:val="21036F42"/>
    <w:rsid w:val="2107015B"/>
    <w:rsid w:val="21A223BE"/>
    <w:rsid w:val="21A42676"/>
    <w:rsid w:val="21B2410B"/>
    <w:rsid w:val="21BF3326"/>
    <w:rsid w:val="21C05721"/>
    <w:rsid w:val="21C905FD"/>
    <w:rsid w:val="21D32201"/>
    <w:rsid w:val="21DB0D6B"/>
    <w:rsid w:val="21F229A5"/>
    <w:rsid w:val="220770D0"/>
    <w:rsid w:val="222A1CBE"/>
    <w:rsid w:val="22597149"/>
    <w:rsid w:val="22DE3463"/>
    <w:rsid w:val="22F34C27"/>
    <w:rsid w:val="231D6147"/>
    <w:rsid w:val="232079E6"/>
    <w:rsid w:val="23251A24"/>
    <w:rsid w:val="232C7A5F"/>
    <w:rsid w:val="234F1F97"/>
    <w:rsid w:val="23602061"/>
    <w:rsid w:val="23671171"/>
    <w:rsid w:val="23711C3C"/>
    <w:rsid w:val="237211DA"/>
    <w:rsid w:val="2392443F"/>
    <w:rsid w:val="23966459"/>
    <w:rsid w:val="244115CC"/>
    <w:rsid w:val="24417C14"/>
    <w:rsid w:val="245925C4"/>
    <w:rsid w:val="245E4322"/>
    <w:rsid w:val="24BB3FE5"/>
    <w:rsid w:val="25135768"/>
    <w:rsid w:val="253944AA"/>
    <w:rsid w:val="2580463C"/>
    <w:rsid w:val="259302FC"/>
    <w:rsid w:val="25954934"/>
    <w:rsid w:val="25B22F4B"/>
    <w:rsid w:val="25DD571A"/>
    <w:rsid w:val="26170C2C"/>
    <w:rsid w:val="2618250D"/>
    <w:rsid w:val="268D2B2D"/>
    <w:rsid w:val="26E825C8"/>
    <w:rsid w:val="26F469F8"/>
    <w:rsid w:val="27054F28"/>
    <w:rsid w:val="277358EF"/>
    <w:rsid w:val="27816C71"/>
    <w:rsid w:val="27895B59"/>
    <w:rsid w:val="27952750"/>
    <w:rsid w:val="27B42225"/>
    <w:rsid w:val="27C43035"/>
    <w:rsid w:val="27D94AD9"/>
    <w:rsid w:val="27E32634"/>
    <w:rsid w:val="284B404B"/>
    <w:rsid w:val="28956042"/>
    <w:rsid w:val="28C66939"/>
    <w:rsid w:val="28D17A3D"/>
    <w:rsid w:val="28FE60D3"/>
    <w:rsid w:val="290817D7"/>
    <w:rsid w:val="293B530C"/>
    <w:rsid w:val="297211FC"/>
    <w:rsid w:val="29AC468F"/>
    <w:rsid w:val="29C70BC7"/>
    <w:rsid w:val="29FA0F90"/>
    <w:rsid w:val="2A662182"/>
    <w:rsid w:val="2A842105"/>
    <w:rsid w:val="2AC53696"/>
    <w:rsid w:val="2AD51346"/>
    <w:rsid w:val="2AF97B0C"/>
    <w:rsid w:val="2B1778F2"/>
    <w:rsid w:val="2B1B7F1F"/>
    <w:rsid w:val="2B4E2738"/>
    <w:rsid w:val="2B830B12"/>
    <w:rsid w:val="2BDE00A9"/>
    <w:rsid w:val="2BDE35FE"/>
    <w:rsid w:val="2BE579DB"/>
    <w:rsid w:val="2BEC4909"/>
    <w:rsid w:val="2BF37A45"/>
    <w:rsid w:val="2BFE2AF5"/>
    <w:rsid w:val="2C2031CB"/>
    <w:rsid w:val="2C2A5EA4"/>
    <w:rsid w:val="2C89351D"/>
    <w:rsid w:val="2CE56AAF"/>
    <w:rsid w:val="2D1378D3"/>
    <w:rsid w:val="2D5E7928"/>
    <w:rsid w:val="2D871F87"/>
    <w:rsid w:val="2D8E3834"/>
    <w:rsid w:val="2DCD3715"/>
    <w:rsid w:val="2DF61A6F"/>
    <w:rsid w:val="2E276D3D"/>
    <w:rsid w:val="2E3419AD"/>
    <w:rsid w:val="2E536EC1"/>
    <w:rsid w:val="2E907846"/>
    <w:rsid w:val="2EA9364A"/>
    <w:rsid w:val="2EA95EA2"/>
    <w:rsid w:val="2EC5452D"/>
    <w:rsid w:val="2F1F2F82"/>
    <w:rsid w:val="2F697212"/>
    <w:rsid w:val="2F805A94"/>
    <w:rsid w:val="2F8B7D10"/>
    <w:rsid w:val="2F8C268B"/>
    <w:rsid w:val="2FB223E5"/>
    <w:rsid w:val="2FBB2F70"/>
    <w:rsid w:val="300140D5"/>
    <w:rsid w:val="300634F7"/>
    <w:rsid w:val="304D7F48"/>
    <w:rsid w:val="30773D10"/>
    <w:rsid w:val="30AC28B9"/>
    <w:rsid w:val="313A1C72"/>
    <w:rsid w:val="313D3CA2"/>
    <w:rsid w:val="31535609"/>
    <w:rsid w:val="31705E8F"/>
    <w:rsid w:val="3174782E"/>
    <w:rsid w:val="31845CDA"/>
    <w:rsid w:val="3211481D"/>
    <w:rsid w:val="321443BD"/>
    <w:rsid w:val="32776223"/>
    <w:rsid w:val="328305A1"/>
    <w:rsid w:val="328F7E00"/>
    <w:rsid w:val="329238C6"/>
    <w:rsid w:val="329F0927"/>
    <w:rsid w:val="32F204CB"/>
    <w:rsid w:val="32F50EDB"/>
    <w:rsid w:val="330E1609"/>
    <w:rsid w:val="332C482A"/>
    <w:rsid w:val="332E5807"/>
    <w:rsid w:val="33501496"/>
    <w:rsid w:val="33A87367"/>
    <w:rsid w:val="33BF6E56"/>
    <w:rsid w:val="34081A04"/>
    <w:rsid w:val="341F1D7D"/>
    <w:rsid w:val="346104BF"/>
    <w:rsid w:val="34763D72"/>
    <w:rsid w:val="34881580"/>
    <w:rsid w:val="349073BA"/>
    <w:rsid w:val="34A85CB0"/>
    <w:rsid w:val="34CE2A9F"/>
    <w:rsid w:val="34E22D4D"/>
    <w:rsid w:val="350E58AA"/>
    <w:rsid w:val="351F3659"/>
    <w:rsid w:val="353251AA"/>
    <w:rsid w:val="35765B00"/>
    <w:rsid w:val="3599153C"/>
    <w:rsid w:val="35D23AC1"/>
    <w:rsid w:val="35F5260C"/>
    <w:rsid w:val="36387867"/>
    <w:rsid w:val="365A20FA"/>
    <w:rsid w:val="366E661D"/>
    <w:rsid w:val="3676374D"/>
    <w:rsid w:val="367C49A1"/>
    <w:rsid w:val="36811CCB"/>
    <w:rsid w:val="36AA33F6"/>
    <w:rsid w:val="36FC5EC0"/>
    <w:rsid w:val="37051811"/>
    <w:rsid w:val="37903539"/>
    <w:rsid w:val="37A145F2"/>
    <w:rsid w:val="37AB5678"/>
    <w:rsid w:val="37C633B2"/>
    <w:rsid w:val="37DE3C9F"/>
    <w:rsid w:val="37F3456A"/>
    <w:rsid w:val="38033706"/>
    <w:rsid w:val="3819696E"/>
    <w:rsid w:val="382F62A9"/>
    <w:rsid w:val="384141E9"/>
    <w:rsid w:val="38431D54"/>
    <w:rsid w:val="38850C3C"/>
    <w:rsid w:val="388A1731"/>
    <w:rsid w:val="38DF36F6"/>
    <w:rsid w:val="393261C2"/>
    <w:rsid w:val="3980605A"/>
    <w:rsid w:val="39837449"/>
    <w:rsid w:val="39E657D7"/>
    <w:rsid w:val="39EF04A0"/>
    <w:rsid w:val="3A32398D"/>
    <w:rsid w:val="3A67076E"/>
    <w:rsid w:val="3A7A7584"/>
    <w:rsid w:val="3A8A5A19"/>
    <w:rsid w:val="3AB111F7"/>
    <w:rsid w:val="3AB30705"/>
    <w:rsid w:val="3ABB2076"/>
    <w:rsid w:val="3AEC0481"/>
    <w:rsid w:val="3B0534C7"/>
    <w:rsid w:val="3B7248E4"/>
    <w:rsid w:val="3B9B554F"/>
    <w:rsid w:val="3BB15227"/>
    <w:rsid w:val="3BB353CE"/>
    <w:rsid w:val="3BD317EF"/>
    <w:rsid w:val="3BDF70C3"/>
    <w:rsid w:val="3BE27D9A"/>
    <w:rsid w:val="3C451134"/>
    <w:rsid w:val="3C8B7F71"/>
    <w:rsid w:val="3CCB3ED6"/>
    <w:rsid w:val="3CFD6258"/>
    <w:rsid w:val="3D0776D8"/>
    <w:rsid w:val="3D0C7EE5"/>
    <w:rsid w:val="3D256EDC"/>
    <w:rsid w:val="3DC271E1"/>
    <w:rsid w:val="3E356663"/>
    <w:rsid w:val="3E523B8C"/>
    <w:rsid w:val="3E957E2B"/>
    <w:rsid w:val="3E9916A0"/>
    <w:rsid w:val="3EA90437"/>
    <w:rsid w:val="3EB96C7D"/>
    <w:rsid w:val="3EC3599D"/>
    <w:rsid w:val="3EDA3430"/>
    <w:rsid w:val="3EFB7A0A"/>
    <w:rsid w:val="3F041198"/>
    <w:rsid w:val="3F303FC2"/>
    <w:rsid w:val="3F4C5BEF"/>
    <w:rsid w:val="3F525063"/>
    <w:rsid w:val="3F5856D5"/>
    <w:rsid w:val="3F9F2443"/>
    <w:rsid w:val="3FB34229"/>
    <w:rsid w:val="3FB84DD6"/>
    <w:rsid w:val="404B7437"/>
    <w:rsid w:val="407A652F"/>
    <w:rsid w:val="408D0011"/>
    <w:rsid w:val="40AD4409"/>
    <w:rsid w:val="40B11427"/>
    <w:rsid w:val="40B80711"/>
    <w:rsid w:val="40D423CF"/>
    <w:rsid w:val="410423F9"/>
    <w:rsid w:val="410B7187"/>
    <w:rsid w:val="411B4E0A"/>
    <w:rsid w:val="414864CD"/>
    <w:rsid w:val="415115C7"/>
    <w:rsid w:val="415B010F"/>
    <w:rsid w:val="41645A8A"/>
    <w:rsid w:val="41983CCE"/>
    <w:rsid w:val="419F0436"/>
    <w:rsid w:val="41AF3FB7"/>
    <w:rsid w:val="41CC0D51"/>
    <w:rsid w:val="41F710DD"/>
    <w:rsid w:val="421C301B"/>
    <w:rsid w:val="422608AE"/>
    <w:rsid w:val="422B5DAF"/>
    <w:rsid w:val="42320575"/>
    <w:rsid w:val="42602F47"/>
    <w:rsid w:val="426C3C56"/>
    <w:rsid w:val="428A57E7"/>
    <w:rsid w:val="428C42F8"/>
    <w:rsid w:val="428D483B"/>
    <w:rsid w:val="429D6505"/>
    <w:rsid w:val="42C60C9A"/>
    <w:rsid w:val="42F779C3"/>
    <w:rsid w:val="431C182F"/>
    <w:rsid w:val="43324506"/>
    <w:rsid w:val="43442B17"/>
    <w:rsid w:val="43503578"/>
    <w:rsid w:val="435D6994"/>
    <w:rsid w:val="43827CC6"/>
    <w:rsid w:val="439020FE"/>
    <w:rsid w:val="43A833B4"/>
    <w:rsid w:val="43AF029E"/>
    <w:rsid w:val="43B528B9"/>
    <w:rsid w:val="43E3618F"/>
    <w:rsid w:val="43E93BCA"/>
    <w:rsid w:val="4422704A"/>
    <w:rsid w:val="4440280F"/>
    <w:rsid w:val="444E4AF8"/>
    <w:rsid w:val="446E5280"/>
    <w:rsid w:val="44C602C6"/>
    <w:rsid w:val="44D13462"/>
    <w:rsid w:val="455455A1"/>
    <w:rsid w:val="457479F1"/>
    <w:rsid w:val="457D7297"/>
    <w:rsid w:val="459D4A93"/>
    <w:rsid w:val="45CC2BBA"/>
    <w:rsid w:val="46340F2E"/>
    <w:rsid w:val="464E3B1C"/>
    <w:rsid w:val="466E4440"/>
    <w:rsid w:val="4763354B"/>
    <w:rsid w:val="479D68E8"/>
    <w:rsid w:val="47A43652"/>
    <w:rsid w:val="47A570FC"/>
    <w:rsid w:val="47B44A42"/>
    <w:rsid w:val="47D93B3C"/>
    <w:rsid w:val="47DE5BB7"/>
    <w:rsid w:val="480C6B24"/>
    <w:rsid w:val="481A6E99"/>
    <w:rsid w:val="48653621"/>
    <w:rsid w:val="48783354"/>
    <w:rsid w:val="488E067B"/>
    <w:rsid w:val="49594CEC"/>
    <w:rsid w:val="496930A0"/>
    <w:rsid w:val="496B108F"/>
    <w:rsid w:val="49935D8F"/>
    <w:rsid w:val="49BA6AC0"/>
    <w:rsid w:val="49DC7913"/>
    <w:rsid w:val="49DE7D7D"/>
    <w:rsid w:val="4A0D7103"/>
    <w:rsid w:val="4A355C64"/>
    <w:rsid w:val="4A513E5D"/>
    <w:rsid w:val="4A536E9F"/>
    <w:rsid w:val="4ABC2859"/>
    <w:rsid w:val="4AC12116"/>
    <w:rsid w:val="4AD4683C"/>
    <w:rsid w:val="4AD60806"/>
    <w:rsid w:val="4AD73910"/>
    <w:rsid w:val="4B6F094B"/>
    <w:rsid w:val="4BD62E28"/>
    <w:rsid w:val="4BF2341E"/>
    <w:rsid w:val="4C3F529F"/>
    <w:rsid w:val="4C760FD5"/>
    <w:rsid w:val="4CA24E44"/>
    <w:rsid w:val="4CA73E5F"/>
    <w:rsid w:val="4D4B3976"/>
    <w:rsid w:val="4D693BB4"/>
    <w:rsid w:val="4D78603B"/>
    <w:rsid w:val="4E131ACC"/>
    <w:rsid w:val="4E1D05CF"/>
    <w:rsid w:val="4E2F0959"/>
    <w:rsid w:val="4E41282B"/>
    <w:rsid w:val="4E921EC2"/>
    <w:rsid w:val="4E946A0E"/>
    <w:rsid w:val="4E9E163B"/>
    <w:rsid w:val="4EA05B2B"/>
    <w:rsid w:val="4EA571F2"/>
    <w:rsid w:val="4EB91EAF"/>
    <w:rsid w:val="4ED61BF7"/>
    <w:rsid w:val="4F0849B1"/>
    <w:rsid w:val="4F8922EB"/>
    <w:rsid w:val="4FAB400F"/>
    <w:rsid w:val="4FC55CA6"/>
    <w:rsid w:val="500E1B55"/>
    <w:rsid w:val="502B244C"/>
    <w:rsid w:val="502C5217"/>
    <w:rsid w:val="502F4C40"/>
    <w:rsid w:val="50870229"/>
    <w:rsid w:val="50936400"/>
    <w:rsid w:val="509E5922"/>
    <w:rsid w:val="50AD15D8"/>
    <w:rsid w:val="50B97CB2"/>
    <w:rsid w:val="50E53ADF"/>
    <w:rsid w:val="50FB4B23"/>
    <w:rsid w:val="51076B2F"/>
    <w:rsid w:val="510936E3"/>
    <w:rsid w:val="51093901"/>
    <w:rsid w:val="51140F3B"/>
    <w:rsid w:val="514E7348"/>
    <w:rsid w:val="516528E4"/>
    <w:rsid w:val="517D3DBA"/>
    <w:rsid w:val="518B7E60"/>
    <w:rsid w:val="51D97C88"/>
    <w:rsid w:val="51EA5182"/>
    <w:rsid w:val="521F2DEA"/>
    <w:rsid w:val="526760BF"/>
    <w:rsid w:val="52EC0316"/>
    <w:rsid w:val="532C36B9"/>
    <w:rsid w:val="53B402B3"/>
    <w:rsid w:val="53CD699A"/>
    <w:rsid w:val="542B146E"/>
    <w:rsid w:val="544F3B03"/>
    <w:rsid w:val="54731FB3"/>
    <w:rsid w:val="5495510A"/>
    <w:rsid w:val="549A1842"/>
    <w:rsid w:val="54B26B08"/>
    <w:rsid w:val="54BC281B"/>
    <w:rsid w:val="54FE27F5"/>
    <w:rsid w:val="55155F3F"/>
    <w:rsid w:val="552503C0"/>
    <w:rsid w:val="552808C5"/>
    <w:rsid w:val="55325C25"/>
    <w:rsid w:val="55C72A36"/>
    <w:rsid w:val="55EB4298"/>
    <w:rsid w:val="56064377"/>
    <w:rsid w:val="56196483"/>
    <w:rsid w:val="561B36B6"/>
    <w:rsid w:val="561B5E4B"/>
    <w:rsid w:val="562B7C58"/>
    <w:rsid w:val="564503CD"/>
    <w:rsid w:val="5663384B"/>
    <w:rsid w:val="567E1394"/>
    <w:rsid w:val="568D6526"/>
    <w:rsid w:val="56995ED8"/>
    <w:rsid w:val="56BA4230"/>
    <w:rsid w:val="572B1EDA"/>
    <w:rsid w:val="57653C35"/>
    <w:rsid w:val="5774562F"/>
    <w:rsid w:val="57A71560"/>
    <w:rsid w:val="57A9647A"/>
    <w:rsid w:val="57AD78E7"/>
    <w:rsid w:val="582D0F34"/>
    <w:rsid w:val="586C6A21"/>
    <w:rsid w:val="589F492D"/>
    <w:rsid w:val="58DE1F85"/>
    <w:rsid w:val="59080725"/>
    <w:rsid w:val="59407EBE"/>
    <w:rsid w:val="59464DA9"/>
    <w:rsid w:val="59684974"/>
    <w:rsid w:val="59926125"/>
    <w:rsid w:val="59C62489"/>
    <w:rsid w:val="59D53026"/>
    <w:rsid w:val="59E6248C"/>
    <w:rsid w:val="5A042379"/>
    <w:rsid w:val="5A7C7C0C"/>
    <w:rsid w:val="5AE6078D"/>
    <w:rsid w:val="5B2A57DC"/>
    <w:rsid w:val="5B8027F4"/>
    <w:rsid w:val="5B835E40"/>
    <w:rsid w:val="5B982FBB"/>
    <w:rsid w:val="5BB631BC"/>
    <w:rsid w:val="5BDF05B6"/>
    <w:rsid w:val="5C241D7E"/>
    <w:rsid w:val="5C2E2250"/>
    <w:rsid w:val="5CBB0C6B"/>
    <w:rsid w:val="5CF86550"/>
    <w:rsid w:val="5D0012F7"/>
    <w:rsid w:val="5D2B20E4"/>
    <w:rsid w:val="5D3E465C"/>
    <w:rsid w:val="5D79574D"/>
    <w:rsid w:val="5D7D0C61"/>
    <w:rsid w:val="5D823E2B"/>
    <w:rsid w:val="5D835681"/>
    <w:rsid w:val="5D851036"/>
    <w:rsid w:val="5D85692B"/>
    <w:rsid w:val="5D9B0FC5"/>
    <w:rsid w:val="5DD91E2A"/>
    <w:rsid w:val="5DE478D7"/>
    <w:rsid w:val="5E2F405E"/>
    <w:rsid w:val="5E4F01C6"/>
    <w:rsid w:val="5E4F471A"/>
    <w:rsid w:val="5E6C5B2C"/>
    <w:rsid w:val="5E75608A"/>
    <w:rsid w:val="5E8C3B32"/>
    <w:rsid w:val="5EC96260"/>
    <w:rsid w:val="5ECE6A37"/>
    <w:rsid w:val="5EF648CC"/>
    <w:rsid w:val="5F1B0BD3"/>
    <w:rsid w:val="5F1C0A86"/>
    <w:rsid w:val="5F3062DF"/>
    <w:rsid w:val="5F4104EC"/>
    <w:rsid w:val="5F4F2373"/>
    <w:rsid w:val="5F642625"/>
    <w:rsid w:val="5FD44EBD"/>
    <w:rsid w:val="601C1153"/>
    <w:rsid w:val="603968B2"/>
    <w:rsid w:val="6054221C"/>
    <w:rsid w:val="607641C6"/>
    <w:rsid w:val="60853036"/>
    <w:rsid w:val="609676C4"/>
    <w:rsid w:val="60EF4255"/>
    <w:rsid w:val="60FB0BDA"/>
    <w:rsid w:val="612E57D0"/>
    <w:rsid w:val="612E684E"/>
    <w:rsid w:val="617C7681"/>
    <w:rsid w:val="6180550C"/>
    <w:rsid w:val="61846C62"/>
    <w:rsid w:val="61D76EE6"/>
    <w:rsid w:val="61EC4D02"/>
    <w:rsid w:val="621D7EE5"/>
    <w:rsid w:val="62A414BE"/>
    <w:rsid w:val="62B902D6"/>
    <w:rsid w:val="62C7450D"/>
    <w:rsid w:val="62CB31E3"/>
    <w:rsid w:val="63266DD8"/>
    <w:rsid w:val="632F68AE"/>
    <w:rsid w:val="63456869"/>
    <w:rsid w:val="638B2464"/>
    <w:rsid w:val="639037F0"/>
    <w:rsid w:val="63963F55"/>
    <w:rsid w:val="63F03186"/>
    <w:rsid w:val="642665BA"/>
    <w:rsid w:val="645266AE"/>
    <w:rsid w:val="64D9020E"/>
    <w:rsid w:val="65340C83"/>
    <w:rsid w:val="655976E9"/>
    <w:rsid w:val="658D6857"/>
    <w:rsid w:val="659D553E"/>
    <w:rsid w:val="65B638C0"/>
    <w:rsid w:val="65C459D3"/>
    <w:rsid w:val="65E16585"/>
    <w:rsid w:val="663374EC"/>
    <w:rsid w:val="66444F93"/>
    <w:rsid w:val="66613505"/>
    <w:rsid w:val="66886A01"/>
    <w:rsid w:val="668E1E2E"/>
    <w:rsid w:val="669D238E"/>
    <w:rsid w:val="66A01F9C"/>
    <w:rsid w:val="66D27E12"/>
    <w:rsid w:val="66EA76BB"/>
    <w:rsid w:val="66FC5F67"/>
    <w:rsid w:val="67083EFF"/>
    <w:rsid w:val="67401089"/>
    <w:rsid w:val="674119FD"/>
    <w:rsid w:val="674D024D"/>
    <w:rsid w:val="67582877"/>
    <w:rsid w:val="67DF20B7"/>
    <w:rsid w:val="680B65BA"/>
    <w:rsid w:val="682356F3"/>
    <w:rsid w:val="683A1966"/>
    <w:rsid w:val="68A037F1"/>
    <w:rsid w:val="68AC7B3C"/>
    <w:rsid w:val="68B12821"/>
    <w:rsid w:val="68C22BD8"/>
    <w:rsid w:val="693966D8"/>
    <w:rsid w:val="69521893"/>
    <w:rsid w:val="69703A0B"/>
    <w:rsid w:val="69727411"/>
    <w:rsid w:val="6A5070DE"/>
    <w:rsid w:val="6A641533"/>
    <w:rsid w:val="6A895AF1"/>
    <w:rsid w:val="6AAD0282"/>
    <w:rsid w:val="6ABC136F"/>
    <w:rsid w:val="6AE81C94"/>
    <w:rsid w:val="6B853A72"/>
    <w:rsid w:val="6BAA0150"/>
    <w:rsid w:val="6BC27512"/>
    <w:rsid w:val="6BF22395"/>
    <w:rsid w:val="6C1637BD"/>
    <w:rsid w:val="6C544DEA"/>
    <w:rsid w:val="6C5C5BDE"/>
    <w:rsid w:val="6C635DBB"/>
    <w:rsid w:val="6C9A7B66"/>
    <w:rsid w:val="6C9F6ABD"/>
    <w:rsid w:val="6CA95923"/>
    <w:rsid w:val="6CC14A1B"/>
    <w:rsid w:val="6CD16B0B"/>
    <w:rsid w:val="6CEE4F56"/>
    <w:rsid w:val="6CF52602"/>
    <w:rsid w:val="6D1061E6"/>
    <w:rsid w:val="6D233F3F"/>
    <w:rsid w:val="6D400035"/>
    <w:rsid w:val="6D503E66"/>
    <w:rsid w:val="6D6668C3"/>
    <w:rsid w:val="6DAF2FB5"/>
    <w:rsid w:val="6DC24EEE"/>
    <w:rsid w:val="6E8E79E1"/>
    <w:rsid w:val="6EFB6BBC"/>
    <w:rsid w:val="6F747C58"/>
    <w:rsid w:val="6F9667A3"/>
    <w:rsid w:val="6FB95E7D"/>
    <w:rsid w:val="6FC84C57"/>
    <w:rsid w:val="6FD136F3"/>
    <w:rsid w:val="70090BB2"/>
    <w:rsid w:val="7040659E"/>
    <w:rsid w:val="705A7660"/>
    <w:rsid w:val="7075667E"/>
    <w:rsid w:val="70D05D5A"/>
    <w:rsid w:val="70F31821"/>
    <w:rsid w:val="710E6E94"/>
    <w:rsid w:val="71175551"/>
    <w:rsid w:val="7125606D"/>
    <w:rsid w:val="715B3690"/>
    <w:rsid w:val="71733112"/>
    <w:rsid w:val="717F272C"/>
    <w:rsid w:val="718B31A4"/>
    <w:rsid w:val="71A07736"/>
    <w:rsid w:val="71C1726B"/>
    <w:rsid w:val="71D8165E"/>
    <w:rsid w:val="71DC376D"/>
    <w:rsid w:val="71DF24B1"/>
    <w:rsid w:val="71E07AED"/>
    <w:rsid w:val="723E2669"/>
    <w:rsid w:val="725320D0"/>
    <w:rsid w:val="72872262"/>
    <w:rsid w:val="72A11576"/>
    <w:rsid w:val="72A94DA3"/>
    <w:rsid w:val="72B075F7"/>
    <w:rsid w:val="72E370B9"/>
    <w:rsid w:val="72EB0A43"/>
    <w:rsid w:val="72F047CE"/>
    <w:rsid w:val="73146EFC"/>
    <w:rsid w:val="73171838"/>
    <w:rsid w:val="735A1725"/>
    <w:rsid w:val="73824F17"/>
    <w:rsid w:val="739B1A3B"/>
    <w:rsid w:val="73AB5EC8"/>
    <w:rsid w:val="73AB78E5"/>
    <w:rsid w:val="73CC75F2"/>
    <w:rsid w:val="73E221E3"/>
    <w:rsid w:val="740706A3"/>
    <w:rsid w:val="742B2970"/>
    <w:rsid w:val="743110B4"/>
    <w:rsid w:val="74686054"/>
    <w:rsid w:val="747C1246"/>
    <w:rsid w:val="748F3650"/>
    <w:rsid w:val="749B6472"/>
    <w:rsid w:val="74BB4852"/>
    <w:rsid w:val="74C91B1C"/>
    <w:rsid w:val="74D304DE"/>
    <w:rsid w:val="75954C96"/>
    <w:rsid w:val="759C440D"/>
    <w:rsid w:val="75D41B62"/>
    <w:rsid w:val="75D57D6F"/>
    <w:rsid w:val="75D67789"/>
    <w:rsid w:val="75E51F02"/>
    <w:rsid w:val="760C2E49"/>
    <w:rsid w:val="760D2A7F"/>
    <w:rsid w:val="760E6685"/>
    <w:rsid w:val="761C5426"/>
    <w:rsid w:val="763419B9"/>
    <w:rsid w:val="7639037A"/>
    <w:rsid w:val="76695DC0"/>
    <w:rsid w:val="767815C2"/>
    <w:rsid w:val="768371E5"/>
    <w:rsid w:val="768D3BBF"/>
    <w:rsid w:val="76D7306F"/>
    <w:rsid w:val="76F14DF3"/>
    <w:rsid w:val="76F459ED"/>
    <w:rsid w:val="77C875A5"/>
    <w:rsid w:val="77F51620"/>
    <w:rsid w:val="78034139"/>
    <w:rsid w:val="782D00A1"/>
    <w:rsid w:val="78306EF8"/>
    <w:rsid w:val="783267CC"/>
    <w:rsid w:val="787B63C5"/>
    <w:rsid w:val="788039DC"/>
    <w:rsid w:val="78E026CC"/>
    <w:rsid w:val="78EA3BFF"/>
    <w:rsid w:val="78F30280"/>
    <w:rsid w:val="79400695"/>
    <w:rsid w:val="79507314"/>
    <w:rsid w:val="7954329A"/>
    <w:rsid w:val="79780B57"/>
    <w:rsid w:val="79A61220"/>
    <w:rsid w:val="79CC476F"/>
    <w:rsid w:val="79FC7092"/>
    <w:rsid w:val="7A293BFF"/>
    <w:rsid w:val="7A422D94"/>
    <w:rsid w:val="7A523156"/>
    <w:rsid w:val="7A574C10"/>
    <w:rsid w:val="7A802C6E"/>
    <w:rsid w:val="7A8F3590"/>
    <w:rsid w:val="7A98733C"/>
    <w:rsid w:val="7AF15F7E"/>
    <w:rsid w:val="7AF16E13"/>
    <w:rsid w:val="7AF26CEE"/>
    <w:rsid w:val="7B336A3A"/>
    <w:rsid w:val="7B476A33"/>
    <w:rsid w:val="7B573DEE"/>
    <w:rsid w:val="7B6161A9"/>
    <w:rsid w:val="7B65146E"/>
    <w:rsid w:val="7B81750B"/>
    <w:rsid w:val="7B823DB1"/>
    <w:rsid w:val="7B856244"/>
    <w:rsid w:val="7B911033"/>
    <w:rsid w:val="7B9C1030"/>
    <w:rsid w:val="7BAE0029"/>
    <w:rsid w:val="7BC22E97"/>
    <w:rsid w:val="7BC71762"/>
    <w:rsid w:val="7BCC16EB"/>
    <w:rsid w:val="7C036DFE"/>
    <w:rsid w:val="7C4A4BBD"/>
    <w:rsid w:val="7C5655D0"/>
    <w:rsid w:val="7C5F02BB"/>
    <w:rsid w:val="7C883A02"/>
    <w:rsid w:val="7C9B4F2D"/>
    <w:rsid w:val="7CCC5441"/>
    <w:rsid w:val="7CD32C47"/>
    <w:rsid w:val="7CF41B37"/>
    <w:rsid w:val="7D1D3B52"/>
    <w:rsid w:val="7D652AD9"/>
    <w:rsid w:val="7D653BA3"/>
    <w:rsid w:val="7D6836C0"/>
    <w:rsid w:val="7D6D4BD6"/>
    <w:rsid w:val="7D6F48D9"/>
    <w:rsid w:val="7D74675F"/>
    <w:rsid w:val="7D79021B"/>
    <w:rsid w:val="7DB002BA"/>
    <w:rsid w:val="7DDC349F"/>
    <w:rsid w:val="7E1E3AA7"/>
    <w:rsid w:val="7EB02B41"/>
    <w:rsid w:val="7EC47386"/>
    <w:rsid w:val="7EF14E0E"/>
    <w:rsid w:val="7F2A1230"/>
    <w:rsid w:val="7F8915DC"/>
    <w:rsid w:val="7FB14DC3"/>
    <w:rsid w:val="7FD95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1"/>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83"/>
    <w:unhideWhenUsed/>
    <w:qFormat/>
    <w:uiPriority w:val="0"/>
    <w:pPr>
      <w:keepNext/>
      <w:keepLines/>
      <w:numPr>
        <w:ilvl w:val="1"/>
        <w:numId w:val="1"/>
      </w:numPr>
      <w:spacing w:before="260" w:after="260" w:line="412" w:lineRule="auto"/>
      <w:outlineLvl w:val="1"/>
    </w:pPr>
    <w:rPr>
      <w:rFonts w:ascii="Arial" w:hAnsi="Arial" w:eastAsia="黑体"/>
      <w:b/>
      <w:bCs/>
      <w:kern w:val="0"/>
      <w:sz w:val="32"/>
      <w:szCs w:val="32"/>
    </w:rPr>
  </w:style>
  <w:style w:type="paragraph" w:styleId="4">
    <w:name w:val="heading 3"/>
    <w:basedOn w:val="1"/>
    <w:next w:val="1"/>
    <w:link w:val="111"/>
    <w:unhideWhenUsed/>
    <w:qFormat/>
    <w:uiPriority w:val="0"/>
    <w:pPr>
      <w:keepNext/>
      <w:keepLines/>
      <w:numPr>
        <w:ilvl w:val="2"/>
        <w:numId w:val="1"/>
      </w:numPr>
      <w:spacing w:before="260" w:after="260" w:line="415" w:lineRule="auto"/>
      <w:outlineLvl w:val="2"/>
    </w:pPr>
    <w:rPr>
      <w:b/>
      <w:bCs/>
      <w:kern w:val="0"/>
      <w:sz w:val="32"/>
      <w:szCs w:val="32"/>
    </w:rPr>
  </w:style>
  <w:style w:type="paragraph" w:styleId="5">
    <w:name w:val="heading 4"/>
    <w:basedOn w:val="1"/>
    <w:next w:val="1"/>
    <w:link w:val="76"/>
    <w:unhideWhenUsed/>
    <w:qFormat/>
    <w:uiPriority w:val="0"/>
    <w:pPr>
      <w:keepNext/>
      <w:keepLines/>
      <w:spacing w:before="280" w:after="290" w:line="372" w:lineRule="auto"/>
      <w:outlineLvl w:val="3"/>
    </w:pPr>
    <w:rPr>
      <w:rFonts w:ascii="Arial" w:hAnsi="Arial" w:eastAsia="黑体"/>
      <w:b/>
      <w:bCs/>
      <w:kern w:val="0"/>
      <w:sz w:val="28"/>
      <w:szCs w:val="28"/>
    </w:rPr>
  </w:style>
  <w:style w:type="paragraph" w:styleId="6">
    <w:name w:val="heading 5"/>
    <w:basedOn w:val="1"/>
    <w:next w:val="1"/>
    <w:link w:val="84"/>
    <w:semiHidden/>
    <w:unhideWhenUsed/>
    <w:qFormat/>
    <w:uiPriority w:val="0"/>
    <w:pPr>
      <w:keepNext/>
      <w:keepLines/>
      <w:spacing w:before="280" w:after="290" w:line="372" w:lineRule="auto"/>
      <w:outlineLvl w:val="4"/>
    </w:pPr>
    <w:rPr>
      <w:b/>
      <w:bCs/>
      <w:kern w:val="0"/>
      <w:sz w:val="28"/>
      <w:szCs w:val="28"/>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0"/>
    <w:pPr>
      <w:ind w:left="2520" w:leftChars="1200"/>
    </w:pPr>
    <w:rPr>
      <w:rFonts w:asciiTheme="minorHAnsi" w:hAnsiTheme="minorHAnsi" w:eastAsiaTheme="minorEastAsia" w:cstheme="minorBidi"/>
      <w:szCs w:val="22"/>
    </w:rPr>
  </w:style>
  <w:style w:type="paragraph" w:styleId="8">
    <w:name w:val="List Number"/>
    <w:basedOn w:val="1"/>
    <w:qFormat/>
    <w:uiPriority w:val="0"/>
    <w:pPr>
      <w:widowControl/>
      <w:tabs>
        <w:tab w:val="left" w:pos="454"/>
        <w:tab w:val="left" w:pos="720"/>
      </w:tabs>
      <w:spacing w:afterLines="50"/>
      <w:ind w:left="454" w:hanging="284"/>
      <w:jc w:val="left"/>
    </w:pPr>
    <w:rPr>
      <w:kern w:val="0"/>
      <w:sz w:val="24"/>
      <w:szCs w:val="20"/>
    </w:rPr>
  </w:style>
  <w:style w:type="paragraph" w:styleId="9">
    <w:name w:val="Normal Indent"/>
    <w:basedOn w:val="1"/>
    <w:qFormat/>
    <w:uiPriority w:val="0"/>
    <w:pPr>
      <w:numPr>
        <w:ilvl w:val="0"/>
        <w:numId w:val="2"/>
      </w:numPr>
      <w:ind w:left="0" w:firstLine="420"/>
    </w:pPr>
    <w:rPr>
      <w:szCs w:val="20"/>
    </w:rPr>
  </w:style>
  <w:style w:type="paragraph" w:styleId="10">
    <w:name w:val="caption"/>
    <w:basedOn w:val="1"/>
    <w:next w:val="1"/>
    <w:semiHidden/>
    <w:unhideWhenUsed/>
    <w:qFormat/>
    <w:uiPriority w:val="0"/>
    <w:pPr>
      <w:numPr>
        <w:ilvl w:val="0"/>
        <w:numId w:val="3"/>
      </w:numPr>
      <w:spacing w:before="152" w:after="160"/>
      <w:ind w:left="0" w:firstLine="0"/>
    </w:pPr>
    <w:rPr>
      <w:rFonts w:ascii="Arial" w:hAnsi="Arial" w:eastAsia="黑体" w:cs="Arial"/>
      <w:sz w:val="20"/>
      <w:szCs w:val="20"/>
    </w:rPr>
  </w:style>
  <w:style w:type="paragraph" w:styleId="11">
    <w:name w:val="Document Map"/>
    <w:basedOn w:val="1"/>
    <w:link w:val="89"/>
    <w:qFormat/>
    <w:uiPriority w:val="0"/>
    <w:pPr>
      <w:shd w:val="clear" w:color="auto" w:fill="000080"/>
    </w:pPr>
    <w:rPr>
      <w:kern w:val="0"/>
      <w:sz w:val="20"/>
    </w:rPr>
  </w:style>
  <w:style w:type="paragraph" w:styleId="12">
    <w:name w:val="annotation text"/>
    <w:basedOn w:val="1"/>
    <w:link w:val="67"/>
    <w:qFormat/>
    <w:uiPriority w:val="0"/>
    <w:pPr>
      <w:jc w:val="left"/>
    </w:pPr>
    <w:rPr>
      <w:kern w:val="0"/>
      <w:sz w:val="20"/>
      <w:szCs w:val="20"/>
    </w:rPr>
  </w:style>
  <w:style w:type="paragraph" w:styleId="13">
    <w:name w:val="Body Text 3"/>
    <w:basedOn w:val="1"/>
    <w:link w:val="109"/>
    <w:qFormat/>
    <w:uiPriority w:val="0"/>
    <w:pPr>
      <w:numPr>
        <w:ilvl w:val="0"/>
        <w:numId w:val="4"/>
      </w:numPr>
      <w:snapToGrid w:val="0"/>
      <w:spacing w:before="50" w:after="50"/>
      <w:ind w:left="0" w:firstLine="0"/>
    </w:pPr>
    <w:rPr>
      <w:rFonts w:eastAsia="仿宋_GB2312"/>
      <w:b/>
      <w:bCs/>
      <w:kern w:val="0"/>
      <w:sz w:val="24"/>
      <w:szCs w:val="20"/>
    </w:rPr>
  </w:style>
  <w:style w:type="paragraph" w:styleId="14">
    <w:name w:val="Body Text"/>
    <w:basedOn w:val="1"/>
    <w:next w:val="1"/>
    <w:link w:val="65"/>
    <w:qFormat/>
    <w:uiPriority w:val="0"/>
    <w:pPr>
      <w:spacing w:after="120"/>
    </w:pPr>
    <w:rPr>
      <w:kern w:val="0"/>
      <w:sz w:val="28"/>
    </w:rPr>
  </w:style>
  <w:style w:type="paragraph" w:styleId="15">
    <w:name w:val="Body Text Indent"/>
    <w:basedOn w:val="1"/>
    <w:next w:val="1"/>
    <w:link w:val="108"/>
    <w:qFormat/>
    <w:uiPriority w:val="0"/>
    <w:pPr>
      <w:spacing w:line="200" w:lineRule="exact"/>
      <w:ind w:firstLine="301"/>
    </w:pPr>
    <w:rPr>
      <w:rFonts w:ascii="宋体"/>
      <w:spacing w:val="-4"/>
      <w:kern w:val="0"/>
      <w:sz w:val="18"/>
      <w:szCs w:val="20"/>
    </w:rPr>
  </w:style>
  <w:style w:type="paragraph" w:styleId="16">
    <w:name w:val="List Number 3"/>
    <w:basedOn w:val="1"/>
    <w:qFormat/>
    <w:uiPriority w:val="0"/>
    <w:pPr>
      <w:tabs>
        <w:tab w:val="left" w:pos="1200"/>
      </w:tabs>
      <w:ind w:left="1200" w:hanging="360"/>
    </w:pPr>
  </w:style>
  <w:style w:type="paragraph" w:styleId="17">
    <w:name w:val="List 2"/>
    <w:basedOn w:val="1"/>
    <w:qFormat/>
    <w:uiPriority w:val="0"/>
    <w:pPr>
      <w:numPr>
        <w:ilvl w:val="0"/>
        <w:numId w:val="5"/>
      </w:numPr>
      <w:ind w:left="400" w:leftChars="200" w:hanging="200" w:hangingChars="200"/>
    </w:pPr>
    <w:rPr>
      <w:sz w:val="28"/>
    </w:rPr>
  </w:style>
  <w:style w:type="paragraph" w:styleId="18">
    <w:name w:val="index 4"/>
    <w:basedOn w:val="1"/>
    <w:next w:val="1"/>
    <w:unhideWhenUsed/>
    <w:qFormat/>
    <w:uiPriority w:val="99"/>
    <w:pPr>
      <w:ind w:left="600" w:leftChars="600"/>
    </w:pPr>
  </w:style>
  <w:style w:type="paragraph" w:styleId="19">
    <w:name w:val="toc 5"/>
    <w:basedOn w:val="1"/>
    <w:next w:val="1"/>
    <w:qFormat/>
    <w:uiPriority w:val="0"/>
    <w:pPr>
      <w:ind w:left="1680" w:leftChars="800"/>
    </w:pPr>
    <w:rPr>
      <w:rFonts w:asciiTheme="minorHAnsi" w:hAnsiTheme="minorHAnsi" w:eastAsiaTheme="minorEastAsia" w:cstheme="minorBidi"/>
      <w:szCs w:val="22"/>
    </w:rPr>
  </w:style>
  <w:style w:type="paragraph" w:styleId="20">
    <w:name w:val="toc 3"/>
    <w:basedOn w:val="1"/>
    <w:next w:val="1"/>
    <w:qFormat/>
    <w:uiPriority w:val="0"/>
    <w:pPr>
      <w:ind w:left="400" w:leftChars="400"/>
    </w:pPr>
  </w:style>
  <w:style w:type="paragraph" w:styleId="21">
    <w:name w:val="Plain Text"/>
    <w:basedOn w:val="1"/>
    <w:link w:val="101"/>
    <w:qFormat/>
    <w:uiPriority w:val="0"/>
    <w:pPr>
      <w:spacing w:beforeLines="50" w:afterLines="50" w:line="400" w:lineRule="exact"/>
    </w:pPr>
    <w:rPr>
      <w:rFonts w:ascii="宋体"/>
      <w:kern w:val="0"/>
      <w:sz w:val="24"/>
    </w:rPr>
  </w:style>
  <w:style w:type="paragraph" w:styleId="22">
    <w:name w:val="toc 8"/>
    <w:basedOn w:val="1"/>
    <w:next w:val="1"/>
    <w:qFormat/>
    <w:uiPriority w:val="0"/>
    <w:pPr>
      <w:ind w:left="2940" w:leftChars="1400"/>
    </w:pPr>
    <w:rPr>
      <w:rFonts w:asciiTheme="minorHAnsi" w:hAnsiTheme="minorHAnsi" w:eastAsiaTheme="minorEastAsia" w:cstheme="minorBidi"/>
      <w:szCs w:val="22"/>
    </w:rPr>
  </w:style>
  <w:style w:type="paragraph" w:styleId="23">
    <w:name w:val="Date"/>
    <w:basedOn w:val="1"/>
    <w:next w:val="1"/>
    <w:link w:val="77"/>
    <w:qFormat/>
    <w:uiPriority w:val="0"/>
    <w:pPr>
      <w:numPr>
        <w:ilvl w:val="0"/>
        <w:numId w:val="6"/>
      </w:numPr>
      <w:ind w:left="2500" w:leftChars="2500" w:firstLine="0"/>
    </w:pPr>
    <w:rPr>
      <w:rFonts w:eastAsia="楷体_GB2312"/>
      <w:kern w:val="0"/>
      <w:sz w:val="32"/>
      <w:szCs w:val="20"/>
    </w:rPr>
  </w:style>
  <w:style w:type="paragraph" w:styleId="24">
    <w:name w:val="Body Text Indent 2"/>
    <w:basedOn w:val="1"/>
    <w:link w:val="80"/>
    <w:qFormat/>
    <w:uiPriority w:val="0"/>
    <w:pPr>
      <w:snapToGrid w:val="0"/>
      <w:ind w:firstLine="225" w:firstLineChars="225"/>
    </w:pPr>
    <w:rPr>
      <w:rFonts w:ascii="仿宋_GB2312" w:hAnsi="仿宋_GB2312"/>
      <w:b/>
      <w:bCs/>
      <w:color w:val="000000"/>
      <w:kern w:val="0"/>
      <w:sz w:val="24"/>
    </w:rPr>
  </w:style>
  <w:style w:type="paragraph" w:styleId="25">
    <w:name w:val="Balloon Text"/>
    <w:basedOn w:val="1"/>
    <w:link w:val="74"/>
    <w:qFormat/>
    <w:uiPriority w:val="0"/>
    <w:rPr>
      <w:kern w:val="0"/>
      <w:sz w:val="18"/>
      <w:szCs w:val="18"/>
    </w:rPr>
  </w:style>
  <w:style w:type="paragraph" w:styleId="26">
    <w:name w:val="footer"/>
    <w:basedOn w:val="1"/>
    <w:link w:val="78"/>
    <w:qFormat/>
    <w:uiPriority w:val="0"/>
    <w:pPr>
      <w:tabs>
        <w:tab w:val="center" w:pos="4153"/>
        <w:tab w:val="right" w:pos="8306"/>
      </w:tabs>
      <w:snapToGrid w:val="0"/>
      <w:jc w:val="left"/>
    </w:pPr>
    <w:rPr>
      <w:rFonts w:ascii="Calibri" w:hAnsi="Calibri"/>
      <w:kern w:val="0"/>
      <w:sz w:val="18"/>
      <w:szCs w:val="18"/>
    </w:rPr>
  </w:style>
  <w:style w:type="paragraph" w:styleId="27">
    <w:name w:val="envelope return"/>
    <w:basedOn w:val="1"/>
    <w:qFormat/>
    <w:uiPriority w:val="0"/>
    <w:pPr>
      <w:snapToGrid w:val="0"/>
      <w:spacing w:line="280" w:lineRule="exact"/>
    </w:pPr>
    <w:rPr>
      <w:rFonts w:ascii="Arial" w:hAnsi="Arial"/>
    </w:rPr>
  </w:style>
  <w:style w:type="paragraph" w:styleId="28">
    <w:name w:val="header"/>
    <w:basedOn w:val="1"/>
    <w:link w:val="103"/>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9">
    <w:name w:val="toc 1"/>
    <w:basedOn w:val="1"/>
    <w:next w:val="1"/>
    <w:qFormat/>
    <w:uiPriority w:val="0"/>
  </w:style>
  <w:style w:type="paragraph" w:styleId="30">
    <w:name w:val="toc 4"/>
    <w:basedOn w:val="1"/>
    <w:next w:val="1"/>
    <w:qFormat/>
    <w:uiPriority w:val="0"/>
    <w:pPr>
      <w:ind w:left="1260" w:leftChars="600"/>
    </w:pPr>
    <w:rPr>
      <w:rFonts w:asciiTheme="minorHAnsi" w:hAnsiTheme="minorHAnsi" w:eastAsiaTheme="minorEastAsia" w:cstheme="minorBidi"/>
      <w:szCs w:val="22"/>
    </w:rPr>
  </w:style>
  <w:style w:type="paragraph" w:styleId="31">
    <w:name w:val="Subtitle"/>
    <w:basedOn w:val="1"/>
    <w:next w:val="1"/>
    <w:link w:val="106"/>
    <w:qFormat/>
    <w:uiPriority w:val="0"/>
    <w:pPr>
      <w:spacing w:before="240" w:after="60" w:line="312" w:lineRule="auto"/>
      <w:jc w:val="center"/>
      <w:outlineLvl w:val="1"/>
    </w:pPr>
    <w:rPr>
      <w:rFonts w:ascii="Cambria" w:hAnsi="Cambria"/>
      <w:b/>
      <w:bCs/>
      <w:kern w:val="28"/>
      <w:sz w:val="32"/>
      <w:szCs w:val="32"/>
    </w:rPr>
  </w:style>
  <w:style w:type="paragraph" w:styleId="32">
    <w:name w:val="List"/>
    <w:basedOn w:val="1"/>
    <w:qFormat/>
    <w:uiPriority w:val="0"/>
    <w:pPr>
      <w:ind w:left="200" w:hanging="200" w:hangingChars="200"/>
    </w:pPr>
    <w:rPr>
      <w:sz w:val="28"/>
    </w:rPr>
  </w:style>
  <w:style w:type="paragraph" w:styleId="33">
    <w:name w:val="toc 6"/>
    <w:basedOn w:val="1"/>
    <w:next w:val="1"/>
    <w:qFormat/>
    <w:uiPriority w:val="0"/>
    <w:pPr>
      <w:ind w:left="2100" w:leftChars="1000"/>
    </w:pPr>
    <w:rPr>
      <w:rFonts w:asciiTheme="minorHAnsi" w:hAnsiTheme="minorHAnsi" w:eastAsiaTheme="minorEastAsia" w:cstheme="minorBidi"/>
      <w:szCs w:val="22"/>
    </w:rPr>
  </w:style>
  <w:style w:type="paragraph" w:styleId="34">
    <w:name w:val="Body Text Indent 3"/>
    <w:basedOn w:val="1"/>
    <w:link w:val="102"/>
    <w:qFormat/>
    <w:uiPriority w:val="0"/>
    <w:pPr>
      <w:numPr>
        <w:ilvl w:val="0"/>
        <w:numId w:val="7"/>
      </w:numPr>
      <w:snapToGrid w:val="0"/>
      <w:ind w:left="0" w:firstLine="200" w:firstLineChars="200"/>
      <w:jc w:val="left"/>
    </w:pPr>
    <w:rPr>
      <w:rFonts w:ascii="仿宋_GB2312" w:eastAsia="仿宋_GB2312"/>
      <w:color w:val="000000"/>
      <w:kern w:val="0"/>
      <w:sz w:val="24"/>
    </w:rPr>
  </w:style>
  <w:style w:type="paragraph" w:styleId="35">
    <w:name w:val="toc 2"/>
    <w:basedOn w:val="1"/>
    <w:next w:val="1"/>
    <w:qFormat/>
    <w:uiPriority w:val="0"/>
    <w:pPr>
      <w:ind w:left="200" w:leftChars="200"/>
    </w:pPr>
  </w:style>
  <w:style w:type="paragraph" w:styleId="36">
    <w:name w:val="toc 9"/>
    <w:basedOn w:val="1"/>
    <w:next w:val="1"/>
    <w:qFormat/>
    <w:uiPriority w:val="0"/>
    <w:pPr>
      <w:ind w:left="3360" w:leftChars="1600"/>
    </w:pPr>
    <w:rPr>
      <w:rFonts w:asciiTheme="minorHAnsi" w:hAnsiTheme="minorHAnsi" w:eastAsiaTheme="minorEastAsia" w:cstheme="minorBidi"/>
      <w:szCs w:val="22"/>
    </w:rPr>
  </w:style>
  <w:style w:type="paragraph" w:styleId="37">
    <w:name w:val="Body Text 2"/>
    <w:basedOn w:val="1"/>
    <w:link w:val="59"/>
    <w:qFormat/>
    <w:uiPriority w:val="0"/>
    <w:pPr>
      <w:widowControl/>
      <w:snapToGrid w:val="0"/>
      <w:spacing w:before="50" w:afterLines="50" w:line="400" w:lineRule="exact"/>
      <w:jc w:val="left"/>
    </w:pPr>
    <w:rPr>
      <w:rFonts w:ascii="宋体"/>
      <w:color w:val="000000"/>
      <w:kern w:val="0"/>
      <w:sz w:val="24"/>
    </w:rPr>
  </w:style>
  <w:style w:type="paragraph" w:styleId="38">
    <w:name w:val="HTML Preformatted"/>
    <w:basedOn w:val="1"/>
    <w:link w:val="5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9">
    <w:name w:val="Normal (Web)"/>
    <w:basedOn w:val="1"/>
    <w:qFormat/>
    <w:uiPriority w:val="0"/>
    <w:pPr>
      <w:widowControl/>
      <w:spacing w:before="100" w:beforeAutospacing="1" w:after="100" w:afterAutospacing="1"/>
      <w:jc w:val="left"/>
    </w:pPr>
    <w:rPr>
      <w:kern w:val="0"/>
      <w:sz w:val="24"/>
    </w:rPr>
  </w:style>
  <w:style w:type="paragraph" w:styleId="40">
    <w:name w:val="Title"/>
    <w:basedOn w:val="1"/>
    <w:next w:val="1"/>
    <w:link w:val="163"/>
    <w:qFormat/>
    <w:uiPriority w:val="0"/>
    <w:pPr>
      <w:adjustRightInd w:val="0"/>
      <w:spacing w:before="240" w:after="60"/>
      <w:jc w:val="center"/>
      <w:outlineLvl w:val="0"/>
    </w:pPr>
    <w:rPr>
      <w:rFonts w:ascii="Calibri Light" w:hAnsi="Calibri Light"/>
      <w:b/>
      <w:bCs/>
      <w:kern w:val="0"/>
      <w:sz w:val="32"/>
      <w:szCs w:val="32"/>
    </w:rPr>
  </w:style>
  <w:style w:type="paragraph" w:styleId="41">
    <w:name w:val="annotation subject"/>
    <w:basedOn w:val="12"/>
    <w:next w:val="12"/>
    <w:link w:val="90"/>
    <w:qFormat/>
    <w:uiPriority w:val="0"/>
  </w:style>
  <w:style w:type="paragraph" w:styleId="42">
    <w:name w:val="Body Text First Indent"/>
    <w:basedOn w:val="14"/>
    <w:next w:val="1"/>
    <w:qFormat/>
    <w:uiPriority w:val="0"/>
    <w:pPr>
      <w:spacing w:after="0" w:line="500" w:lineRule="exact"/>
      <w:ind w:firstLine="420"/>
    </w:pPr>
    <w:rPr>
      <w:rFonts w:eastAsia="楷体_GB2312"/>
      <w:szCs w:val="20"/>
    </w:rPr>
  </w:style>
  <w:style w:type="paragraph" w:styleId="43">
    <w:name w:val="Body Text First Indent 2"/>
    <w:basedOn w:val="15"/>
    <w:next w:val="1"/>
    <w:link w:val="82"/>
    <w:qFormat/>
    <w:uiPriority w:val="0"/>
    <w:pPr>
      <w:spacing w:after="120" w:line="240" w:lineRule="auto"/>
      <w:ind w:left="420" w:leftChars="200" w:firstLine="420" w:firstLineChars="200"/>
    </w:pPr>
    <w:rPr>
      <w:rFonts w:ascii="Times New Roman"/>
      <w:spacing w:val="0"/>
      <w:kern w:val="2"/>
      <w:sz w:val="21"/>
      <w:szCs w:val="24"/>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00"/>
    </w:rPr>
  </w:style>
  <w:style w:type="character" w:styleId="51">
    <w:name w:val="HTML Acronym"/>
    <w:qFormat/>
    <w:uiPriority w:val="0"/>
  </w:style>
  <w:style w:type="character" w:styleId="52">
    <w:name w:val="Hyperlink"/>
    <w:qFormat/>
    <w:uiPriority w:val="0"/>
    <w:rPr>
      <w:color w:val="0000FF"/>
      <w:u w:val="single"/>
    </w:rPr>
  </w:style>
  <w:style w:type="character" w:styleId="53">
    <w:name w:val="annotation reference"/>
    <w:qFormat/>
    <w:uiPriority w:val="0"/>
    <w:rPr>
      <w:sz w:val="21"/>
      <w:szCs w:val="21"/>
    </w:rPr>
  </w:style>
  <w:style w:type="paragraph" w:customStyle="1" w:styleId="54">
    <w:name w:val="_Style 3"/>
    <w:basedOn w:val="1"/>
    <w:qFormat/>
    <w:uiPriority w:val="0"/>
    <w:pPr>
      <w:adjustRightInd/>
      <w:ind w:firstLine="420" w:firstLineChars="200"/>
    </w:pPr>
    <w:rPr>
      <w:rFonts w:eastAsia="仿宋_GB2312"/>
      <w:sz w:val="28"/>
    </w:rPr>
  </w:style>
  <w:style w:type="paragraph" w:customStyle="1" w:styleId="5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56">
    <w:name w:val="c_title1"/>
    <w:qFormat/>
    <w:uiPriority w:val="0"/>
    <w:rPr>
      <w:rFonts w:ascii="黑体" w:eastAsia="黑体"/>
      <w:color w:val="03005C"/>
      <w:sz w:val="30"/>
      <w:szCs w:val="30"/>
      <w:u w:val="none"/>
    </w:rPr>
  </w:style>
  <w:style w:type="character" w:customStyle="1" w:styleId="57">
    <w:name w:val="纯文本 Char"/>
    <w:qFormat/>
    <w:uiPriority w:val="0"/>
    <w:rPr>
      <w:rFonts w:ascii="宋体" w:hAnsi="Times New Roman" w:eastAsia="宋体" w:cs="Times New Roman"/>
      <w:sz w:val="24"/>
      <w:szCs w:val="24"/>
    </w:rPr>
  </w:style>
  <w:style w:type="character" w:customStyle="1" w:styleId="58">
    <w:name w:val="HTML 预设格式 字符"/>
    <w:link w:val="38"/>
    <w:qFormat/>
    <w:uiPriority w:val="0"/>
    <w:rPr>
      <w:rFonts w:ascii="宋体" w:hAnsi="宋体" w:cs="宋体"/>
      <w:sz w:val="24"/>
      <w:szCs w:val="24"/>
    </w:rPr>
  </w:style>
  <w:style w:type="character" w:customStyle="1" w:styleId="59">
    <w:name w:val="正文文本 2 字符"/>
    <w:link w:val="37"/>
    <w:qFormat/>
    <w:uiPriority w:val="0"/>
    <w:rPr>
      <w:rFonts w:ascii="宋体" w:hAnsi="Times New Roman" w:eastAsia="宋体" w:cs="Times New Roman"/>
      <w:color w:val="000000"/>
      <w:sz w:val="24"/>
      <w:szCs w:val="24"/>
    </w:rPr>
  </w:style>
  <w:style w:type="character" w:customStyle="1" w:styleId="60">
    <w:name w:val="页脚 Char"/>
    <w:qFormat/>
    <w:uiPriority w:val="99"/>
    <w:rPr>
      <w:sz w:val="18"/>
      <w:szCs w:val="18"/>
    </w:rPr>
  </w:style>
  <w:style w:type="character" w:customStyle="1" w:styleId="61">
    <w:name w:val="TableItem Char"/>
    <w:link w:val="62"/>
    <w:qFormat/>
    <w:uiPriority w:val="0"/>
    <w:rPr>
      <w:rFonts w:ascii="Verdana" w:hAnsi="Verdana" w:eastAsia="等线" w:cs="Verdana"/>
      <w:b/>
      <w:bCs/>
      <w:color w:val="538135"/>
      <w:spacing w:val="-10"/>
      <w:sz w:val="16"/>
      <w:szCs w:val="28"/>
      <w:lang w:val="en-US" w:eastAsia="zh-CN" w:bidi="ar-SA"/>
    </w:rPr>
  </w:style>
  <w:style w:type="paragraph" w:customStyle="1" w:styleId="62">
    <w:name w:val="TableItem"/>
    <w:link w:val="61"/>
    <w:qFormat/>
    <w:uiPriority w:val="0"/>
    <w:rPr>
      <w:rFonts w:ascii="Verdana" w:hAnsi="Verdana" w:eastAsia="等线" w:cs="Verdana"/>
      <w:b/>
      <w:bCs/>
      <w:color w:val="538135"/>
      <w:spacing w:val="-10"/>
      <w:sz w:val="16"/>
      <w:szCs w:val="28"/>
      <w:lang w:val="en-US" w:eastAsia="zh-CN" w:bidi="ar-SA"/>
    </w:rPr>
  </w:style>
  <w:style w:type="character" w:customStyle="1" w:styleId="63">
    <w:name w:val="副标题 Char"/>
    <w:qFormat/>
    <w:uiPriority w:val="0"/>
    <w:rPr>
      <w:rFonts w:ascii="Cambria" w:hAnsi="Cambria"/>
      <w:b/>
      <w:bCs/>
      <w:kern w:val="28"/>
      <w:sz w:val="32"/>
      <w:szCs w:val="32"/>
    </w:rPr>
  </w:style>
  <w:style w:type="character" w:customStyle="1" w:styleId="64">
    <w:name w:val="正文文本缩进 3 Char"/>
    <w:qFormat/>
    <w:uiPriority w:val="0"/>
    <w:rPr>
      <w:rFonts w:ascii="仿宋_GB2312" w:hAnsi="Times New Roman" w:eastAsia="仿宋_GB2312"/>
      <w:color w:val="000000"/>
      <w:sz w:val="24"/>
      <w:szCs w:val="24"/>
    </w:rPr>
  </w:style>
  <w:style w:type="character" w:customStyle="1" w:styleId="65">
    <w:name w:val="正文文本 字符"/>
    <w:link w:val="14"/>
    <w:qFormat/>
    <w:uiPriority w:val="0"/>
    <w:rPr>
      <w:rFonts w:ascii="Times New Roman" w:hAnsi="Times New Roman" w:eastAsia="宋体" w:cs="Times New Roman"/>
      <w:sz w:val="28"/>
      <w:szCs w:val="24"/>
    </w:rPr>
  </w:style>
  <w:style w:type="character" w:customStyle="1" w:styleId="66">
    <w:name w:val="样式 标题 1合同标题卷标题H1h1Level 1 Topic HeadingH11H12H111H13H1... Char"/>
    <w:qFormat/>
    <w:uiPriority w:val="0"/>
    <w:rPr>
      <w:rFonts w:ascii="宋体" w:eastAsia="宋体"/>
      <w:b/>
      <w:bCs/>
      <w:kern w:val="44"/>
      <w:sz w:val="24"/>
      <w:szCs w:val="44"/>
      <w:lang w:val="en-US" w:eastAsia="zh-CN" w:bidi="ar-SA"/>
    </w:rPr>
  </w:style>
  <w:style w:type="character" w:customStyle="1" w:styleId="67">
    <w:name w:val="批注文字 字符"/>
    <w:link w:val="12"/>
    <w:qFormat/>
    <w:uiPriority w:val="0"/>
    <w:rPr>
      <w:rFonts w:ascii="Times New Roman" w:hAnsi="Times New Roman" w:eastAsia="宋体" w:cs="Times New Roman"/>
      <w:szCs w:val="20"/>
    </w:rPr>
  </w:style>
  <w:style w:type="character" w:customStyle="1" w:styleId="68">
    <w:name w:val="列表段落 字符"/>
    <w:link w:val="69"/>
    <w:qFormat/>
    <w:uiPriority w:val="99"/>
    <w:rPr>
      <w:rFonts w:ascii="Calibri" w:hAnsi="Calibri"/>
      <w:kern w:val="2"/>
      <w:sz w:val="21"/>
      <w:szCs w:val="22"/>
    </w:rPr>
  </w:style>
  <w:style w:type="paragraph" w:styleId="69">
    <w:name w:val="List Paragraph"/>
    <w:basedOn w:val="1"/>
    <w:link w:val="68"/>
    <w:qFormat/>
    <w:uiPriority w:val="34"/>
    <w:pPr>
      <w:numPr>
        <w:ilvl w:val="0"/>
        <w:numId w:val="8"/>
      </w:numPr>
    </w:pPr>
    <w:rPr>
      <w:rFonts w:ascii="Calibri" w:hAnsi="Calibri"/>
      <w:szCs w:val="22"/>
    </w:rPr>
  </w:style>
  <w:style w:type="character" w:customStyle="1" w:styleId="70">
    <w:name w:val="标题 5 Char"/>
    <w:qFormat/>
    <w:uiPriority w:val="0"/>
    <w:rPr>
      <w:rFonts w:ascii="Times New Roman" w:hAnsi="Times New Roman" w:eastAsia="宋体" w:cs="Times New Roman"/>
      <w:b/>
      <w:bCs/>
      <w:sz w:val="28"/>
      <w:szCs w:val="28"/>
    </w:rPr>
  </w:style>
  <w:style w:type="character" w:styleId="71">
    <w:name w:val="Placeholder Text"/>
    <w:qFormat/>
    <w:uiPriority w:val="99"/>
    <w:rPr>
      <w:color w:val="808080"/>
    </w:rPr>
  </w:style>
  <w:style w:type="character" w:customStyle="1" w:styleId="72">
    <w:name w:val="列出段落 Char"/>
    <w:qFormat/>
    <w:uiPriority w:val="34"/>
    <w:rPr>
      <w:kern w:val="2"/>
      <w:sz w:val="21"/>
      <w:szCs w:val="22"/>
    </w:rPr>
  </w:style>
  <w:style w:type="character" w:customStyle="1" w:styleId="73">
    <w:name w:val="正文文本 2 Char"/>
    <w:qFormat/>
    <w:uiPriority w:val="0"/>
    <w:rPr>
      <w:rFonts w:ascii="宋体" w:hAnsi="Times New Roman" w:eastAsia="宋体" w:cs="Times New Roman"/>
      <w:color w:val="000000"/>
      <w:sz w:val="24"/>
      <w:szCs w:val="24"/>
    </w:rPr>
  </w:style>
  <w:style w:type="character" w:customStyle="1" w:styleId="74">
    <w:name w:val="批注框文本 字符"/>
    <w:link w:val="25"/>
    <w:qFormat/>
    <w:uiPriority w:val="99"/>
    <w:rPr>
      <w:rFonts w:ascii="Times New Roman" w:hAnsi="Times New Roman" w:eastAsia="宋体" w:cs="Times New Roman"/>
      <w:sz w:val="18"/>
      <w:szCs w:val="18"/>
    </w:rPr>
  </w:style>
  <w:style w:type="character" w:customStyle="1" w:styleId="75">
    <w:name w:val="正文文本 3 Char"/>
    <w:qFormat/>
    <w:uiPriority w:val="0"/>
    <w:rPr>
      <w:rFonts w:ascii="Times New Roman" w:hAnsi="Times New Roman" w:eastAsia="仿宋_GB2312"/>
      <w:b/>
      <w:bCs/>
      <w:sz w:val="24"/>
    </w:rPr>
  </w:style>
  <w:style w:type="character" w:customStyle="1" w:styleId="76">
    <w:name w:val="标题 4 字符"/>
    <w:link w:val="5"/>
    <w:qFormat/>
    <w:uiPriority w:val="0"/>
    <w:rPr>
      <w:rFonts w:ascii="Arial" w:hAnsi="Arial" w:eastAsia="黑体" w:cs="Times New Roman"/>
      <w:b/>
      <w:bCs/>
      <w:sz w:val="28"/>
      <w:szCs w:val="28"/>
    </w:rPr>
  </w:style>
  <w:style w:type="character" w:customStyle="1" w:styleId="77">
    <w:name w:val="日期 字符"/>
    <w:link w:val="23"/>
    <w:qFormat/>
    <w:uiPriority w:val="0"/>
    <w:rPr>
      <w:rFonts w:eastAsia="楷体_GB2312"/>
      <w:sz w:val="32"/>
    </w:rPr>
  </w:style>
  <w:style w:type="character" w:customStyle="1" w:styleId="78">
    <w:name w:val="页脚 字符"/>
    <w:link w:val="26"/>
    <w:qFormat/>
    <w:uiPriority w:val="99"/>
    <w:rPr>
      <w:sz w:val="18"/>
      <w:szCs w:val="18"/>
    </w:rPr>
  </w:style>
  <w:style w:type="character" w:customStyle="1" w:styleId="79">
    <w:name w:val="HTML 预设格式 Char"/>
    <w:qFormat/>
    <w:uiPriority w:val="0"/>
    <w:rPr>
      <w:rFonts w:ascii="宋体" w:hAnsi="宋体" w:cs="宋体"/>
      <w:sz w:val="24"/>
      <w:szCs w:val="24"/>
    </w:rPr>
  </w:style>
  <w:style w:type="character" w:customStyle="1" w:styleId="80">
    <w:name w:val="正文文本缩进 2 字符"/>
    <w:link w:val="24"/>
    <w:qFormat/>
    <w:uiPriority w:val="0"/>
    <w:rPr>
      <w:rFonts w:ascii="仿宋_GB2312" w:hAnsi="仿宋_GB2312" w:eastAsia="宋体" w:cs="Times New Roman"/>
      <w:b/>
      <w:bCs/>
      <w:color w:val="000000"/>
      <w:sz w:val="24"/>
      <w:szCs w:val="24"/>
    </w:rPr>
  </w:style>
  <w:style w:type="character" w:customStyle="1" w:styleId="81">
    <w:name w:val="标题 1 字符"/>
    <w:link w:val="2"/>
    <w:qFormat/>
    <w:uiPriority w:val="0"/>
    <w:rPr>
      <w:rFonts w:ascii="Times New Roman" w:hAnsi="Times New Roman" w:eastAsia="宋体" w:cs="Times New Roman"/>
      <w:b/>
      <w:bCs/>
      <w:kern w:val="44"/>
      <w:sz w:val="44"/>
      <w:szCs w:val="44"/>
    </w:rPr>
  </w:style>
  <w:style w:type="character" w:customStyle="1" w:styleId="82">
    <w:name w:val="正文文本首行缩进 2 字符"/>
    <w:link w:val="43"/>
    <w:qFormat/>
    <w:uiPriority w:val="99"/>
    <w:rPr>
      <w:rFonts w:ascii="Times New Roman" w:hAnsi="Times New Roman" w:eastAsia="宋体" w:cs="Times New Roman"/>
      <w:spacing w:val="-4"/>
      <w:kern w:val="2"/>
      <w:sz w:val="21"/>
      <w:szCs w:val="24"/>
    </w:rPr>
  </w:style>
  <w:style w:type="character" w:customStyle="1" w:styleId="83">
    <w:name w:val="标题 2 字符"/>
    <w:link w:val="3"/>
    <w:qFormat/>
    <w:uiPriority w:val="0"/>
    <w:rPr>
      <w:rFonts w:ascii="Arial" w:hAnsi="Arial" w:eastAsia="黑体"/>
      <w:b/>
      <w:bCs/>
      <w:sz w:val="32"/>
      <w:szCs w:val="32"/>
    </w:rPr>
  </w:style>
  <w:style w:type="character" w:customStyle="1" w:styleId="84">
    <w:name w:val="标题 5 字符"/>
    <w:link w:val="6"/>
    <w:qFormat/>
    <w:uiPriority w:val="0"/>
    <w:rPr>
      <w:rFonts w:ascii="Times New Roman" w:hAnsi="Times New Roman" w:eastAsia="宋体" w:cs="Times New Roman"/>
      <w:b/>
      <w:bCs/>
      <w:sz w:val="28"/>
      <w:szCs w:val="28"/>
    </w:rPr>
  </w:style>
  <w:style w:type="character" w:customStyle="1" w:styleId="85">
    <w:name w:val="标题 4 Char"/>
    <w:qFormat/>
    <w:uiPriority w:val="0"/>
    <w:rPr>
      <w:rFonts w:ascii="Arial" w:hAnsi="Arial" w:eastAsia="黑体" w:cs="Times New Roman"/>
      <w:b/>
      <w:bCs/>
      <w:sz w:val="28"/>
      <w:szCs w:val="28"/>
    </w:rPr>
  </w:style>
  <w:style w:type="character" w:customStyle="1" w:styleId="86">
    <w:name w:val="正文文本 Char"/>
    <w:qFormat/>
    <w:uiPriority w:val="0"/>
    <w:rPr>
      <w:rFonts w:ascii="Times New Roman" w:hAnsi="Times New Roman" w:eastAsia="宋体" w:cs="Times New Roman"/>
      <w:sz w:val="28"/>
      <w:szCs w:val="24"/>
    </w:rPr>
  </w:style>
  <w:style w:type="character" w:customStyle="1" w:styleId="87">
    <w:name w:val="style7"/>
    <w:basedOn w:val="46"/>
    <w:qFormat/>
    <w:uiPriority w:val="0"/>
  </w:style>
  <w:style w:type="character" w:customStyle="1" w:styleId="88">
    <w:name w:val="批注文字 Char1"/>
    <w:qFormat/>
    <w:uiPriority w:val="0"/>
    <w:rPr>
      <w:kern w:val="2"/>
      <w:sz w:val="21"/>
      <w:szCs w:val="24"/>
      <w:lang w:val="en-US" w:eastAsia="zh-CN" w:bidi="ar-SA"/>
    </w:rPr>
  </w:style>
  <w:style w:type="character" w:customStyle="1" w:styleId="89">
    <w:name w:val="文档结构图 字符"/>
    <w:link w:val="11"/>
    <w:qFormat/>
    <w:uiPriority w:val="0"/>
    <w:rPr>
      <w:rFonts w:ascii="Times New Roman" w:hAnsi="Times New Roman" w:eastAsia="宋体" w:cs="Times New Roman"/>
      <w:szCs w:val="24"/>
      <w:shd w:val="clear" w:color="auto" w:fill="000080"/>
    </w:rPr>
  </w:style>
  <w:style w:type="character" w:customStyle="1" w:styleId="90">
    <w:name w:val="批注主题 字符"/>
    <w:link w:val="41"/>
    <w:qFormat/>
    <w:uiPriority w:val="0"/>
    <w:rPr>
      <w:rFonts w:ascii="Times New Roman" w:hAnsi="Times New Roman" w:eastAsia="宋体" w:cs="Times New Roman"/>
      <w:szCs w:val="20"/>
    </w:rPr>
  </w:style>
  <w:style w:type="character" w:customStyle="1" w:styleId="91">
    <w:name w:val="正文文本缩进 2 Char"/>
    <w:qFormat/>
    <w:uiPriority w:val="0"/>
    <w:rPr>
      <w:rFonts w:ascii="仿宋_GB2312" w:hAnsi="仿宋_GB2312" w:eastAsia="宋体" w:cs="Times New Roman"/>
      <w:b/>
      <w:bCs/>
      <w:color w:val="000000"/>
      <w:sz w:val="24"/>
      <w:szCs w:val="24"/>
    </w:rPr>
  </w:style>
  <w:style w:type="character" w:customStyle="1" w:styleId="92">
    <w:name w:val="日期 Char"/>
    <w:qFormat/>
    <w:uiPriority w:val="0"/>
    <w:rPr>
      <w:rFonts w:ascii="Times New Roman" w:hAnsi="Times New Roman" w:eastAsia="楷体_GB2312"/>
      <w:sz w:val="32"/>
    </w:rPr>
  </w:style>
  <w:style w:type="character" w:customStyle="1" w:styleId="93">
    <w:name w:val="批注主题 Char"/>
    <w:qFormat/>
    <w:uiPriority w:val="0"/>
    <w:rPr>
      <w:rFonts w:ascii="Times New Roman" w:hAnsi="Times New Roman" w:eastAsia="宋体" w:cs="Times New Roman"/>
      <w:szCs w:val="20"/>
    </w:rPr>
  </w:style>
  <w:style w:type="character" w:customStyle="1" w:styleId="94">
    <w:name w:val="ca-32"/>
    <w:qFormat/>
    <w:uiPriority w:val="0"/>
  </w:style>
  <w:style w:type="character" w:customStyle="1" w:styleId="95">
    <w:name w:val="页眉 Char"/>
    <w:qFormat/>
    <w:uiPriority w:val="0"/>
    <w:rPr>
      <w:sz w:val="18"/>
      <w:szCs w:val="18"/>
    </w:rPr>
  </w:style>
  <w:style w:type="character" w:customStyle="1" w:styleId="96">
    <w:name w:val="批注框文本 Char"/>
    <w:qFormat/>
    <w:uiPriority w:val="0"/>
    <w:rPr>
      <w:rFonts w:ascii="Times New Roman" w:hAnsi="Times New Roman" w:eastAsia="宋体" w:cs="Times New Roman"/>
      <w:sz w:val="18"/>
      <w:szCs w:val="18"/>
    </w:rPr>
  </w:style>
  <w:style w:type="character" w:customStyle="1" w:styleId="97">
    <w:name w:val="apple-style-span"/>
    <w:basedOn w:val="46"/>
    <w:qFormat/>
    <w:uiPriority w:val="0"/>
  </w:style>
  <w:style w:type="character" w:customStyle="1" w:styleId="98">
    <w:name w:val="标题 3 Char"/>
    <w:qFormat/>
    <w:uiPriority w:val="0"/>
    <w:rPr>
      <w:rFonts w:ascii="Times New Roman" w:hAnsi="Times New Roman"/>
      <w:b/>
      <w:bCs/>
      <w:sz w:val="32"/>
      <w:szCs w:val="32"/>
    </w:rPr>
  </w:style>
  <w:style w:type="character" w:customStyle="1" w:styleId="99">
    <w:name w:val="正文文本缩进 Char"/>
    <w:qFormat/>
    <w:uiPriority w:val="0"/>
    <w:rPr>
      <w:rFonts w:ascii="宋体" w:hAnsi="Times New Roman" w:eastAsia="宋体" w:cs="Times New Roman"/>
      <w:spacing w:val="-4"/>
      <w:sz w:val="18"/>
      <w:szCs w:val="20"/>
    </w:rPr>
  </w:style>
  <w:style w:type="character" w:customStyle="1" w:styleId="100">
    <w:name w:val="文档结构图 Char"/>
    <w:qFormat/>
    <w:uiPriority w:val="0"/>
    <w:rPr>
      <w:rFonts w:ascii="Times New Roman" w:hAnsi="Times New Roman" w:eastAsia="宋体" w:cs="Times New Roman"/>
      <w:szCs w:val="24"/>
      <w:shd w:val="clear" w:color="auto" w:fill="000080"/>
    </w:rPr>
  </w:style>
  <w:style w:type="character" w:customStyle="1" w:styleId="101">
    <w:name w:val="纯文本 字符"/>
    <w:link w:val="21"/>
    <w:qFormat/>
    <w:uiPriority w:val="0"/>
    <w:rPr>
      <w:rFonts w:ascii="宋体" w:hAnsi="Times New Roman" w:eastAsia="宋体" w:cs="Times New Roman"/>
      <w:sz w:val="24"/>
      <w:szCs w:val="24"/>
    </w:rPr>
  </w:style>
  <w:style w:type="character" w:customStyle="1" w:styleId="102">
    <w:name w:val="正文文本缩进 3 字符"/>
    <w:link w:val="34"/>
    <w:qFormat/>
    <w:uiPriority w:val="0"/>
    <w:rPr>
      <w:rFonts w:ascii="仿宋_GB2312" w:eastAsia="仿宋_GB2312"/>
      <w:color w:val="000000"/>
      <w:sz w:val="24"/>
      <w:szCs w:val="24"/>
    </w:rPr>
  </w:style>
  <w:style w:type="character" w:customStyle="1" w:styleId="103">
    <w:name w:val="页眉 字符"/>
    <w:link w:val="28"/>
    <w:qFormat/>
    <w:uiPriority w:val="99"/>
    <w:rPr>
      <w:sz w:val="18"/>
      <w:szCs w:val="18"/>
    </w:rPr>
  </w:style>
  <w:style w:type="character" w:customStyle="1" w:styleId="104">
    <w:name w:val="纯文本 字符1"/>
    <w:qFormat/>
    <w:uiPriority w:val="0"/>
    <w:rPr>
      <w:rFonts w:ascii="宋体" w:hAnsi="Courier New" w:eastAsia="宋体"/>
      <w:kern w:val="2"/>
      <w:sz w:val="24"/>
      <w:szCs w:val="24"/>
      <w:lang w:val="en-US" w:eastAsia="zh-CN" w:bidi="ar-SA"/>
    </w:rPr>
  </w:style>
  <w:style w:type="character" w:customStyle="1" w:styleId="105">
    <w:name w:val="批注文字 Char"/>
    <w:qFormat/>
    <w:uiPriority w:val="0"/>
    <w:rPr>
      <w:rFonts w:ascii="Times New Roman" w:hAnsi="Times New Roman" w:eastAsia="宋体" w:cs="Times New Roman"/>
      <w:szCs w:val="20"/>
    </w:rPr>
  </w:style>
  <w:style w:type="character" w:customStyle="1" w:styleId="106">
    <w:name w:val="副标题 字符"/>
    <w:link w:val="31"/>
    <w:qFormat/>
    <w:uiPriority w:val="0"/>
    <w:rPr>
      <w:rFonts w:ascii="Cambria" w:hAnsi="Cambria"/>
      <w:b/>
      <w:bCs/>
      <w:kern w:val="28"/>
      <w:sz w:val="32"/>
      <w:szCs w:val="32"/>
    </w:rPr>
  </w:style>
  <w:style w:type="character" w:customStyle="1" w:styleId="107">
    <w:name w:val="副标题 Char1"/>
    <w:qFormat/>
    <w:uiPriority w:val="11"/>
    <w:rPr>
      <w:rFonts w:ascii="Cambria" w:hAnsi="Cambria" w:eastAsia="宋体" w:cs="Times New Roman"/>
      <w:b/>
      <w:bCs/>
      <w:kern w:val="28"/>
      <w:sz w:val="32"/>
      <w:szCs w:val="32"/>
    </w:rPr>
  </w:style>
  <w:style w:type="character" w:customStyle="1" w:styleId="108">
    <w:name w:val="正文文本缩进 字符"/>
    <w:link w:val="15"/>
    <w:qFormat/>
    <w:uiPriority w:val="0"/>
    <w:rPr>
      <w:rFonts w:ascii="宋体" w:hAnsi="Times New Roman" w:eastAsia="宋体" w:cs="Times New Roman"/>
      <w:spacing w:val="-4"/>
      <w:sz w:val="18"/>
      <w:szCs w:val="20"/>
    </w:rPr>
  </w:style>
  <w:style w:type="character" w:customStyle="1" w:styleId="109">
    <w:name w:val="正文文本 3 字符"/>
    <w:link w:val="13"/>
    <w:qFormat/>
    <w:uiPriority w:val="0"/>
    <w:rPr>
      <w:rFonts w:eastAsia="仿宋_GB2312"/>
      <w:b/>
      <w:bCs/>
      <w:sz w:val="24"/>
    </w:rPr>
  </w:style>
  <w:style w:type="character" w:customStyle="1" w:styleId="110">
    <w:name w:val="标题 1 Char"/>
    <w:qFormat/>
    <w:uiPriority w:val="0"/>
    <w:rPr>
      <w:rFonts w:ascii="Times New Roman" w:hAnsi="Times New Roman" w:eastAsia="宋体" w:cs="Times New Roman"/>
      <w:b/>
      <w:bCs/>
      <w:kern w:val="44"/>
      <w:sz w:val="44"/>
      <w:szCs w:val="44"/>
    </w:rPr>
  </w:style>
  <w:style w:type="character" w:customStyle="1" w:styleId="111">
    <w:name w:val="标题 3 字符"/>
    <w:link w:val="4"/>
    <w:qFormat/>
    <w:uiPriority w:val="0"/>
    <w:rPr>
      <w:b/>
      <w:bCs/>
      <w:sz w:val="32"/>
      <w:szCs w:val="32"/>
    </w:rPr>
  </w:style>
  <w:style w:type="character" w:customStyle="1" w:styleId="112">
    <w:name w:val="标题 2 Char"/>
    <w:qFormat/>
    <w:uiPriority w:val="0"/>
    <w:rPr>
      <w:rFonts w:ascii="Arial" w:hAnsi="Arial" w:eastAsia="黑体"/>
      <w:b/>
      <w:bCs/>
      <w:sz w:val="32"/>
      <w:szCs w:val="32"/>
    </w:rPr>
  </w:style>
  <w:style w:type="character" w:customStyle="1" w:styleId="113">
    <w:name w:val="unnamed1"/>
    <w:basedOn w:val="46"/>
    <w:qFormat/>
    <w:uiPriority w:val="0"/>
  </w:style>
  <w:style w:type="paragraph" w:customStyle="1" w:styleId="114">
    <w:name w:val="修订1"/>
    <w:qFormat/>
    <w:uiPriority w:val="99"/>
    <w:rPr>
      <w:rFonts w:ascii="Calibri" w:hAnsi="Calibri" w:eastAsia="宋体" w:cs="Times New Roman"/>
      <w:kern w:val="2"/>
      <w:sz w:val="21"/>
      <w:szCs w:val="22"/>
      <w:lang w:val="en-US" w:eastAsia="zh-CN" w:bidi="ar-SA"/>
    </w:rPr>
  </w:style>
  <w:style w:type="paragraph" w:customStyle="1" w:styleId="115">
    <w:name w:val="Char Char Char Char Char Char"/>
    <w:basedOn w:val="1"/>
    <w:qFormat/>
    <w:uiPriority w:val="0"/>
    <w:pPr>
      <w:ind w:firstLine="200" w:firstLineChars="200"/>
    </w:pPr>
    <w:rPr>
      <w:rFonts w:ascii="Tahoma" w:hAnsi="Tahoma"/>
      <w:sz w:val="24"/>
      <w:szCs w:val="20"/>
    </w:rPr>
  </w:style>
  <w:style w:type="paragraph" w:customStyle="1" w:styleId="116">
    <w:name w:val="Char Char Char Char Char Char Char Char Char Char Char Char1 Char1"/>
    <w:basedOn w:val="11"/>
    <w:qFormat/>
    <w:uiPriority w:val="0"/>
    <w:pPr>
      <w:jc w:val="left"/>
    </w:pPr>
    <w:rPr>
      <w:rFonts w:ascii="Tahoma" w:hAnsi="Tahoma" w:cs="Arial"/>
      <w:sz w:val="24"/>
    </w:rPr>
  </w:style>
  <w:style w:type="paragraph" w:customStyle="1" w:styleId="117">
    <w:name w:val="纯文本1"/>
    <w:basedOn w:val="1"/>
    <w:qFormat/>
    <w:uiPriority w:val="0"/>
    <w:pPr>
      <w:spacing w:before="156" w:beforeLines="50" w:after="156" w:afterLines="50" w:line="400" w:lineRule="exact"/>
    </w:pPr>
    <w:rPr>
      <w:rFonts w:ascii="宋体" w:hAnsi="Courier New"/>
      <w:sz w:val="24"/>
    </w:rPr>
  </w:style>
  <w:style w:type="paragraph" w:customStyle="1" w:styleId="118">
    <w:name w:val="列出段落1"/>
    <w:basedOn w:val="1"/>
    <w:qFormat/>
    <w:uiPriority w:val="0"/>
    <w:pPr>
      <w:ind w:firstLine="200" w:firstLineChars="200"/>
    </w:pPr>
    <w:rPr>
      <w:rFonts w:ascii="Calibri" w:hAnsi="Calibri"/>
      <w:szCs w:val="22"/>
    </w:rPr>
  </w:style>
  <w:style w:type="paragraph" w:customStyle="1" w:styleId="119">
    <w:name w:val="Char1 Char Char Char1"/>
    <w:basedOn w:val="1"/>
    <w:qFormat/>
    <w:uiPriority w:val="0"/>
    <w:pPr>
      <w:tabs>
        <w:tab w:val="left" w:pos="840"/>
      </w:tabs>
      <w:ind w:left="840" w:hanging="420"/>
      <w:jc w:val="left"/>
    </w:pPr>
    <w:rPr>
      <w:rFonts w:ascii="宋体" w:hAnsi="宋体" w:cs="Arial"/>
      <w:sz w:val="24"/>
    </w:rPr>
  </w:style>
  <w:style w:type="paragraph" w:customStyle="1" w:styleId="120">
    <w:name w:val="Char Char Char Char1"/>
    <w:basedOn w:val="1"/>
    <w:qFormat/>
    <w:uiPriority w:val="0"/>
    <w:pPr>
      <w:widowControl/>
      <w:spacing w:after="160" w:line="240" w:lineRule="exact"/>
      <w:jc w:val="left"/>
    </w:pPr>
    <w:rPr>
      <w:rFonts w:ascii="宋体" w:hAnsi="宋体" w:cs="Arial"/>
      <w:szCs w:val="21"/>
    </w:rPr>
  </w:style>
  <w:style w:type="paragraph" w:customStyle="1" w:styleId="121">
    <w:name w:val="table_lines"/>
    <w:basedOn w:val="1"/>
    <w:qFormat/>
    <w:uiPriority w:val="0"/>
    <w:rPr>
      <w:szCs w:val="20"/>
    </w:rPr>
  </w:style>
  <w:style w:type="paragraph" w:customStyle="1" w:styleId="122">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123">
    <w:name w:val="样式 样式 标题 2 + 宋体 行距: 最小值 20 磅 + 段前: 0.5 行 段后: 0.5 行"/>
    <w:basedOn w:val="1"/>
    <w:qFormat/>
    <w:uiPriority w:val="0"/>
    <w:pPr>
      <w:keepNext/>
      <w:keepLines/>
      <w:tabs>
        <w:tab w:val="left" w:pos="567"/>
      </w:tabs>
      <w:spacing w:before="120" w:after="120"/>
      <w:jc w:val="center"/>
      <w:outlineLvl w:val="1"/>
    </w:pPr>
    <w:rPr>
      <w:rFonts w:eastAsia="仿宋_GB2312"/>
      <w:b/>
      <w:w w:val="80"/>
      <w:sz w:val="28"/>
      <w:szCs w:val="32"/>
    </w:rPr>
  </w:style>
  <w:style w:type="paragraph" w:customStyle="1" w:styleId="124">
    <w:name w:val="333"/>
    <w:basedOn w:val="1"/>
    <w:qFormat/>
    <w:uiPriority w:val="0"/>
    <w:pPr>
      <w:adjustRightInd w:val="0"/>
      <w:spacing w:line="312" w:lineRule="atLeast"/>
      <w:textAlignment w:val="baseline"/>
    </w:pPr>
    <w:rPr>
      <w:kern w:val="0"/>
      <w:szCs w:val="20"/>
    </w:rPr>
  </w:style>
  <w:style w:type="paragraph" w:customStyle="1" w:styleId="125">
    <w:name w:val="p15"/>
    <w:basedOn w:val="1"/>
    <w:qFormat/>
    <w:uiPriority w:val="0"/>
    <w:pPr>
      <w:widowControl/>
    </w:pPr>
    <w:rPr>
      <w:kern w:val="0"/>
      <w:szCs w:val="21"/>
    </w:rPr>
  </w:style>
  <w:style w:type="paragraph" w:customStyle="1" w:styleId="126">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列出段落11"/>
    <w:basedOn w:val="1"/>
    <w:qFormat/>
    <w:uiPriority w:val="0"/>
    <w:pPr>
      <w:ind w:firstLine="200" w:firstLineChars="200"/>
      <w:jc w:val="left"/>
    </w:pPr>
    <w:rPr>
      <w:rFonts w:ascii="Calibri" w:hAnsi="Calibri" w:cs="Arial"/>
      <w:szCs w:val="22"/>
    </w:rPr>
  </w:style>
  <w:style w:type="paragraph" w:customStyle="1" w:styleId="128">
    <w:name w:val="Char21"/>
    <w:basedOn w:val="1"/>
    <w:qFormat/>
    <w:uiPriority w:val="0"/>
    <w:pPr>
      <w:jc w:val="left"/>
    </w:pPr>
    <w:rPr>
      <w:rFonts w:ascii="仿宋_GB2312" w:hAnsi="宋体" w:eastAsia="仿宋_GB2312" w:cs="Arial"/>
      <w:b/>
      <w:sz w:val="32"/>
      <w:szCs w:val="32"/>
    </w:rPr>
  </w:style>
  <w:style w:type="paragraph" w:customStyle="1" w:styleId="129">
    <w:name w:val="Char1 Char Char Char"/>
    <w:basedOn w:val="1"/>
    <w:qFormat/>
    <w:uiPriority w:val="0"/>
    <w:pPr>
      <w:tabs>
        <w:tab w:val="left" w:pos="840"/>
      </w:tabs>
      <w:ind w:left="840" w:hanging="420"/>
    </w:pPr>
    <w:rPr>
      <w:sz w:val="24"/>
    </w:rPr>
  </w:style>
  <w:style w:type="paragraph" w:customStyle="1" w:styleId="130">
    <w:name w:val="正文段"/>
    <w:basedOn w:val="1"/>
    <w:qFormat/>
    <w:uiPriority w:val="0"/>
    <w:pPr>
      <w:widowControl/>
      <w:snapToGrid w:val="0"/>
      <w:spacing w:afterLines="50"/>
      <w:ind w:firstLine="200" w:firstLineChars="200"/>
    </w:pPr>
    <w:rPr>
      <w:kern w:val="0"/>
      <w:sz w:val="24"/>
      <w:szCs w:val="20"/>
    </w:rPr>
  </w:style>
  <w:style w:type="paragraph" w:customStyle="1" w:styleId="131">
    <w:name w:val="pa-1"/>
    <w:basedOn w:val="1"/>
    <w:qFormat/>
    <w:uiPriority w:val="0"/>
    <w:pPr>
      <w:widowControl/>
      <w:spacing w:before="100" w:beforeAutospacing="1" w:after="100" w:afterAutospacing="1"/>
      <w:jc w:val="left"/>
    </w:pPr>
    <w:rPr>
      <w:rFonts w:ascii="宋体" w:cs="宋体"/>
      <w:kern w:val="0"/>
      <w:sz w:val="24"/>
    </w:rPr>
  </w:style>
  <w:style w:type="paragraph" w:customStyle="1" w:styleId="132">
    <w:name w:val="op_mapdots_left"/>
    <w:basedOn w:val="1"/>
    <w:qFormat/>
    <w:uiPriority w:val="0"/>
    <w:pPr>
      <w:widowControl/>
      <w:jc w:val="left"/>
    </w:pPr>
    <w:rPr>
      <w:rFonts w:ascii="宋体" w:cs="宋体"/>
      <w:kern w:val="0"/>
      <w:sz w:val="24"/>
    </w:rPr>
  </w:style>
  <w:style w:type="paragraph" w:customStyle="1" w:styleId="133">
    <w:name w:val="_Style 12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4">
    <w:name w:val="列出段落2"/>
    <w:basedOn w:val="1"/>
    <w:qFormat/>
    <w:uiPriority w:val="34"/>
    <w:pPr>
      <w:spacing w:line="300" w:lineRule="auto"/>
      <w:ind w:firstLine="420" w:firstLineChars="200"/>
    </w:pPr>
    <w:rPr>
      <w:rFonts w:ascii="宋体"/>
      <w:kern w:val="0"/>
      <w:sz w:val="24"/>
      <w:szCs w:val="20"/>
    </w:rPr>
  </w:style>
  <w:style w:type="paragraph" w:customStyle="1" w:styleId="135">
    <w:name w:val="style9"/>
    <w:basedOn w:val="1"/>
    <w:qFormat/>
    <w:uiPriority w:val="0"/>
    <w:pPr>
      <w:widowControl/>
      <w:spacing w:before="100" w:beforeAutospacing="1" w:after="100" w:afterAutospacing="1"/>
      <w:jc w:val="left"/>
    </w:pPr>
    <w:rPr>
      <w:rFonts w:ascii="宋体" w:cs="宋体"/>
      <w:kern w:val="0"/>
      <w:sz w:val="24"/>
    </w:rPr>
  </w:style>
  <w:style w:type="paragraph" w:customStyle="1" w:styleId="136">
    <w:name w:val="zhouzhe jianjie txt"/>
    <w:basedOn w:val="1"/>
    <w:qFormat/>
    <w:uiPriority w:val="0"/>
    <w:pPr>
      <w:spacing w:line="240" w:lineRule="exact"/>
      <w:jc w:val="left"/>
    </w:pPr>
    <w:rPr>
      <w:rFonts w:ascii="宋体" w:hAnsi="宋体" w:eastAsia="Times New Roman" w:cs="Arial"/>
      <w:sz w:val="15"/>
      <w:szCs w:val="15"/>
    </w:rPr>
  </w:style>
  <w:style w:type="paragraph" w:customStyle="1" w:styleId="137">
    <w:name w:val="自由格式 A"/>
    <w:qFormat/>
    <w:uiPriority w:val="0"/>
    <w:rPr>
      <w:rFonts w:ascii="Helvetica" w:hAnsi="Helvetica" w:eastAsia="ヒラギノ角ゴ Pro W3" w:cs="Times New Roman"/>
      <w:color w:val="000000"/>
      <w:sz w:val="24"/>
      <w:lang w:val="en-US" w:eastAsia="zh-CN" w:bidi="ar-SA"/>
    </w:rPr>
  </w:style>
  <w:style w:type="paragraph" w:customStyle="1" w:styleId="138">
    <w:name w:val="Char1"/>
    <w:basedOn w:val="1"/>
    <w:qFormat/>
    <w:uiPriority w:val="0"/>
    <w:rPr>
      <w:rFonts w:ascii="Tahoma" w:hAnsi="Tahoma"/>
      <w:sz w:val="24"/>
      <w:szCs w:val="20"/>
    </w:rPr>
  </w:style>
  <w:style w:type="paragraph" w:customStyle="1" w:styleId="139">
    <w:name w:val="p0"/>
    <w:basedOn w:val="1"/>
    <w:qFormat/>
    <w:uiPriority w:val="0"/>
    <w:pPr>
      <w:widowControl/>
    </w:pPr>
    <w:rPr>
      <w:kern w:val="0"/>
      <w:szCs w:val="21"/>
    </w:rPr>
  </w:style>
  <w:style w:type="paragraph" w:customStyle="1" w:styleId="140">
    <w:name w:val="样式1"/>
    <w:basedOn w:val="5"/>
    <w:qFormat/>
    <w:uiPriority w:val="0"/>
  </w:style>
  <w:style w:type="paragraph" w:customStyle="1" w:styleId="141">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42">
    <w:name w:val="Char Char Char Char"/>
    <w:basedOn w:val="1"/>
    <w:qFormat/>
    <w:uiPriority w:val="0"/>
    <w:pPr>
      <w:widowControl/>
      <w:spacing w:after="160" w:line="240" w:lineRule="exact"/>
      <w:jc w:val="left"/>
    </w:pPr>
    <w:rPr>
      <w:szCs w:val="20"/>
    </w:rPr>
  </w:style>
  <w:style w:type="paragraph" w:customStyle="1" w:styleId="143">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eastAsia="Arial Unicode MS"/>
      <w:kern w:val="0"/>
      <w:sz w:val="24"/>
    </w:rPr>
  </w:style>
  <w:style w:type="paragraph" w:customStyle="1" w:styleId="144">
    <w:name w:val="_Style 77"/>
    <w:basedOn w:val="1"/>
    <w:next w:val="69"/>
    <w:qFormat/>
    <w:uiPriority w:val="34"/>
    <w:pPr>
      <w:tabs>
        <w:tab w:val="left" w:pos="360"/>
      </w:tabs>
      <w:ind w:left="360" w:hanging="360"/>
    </w:pPr>
    <w:rPr>
      <w:rFonts w:ascii="Calibri" w:hAnsi="Calibri"/>
      <w:szCs w:val="22"/>
    </w:rPr>
  </w:style>
  <w:style w:type="paragraph" w:customStyle="1" w:styleId="145">
    <w:name w:val="默认段落字体 Para Char Char Char Char Char Char Char Char Char1 Char Char Char Char"/>
    <w:basedOn w:val="1"/>
    <w:qFormat/>
    <w:uiPriority w:val="0"/>
    <w:rPr>
      <w:rFonts w:ascii="Tahoma" w:hAnsi="Tahoma"/>
      <w:sz w:val="24"/>
      <w:szCs w:val="20"/>
    </w:rPr>
  </w:style>
  <w:style w:type="paragraph" w:customStyle="1" w:styleId="146">
    <w:name w:val="table_1stline"/>
    <w:basedOn w:val="1"/>
    <w:qFormat/>
    <w:uiPriority w:val="0"/>
    <w:pPr>
      <w:spacing w:before="120"/>
    </w:pPr>
    <w:rPr>
      <w:bCs/>
      <w:szCs w:val="20"/>
    </w:rPr>
  </w:style>
  <w:style w:type="paragraph" w:customStyle="1" w:styleId="147">
    <w:name w:val="Char Char Char Char Char Char Char Char Char Char Char Char1 Char"/>
    <w:basedOn w:val="11"/>
    <w:qFormat/>
    <w:uiPriority w:val="0"/>
    <w:rPr>
      <w:rFonts w:ascii="Tahoma" w:hAnsi="Tahoma"/>
      <w:sz w:val="24"/>
    </w:rPr>
  </w:style>
  <w:style w:type="paragraph" w:customStyle="1" w:styleId="148">
    <w:name w:val="Char11"/>
    <w:basedOn w:val="1"/>
    <w:qFormat/>
    <w:uiPriority w:val="0"/>
  </w:style>
  <w:style w:type="paragraph" w:customStyle="1" w:styleId="149">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150">
    <w:name w:val="Char Char Char Char Char Char1"/>
    <w:basedOn w:val="1"/>
    <w:qFormat/>
    <w:uiPriority w:val="0"/>
    <w:pPr>
      <w:ind w:firstLine="200" w:firstLineChars="200"/>
      <w:jc w:val="left"/>
    </w:pPr>
    <w:rPr>
      <w:rFonts w:ascii="Tahoma" w:hAnsi="Tahoma" w:cs="Arial"/>
      <w:sz w:val="24"/>
      <w:szCs w:val="21"/>
    </w:rPr>
  </w:style>
  <w:style w:type="paragraph" w:customStyle="1" w:styleId="151">
    <w:name w:val="Char3"/>
    <w:basedOn w:val="1"/>
    <w:qFormat/>
    <w:uiPriority w:val="0"/>
    <w:pPr>
      <w:ind w:firstLine="200" w:firstLineChars="200"/>
      <w:jc w:val="left"/>
    </w:pPr>
    <w:rPr>
      <w:rFonts w:ascii="幼圆" w:hAnsi="宋体" w:eastAsia="幼圆" w:cs="幼圆"/>
      <w:sz w:val="24"/>
      <w:szCs w:val="21"/>
    </w:rPr>
  </w:style>
  <w:style w:type="paragraph" w:customStyle="1" w:styleId="152">
    <w:name w:val="正文－恩普"/>
    <w:basedOn w:val="9"/>
    <w:qFormat/>
    <w:uiPriority w:val="0"/>
    <w:pPr>
      <w:widowControl/>
      <w:numPr>
        <w:numId w:val="0"/>
      </w:numPr>
      <w:tabs>
        <w:tab w:val="clear" w:pos="2040"/>
      </w:tabs>
      <w:spacing w:afterLines="50" w:line="360" w:lineRule="auto"/>
      <w:ind w:firstLine="480" w:firstLineChars="200"/>
      <w:jc w:val="left"/>
    </w:pPr>
    <w:rPr>
      <w:kern w:val="0"/>
      <w:sz w:val="24"/>
    </w:rPr>
  </w:style>
  <w:style w:type="paragraph" w:customStyle="1" w:styleId="153">
    <w:name w:val="xl29"/>
    <w:basedOn w:val="1"/>
    <w:qFormat/>
    <w:uiPriority w:val="0"/>
    <w:pPr>
      <w:widowControl/>
      <w:spacing w:before="100" w:beforeAutospacing="1" w:after="100" w:afterAutospacing="1"/>
      <w:jc w:val="center"/>
    </w:pPr>
    <w:rPr>
      <w:rFonts w:ascii="Arial Unicode MS" w:hAnsi="Arial Unicode MS" w:eastAsia="Arial Unicode MS"/>
      <w:kern w:val="0"/>
      <w:sz w:val="24"/>
    </w:rPr>
  </w:style>
  <w:style w:type="paragraph" w:customStyle="1" w:styleId="154">
    <w:name w:val="Char2"/>
    <w:basedOn w:val="1"/>
    <w:qFormat/>
    <w:uiPriority w:val="0"/>
    <w:rPr>
      <w:rFonts w:ascii="仿宋_GB2312" w:eastAsia="仿宋_GB2312"/>
      <w:b/>
      <w:sz w:val="32"/>
      <w:szCs w:val="32"/>
    </w:rPr>
  </w:style>
  <w:style w:type="paragraph" w:customStyle="1" w:styleId="155">
    <w:name w:val="tgt2"/>
    <w:basedOn w:val="1"/>
    <w:qFormat/>
    <w:uiPriority w:val="0"/>
    <w:pPr>
      <w:widowControl/>
      <w:spacing w:after="150" w:line="360" w:lineRule="auto"/>
      <w:jc w:val="left"/>
    </w:pPr>
    <w:rPr>
      <w:rFonts w:ascii="宋体" w:cs="宋体"/>
      <w:b/>
      <w:bCs/>
      <w:kern w:val="0"/>
      <w:sz w:val="36"/>
      <w:szCs w:val="36"/>
    </w:rPr>
  </w:style>
  <w:style w:type="paragraph" w:customStyle="1" w:styleId="156">
    <w:name w:val="Char"/>
    <w:basedOn w:val="1"/>
    <w:qFormat/>
    <w:uiPriority w:val="0"/>
    <w:pPr>
      <w:ind w:firstLine="200" w:firstLineChars="200"/>
    </w:pPr>
    <w:rPr>
      <w:rFonts w:ascii="幼圆" w:eastAsia="幼圆" w:cs="幼圆"/>
      <w:sz w:val="24"/>
      <w:szCs w:val="20"/>
    </w:rPr>
  </w:style>
  <w:style w:type="paragraph" w:customStyle="1" w:styleId="15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58">
    <w:name w:val="font101"/>
    <w:basedOn w:val="46"/>
    <w:qFormat/>
    <w:uiPriority w:val="0"/>
    <w:rPr>
      <w:rFonts w:hint="eastAsia" w:ascii="宋体" w:hAnsi="宋体" w:eastAsia="宋体" w:cs="宋体"/>
      <w:color w:val="000000"/>
      <w:sz w:val="18"/>
      <w:szCs w:val="18"/>
      <w:u w:val="none"/>
    </w:rPr>
  </w:style>
  <w:style w:type="character" w:customStyle="1" w:styleId="159">
    <w:name w:val="font31"/>
    <w:basedOn w:val="46"/>
    <w:qFormat/>
    <w:uiPriority w:val="0"/>
    <w:rPr>
      <w:rFonts w:hint="eastAsia" w:ascii="宋体" w:hAnsi="宋体" w:eastAsia="宋体" w:cs="宋体"/>
      <w:b/>
      <w:bCs/>
      <w:color w:val="000000"/>
      <w:sz w:val="18"/>
      <w:szCs w:val="18"/>
      <w:u w:val="none"/>
    </w:rPr>
  </w:style>
  <w:style w:type="character" w:customStyle="1" w:styleId="160">
    <w:name w:val="font161"/>
    <w:basedOn w:val="46"/>
    <w:qFormat/>
    <w:uiPriority w:val="0"/>
    <w:rPr>
      <w:rFonts w:hint="eastAsia" w:ascii="宋体" w:hAnsi="宋体" w:eastAsia="宋体" w:cs="宋体"/>
      <w:b/>
      <w:bCs/>
      <w:color w:val="000000"/>
      <w:sz w:val="18"/>
      <w:szCs w:val="18"/>
      <w:u w:val="none"/>
    </w:rPr>
  </w:style>
  <w:style w:type="character" w:customStyle="1" w:styleId="161">
    <w:name w:val="font81"/>
    <w:qFormat/>
    <w:uiPriority w:val="0"/>
    <w:rPr>
      <w:rFonts w:hint="eastAsia" w:ascii="宋体" w:hAnsi="宋体" w:eastAsia="宋体" w:cs="宋体"/>
      <w:color w:val="000000"/>
      <w:sz w:val="18"/>
      <w:szCs w:val="18"/>
      <w:u w:val="none"/>
    </w:rPr>
  </w:style>
  <w:style w:type="paragraph" w:customStyle="1" w:styleId="162">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63">
    <w:name w:val="标题 字符"/>
    <w:link w:val="40"/>
    <w:qFormat/>
    <w:uiPriority w:val="0"/>
    <w:rPr>
      <w:rFonts w:ascii="Calibri Light" w:hAnsi="Calibri Light"/>
      <w:b/>
      <w:bCs/>
      <w:sz w:val="32"/>
      <w:szCs w:val="32"/>
    </w:rPr>
  </w:style>
  <w:style w:type="paragraph" w:customStyle="1" w:styleId="164">
    <w:name w:val="列出段落21"/>
    <w:basedOn w:val="1"/>
    <w:qFormat/>
    <w:uiPriority w:val="0"/>
    <w:pPr>
      <w:numPr>
        <w:ilvl w:val="0"/>
        <w:numId w:val="1"/>
      </w:numPr>
      <w:tabs>
        <w:tab w:val="left" w:pos="360"/>
      </w:tabs>
    </w:pPr>
    <w:rPr>
      <w:rFonts w:ascii="Calibri" w:hAnsi="Calibri"/>
      <w:szCs w:val="22"/>
    </w:rPr>
  </w:style>
  <w:style w:type="paragraph" w:customStyle="1" w:styleId="165">
    <w:name w:val="_Style 153"/>
    <w:qFormat/>
    <w:uiPriority w:val="99"/>
    <w:rPr>
      <w:rFonts w:ascii="Times New Roman" w:hAnsi="Times New Roman" w:eastAsia="宋体" w:cs="Times New Roman"/>
      <w:kern w:val="2"/>
      <w:sz w:val="21"/>
      <w:szCs w:val="24"/>
      <w:lang w:val="en-US" w:eastAsia="zh-CN" w:bidi="ar-SA"/>
    </w:rPr>
  </w:style>
  <w:style w:type="paragraph" w:customStyle="1" w:styleId="166">
    <w:name w:val="修订2"/>
    <w:qFormat/>
    <w:uiPriority w:val="99"/>
    <w:rPr>
      <w:rFonts w:ascii="Times New Roman" w:hAnsi="Times New Roman" w:eastAsia="宋体" w:cs="Times New Roman"/>
      <w:kern w:val="2"/>
      <w:sz w:val="21"/>
      <w:szCs w:val="24"/>
      <w:lang w:val="en-US" w:eastAsia="zh-CN" w:bidi="ar-SA"/>
    </w:rPr>
  </w:style>
  <w:style w:type="character" w:customStyle="1" w:styleId="167">
    <w:name w:val="批注文字 Char3"/>
    <w:qFormat/>
    <w:uiPriority w:val="0"/>
  </w:style>
  <w:style w:type="character" w:customStyle="1" w:styleId="168">
    <w:name w:val="正文文本缩进 Char2"/>
    <w:qFormat/>
    <w:uiPriority w:val="0"/>
    <w:rPr>
      <w:rFonts w:ascii="宋体" w:hAnsi="Times New Roman" w:eastAsia="宋体" w:cs="Times New Roman"/>
      <w:spacing w:val="-4"/>
      <w:sz w:val="18"/>
      <w:szCs w:val="20"/>
    </w:rPr>
  </w:style>
  <w:style w:type="paragraph" w:customStyle="1" w:styleId="169">
    <w:name w:val="List Paragraph1"/>
    <w:basedOn w:val="1"/>
    <w:qFormat/>
    <w:uiPriority w:val="99"/>
    <w:pPr>
      <w:ind w:firstLine="420" w:firstLineChars="200"/>
    </w:pPr>
  </w:style>
  <w:style w:type="paragraph" w:customStyle="1" w:styleId="170">
    <w:name w:val="表格"/>
    <w:basedOn w:val="1"/>
    <w:qFormat/>
    <w:uiPriority w:val="0"/>
    <w:rPr>
      <w:rFonts w:ascii="宋体" w:hAnsi="宋体"/>
      <w:color w:val="000000"/>
      <w:szCs w:val="21"/>
    </w:rPr>
  </w:style>
  <w:style w:type="character" w:customStyle="1" w:styleId="171">
    <w:name w:val="font11"/>
    <w:basedOn w:val="46"/>
    <w:qFormat/>
    <w:uiPriority w:val="0"/>
    <w:rPr>
      <w:rFonts w:hint="eastAsia" w:ascii="宋体" w:hAnsi="宋体" w:eastAsia="宋体" w:cs="宋体"/>
      <w:color w:val="000000"/>
      <w:sz w:val="20"/>
      <w:szCs w:val="20"/>
      <w:u w:val="none"/>
    </w:rPr>
  </w:style>
  <w:style w:type="character" w:customStyle="1" w:styleId="172">
    <w:name w:val="font61"/>
    <w:basedOn w:val="46"/>
    <w:qFormat/>
    <w:uiPriority w:val="0"/>
    <w:rPr>
      <w:rFonts w:hint="eastAsia" w:ascii="宋体" w:hAnsi="宋体" w:eastAsia="宋体" w:cs="宋体"/>
      <w:b/>
      <w:bCs/>
      <w:color w:val="000000"/>
      <w:sz w:val="20"/>
      <w:szCs w:val="20"/>
      <w:u w:val="none"/>
    </w:rPr>
  </w:style>
  <w:style w:type="character" w:customStyle="1" w:styleId="173">
    <w:name w:val="font21"/>
    <w:basedOn w:val="46"/>
    <w:qFormat/>
    <w:uiPriority w:val="0"/>
    <w:rPr>
      <w:rFonts w:hint="eastAsia" w:ascii="宋体" w:hAnsi="宋体" w:eastAsia="宋体" w:cs="宋体"/>
      <w:color w:val="FF0000"/>
      <w:sz w:val="20"/>
      <w:szCs w:val="20"/>
      <w:u w:val="none"/>
    </w:rPr>
  </w:style>
  <w:style w:type="character" w:customStyle="1" w:styleId="174">
    <w:name w:val="font151"/>
    <w:basedOn w:val="46"/>
    <w:qFormat/>
    <w:uiPriority w:val="0"/>
    <w:rPr>
      <w:rFonts w:ascii="Calibri" w:hAnsi="Calibri" w:cs="Calibri"/>
      <w:color w:val="000000"/>
      <w:sz w:val="20"/>
      <w:szCs w:val="20"/>
      <w:u w:val="none"/>
    </w:rPr>
  </w:style>
  <w:style w:type="character" w:customStyle="1" w:styleId="175">
    <w:name w:val="font41"/>
    <w:basedOn w:val="46"/>
    <w:qFormat/>
    <w:uiPriority w:val="0"/>
    <w:rPr>
      <w:rFonts w:hint="eastAsia" w:ascii="宋体" w:hAnsi="宋体" w:eastAsia="宋体" w:cs="宋体"/>
      <w:color w:val="000000"/>
      <w:sz w:val="20"/>
      <w:szCs w:val="20"/>
      <w:u w:val="none"/>
    </w:rPr>
  </w:style>
  <w:style w:type="character" w:customStyle="1" w:styleId="176">
    <w:name w:val="font01"/>
    <w:basedOn w:val="46"/>
    <w:qFormat/>
    <w:uiPriority w:val="0"/>
    <w:rPr>
      <w:rFonts w:hint="eastAsia" w:ascii="宋体" w:hAnsi="宋体" w:eastAsia="宋体" w:cs="宋体"/>
      <w:color w:val="FF0000"/>
      <w:sz w:val="20"/>
      <w:szCs w:val="20"/>
      <w:u w:val="none"/>
    </w:rPr>
  </w:style>
  <w:style w:type="character" w:customStyle="1" w:styleId="177">
    <w:name w:val="font51"/>
    <w:basedOn w:val="46"/>
    <w:qFormat/>
    <w:uiPriority w:val="0"/>
    <w:rPr>
      <w:rFonts w:hint="eastAsia" w:ascii="宋体" w:hAnsi="宋体" w:eastAsia="宋体" w:cs="宋体"/>
      <w:color w:val="FF0000"/>
      <w:sz w:val="20"/>
      <w:szCs w:val="20"/>
      <w:u w:val="none"/>
    </w:rPr>
  </w:style>
  <w:style w:type="character" w:customStyle="1" w:styleId="178">
    <w:name w:val="font91"/>
    <w:basedOn w:val="46"/>
    <w:qFormat/>
    <w:uiPriority w:val="0"/>
    <w:rPr>
      <w:rFonts w:ascii="微软雅黑" w:hAnsi="微软雅黑" w:eastAsia="微软雅黑" w:cs="微软雅黑"/>
      <w:color w:val="000000"/>
      <w:sz w:val="22"/>
      <w:szCs w:val="22"/>
      <w:u w:val="none"/>
    </w:rPr>
  </w:style>
  <w:style w:type="character" w:customStyle="1" w:styleId="179">
    <w:name w:val="font212"/>
    <w:basedOn w:val="46"/>
    <w:qFormat/>
    <w:uiPriority w:val="0"/>
    <w:rPr>
      <w:rFonts w:hint="eastAsia" w:ascii="宋体" w:hAnsi="宋体" w:eastAsia="宋体" w:cs="宋体"/>
      <w:color w:val="FF0000"/>
      <w:sz w:val="20"/>
      <w:szCs w:val="20"/>
      <w:u w:val="none"/>
    </w:rPr>
  </w:style>
  <w:style w:type="character" w:customStyle="1" w:styleId="180">
    <w:name w:val="font131"/>
    <w:basedOn w:val="46"/>
    <w:qFormat/>
    <w:uiPriority w:val="0"/>
    <w:rPr>
      <w:rFonts w:hint="default" w:ascii="Times New Roman" w:hAnsi="Times New Roman" w:cs="Times New Roman"/>
      <w:color w:val="000000"/>
      <w:sz w:val="21"/>
      <w:szCs w:val="21"/>
      <w:u w:val="none"/>
    </w:rPr>
  </w:style>
  <w:style w:type="character" w:customStyle="1" w:styleId="181">
    <w:name w:val="font12"/>
    <w:basedOn w:val="46"/>
    <w:qFormat/>
    <w:uiPriority w:val="0"/>
    <w:rPr>
      <w:rFonts w:hint="eastAsia" w:ascii="宋体" w:hAnsi="宋体" w:eastAsia="宋体" w:cs="宋体"/>
      <w:color w:val="FF0000"/>
      <w:sz w:val="20"/>
      <w:szCs w:val="20"/>
      <w:u w:val="none"/>
    </w:rPr>
  </w:style>
  <w:style w:type="character" w:customStyle="1" w:styleId="182">
    <w:name w:val="font201"/>
    <w:basedOn w:val="46"/>
    <w:qFormat/>
    <w:uiPriority w:val="0"/>
    <w:rPr>
      <w:rFonts w:hint="eastAsia" w:ascii="宋体" w:hAnsi="宋体" w:eastAsia="宋体" w:cs="宋体"/>
      <w:color w:val="000000"/>
      <w:sz w:val="18"/>
      <w:szCs w:val="18"/>
      <w:u w:val="none"/>
    </w:rPr>
  </w:style>
  <w:style w:type="character" w:customStyle="1" w:styleId="183">
    <w:name w:val="font351"/>
    <w:basedOn w:val="46"/>
    <w:qFormat/>
    <w:uiPriority w:val="0"/>
    <w:rPr>
      <w:rFonts w:hint="eastAsia" w:ascii="宋体" w:hAnsi="宋体" w:eastAsia="宋体" w:cs="宋体"/>
      <w:color w:val="FF0000"/>
      <w:sz w:val="18"/>
      <w:szCs w:val="18"/>
      <w:u w:val="none"/>
    </w:rPr>
  </w:style>
  <w:style w:type="character" w:customStyle="1" w:styleId="184">
    <w:name w:val="font251"/>
    <w:basedOn w:val="46"/>
    <w:qFormat/>
    <w:uiPriority w:val="0"/>
    <w:rPr>
      <w:rFonts w:hint="eastAsia" w:ascii="宋体" w:hAnsi="宋体" w:eastAsia="宋体" w:cs="宋体"/>
      <w:color w:val="000000"/>
      <w:sz w:val="24"/>
      <w:szCs w:val="24"/>
      <w:u w:val="none"/>
    </w:rPr>
  </w:style>
  <w:style w:type="character" w:customStyle="1" w:styleId="185">
    <w:name w:val="font361"/>
    <w:basedOn w:val="46"/>
    <w:qFormat/>
    <w:uiPriority w:val="0"/>
    <w:rPr>
      <w:rFonts w:hint="eastAsia" w:ascii="宋体" w:hAnsi="宋体" w:eastAsia="宋体" w:cs="宋体"/>
      <w:color w:val="000000"/>
      <w:sz w:val="21"/>
      <w:szCs w:val="21"/>
      <w:u w:val="none"/>
    </w:rPr>
  </w:style>
  <w:style w:type="character" w:customStyle="1" w:styleId="186">
    <w:name w:val="font141"/>
    <w:basedOn w:val="46"/>
    <w:qFormat/>
    <w:uiPriority w:val="0"/>
    <w:rPr>
      <w:rFonts w:ascii="Arial Unicode MS" w:hAnsi="Arial Unicode MS" w:eastAsia="Arial Unicode MS" w:cs="Arial Unicode MS"/>
      <w:color w:val="000000"/>
      <w:sz w:val="22"/>
      <w:szCs w:val="22"/>
      <w:u w:val="none"/>
    </w:rPr>
  </w:style>
  <w:style w:type="character" w:customStyle="1" w:styleId="187">
    <w:name w:val="font111"/>
    <w:basedOn w:val="46"/>
    <w:qFormat/>
    <w:uiPriority w:val="0"/>
    <w:rPr>
      <w:rFonts w:ascii="Arial" w:hAnsi="Arial" w:cs="Arial"/>
      <w:color w:val="000000"/>
      <w:sz w:val="22"/>
      <w:szCs w:val="22"/>
      <w:u w:val="none"/>
    </w:rPr>
  </w:style>
  <w:style w:type="character" w:customStyle="1" w:styleId="188">
    <w:name w:val="font371"/>
    <w:basedOn w:val="46"/>
    <w:qFormat/>
    <w:uiPriority w:val="0"/>
    <w:rPr>
      <w:rFonts w:hint="eastAsia" w:ascii="宋体" w:hAnsi="宋体" w:eastAsia="宋体" w:cs="宋体"/>
      <w:color w:val="000000"/>
      <w:sz w:val="22"/>
      <w:szCs w:val="22"/>
      <w:u w:val="none"/>
      <w:vertAlign w:val="subscript"/>
    </w:rPr>
  </w:style>
  <w:style w:type="character" w:customStyle="1" w:styleId="189">
    <w:name w:val="font341"/>
    <w:basedOn w:val="46"/>
    <w:qFormat/>
    <w:uiPriority w:val="0"/>
    <w:rPr>
      <w:rFonts w:hint="eastAsia" w:ascii="宋体" w:hAnsi="宋体" w:eastAsia="宋体" w:cs="宋体"/>
      <w:color w:val="000000"/>
      <w:sz w:val="22"/>
      <w:szCs w:val="22"/>
      <w:u w:val="none"/>
      <w:vertAlign w:val="subscript"/>
    </w:rPr>
  </w:style>
  <w:style w:type="paragraph" w:customStyle="1" w:styleId="190">
    <w:name w:val="正文2"/>
    <w:basedOn w:val="39"/>
    <w:qFormat/>
    <w:uiPriority w:val="0"/>
    <w:pPr>
      <w:spacing w:before="156" w:line="360" w:lineRule="auto"/>
      <w:ind w:firstLine="510" w:firstLineChars="200"/>
    </w:pPr>
    <w:rPr>
      <w:szCs w:val="20"/>
    </w:rPr>
  </w:style>
  <w:style w:type="paragraph" w:customStyle="1" w:styleId="19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92">
    <w:name w:val="正文缩进1"/>
    <w:basedOn w:val="1"/>
    <w:next w:val="1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193">
    <w:name w:val="索引 11"/>
    <w:basedOn w:val="1"/>
    <w:next w:val="1"/>
    <w:qFormat/>
    <w:uiPriority w:val="0"/>
    <w:pPr>
      <w:spacing w:line="360" w:lineRule="auto"/>
    </w:pPr>
    <w:rPr>
      <w:rFonts w:ascii="仿宋_GB2312" w:eastAsia="仿宋_GB2312"/>
      <w:sz w:val="24"/>
      <w:szCs w:val="20"/>
    </w:rPr>
  </w:style>
  <w:style w:type="paragraph" w:customStyle="1" w:styleId="194">
    <w:name w:val="text-tag"/>
    <w:basedOn w:val="1"/>
    <w:qFormat/>
    <w:uiPriority w:val="0"/>
    <w:pPr>
      <w:widowControl/>
      <w:spacing w:before="100" w:beforeAutospacing="1" w:after="100" w:afterAutospacing="1"/>
      <w:jc w:val="left"/>
    </w:pPr>
    <w:rPr>
      <w:rFonts w:ascii="宋体" w:hAnsi="宋体" w:cs="宋体"/>
      <w:kern w:val="0"/>
      <w:sz w:val="24"/>
    </w:rPr>
  </w:style>
  <w:style w:type="character" w:customStyle="1" w:styleId="195">
    <w:name w:val="font71"/>
    <w:basedOn w:val="46"/>
    <w:qFormat/>
    <w:uiPriority w:val="0"/>
    <w:rPr>
      <w:rFonts w:hint="eastAsia" w:ascii="宋体" w:hAnsi="宋体" w:eastAsia="宋体" w:cs="宋体"/>
      <w:color w:val="FF0000"/>
      <w:sz w:val="22"/>
      <w:szCs w:val="22"/>
      <w:u w:val="none"/>
    </w:rPr>
  </w:style>
  <w:style w:type="character" w:customStyle="1" w:styleId="196">
    <w:name w:val="font191"/>
    <w:basedOn w:val="46"/>
    <w:qFormat/>
    <w:uiPriority w:val="0"/>
    <w:rPr>
      <w:rFonts w:ascii="Calibri" w:hAnsi="Calibri" w:cs="Calibri"/>
      <w:color w:val="FF0000"/>
      <w:sz w:val="22"/>
      <w:szCs w:val="22"/>
      <w:u w:val="none"/>
    </w:rPr>
  </w:style>
  <w:style w:type="character" w:customStyle="1" w:styleId="197">
    <w:name w:val="font112"/>
    <w:basedOn w:val="46"/>
    <w:qFormat/>
    <w:uiPriority w:val="0"/>
    <w:rPr>
      <w:rFonts w:ascii="Calibri" w:hAnsi="Calibri" w:cs="Calibri"/>
      <w:color w:val="FF0000"/>
      <w:sz w:val="32"/>
      <w:szCs w:val="32"/>
      <w:u w:val="none"/>
    </w:rPr>
  </w:style>
  <w:style w:type="paragraph" w:customStyle="1" w:styleId="198">
    <w:name w:val="biaoge"/>
    <w:basedOn w:val="1"/>
    <w:qFormat/>
    <w:uiPriority w:val="0"/>
    <w:pPr>
      <w:framePr w:hSpace="180" w:wrap="around" w:vAnchor="text" w:hAnchor="page" w:x="1171" w:y="294"/>
      <w:spacing w:line="240" w:lineRule="auto"/>
      <w:ind w:firstLine="0" w:firstLineChars="0"/>
    </w:pPr>
    <w:rPr>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3.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5839E4-7DDB-4EA3-962C-FE955D113ECC}">
  <ds:schemaRefs/>
</ds:datastoreItem>
</file>

<file path=customXml/itemProps3.xml><?xml version="1.0" encoding="utf-8"?>
<ds:datastoreItem xmlns:ds="http://schemas.openxmlformats.org/officeDocument/2006/customXml" ds:itemID="{75DFD6FB-B296-4024-9D83-E3A590D5E151}">
  <ds:schemaRefs/>
</ds:datastoreItem>
</file>

<file path=docProps/app.xml><?xml version="1.0" encoding="utf-8"?>
<Properties xmlns="http://schemas.openxmlformats.org/officeDocument/2006/extended-properties" xmlns:vt="http://schemas.openxmlformats.org/officeDocument/2006/docPropsVTypes">
  <Template>Normal.dotm</Template>
  <Company>San-Elepow CON.</Company>
  <Pages>102</Pages>
  <Words>19329</Words>
  <Characters>20423</Characters>
  <Lines>3074</Lines>
  <Paragraphs>2401</Paragraphs>
  <TotalTime>39</TotalTime>
  <ScaleCrop>false</ScaleCrop>
  <LinksUpToDate>false</LinksUpToDate>
  <CharactersWithSpaces>20728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2025-06-19T04:36:00Z</dcterms:created>
  <dc:creator>邹建伟</dc:creator>
  <cp:lastModifiedBy>暴富</cp:lastModifiedBy>
  <cp:lastPrinted>2026-03-20T07:28:00Z</cp:lastPrinted>
  <dcterms:modified xsi:type="dcterms:W3CDTF">2026-04-14T02:49:18Z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8FC2498B2EEC4E5EA01FD8F6E5C4EEE6_13</vt:lpwstr>
  </property>
  <property fmtid="{D5CDD505-2E9C-101B-9397-08002B2CF9AE}" pid="4" name="KSOTemplateDocerSaveRecord">
    <vt:lpwstr>eyJoZGlkIjoiMjc2MDUyZTAxMDEwMmFlNTQyNDA2NzNjZDlkZGY2OGEiLCJ1c2VySWQiOiI0ODgzMzE1MjYifQ==</vt:lpwstr>
  </property>
</Properties>
</file>