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66389">
      <w:pPr>
        <w:rPr>
          <w:rFonts w:hint="eastAsia" w:ascii="宋体" w:hAnsi="宋体" w:eastAsia="宋体" w:cs="宋体"/>
          <w:color w:val="auto"/>
          <w:sz w:val="32"/>
          <w:szCs w:val="32"/>
          <w:highlight w:val="none"/>
        </w:rPr>
      </w:pPr>
    </w:p>
    <w:p w14:paraId="21A6218F">
      <w:pPr>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kern w:val="0"/>
          <w:sz w:val="96"/>
          <w:szCs w:val="96"/>
          <w:highlight w:val="none"/>
        </w:rPr>
        <w:t>政府采购项目</w:t>
      </w:r>
    </w:p>
    <w:p w14:paraId="6645ACBB">
      <w:pPr>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公开招标文件</w:t>
      </w:r>
    </w:p>
    <w:p w14:paraId="4C59822B">
      <w:pPr>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rPr>
        <w:t>（货物）</w:t>
      </w:r>
    </w:p>
    <w:p w14:paraId="0BB5004A">
      <w:pPr>
        <w:jc w:val="center"/>
        <w:rPr>
          <w:rFonts w:hint="eastAsia" w:ascii="宋体" w:hAnsi="宋体" w:eastAsia="宋体" w:cs="宋体"/>
          <w:b/>
          <w:bCs/>
          <w:color w:val="auto"/>
          <w:sz w:val="60"/>
          <w:szCs w:val="60"/>
          <w:highlight w:val="none"/>
        </w:rPr>
      </w:pPr>
      <w:bookmarkStart w:id="0" w:name="_Hlk164181180"/>
      <w:r>
        <w:rPr>
          <w:rFonts w:hint="eastAsia" w:ascii="宋体" w:hAnsi="宋体"/>
          <w:color w:val="auto"/>
          <w:sz w:val="28"/>
          <w:highlight w:val="none"/>
        </w:rPr>
        <w:drawing>
          <wp:anchor distT="0" distB="0" distL="114300" distR="114300" simplePos="0" relativeHeight="251659264" behindDoc="1" locked="0" layoutInCell="1" allowOverlap="1">
            <wp:simplePos x="0" y="0"/>
            <wp:positionH relativeFrom="column">
              <wp:posOffset>944245</wp:posOffset>
            </wp:positionH>
            <wp:positionV relativeFrom="paragraph">
              <wp:posOffset>247015</wp:posOffset>
            </wp:positionV>
            <wp:extent cx="3154680" cy="2541905"/>
            <wp:effectExtent l="0" t="0" r="7620" b="10795"/>
            <wp:wrapNone/>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0"/>
                    <a:stretch>
                      <a:fillRect/>
                    </a:stretch>
                  </pic:blipFill>
                  <pic:spPr>
                    <a:xfrm>
                      <a:off x="0" y="0"/>
                      <a:ext cx="3154680" cy="2541905"/>
                    </a:xfrm>
                    <a:prstGeom prst="rect">
                      <a:avLst/>
                    </a:prstGeom>
                    <a:noFill/>
                    <a:ln>
                      <a:noFill/>
                    </a:ln>
                  </pic:spPr>
                </pic:pic>
              </a:graphicData>
            </a:graphic>
          </wp:anchor>
        </w:drawing>
      </w:r>
    </w:p>
    <w:bookmarkEnd w:id="0"/>
    <w:p w14:paraId="483B832D">
      <w:pPr>
        <w:ind w:left="420" w:leftChars="175"/>
        <w:rPr>
          <w:rFonts w:hint="eastAsia" w:ascii="宋体" w:hAnsi="宋体" w:eastAsia="宋体" w:cs="宋体"/>
          <w:color w:val="auto"/>
          <w:sz w:val="36"/>
          <w:szCs w:val="36"/>
          <w:highlight w:val="none"/>
        </w:rPr>
      </w:pPr>
    </w:p>
    <w:p w14:paraId="128DC73F">
      <w:pPr>
        <w:ind w:left="420" w:leftChars="175"/>
        <w:rPr>
          <w:rFonts w:hint="eastAsia" w:ascii="宋体" w:hAnsi="宋体" w:eastAsia="宋体" w:cs="宋体"/>
          <w:color w:val="auto"/>
          <w:sz w:val="36"/>
          <w:szCs w:val="36"/>
          <w:highlight w:val="none"/>
        </w:rPr>
      </w:pPr>
    </w:p>
    <w:p w14:paraId="5C1803AA">
      <w:pPr>
        <w:ind w:left="420" w:leftChars="175"/>
        <w:rPr>
          <w:rFonts w:hint="eastAsia" w:ascii="宋体" w:hAnsi="宋体" w:eastAsia="宋体" w:cs="宋体"/>
          <w:color w:val="auto"/>
          <w:sz w:val="36"/>
          <w:szCs w:val="36"/>
          <w:highlight w:val="none"/>
        </w:rPr>
      </w:pPr>
    </w:p>
    <w:p w14:paraId="1142A9A1">
      <w:pPr>
        <w:ind w:left="420" w:leftChars="175"/>
        <w:rPr>
          <w:rFonts w:hint="eastAsia" w:ascii="宋体" w:hAnsi="宋体" w:eastAsia="宋体" w:cs="宋体"/>
          <w:color w:val="auto"/>
          <w:sz w:val="36"/>
          <w:szCs w:val="36"/>
          <w:highlight w:val="none"/>
        </w:rPr>
      </w:pPr>
    </w:p>
    <w:p w14:paraId="2CA4FDB3">
      <w:pPr>
        <w:ind w:left="420" w:leftChars="175"/>
        <w:rPr>
          <w:rFonts w:hint="eastAsia" w:ascii="宋体" w:hAnsi="宋体" w:eastAsia="宋体" w:cs="宋体"/>
          <w:color w:val="auto"/>
          <w:sz w:val="36"/>
          <w:szCs w:val="36"/>
          <w:highlight w:val="none"/>
        </w:rPr>
      </w:pPr>
    </w:p>
    <w:p w14:paraId="6AEF98EC">
      <w:pPr>
        <w:rPr>
          <w:rFonts w:hint="eastAsia" w:ascii="宋体" w:hAnsi="宋体" w:eastAsia="宋体" w:cs="宋体"/>
          <w:color w:val="auto"/>
          <w:sz w:val="36"/>
          <w:szCs w:val="36"/>
          <w:highlight w:val="none"/>
        </w:rPr>
      </w:pPr>
    </w:p>
    <w:p w14:paraId="52A4D2A0">
      <w:pPr>
        <w:pStyle w:val="7"/>
        <w:ind w:firstLine="480"/>
        <w:rPr>
          <w:rFonts w:hint="eastAsia" w:ascii="宋体" w:hAnsi="宋体" w:eastAsia="宋体" w:cs="宋体"/>
          <w:color w:val="auto"/>
          <w:highlight w:val="none"/>
        </w:rPr>
      </w:pPr>
    </w:p>
    <w:p w14:paraId="50CED93E">
      <w:pPr>
        <w:ind w:left="2220" w:leftChars="175" w:hanging="1800" w:hangingChars="500"/>
        <w:rPr>
          <w:rFonts w:hint="eastAsia" w:ascii="宋体" w:hAnsi="宋体" w:eastAsia="宋体" w:cs="宋体"/>
          <w:color w:val="auto"/>
          <w:sz w:val="36"/>
          <w:szCs w:val="36"/>
          <w:highlight w:val="none"/>
          <w:u w:val="none"/>
          <w:lang w:eastAsia="zh-CN"/>
        </w:rPr>
      </w:pPr>
      <w:r>
        <w:rPr>
          <w:rFonts w:hint="eastAsia" w:ascii="宋体" w:hAnsi="宋体" w:eastAsia="宋体" w:cs="宋体"/>
          <w:color w:val="auto"/>
          <w:sz w:val="36"/>
          <w:szCs w:val="36"/>
          <w:highlight w:val="none"/>
          <w:u w:val="none"/>
        </w:rPr>
        <w:t>项目名称：</w:t>
      </w:r>
      <w:r>
        <w:rPr>
          <w:rFonts w:hint="eastAsia" w:cs="宋体"/>
          <w:color w:val="auto"/>
          <w:sz w:val="36"/>
          <w:szCs w:val="36"/>
          <w:highlight w:val="none"/>
          <w:u w:val="none"/>
          <w:lang w:eastAsia="zh-CN"/>
        </w:rPr>
        <w:t>阿勒泰地区青河县紧密型医共体提标资源共享中心扩能建设项目（中医类）</w:t>
      </w:r>
    </w:p>
    <w:p w14:paraId="32B2EB3B">
      <w:pPr>
        <w:ind w:left="420" w:leftChars="175"/>
        <w:rPr>
          <w:rFonts w:hint="default" w:ascii="宋体" w:hAnsi="宋体" w:eastAsia="宋体" w:cs="宋体"/>
          <w:color w:val="auto"/>
          <w:sz w:val="36"/>
          <w:szCs w:val="36"/>
          <w:highlight w:val="none"/>
          <w:u w:val="none"/>
          <w:lang w:val="en-US" w:eastAsia="zh-CN"/>
        </w:rPr>
      </w:pPr>
      <w:r>
        <w:rPr>
          <w:rFonts w:hint="eastAsia" w:ascii="宋体" w:hAnsi="宋体" w:eastAsia="宋体" w:cs="宋体"/>
          <w:color w:val="auto"/>
          <w:sz w:val="36"/>
          <w:szCs w:val="36"/>
          <w:highlight w:val="none"/>
          <w:u w:val="none"/>
        </w:rPr>
        <w:t>项目编号：</w:t>
      </w:r>
      <w:r>
        <w:rPr>
          <w:rFonts w:hint="eastAsia" w:cs="宋体"/>
          <w:color w:val="auto"/>
          <w:sz w:val="36"/>
          <w:szCs w:val="36"/>
          <w:highlight w:val="none"/>
          <w:u w:val="none"/>
          <w:lang w:val="en-US" w:eastAsia="zh-CN"/>
        </w:rPr>
        <w:t>XJHY-2026-021</w:t>
      </w:r>
    </w:p>
    <w:p w14:paraId="0844A658">
      <w:pPr>
        <w:ind w:left="420" w:leftChars="175"/>
        <w:rPr>
          <w:rFonts w:hint="eastAsia" w:ascii="宋体" w:hAnsi="宋体" w:eastAsia="宋体" w:cs="宋体"/>
          <w:color w:val="auto"/>
          <w:sz w:val="36"/>
          <w:szCs w:val="36"/>
          <w:highlight w:val="none"/>
          <w:u w:val="none"/>
        </w:rPr>
      </w:pPr>
      <w:r>
        <w:rPr>
          <w:rFonts w:hint="eastAsia" w:ascii="宋体" w:hAnsi="宋体" w:eastAsia="宋体" w:cs="宋体"/>
          <w:color w:val="auto"/>
          <w:sz w:val="36"/>
          <w:szCs w:val="36"/>
          <w:highlight w:val="none"/>
          <w:u w:val="none"/>
        </w:rPr>
        <w:t>采购人：青河县人民医院</w:t>
      </w:r>
    </w:p>
    <w:p w14:paraId="255BDD89">
      <w:pPr>
        <w:ind w:left="2940" w:leftChars="175" w:hanging="2520" w:hangingChars="700"/>
        <w:rPr>
          <w:rFonts w:hint="eastAsia" w:ascii="宋体" w:hAnsi="宋体" w:eastAsia="宋体" w:cs="宋体"/>
          <w:color w:val="auto"/>
          <w:sz w:val="36"/>
          <w:szCs w:val="36"/>
          <w:highlight w:val="none"/>
          <w:u w:val="none"/>
        </w:rPr>
      </w:pPr>
      <w:r>
        <w:rPr>
          <w:rFonts w:hint="eastAsia" w:ascii="宋体" w:hAnsi="宋体" w:eastAsia="宋体" w:cs="宋体"/>
          <w:color w:val="auto"/>
          <w:sz w:val="36"/>
          <w:szCs w:val="36"/>
          <w:highlight w:val="none"/>
          <w:u w:val="none"/>
        </w:rPr>
        <w:t>采购代理机构：新疆华域建设工程项目管理咨询有限公司</w:t>
      </w:r>
    </w:p>
    <w:p w14:paraId="2A9310D9">
      <w:pPr>
        <w:ind w:left="420" w:leftChars="175"/>
        <w:jc w:val="center"/>
        <w:rPr>
          <w:rFonts w:hint="eastAsia" w:ascii="宋体" w:hAnsi="宋体" w:eastAsia="宋体" w:cs="宋体"/>
          <w:color w:val="auto"/>
          <w:sz w:val="36"/>
          <w:szCs w:val="36"/>
          <w:highlight w:val="none"/>
          <w:u w:val="none"/>
        </w:rPr>
      </w:pPr>
      <w:r>
        <w:rPr>
          <w:rFonts w:hint="eastAsia" w:ascii="宋体" w:hAnsi="宋体" w:eastAsia="宋体" w:cs="宋体"/>
          <w:color w:val="auto"/>
          <w:sz w:val="36"/>
          <w:szCs w:val="36"/>
          <w:highlight w:val="none"/>
          <w:u w:val="none"/>
        </w:rPr>
        <w:t>2026年</w:t>
      </w:r>
      <w:r>
        <w:rPr>
          <w:rFonts w:hint="eastAsia" w:cs="宋体"/>
          <w:color w:val="auto"/>
          <w:sz w:val="36"/>
          <w:szCs w:val="36"/>
          <w:highlight w:val="none"/>
          <w:u w:val="none"/>
          <w:lang w:val="en-US" w:eastAsia="zh-CN"/>
        </w:rPr>
        <w:t>5</w:t>
      </w:r>
      <w:r>
        <w:rPr>
          <w:rFonts w:hint="eastAsia" w:ascii="宋体" w:hAnsi="宋体" w:eastAsia="宋体" w:cs="宋体"/>
          <w:color w:val="auto"/>
          <w:sz w:val="36"/>
          <w:szCs w:val="36"/>
          <w:highlight w:val="none"/>
          <w:u w:val="none"/>
        </w:rPr>
        <w:t>月</w:t>
      </w:r>
    </w:p>
    <w:p w14:paraId="6631EBC9">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r>
        <w:rPr>
          <w:rFonts w:hint="eastAsia" w:ascii="宋体" w:hAnsi="宋体" w:eastAsia="宋体" w:cs="宋体"/>
          <w:b/>
          <w:bCs/>
          <w:color w:val="auto"/>
          <w:sz w:val="36"/>
          <w:szCs w:val="36"/>
          <w:highlight w:val="none"/>
        </w:rPr>
        <w:t>目  录</w:t>
      </w:r>
    </w:p>
    <w:p w14:paraId="7B964EE0">
      <w:pPr>
        <w:spacing w:line="240" w:lineRule="auto"/>
        <w:jc w:val="center"/>
        <w:rPr>
          <w:rFonts w:hint="eastAsia" w:ascii="宋体" w:hAnsi="宋体" w:eastAsia="宋体" w:cs="宋体"/>
          <w:color w:val="auto"/>
          <w:highlight w:val="none"/>
        </w:rPr>
      </w:pPr>
    </w:p>
    <w:p w14:paraId="0659FBA6">
      <w:pPr>
        <w:pStyle w:val="15"/>
        <w:tabs>
          <w:tab w:val="right" w:leader="dot" w:pos="8306"/>
        </w:tabs>
        <w:rPr>
          <w:color w:val="auto"/>
          <w:sz w:val="28"/>
          <w:szCs w:val="28"/>
        </w:rPr>
      </w:pPr>
      <w:r>
        <w:rPr>
          <w:rFonts w:hint="eastAsia" w:ascii="宋体" w:hAnsi="宋体" w:eastAsia="宋体" w:cs="宋体"/>
          <w:color w:val="auto"/>
          <w:sz w:val="44"/>
          <w:szCs w:val="44"/>
          <w:highlight w:val="none"/>
        </w:rPr>
        <w:fldChar w:fldCharType="begin"/>
      </w:r>
      <w:r>
        <w:rPr>
          <w:rFonts w:hint="eastAsia" w:ascii="宋体" w:hAnsi="宋体" w:eastAsia="宋体" w:cs="宋体"/>
          <w:color w:val="auto"/>
          <w:sz w:val="44"/>
          <w:szCs w:val="44"/>
          <w:highlight w:val="none"/>
        </w:rPr>
        <w:instrText xml:space="preserve">TOC \o "1-1" \h \u </w:instrText>
      </w:r>
      <w:r>
        <w:rPr>
          <w:rFonts w:hint="eastAsia" w:ascii="宋体" w:hAnsi="宋体" w:eastAsia="宋体" w:cs="宋体"/>
          <w:color w:val="auto"/>
          <w:sz w:val="44"/>
          <w:szCs w:val="44"/>
          <w:highlight w:val="none"/>
        </w:rPr>
        <w:fldChar w:fldCharType="separate"/>
      </w: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_Toc16372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rPr>
        <w:t xml:space="preserve">第一章 </w:t>
      </w:r>
      <w:r>
        <w:rPr>
          <w:rFonts w:hint="eastAsia" w:ascii="宋体" w:hAnsi="宋体" w:eastAsia="宋体" w:cs="宋体"/>
          <w:color w:val="auto"/>
          <w:sz w:val="28"/>
          <w:szCs w:val="52"/>
          <w:highlight w:val="none"/>
        </w:rPr>
        <w:t>招标公告</w:t>
      </w:r>
      <w:r>
        <w:rPr>
          <w:color w:val="auto"/>
          <w:sz w:val="28"/>
          <w:szCs w:val="28"/>
        </w:rPr>
        <w:tab/>
      </w:r>
      <w:r>
        <w:rPr>
          <w:color w:val="auto"/>
          <w:sz w:val="28"/>
          <w:szCs w:val="28"/>
        </w:rPr>
        <w:fldChar w:fldCharType="begin"/>
      </w:r>
      <w:r>
        <w:rPr>
          <w:color w:val="auto"/>
          <w:sz w:val="28"/>
          <w:szCs w:val="28"/>
        </w:rPr>
        <w:instrText xml:space="preserve"> PAGEREF _Toc16372 \h </w:instrText>
      </w:r>
      <w:r>
        <w:rPr>
          <w:color w:val="auto"/>
          <w:sz w:val="28"/>
          <w:szCs w:val="28"/>
        </w:rPr>
        <w:fldChar w:fldCharType="separate"/>
      </w:r>
      <w:r>
        <w:rPr>
          <w:color w:val="auto"/>
          <w:sz w:val="28"/>
          <w:szCs w:val="28"/>
        </w:rPr>
        <w:t>3</w:t>
      </w:r>
      <w:r>
        <w:rPr>
          <w:color w:val="auto"/>
          <w:sz w:val="28"/>
          <w:szCs w:val="28"/>
        </w:rPr>
        <w:fldChar w:fldCharType="end"/>
      </w:r>
      <w:r>
        <w:rPr>
          <w:rFonts w:hint="eastAsia" w:ascii="宋体" w:hAnsi="宋体" w:eastAsia="宋体" w:cs="宋体"/>
          <w:color w:val="auto"/>
          <w:sz w:val="28"/>
          <w:szCs w:val="44"/>
          <w:highlight w:val="none"/>
        </w:rPr>
        <w:fldChar w:fldCharType="end"/>
      </w:r>
    </w:p>
    <w:p w14:paraId="740F5403">
      <w:pPr>
        <w:pStyle w:val="15"/>
        <w:tabs>
          <w:tab w:val="right" w:leader="dot" w:pos="8306"/>
        </w:tabs>
        <w:rPr>
          <w:color w:val="auto"/>
          <w:sz w:val="28"/>
          <w:szCs w:val="28"/>
        </w:rPr>
      </w:pP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_Toc14929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rPr>
        <w:t>第二章 投标人须知</w:t>
      </w:r>
      <w:r>
        <w:rPr>
          <w:color w:val="auto"/>
          <w:sz w:val="28"/>
          <w:szCs w:val="28"/>
        </w:rPr>
        <w:tab/>
      </w:r>
      <w:r>
        <w:rPr>
          <w:color w:val="auto"/>
          <w:sz w:val="28"/>
          <w:szCs w:val="28"/>
        </w:rPr>
        <w:fldChar w:fldCharType="begin"/>
      </w:r>
      <w:r>
        <w:rPr>
          <w:color w:val="auto"/>
          <w:sz w:val="28"/>
          <w:szCs w:val="28"/>
        </w:rPr>
        <w:instrText xml:space="preserve"> PAGEREF _Toc14929 \h </w:instrText>
      </w:r>
      <w:r>
        <w:rPr>
          <w:color w:val="auto"/>
          <w:sz w:val="28"/>
          <w:szCs w:val="28"/>
        </w:rPr>
        <w:fldChar w:fldCharType="separate"/>
      </w:r>
      <w:r>
        <w:rPr>
          <w:color w:val="auto"/>
          <w:sz w:val="28"/>
          <w:szCs w:val="28"/>
        </w:rPr>
        <w:t>6</w:t>
      </w:r>
      <w:r>
        <w:rPr>
          <w:color w:val="auto"/>
          <w:sz w:val="28"/>
          <w:szCs w:val="28"/>
        </w:rPr>
        <w:fldChar w:fldCharType="end"/>
      </w:r>
      <w:r>
        <w:rPr>
          <w:rFonts w:hint="eastAsia" w:ascii="宋体" w:hAnsi="宋体" w:eastAsia="宋体" w:cs="宋体"/>
          <w:color w:val="auto"/>
          <w:sz w:val="28"/>
          <w:szCs w:val="44"/>
          <w:highlight w:val="none"/>
        </w:rPr>
        <w:fldChar w:fldCharType="end"/>
      </w:r>
    </w:p>
    <w:p w14:paraId="42864919">
      <w:pPr>
        <w:pStyle w:val="15"/>
        <w:tabs>
          <w:tab w:val="right" w:leader="dot" w:pos="8306"/>
        </w:tabs>
        <w:rPr>
          <w:color w:val="auto"/>
          <w:sz w:val="28"/>
          <w:szCs w:val="28"/>
        </w:rPr>
      </w:pP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_Toc11277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rPr>
        <w:t>第三章 采购需求</w:t>
      </w:r>
      <w:r>
        <w:rPr>
          <w:color w:val="auto"/>
          <w:sz w:val="28"/>
          <w:szCs w:val="28"/>
        </w:rPr>
        <w:tab/>
      </w:r>
      <w:r>
        <w:rPr>
          <w:color w:val="auto"/>
          <w:sz w:val="28"/>
          <w:szCs w:val="28"/>
        </w:rPr>
        <w:fldChar w:fldCharType="begin"/>
      </w:r>
      <w:r>
        <w:rPr>
          <w:color w:val="auto"/>
          <w:sz w:val="28"/>
          <w:szCs w:val="28"/>
        </w:rPr>
        <w:instrText xml:space="preserve"> PAGEREF _Toc11277 \h </w:instrText>
      </w:r>
      <w:r>
        <w:rPr>
          <w:color w:val="auto"/>
          <w:sz w:val="28"/>
          <w:szCs w:val="28"/>
        </w:rPr>
        <w:fldChar w:fldCharType="separate"/>
      </w:r>
      <w:r>
        <w:rPr>
          <w:color w:val="auto"/>
          <w:sz w:val="28"/>
          <w:szCs w:val="28"/>
        </w:rPr>
        <w:t>44</w:t>
      </w:r>
      <w:r>
        <w:rPr>
          <w:color w:val="auto"/>
          <w:sz w:val="28"/>
          <w:szCs w:val="28"/>
        </w:rPr>
        <w:fldChar w:fldCharType="end"/>
      </w:r>
      <w:r>
        <w:rPr>
          <w:rFonts w:hint="eastAsia" w:ascii="宋体" w:hAnsi="宋体" w:eastAsia="宋体" w:cs="宋体"/>
          <w:color w:val="auto"/>
          <w:sz w:val="28"/>
          <w:szCs w:val="44"/>
          <w:highlight w:val="none"/>
        </w:rPr>
        <w:fldChar w:fldCharType="end"/>
      </w:r>
    </w:p>
    <w:p w14:paraId="1B99AE49">
      <w:pPr>
        <w:pStyle w:val="15"/>
        <w:tabs>
          <w:tab w:val="right" w:leader="dot" w:pos="8306"/>
        </w:tabs>
        <w:rPr>
          <w:color w:val="auto"/>
          <w:sz w:val="28"/>
          <w:szCs w:val="28"/>
        </w:rPr>
      </w:pP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_Toc29841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rPr>
        <w:t>第四章 资格审查</w:t>
      </w:r>
      <w:r>
        <w:rPr>
          <w:color w:val="auto"/>
          <w:sz w:val="28"/>
          <w:szCs w:val="28"/>
        </w:rPr>
        <w:tab/>
      </w:r>
      <w:r>
        <w:rPr>
          <w:color w:val="auto"/>
          <w:sz w:val="28"/>
          <w:szCs w:val="28"/>
        </w:rPr>
        <w:fldChar w:fldCharType="begin"/>
      </w:r>
      <w:r>
        <w:rPr>
          <w:color w:val="auto"/>
          <w:sz w:val="28"/>
          <w:szCs w:val="28"/>
        </w:rPr>
        <w:instrText xml:space="preserve"> PAGEREF _Toc29841 \h </w:instrText>
      </w:r>
      <w:r>
        <w:rPr>
          <w:color w:val="auto"/>
          <w:sz w:val="28"/>
          <w:szCs w:val="28"/>
        </w:rPr>
        <w:fldChar w:fldCharType="separate"/>
      </w:r>
      <w:r>
        <w:rPr>
          <w:color w:val="auto"/>
          <w:sz w:val="28"/>
          <w:szCs w:val="28"/>
        </w:rPr>
        <w:t>64</w:t>
      </w:r>
      <w:r>
        <w:rPr>
          <w:color w:val="auto"/>
          <w:sz w:val="28"/>
          <w:szCs w:val="28"/>
        </w:rPr>
        <w:fldChar w:fldCharType="end"/>
      </w:r>
      <w:r>
        <w:rPr>
          <w:rFonts w:hint="eastAsia" w:ascii="宋体" w:hAnsi="宋体" w:eastAsia="宋体" w:cs="宋体"/>
          <w:color w:val="auto"/>
          <w:sz w:val="28"/>
          <w:szCs w:val="44"/>
          <w:highlight w:val="none"/>
        </w:rPr>
        <w:fldChar w:fldCharType="end"/>
      </w:r>
    </w:p>
    <w:p w14:paraId="08471C68">
      <w:pPr>
        <w:pStyle w:val="15"/>
        <w:tabs>
          <w:tab w:val="right" w:leader="dot" w:pos="8306"/>
        </w:tabs>
        <w:rPr>
          <w:color w:val="auto"/>
          <w:sz w:val="28"/>
          <w:szCs w:val="28"/>
        </w:rPr>
      </w:pP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_Toc16715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rPr>
        <w:t>第五章 评标方法及标准(综合评分法)</w:t>
      </w:r>
      <w:r>
        <w:rPr>
          <w:color w:val="auto"/>
          <w:sz w:val="28"/>
          <w:szCs w:val="28"/>
        </w:rPr>
        <w:tab/>
      </w:r>
      <w:r>
        <w:rPr>
          <w:color w:val="auto"/>
          <w:sz w:val="28"/>
          <w:szCs w:val="28"/>
        </w:rPr>
        <w:fldChar w:fldCharType="begin"/>
      </w:r>
      <w:r>
        <w:rPr>
          <w:color w:val="auto"/>
          <w:sz w:val="28"/>
          <w:szCs w:val="28"/>
        </w:rPr>
        <w:instrText xml:space="preserve"> PAGEREF _Toc16715 \h </w:instrText>
      </w:r>
      <w:r>
        <w:rPr>
          <w:color w:val="auto"/>
          <w:sz w:val="28"/>
          <w:szCs w:val="28"/>
        </w:rPr>
        <w:fldChar w:fldCharType="separate"/>
      </w:r>
      <w:r>
        <w:rPr>
          <w:color w:val="auto"/>
          <w:sz w:val="28"/>
          <w:szCs w:val="28"/>
        </w:rPr>
        <w:t>66</w:t>
      </w:r>
      <w:r>
        <w:rPr>
          <w:color w:val="auto"/>
          <w:sz w:val="28"/>
          <w:szCs w:val="28"/>
        </w:rPr>
        <w:fldChar w:fldCharType="end"/>
      </w:r>
      <w:r>
        <w:rPr>
          <w:rFonts w:hint="eastAsia" w:ascii="宋体" w:hAnsi="宋体" w:eastAsia="宋体" w:cs="宋体"/>
          <w:color w:val="auto"/>
          <w:sz w:val="28"/>
          <w:szCs w:val="44"/>
          <w:highlight w:val="none"/>
        </w:rPr>
        <w:fldChar w:fldCharType="end"/>
      </w:r>
    </w:p>
    <w:p w14:paraId="1C8DCCAF">
      <w:pPr>
        <w:pStyle w:val="15"/>
        <w:tabs>
          <w:tab w:val="right" w:leader="dot" w:pos="8306"/>
        </w:tabs>
        <w:rPr>
          <w:color w:val="auto"/>
          <w:sz w:val="28"/>
          <w:szCs w:val="28"/>
        </w:rPr>
      </w:pP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_Toc10751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lang w:val="zh-CN"/>
        </w:rPr>
        <w:t>第六章 合同草案</w:t>
      </w:r>
      <w:r>
        <w:rPr>
          <w:color w:val="auto"/>
          <w:sz w:val="28"/>
          <w:szCs w:val="28"/>
        </w:rPr>
        <w:tab/>
      </w:r>
      <w:r>
        <w:rPr>
          <w:color w:val="auto"/>
          <w:sz w:val="28"/>
          <w:szCs w:val="28"/>
        </w:rPr>
        <w:fldChar w:fldCharType="begin"/>
      </w:r>
      <w:r>
        <w:rPr>
          <w:color w:val="auto"/>
          <w:sz w:val="28"/>
          <w:szCs w:val="28"/>
        </w:rPr>
        <w:instrText xml:space="preserve"> PAGEREF _Toc10751 \h </w:instrText>
      </w:r>
      <w:r>
        <w:rPr>
          <w:color w:val="auto"/>
          <w:sz w:val="28"/>
          <w:szCs w:val="28"/>
        </w:rPr>
        <w:fldChar w:fldCharType="separate"/>
      </w:r>
      <w:r>
        <w:rPr>
          <w:color w:val="auto"/>
          <w:sz w:val="28"/>
          <w:szCs w:val="28"/>
        </w:rPr>
        <w:t>80</w:t>
      </w:r>
      <w:r>
        <w:rPr>
          <w:color w:val="auto"/>
          <w:sz w:val="28"/>
          <w:szCs w:val="28"/>
        </w:rPr>
        <w:fldChar w:fldCharType="end"/>
      </w:r>
      <w:r>
        <w:rPr>
          <w:rFonts w:hint="eastAsia" w:ascii="宋体" w:hAnsi="宋体" w:eastAsia="宋体" w:cs="宋体"/>
          <w:color w:val="auto"/>
          <w:sz w:val="28"/>
          <w:szCs w:val="44"/>
          <w:highlight w:val="none"/>
        </w:rPr>
        <w:fldChar w:fldCharType="end"/>
      </w:r>
    </w:p>
    <w:p w14:paraId="40A6830C">
      <w:pPr>
        <w:pStyle w:val="15"/>
        <w:tabs>
          <w:tab w:val="right" w:leader="dot" w:pos="8306"/>
        </w:tabs>
        <w:rPr>
          <w:color w:val="auto"/>
          <w:sz w:val="28"/>
          <w:szCs w:val="28"/>
        </w:rPr>
      </w:pP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_Toc32301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rPr>
        <w:t>第七章 投标文件格式</w:t>
      </w:r>
      <w:r>
        <w:rPr>
          <w:color w:val="auto"/>
          <w:sz w:val="28"/>
          <w:szCs w:val="28"/>
        </w:rPr>
        <w:tab/>
      </w:r>
      <w:r>
        <w:rPr>
          <w:color w:val="auto"/>
          <w:sz w:val="28"/>
          <w:szCs w:val="28"/>
        </w:rPr>
        <w:fldChar w:fldCharType="begin"/>
      </w:r>
      <w:r>
        <w:rPr>
          <w:color w:val="auto"/>
          <w:sz w:val="28"/>
          <w:szCs w:val="28"/>
        </w:rPr>
        <w:instrText xml:space="preserve"> PAGEREF _Toc32301 \h </w:instrText>
      </w:r>
      <w:r>
        <w:rPr>
          <w:color w:val="auto"/>
          <w:sz w:val="28"/>
          <w:szCs w:val="28"/>
        </w:rPr>
        <w:fldChar w:fldCharType="separate"/>
      </w:r>
      <w:r>
        <w:rPr>
          <w:color w:val="auto"/>
          <w:sz w:val="28"/>
          <w:szCs w:val="28"/>
        </w:rPr>
        <w:t>87</w:t>
      </w:r>
      <w:r>
        <w:rPr>
          <w:color w:val="auto"/>
          <w:sz w:val="28"/>
          <w:szCs w:val="28"/>
        </w:rPr>
        <w:fldChar w:fldCharType="end"/>
      </w:r>
      <w:r>
        <w:rPr>
          <w:rFonts w:hint="eastAsia" w:ascii="宋体" w:hAnsi="宋体" w:eastAsia="宋体" w:cs="宋体"/>
          <w:color w:val="auto"/>
          <w:sz w:val="28"/>
          <w:szCs w:val="44"/>
          <w:highlight w:val="none"/>
        </w:rPr>
        <w:fldChar w:fldCharType="end"/>
      </w:r>
    </w:p>
    <w:p w14:paraId="2EB4FC02">
      <w:pPr>
        <w:pStyle w:val="10"/>
        <w:rPr>
          <w:rFonts w:hint="eastAsia" w:ascii="宋体" w:hAnsi="宋体" w:eastAsia="宋体" w:cs="宋体"/>
          <w:color w:val="auto"/>
          <w:highlight w:val="none"/>
        </w:rPr>
      </w:pPr>
      <w:r>
        <w:rPr>
          <w:rFonts w:hint="eastAsia" w:ascii="宋体" w:hAnsi="宋体" w:eastAsia="宋体" w:cs="宋体"/>
          <w:color w:val="auto"/>
          <w:sz w:val="32"/>
          <w:szCs w:val="44"/>
          <w:highlight w:val="none"/>
        </w:rPr>
        <w:fldChar w:fldCharType="end"/>
      </w:r>
    </w:p>
    <w:p w14:paraId="3A3EBF75">
      <w:pPr>
        <w:pStyle w:val="10"/>
        <w:rPr>
          <w:rFonts w:hint="eastAsia" w:ascii="宋体" w:hAnsi="宋体" w:eastAsia="宋体" w:cs="宋体"/>
          <w:color w:val="auto"/>
          <w:highlight w:val="none"/>
        </w:rPr>
      </w:pPr>
    </w:p>
    <w:p w14:paraId="0EAFE9A1">
      <w:pPr>
        <w:pStyle w:val="10"/>
        <w:rPr>
          <w:rFonts w:hint="eastAsia" w:ascii="宋体" w:hAnsi="宋体" w:eastAsia="宋体" w:cs="宋体"/>
          <w:color w:val="auto"/>
          <w:highlight w:val="none"/>
        </w:rPr>
        <w:sectPr>
          <w:pgSz w:w="11906" w:h="16838"/>
          <w:pgMar w:top="1440" w:right="1800" w:bottom="1440" w:left="1800" w:header="851" w:footer="992" w:gutter="0"/>
          <w:cols w:space="720" w:num="1"/>
          <w:docGrid w:type="lines" w:linePitch="312" w:charSpace="0"/>
        </w:sectPr>
      </w:pPr>
    </w:p>
    <w:p w14:paraId="79E6E976">
      <w:pPr>
        <w:pStyle w:val="2"/>
        <w:spacing w:before="220" w:after="220" w:line="480" w:lineRule="auto"/>
        <w:ind w:left="420" w:hanging="420"/>
        <w:jc w:val="center"/>
        <w:rPr>
          <w:rFonts w:hint="eastAsia" w:ascii="宋体" w:hAnsi="宋体" w:eastAsia="宋体" w:cs="宋体"/>
          <w:color w:val="auto"/>
          <w:sz w:val="36"/>
          <w:szCs w:val="36"/>
          <w:highlight w:val="none"/>
        </w:rPr>
      </w:pPr>
      <w:bookmarkStart w:id="1" w:name="_Toc155185859"/>
      <w:bookmarkStart w:id="2" w:name="_Toc16372"/>
      <w:bookmarkStart w:id="3" w:name="_Toc16718"/>
      <w:r>
        <w:rPr>
          <w:rFonts w:hint="eastAsia" w:ascii="宋体" w:hAnsi="宋体" w:eastAsia="宋体" w:cs="宋体"/>
          <w:bCs/>
          <w:color w:val="auto"/>
          <w:sz w:val="36"/>
          <w:szCs w:val="36"/>
          <w:highlight w:val="none"/>
        </w:rPr>
        <w:t xml:space="preserve">第一章 </w:t>
      </w:r>
      <w:bookmarkEnd w:id="1"/>
      <w:bookmarkStart w:id="4" w:name="_Hlk130458318"/>
      <w:r>
        <w:rPr>
          <w:rFonts w:hint="eastAsia" w:ascii="宋体" w:hAnsi="宋体" w:eastAsia="宋体" w:cs="宋体"/>
          <w:color w:val="auto"/>
          <w:sz w:val="36"/>
          <w:szCs w:val="36"/>
          <w:highlight w:val="none"/>
        </w:rPr>
        <w:t>招标公告</w:t>
      </w:r>
      <w:bookmarkEnd w:id="2"/>
      <w:bookmarkEnd w:id="3"/>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D2DA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noWrap w:val="0"/>
            <w:vAlign w:val="top"/>
          </w:tcPr>
          <w:p w14:paraId="0633CDD4">
            <w:pPr>
              <w:pStyle w:val="3"/>
              <w:pageBreakBefore w:val="0"/>
              <w:kinsoku/>
              <w:overflowPunct/>
              <w:topLinePunct w:val="0"/>
              <w:autoSpaceDE/>
              <w:autoSpaceDN/>
              <w:bidi w:val="0"/>
              <w:adjustRightInd/>
              <w:spacing w:before="0" w:after="0" w:line="440" w:lineRule="exact"/>
              <w:ind w:left="0" w:firstLine="0" w:firstLineChars="0"/>
              <w:rPr>
                <w:rFonts w:hint="eastAsia" w:ascii="宋体" w:hAnsi="宋体" w:eastAsia="宋体" w:cs="宋体"/>
                <w:color w:val="auto"/>
                <w:sz w:val="24"/>
                <w:szCs w:val="24"/>
                <w:highlight w:val="none"/>
                <w:u w:val="none"/>
              </w:rPr>
            </w:pPr>
            <w:bookmarkStart w:id="5" w:name="_Toc23233"/>
            <w:bookmarkStart w:id="6" w:name="_Toc8264"/>
            <w:bookmarkStart w:id="7" w:name="_Toc21773"/>
            <w:bookmarkStart w:id="8" w:name="_Toc28359089"/>
            <w:bookmarkStart w:id="9" w:name="_Toc35393629"/>
            <w:bookmarkStart w:id="10" w:name="_Toc28359012"/>
            <w:bookmarkStart w:id="11" w:name="_Toc35393798"/>
            <w:bookmarkStart w:id="12" w:name="_Toc140132745"/>
            <w:bookmarkStart w:id="13" w:name="_Toc155185860"/>
            <w:bookmarkStart w:id="14" w:name="_Toc109899829"/>
            <w:bookmarkStart w:id="15" w:name="_Toc109900248"/>
            <w:bookmarkStart w:id="16" w:name="_Toc44583628"/>
            <w:bookmarkStart w:id="17" w:name="_Toc109899410"/>
            <w:r>
              <w:rPr>
                <w:rFonts w:hint="eastAsia" w:ascii="宋体" w:hAnsi="宋体" w:eastAsia="宋体" w:cs="宋体"/>
                <w:color w:val="auto"/>
                <w:sz w:val="24"/>
                <w:szCs w:val="24"/>
                <w:highlight w:val="none"/>
                <w:u w:val="none"/>
              </w:rPr>
              <w:t>项目概况：</w:t>
            </w:r>
            <w:bookmarkEnd w:id="5"/>
            <w:bookmarkEnd w:id="6"/>
            <w:bookmarkEnd w:id="7"/>
          </w:p>
          <w:p w14:paraId="537348BC">
            <w:pPr>
              <w:pageBreakBefore w:val="0"/>
              <w:kinsoku/>
              <w:overflowPunct/>
              <w:topLinePunct w:val="0"/>
              <w:autoSpaceDE/>
              <w:autoSpaceDN/>
              <w:bidi w:val="0"/>
              <w:adjustRightInd/>
              <w:spacing w:line="440" w:lineRule="exact"/>
              <w:ind w:left="0" w:firstLine="480" w:firstLineChars="200"/>
              <w:rPr>
                <w:rFonts w:hint="eastAsia" w:ascii="宋体" w:hAnsi="宋体" w:eastAsia="宋体" w:cs="宋体"/>
                <w:color w:val="auto"/>
                <w:sz w:val="24"/>
                <w:szCs w:val="24"/>
                <w:highlight w:val="none"/>
                <w:u w:val="none"/>
              </w:rPr>
            </w:pPr>
            <w:r>
              <w:rPr>
                <w:rFonts w:hint="eastAsia" w:cs="宋体"/>
                <w:iCs/>
                <w:color w:val="auto"/>
                <w:sz w:val="24"/>
                <w:szCs w:val="24"/>
                <w:highlight w:val="none"/>
                <w:u w:val="single"/>
                <w:shd w:val="clear" w:color="auto" w:fill="FFFFFF"/>
                <w:lang w:val="hr-HR" w:eastAsia="zh-CN"/>
              </w:rPr>
              <w:t>阿勒泰地区青河县紧密型医共体提标资源共享中心扩能建设项目（中医类）</w:t>
            </w:r>
            <w:r>
              <w:rPr>
                <w:rFonts w:hint="eastAsia" w:ascii="宋体" w:hAnsi="宋体" w:eastAsia="宋体" w:cs="宋体"/>
                <w:iCs/>
                <w:color w:val="auto"/>
                <w:sz w:val="24"/>
                <w:szCs w:val="24"/>
                <w:highlight w:val="none"/>
                <w:u w:val="none"/>
                <w:shd w:val="clear" w:color="auto" w:fill="FFFFFF"/>
                <w:lang w:val="hr-HR"/>
              </w:rPr>
              <w:t>的潜在投标人应在（政采云平台线上）获取招标文件，并于</w:t>
            </w:r>
            <w:r>
              <w:rPr>
                <w:rFonts w:hint="eastAsia" w:cs="宋体"/>
                <w:iCs/>
                <w:color w:val="auto"/>
                <w:sz w:val="24"/>
                <w:szCs w:val="24"/>
                <w:highlight w:val="none"/>
                <w:u w:val="none"/>
                <w:shd w:val="clear" w:color="auto" w:fill="FFFFFF"/>
                <w:lang w:eastAsia="zh-CN"/>
              </w:rPr>
              <w:t>202</w:t>
            </w:r>
            <w:r>
              <w:rPr>
                <w:rFonts w:hint="eastAsia" w:cs="宋体"/>
                <w:iCs/>
                <w:color w:val="auto"/>
                <w:sz w:val="24"/>
                <w:szCs w:val="24"/>
                <w:highlight w:val="none"/>
                <w:u w:val="none"/>
                <w:shd w:val="clear" w:color="auto" w:fill="FFFFFF"/>
                <w:lang w:val="en-US" w:eastAsia="zh-CN"/>
              </w:rPr>
              <w:t>6</w:t>
            </w:r>
            <w:r>
              <w:rPr>
                <w:rFonts w:hint="eastAsia" w:cs="宋体"/>
                <w:iCs/>
                <w:color w:val="auto"/>
                <w:sz w:val="24"/>
                <w:szCs w:val="24"/>
                <w:highlight w:val="none"/>
                <w:u w:val="none"/>
                <w:shd w:val="clear" w:color="auto" w:fill="FFFFFF"/>
                <w:lang w:eastAsia="zh-CN"/>
              </w:rPr>
              <w:t>年</w:t>
            </w:r>
            <w:r>
              <w:rPr>
                <w:rFonts w:hint="eastAsia" w:cs="宋体"/>
                <w:iCs/>
                <w:color w:val="auto"/>
                <w:sz w:val="24"/>
                <w:szCs w:val="24"/>
                <w:highlight w:val="none"/>
                <w:u w:val="none"/>
                <w:shd w:val="clear" w:color="auto" w:fill="FFFFFF"/>
                <w:lang w:val="en-US" w:eastAsia="zh-CN"/>
              </w:rPr>
              <w:t>06</w:t>
            </w:r>
            <w:r>
              <w:rPr>
                <w:rFonts w:hint="eastAsia" w:cs="宋体"/>
                <w:iCs/>
                <w:color w:val="auto"/>
                <w:sz w:val="24"/>
                <w:szCs w:val="24"/>
                <w:highlight w:val="none"/>
                <w:u w:val="none"/>
                <w:shd w:val="clear" w:color="auto" w:fill="FFFFFF"/>
                <w:lang w:eastAsia="zh-CN"/>
              </w:rPr>
              <w:t>月</w:t>
            </w:r>
            <w:r>
              <w:rPr>
                <w:rFonts w:hint="eastAsia" w:cs="宋体"/>
                <w:iCs/>
                <w:color w:val="auto"/>
                <w:sz w:val="24"/>
                <w:szCs w:val="24"/>
                <w:highlight w:val="none"/>
                <w:u w:val="none"/>
                <w:shd w:val="clear" w:color="auto" w:fill="FFFFFF"/>
                <w:lang w:val="en-US" w:eastAsia="zh-CN"/>
              </w:rPr>
              <w:t>02</w:t>
            </w:r>
            <w:r>
              <w:rPr>
                <w:rFonts w:hint="eastAsia" w:cs="宋体"/>
                <w:iCs/>
                <w:color w:val="auto"/>
                <w:sz w:val="24"/>
                <w:szCs w:val="24"/>
                <w:highlight w:val="none"/>
                <w:u w:val="none"/>
                <w:shd w:val="clear" w:color="auto" w:fill="FFFFFF"/>
                <w:lang w:eastAsia="zh-CN"/>
              </w:rPr>
              <w:t>日</w:t>
            </w:r>
            <w:r>
              <w:rPr>
                <w:rFonts w:hint="eastAsia" w:ascii="宋体" w:hAnsi="宋体" w:eastAsia="宋体" w:cs="宋体"/>
                <w:iCs/>
                <w:color w:val="auto"/>
                <w:sz w:val="24"/>
                <w:szCs w:val="24"/>
                <w:highlight w:val="none"/>
                <w:u w:val="none"/>
                <w:shd w:val="clear" w:color="auto" w:fill="FFFFFF"/>
              </w:rPr>
              <w:t>11时00</w:t>
            </w:r>
            <w:r>
              <w:rPr>
                <w:rFonts w:hint="eastAsia" w:ascii="宋体" w:hAnsi="宋体" w:eastAsia="宋体" w:cs="宋体"/>
                <w:iCs/>
                <w:color w:val="auto"/>
                <w:sz w:val="24"/>
                <w:szCs w:val="24"/>
                <w:highlight w:val="none"/>
                <w:u w:val="none"/>
                <w:shd w:val="clear" w:color="auto" w:fill="FFFFFF"/>
                <w:lang w:val="hr-HR"/>
              </w:rPr>
              <w:t>分（北京时间）前递交投标文件。</w:t>
            </w:r>
          </w:p>
        </w:tc>
      </w:tr>
      <w:bookmarkEnd w:id="8"/>
      <w:bookmarkEnd w:id="9"/>
      <w:bookmarkEnd w:id="10"/>
      <w:bookmarkEnd w:id="11"/>
      <w:bookmarkEnd w:id="12"/>
      <w:bookmarkEnd w:id="13"/>
      <w:bookmarkEnd w:id="14"/>
      <w:bookmarkEnd w:id="15"/>
      <w:bookmarkEnd w:id="16"/>
      <w:bookmarkEnd w:id="17"/>
    </w:tbl>
    <w:p w14:paraId="0726DD8B">
      <w:pPr>
        <w:pStyle w:val="3"/>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40" w:lineRule="exact"/>
        <w:ind w:left="0" w:leftChars="0" w:firstLine="0" w:firstLineChars="0"/>
        <w:textAlignment w:val="auto"/>
        <w:rPr>
          <w:rFonts w:hint="eastAsia" w:ascii="宋体" w:hAnsi="宋体" w:eastAsia="宋体" w:cs="宋体"/>
          <w:i w:val="0"/>
          <w:iCs w:val="0"/>
          <w:color w:val="auto"/>
          <w:sz w:val="24"/>
          <w:szCs w:val="24"/>
          <w:highlight w:val="none"/>
          <w:u w:val="none"/>
          <w:lang w:val="hr-HR"/>
        </w:rPr>
      </w:pPr>
      <w:bookmarkStart w:id="18" w:name="_Toc11462"/>
      <w:bookmarkStart w:id="19" w:name="_Toc13157"/>
      <w:r>
        <w:rPr>
          <w:rFonts w:hint="eastAsia" w:ascii="宋体" w:hAnsi="宋体" w:eastAsia="宋体" w:cs="宋体"/>
          <w:b/>
          <w:bCs/>
          <w:i w:val="0"/>
          <w:iCs w:val="0"/>
          <w:color w:val="auto"/>
          <w:kern w:val="2"/>
          <w:sz w:val="24"/>
          <w:szCs w:val="24"/>
          <w:highlight w:val="none"/>
          <w:u w:val="none"/>
          <w:lang w:val="hr-HR" w:eastAsia="zh-CN" w:bidi="ar-SA"/>
        </w:rPr>
        <w:t>一、</w:t>
      </w:r>
      <w:r>
        <w:rPr>
          <w:rFonts w:hint="eastAsia" w:ascii="宋体" w:hAnsi="宋体" w:eastAsia="宋体" w:cs="宋体"/>
          <w:i w:val="0"/>
          <w:iCs w:val="0"/>
          <w:color w:val="auto"/>
          <w:sz w:val="24"/>
          <w:szCs w:val="24"/>
          <w:highlight w:val="none"/>
          <w:u w:val="none"/>
          <w:lang w:val="hr-HR"/>
        </w:rPr>
        <w:t>项目基本情况</w:t>
      </w:r>
      <w:bookmarkEnd w:id="18"/>
      <w:bookmarkEnd w:id="19"/>
    </w:p>
    <w:p w14:paraId="76066435">
      <w:pPr>
        <w:pStyle w:val="36"/>
        <w:pageBreakBefore w:val="0"/>
        <w:shd w:val="clear" w:color="auto" w:fill="auto"/>
        <w:kinsoku/>
        <w:overflowPunct/>
        <w:topLinePunct w:val="0"/>
        <w:autoSpaceDE/>
        <w:autoSpaceDN/>
        <w:bidi w:val="0"/>
        <w:adjustRightInd/>
        <w:spacing w:line="440" w:lineRule="exact"/>
        <w:ind w:left="0" w:firstLine="480" w:firstLineChars="200"/>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hr-HR"/>
        </w:rPr>
        <w:t>项目编号：</w:t>
      </w:r>
      <w:r>
        <w:rPr>
          <w:rFonts w:hint="eastAsia" w:cs="宋体"/>
          <w:i w:val="0"/>
          <w:iCs w:val="0"/>
          <w:color w:val="auto"/>
          <w:sz w:val="24"/>
          <w:szCs w:val="24"/>
          <w:highlight w:val="none"/>
          <w:u w:val="none"/>
          <w:lang w:val="en-US" w:eastAsia="zh-CN"/>
        </w:rPr>
        <w:t>XJHY-2026-021</w:t>
      </w:r>
    </w:p>
    <w:p w14:paraId="3B904F43">
      <w:pPr>
        <w:pStyle w:val="36"/>
        <w:pageBreakBefore w:val="0"/>
        <w:shd w:val="clear" w:color="auto" w:fill="auto"/>
        <w:kinsoku/>
        <w:overflowPunct/>
        <w:topLinePunct w:val="0"/>
        <w:autoSpaceDE/>
        <w:autoSpaceDN/>
        <w:bidi w:val="0"/>
        <w:adjustRightInd/>
        <w:spacing w:line="440" w:lineRule="exact"/>
        <w:ind w:left="0" w:leftChars="0"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hr-HR"/>
        </w:rPr>
        <w:t>项目名称：</w:t>
      </w:r>
      <w:r>
        <w:rPr>
          <w:rFonts w:hint="eastAsia" w:cs="宋体"/>
          <w:i w:val="0"/>
          <w:iCs w:val="0"/>
          <w:color w:val="auto"/>
          <w:sz w:val="24"/>
          <w:szCs w:val="24"/>
          <w:highlight w:val="none"/>
          <w:u w:val="none"/>
          <w:lang w:val="hr-HR" w:eastAsia="zh-CN"/>
        </w:rPr>
        <w:t>阿勒泰地区青河县紧密型医共体提标资源共享中心扩能建设项目（中医类）</w:t>
      </w:r>
    </w:p>
    <w:p w14:paraId="713A3643">
      <w:pPr>
        <w:pStyle w:val="36"/>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rPr>
        <w:t>采购方式：</w:t>
      </w:r>
      <w:r>
        <w:rPr>
          <w:rFonts w:hint="eastAsia" w:ascii="宋体" w:hAnsi="宋体" w:eastAsia="宋体" w:cs="宋体"/>
          <w:i w:val="0"/>
          <w:iCs w:val="0"/>
          <w:color w:val="auto"/>
          <w:sz w:val="24"/>
          <w:szCs w:val="24"/>
          <w:highlight w:val="none"/>
          <w:u w:val="none"/>
          <w:lang w:val="en-US" w:eastAsia="zh-CN"/>
        </w:rPr>
        <w:t>公开招标</w:t>
      </w:r>
    </w:p>
    <w:p w14:paraId="546FAED4">
      <w:pPr>
        <w:pStyle w:val="36"/>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hr-HR"/>
        </w:rPr>
        <w:t>预算金额：</w:t>
      </w:r>
      <w:r>
        <w:rPr>
          <w:rFonts w:hint="eastAsia" w:cs="宋体"/>
          <w:i w:val="0"/>
          <w:iCs w:val="0"/>
          <w:color w:val="auto"/>
          <w:sz w:val="24"/>
          <w:szCs w:val="24"/>
          <w:highlight w:val="none"/>
          <w:u w:val="none"/>
          <w:lang w:val="en-US" w:eastAsia="zh-CN"/>
        </w:rPr>
        <w:t>8020000.00</w:t>
      </w:r>
      <w:r>
        <w:rPr>
          <w:rFonts w:hint="eastAsia" w:ascii="宋体" w:hAnsi="宋体" w:eastAsia="宋体" w:cs="宋体"/>
          <w:i w:val="0"/>
          <w:iCs w:val="0"/>
          <w:color w:val="auto"/>
          <w:sz w:val="24"/>
          <w:szCs w:val="24"/>
          <w:highlight w:val="none"/>
          <w:u w:val="none"/>
          <w:lang w:val="en-US" w:eastAsia="zh-CN"/>
        </w:rPr>
        <w:t>元</w:t>
      </w:r>
    </w:p>
    <w:p w14:paraId="16672749">
      <w:pPr>
        <w:pStyle w:val="36"/>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rPr>
        <w:t>最高限价</w:t>
      </w:r>
      <w:r>
        <w:rPr>
          <w:rFonts w:hint="eastAsia" w:ascii="宋体" w:hAnsi="宋体" w:eastAsia="宋体" w:cs="宋体"/>
          <w:i w:val="0"/>
          <w:iCs w:val="0"/>
          <w:color w:val="auto"/>
          <w:sz w:val="24"/>
          <w:szCs w:val="24"/>
          <w:highlight w:val="none"/>
          <w:u w:val="none"/>
          <w:lang w:val="hr-HR"/>
        </w:rPr>
        <w:t>：6077955.58元</w:t>
      </w:r>
    </w:p>
    <w:p w14:paraId="44328C4F">
      <w:pPr>
        <w:pStyle w:val="36"/>
        <w:pageBreakBefore w:val="0"/>
        <w:shd w:val="clear" w:color="auto" w:fill="auto"/>
        <w:kinsoku/>
        <w:overflowPunct/>
        <w:topLinePunct w:val="0"/>
        <w:autoSpaceDE/>
        <w:autoSpaceDN/>
        <w:bidi w:val="0"/>
        <w:adjustRightInd/>
        <w:spacing w:line="440" w:lineRule="exact"/>
        <w:ind w:left="0" w:firstLine="480" w:firstLineChars="200"/>
        <w:rPr>
          <w:rFonts w:hint="default" w:ascii="宋体" w:hAnsi="宋体" w:eastAsia="宋体" w:cs="宋体"/>
          <w:i w:val="0"/>
          <w:iCs w:val="0"/>
          <w:color w:val="auto"/>
          <w:sz w:val="24"/>
          <w:szCs w:val="24"/>
          <w:highlight w:val="none"/>
          <w:u w:val="none"/>
          <w:lang w:val="en-US"/>
        </w:rPr>
      </w:pPr>
    </w:p>
    <w:p w14:paraId="21FC8DD8">
      <w:pPr>
        <w:pStyle w:val="36"/>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lang w:val="hr-HR"/>
        </w:rPr>
        <w:t>采购需求：</w:t>
      </w:r>
    </w:p>
    <w:p w14:paraId="29D1A480">
      <w:pPr>
        <w:pStyle w:val="36"/>
        <w:pageBreakBefore w:val="0"/>
        <w:shd w:val="clear" w:color="auto" w:fill="auto"/>
        <w:kinsoku/>
        <w:overflowPunct/>
        <w:topLinePunct w:val="0"/>
        <w:autoSpaceDE/>
        <w:autoSpaceDN/>
        <w:bidi w:val="0"/>
        <w:adjustRightInd/>
        <w:spacing w:line="440" w:lineRule="exact"/>
        <w:rPr>
          <w:rFonts w:hint="eastAsia" w:eastAsia="宋体" w:cs="宋体"/>
          <w:iCs/>
          <w:color w:val="auto"/>
          <w:sz w:val="24"/>
          <w:szCs w:val="24"/>
          <w:highlight w:val="none"/>
          <w:u w:val="none"/>
          <w:shd w:val="clear" w:color="auto" w:fill="FFFFFF"/>
          <w:lang w:val="en-US" w:eastAsia="zh-CN"/>
        </w:rPr>
      </w:pPr>
      <w:r>
        <w:rPr>
          <w:rFonts w:hint="eastAsia" w:ascii="宋体" w:hAnsi="宋体" w:eastAsia="宋体" w:cs="宋体"/>
          <w:i w:val="0"/>
          <w:iCs w:val="0"/>
          <w:color w:val="auto"/>
          <w:sz w:val="24"/>
          <w:szCs w:val="24"/>
          <w:highlight w:val="none"/>
          <w:u w:val="none"/>
          <w:lang w:val="hr-HR"/>
        </w:rPr>
        <w:t>标项名称:</w:t>
      </w:r>
      <w:r>
        <w:rPr>
          <w:rFonts w:hint="eastAsia" w:ascii="宋体" w:hAnsi="宋体" w:eastAsia="宋体" w:cs="宋体"/>
          <w:i w:val="0"/>
          <w:iCs w:val="0"/>
          <w:color w:val="auto"/>
          <w:sz w:val="24"/>
          <w:szCs w:val="24"/>
          <w:highlight w:val="none"/>
          <w:u w:val="none"/>
          <w:lang w:val="en-US" w:eastAsia="zh-CN"/>
        </w:rPr>
        <w:t xml:space="preserve"> </w:t>
      </w:r>
      <w:r>
        <w:rPr>
          <w:rFonts w:hint="eastAsia" w:cs="宋体"/>
          <w:i w:val="0"/>
          <w:iCs w:val="0"/>
          <w:color w:val="auto"/>
          <w:sz w:val="24"/>
          <w:szCs w:val="24"/>
          <w:highlight w:val="none"/>
          <w:u w:val="none"/>
          <w:lang w:val="en-US" w:eastAsia="zh-CN"/>
        </w:rPr>
        <w:t>阿勒泰地区青河县紧密型医共体提标资源共享中心扩能建设项目（中医类）</w:t>
      </w:r>
    </w:p>
    <w:p w14:paraId="116C5AF8">
      <w:pPr>
        <w:pStyle w:val="36"/>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lang w:val="hr-HR"/>
        </w:rPr>
        <w:t>数量</w:t>
      </w:r>
      <w:r>
        <w:rPr>
          <w:rFonts w:hint="eastAsia" w:ascii="宋体" w:hAnsi="宋体" w:eastAsia="宋体" w:cs="宋体"/>
          <w:i w:val="0"/>
          <w:iCs w:val="0"/>
          <w:color w:val="auto"/>
          <w:sz w:val="24"/>
          <w:szCs w:val="24"/>
          <w:highlight w:val="none"/>
          <w:u w:val="none"/>
          <w:lang w:val="hr-HR" w:eastAsia="zh-CN"/>
        </w:rPr>
        <w:t>：</w:t>
      </w:r>
      <w:r>
        <w:rPr>
          <w:rFonts w:hint="eastAsia" w:ascii="宋体" w:hAnsi="宋体" w:eastAsia="宋体" w:cs="宋体"/>
          <w:i w:val="0"/>
          <w:iCs w:val="0"/>
          <w:color w:val="auto"/>
          <w:sz w:val="24"/>
          <w:szCs w:val="24"/>
          <w:highlight w:val="none"/>
          <w:u w:val="none"/>
          <w:lang w:val="hr-HR"/>
        </w:rPr>
        <w:t>1</w:t>
      </w:r>
    </w:p>
    <w:p w14:paraId="231F37CB">
      <w:pPr>
        <w:pStyle w:val="36"/>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eastAsia="zh-CN"/>
        </w:rPr>
      </w:pPr>
      <w:r>
        <w:rPr>
          <w:rFonts w:hint="eastAsia" w:ascii="宋体" w:hAnsi="宋体" w:eastAsia="宋体" w:cs="宋体"/>
          <w:i w:val="0"/>
          <w:iCs w:val="0"/>
          <w:color w:val="auto"/>
          <w:sz w:val="24"/>
          <w:szCs w:val="24"/>
          <w:highlight w:val="none"/>
          <w:u w:val="none"/>
          <w:lang w:val="hr-HR"/>
        </w:rPr>
        <w:t>预算金额（元）</w:t>
      </w:r>
      <w:r>
        <w:rPr>
          <w:rFonts w:hint="eastAsia" w:ascii="宋体" w:hAnsi="宋体" w:eastAsia="宋体" w:cs="宋体"/>
          <w:i w:val="0"/>
          <w:iCs w:val="0"/>
          <w:color w:val="auto"/>
          <w:sz w:val="24"/>
          <w:szCs w:val="24"/>
          <w:highlight w:val="none"/>
          <w:u w:val="none"/>
          <w:lang w:val="hr-HR" w:eastAsia="zh-CN"/>
        </w:rPr>
        <w:t>：</w:t>
      </w:r>
      <w:r>
        <w:rPr>
          <w:rFonts w:hint="eastAsia" w:cs="宋体"/>
          <w:i w:val="0"/>
          <w:iCs w:val="0"/>
          <w:color w:val="auto"/>
          <w:sz w:val="24"/>
          <w:szCs w:val="24"/>
          <w:highlight w:val="none"/>
          <w:u w:val="none"/>
          <w:lang w:val="en-US" w:eastAsia="zh-CN"/>
        </w:rPr>
        <w:t>8020000.00</w:t>
      </w:r>
      <w:r>
        <w:rPr>
          <w:rFonts w:hint="eastAsia" w:ascii="宋体" w:hAnsi="宋体" w:eastAsia="宋体" w:cs="宋体"/>
          <w:i w:val="0"/>
          <w:iCs w:val="0"/>
          <w:color w:val="auto"/>
          <w:sz w:val="24"/>
          <w:szCs w:val="24"/>
          <w:highlight w:val="none"/>
          <w:u w:val="none"/>
          <w:lang w:val="en-US" w:eastAsia="zh-CN"/>
        </w:rPr>
        <w:t>元</w:t>
      </w:r>
    </w:p>
    <w:p w14:paraId="67CCD0D4">
      <w:pPr>
        <w:pStyle w:val="36"/>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lang w:val="hr-HR"/>
        </w:rPr>
        <w:t xml:space="preserve">单位：批 </w:t>
      </w:r>
    </w:p>
    <w:p w14:paraId="148156AB">
      <w:pPr>
        <w:pStyle w:val="36"/>
        <w:pageBreakBefore w:val="0"/>
        <w:shd w:val="clear" w:color="auto" w:fill="auto"/>
        <w:kinsoku/>
        <w:overflowPunct/>
        <w:topLinePunct w:val="0"/>
        <w:autoSpaceDE/>
        <w:autoSpaceDN/>
        <w:bidi w:val="0"/>
        <w:adjustRightInd/>
        <w:spacing w:line="440" w:lineRule="exact"/>
        <w:ind w:left="0" w:firstLine="480" w:firstLineChars="200"/>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hr-HR"/>
        </w:rPr>
        <w:t>简要规格描述或项目基本概况介绍、用途：</w:t>
      </w:r>
      <w:r>
        <w:rPr>
          <w:rFonts w:hint="eastAsia" w:cs="宋体"/>
          <w:i w:val="0"/>
          <w:iCs w:val="0"/>
          <w:color w:val="auto"/>
          <w:sz w:val="24"/>
          <w:szCs w:val="24"/>
          <w:highlight w:val="none"/>
          <w:u w:val="none"/>
          <w:lang w:val="en-US" w:eastAsia="zh-CN"/>
        </w:rPr>
        <w:t>详见招标文件。</w:t>
      </w:r>
    </w:p>
    <w:p w14:paraId="3469C8FA">
      <w:pPr>
        <w:pStyle w:val="36"/>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lang w:val="hr-HR"/>
        </w:rPr>
        <w:t>备注：</w:t>
      </w:r>
    </w:p>
    <w:p w14:paraId="0167A304">
      <w:pPr>
        <w:pStyle w:val="36"/>
        <w:pageBreakBefore w:val="0"/>
        <w:shd w:val="clear" w:color="auto" w:fill="auto"/>
        <w:kinsoku/>
        <w:overflowPunct/>
        <w:topLinePunct w:val="0"/>
        <w:autoSpaceDE/>
        <w:autoSpaceDN/>
        <w:bidi w:val="0"/>
        <w:adjustRightInd/>
        <w:spacing w:line="440" w:lineRule="exact"/>
        <w:ind w:left="0" w:firstLine="480" w:firstLineChars="200"/>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hr-HR"/>
        </w:rPr>
        <w:t>合同履约期限：</w:t>
      </w:r>
      <w:r>
        <w:rPr>
          <w:rFonts w:hint="eastAsia" w:cs="宋体"/>
          <w:i w:val="0"/>
          <w:iCs w:val="0"/>
          <w:color w:val="auto"/>
          <w:sz w:val="24"/>
          <w:szCs w:val="24"/>
          <w:highlight w:val="none"/>
          <w:u w:val="none"/>
          <w:lang w:val="en-US" w:eastAsia="zh-CN"/>
        </w:rPr>
        <w:t>按合同约定期限</w:t>
      </w:r>
    </w:p>
    <w:p w14:paraId="54FC7046">
      <w:pPr>
        <w:pStyle w:val="36"/>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lang w:val="hr-HR"/>
        </w:rPr>
        <w:t>本项目（否）接受联合体投标。</w:t>
      </w:r>
    </w:p>
    <w:p w14:paraId="7C5254E1">
      <w:pPr>
        <w:pStyle w:val="3"/>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40" w:lineRule="exact"/>
        <w:ind w:left="0" w:leftChars="0" w:firstLine="0" w:firstLineChars="0"/>
        <w:textAlignment w:val="auto"/>
        <w:rPr>
          <w:rFonts w:hint="eastAsia" w:ascii="宋体" w:hAnsi="宋体" w:eastAsia="宋体" w:cs="宋体"/>
          <w:b/>
          <w:bCs/>
          <w:i w:val="0"/>
          <w:iCs w:val="0"/>
          <w:color w:val="auto"/>
          <w:kern w:val="2"/>
          <w:sz w:val="24"/>
          <w:szCs w:val="24"/>
          <w:highlight w:val="none"/>
          <w:u w:val="none"/>
          <w:lang w:val="hr-HR" w:eastAsia="zh-CN" w:bidi="ar-SA"/>
        </w:rPr>
      </w:pPr>
      <w:bookmarkStart w:id="20" w:name="_Toc163492813"/>
      <w:bookmarkStart w:id="21" w:name="_Toc109899411"/>
      <w:bookmarkStart w:id="22" w:name="_Toc15913"/>
      <w:bookmarkStart w:id="23" w:name="_Toc109900249"/>
      <w:bookmarkStart w:id="24" w:name="_Toc109899830"/>
      <w:bookmarkStart w:id="25" w:name="_Toc1273"/>
      <w:bookmarkStart w:id="26" w:name="_Toc140132746"/>
      <w:bookmarkStart w:id="27" w:name="_Toc155185861"/>
      <w:r>
        <w:rPr>
          <w:rFonts w:hint="eastAsia" w:ascii="宋体" w:hAnsi="宋体" w:eastAsia="宋体" w:cs="宋体"/>
          <w:b/>
          <w:bCs/>
          <w:i w:val="0"/>
          <w:iCs w:val="0"/>
          <w:color w:val="auto"/>
          <w:kern w:val="2"/>
          <w:sz w:val="24"/>
          <w:szCs w:val="24"/>
          <w:highlight w:val="none"/>
          <w:u w:val="none"/>
          <w:lang w:val="en-US" w:eastAsia="zh-CN" w:bidi="ar-SA"/>
        </w:rPr>
        <w:t>二、申请人的</w:t>
      </w:r>
      <w:r>
        <w:rPr>
          <w:rFonts w:hint="eastAsia" w:ascii="宋体" w:hAnsi="宋体" w:eastAsia="宋体" w:cs="宋体"/>
          <w:b/>
          <w:bCs/>
          <w:i w:val="0"/>
          <w:iCs w:val="0"/>
          <w:color w:val="auto"/>
          <w:kern w:val="2"/>
          <w:sz w:val="24"/>
          <w:szCs w:val="24"/>
          <w:highlight w:val="none"/>
          <w:u w:val="none"/>
          <w:lang w:val="hr-HR" w:eastAsia="zh-CN" w:bidi="ar-SA"/>
        </w:rPr>
        <w:t>资格要求</w:t>
      </w:r>
      <w:bookmarkEnd w:id="20"/>
      <w:bookmarkEnd w:id="21"/>
      <w:bookmarkEnd w:id="22"/>
      <w:bookmarkEnd w:id="23"/>
      <w:bookmarkEnd w:id="24"/>
      <w:bookmarkEnd w:id="25"/>
      <w:bookmarkEnd w:id="26"/>
      <w:bookmarkEnd w:id="27"/>
    </w:p>
    <w:p w14:paraId="5A059FAA">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strike/>
          <w:color w:val="auto"/>
          <w:sz w:val="24"/>
          <w:szCs w:val="24"/>
          <w:highlight w:val="none"/>
          <w:u w:val="none"/>
          <w:lang w:val="en-US" w:eastAsia="zh-CN"/>
        </w:rPr>
      </w:pPr>
      <w:bookmarkStart w:id="28" w:name="_Toc35393631"/>
      <w:bookmarkStart w:id="29" w:name="_Toc35393800"/>
      <w:bookmarkStart w:id="30" w:name="_Toc44583630"/>
      <w:bookmarkStart w:id="31" w:name="_Toc28359091"/>
      <w:bookmarkStart w:id="32" w:name="_Toc28359014"/>
      <w:r>
        <w:rPr>
          <w:rFonts w:hint="eastAsia" w:ascii="宋体" w:hAnsi="宋体" w:eastAsia="宋体" w:cs="宋体"/>
          <w:i w:val="0"/>
          <w:iCs w:val="0"/>
          <w:color w:val="auto"/>
          <w:sz w:val="24"/>
          <w:szCs w:val="24"/>
          <w:highlight w:val="none"/>
          <w:u w:val="none"/>
          <w:lang w:val="en-US" w:eastAsia="zh-CN"/>
        </w:rPr>
        <w:t>1.满足《中华人民共和国政府采购法》第二十二条规定；</w:t>
      </w:r>
    </w:p>
    <w:p w14:paraId="2C175392">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rPr>
      </w:pPr>
      <w:bookmarkStart w:id="33" w:name="_Hlk89807755"/>
      <w:r>
        <w:rPr>
          <w:rFonts w:hint="eastAsia" w:ascii="宋体" w:hAnsi="宋体" w:eastAsia="宋体" w:cs="宋体"/>
          <w:i w:val="0"/>
          <w:iCs w:val="0"/>
          <w:color w:val="auto"/>
          <w:sz w:val="24"/>
          <w:szCs w:val="24"/>
          <w:highlight w:val="none"/>
          <w:u w:val="none"/>
          <w:lang w:val="en-US" w:eastAsia="zh-CN"/>
        </w:rPr>
        <w:t>2</w:t>
      </w:r>
      <w:r>
        <w:rPr>
          <w:rFonts w:hint="eastAsia" w:ascii="宋体" w:hAnsi="宋体" w:eastAsia="宋体" w:cs="宋体"/>
          <w:i w:val="0"/>
          <w:iCs w:val="0"/>
          <w:color w:val="auto"/>
          <w:sz w:val="24"/>
          <w:szCs w:val="24"/>
          <w:highlight w:val="none"/>
          <w:u w:val="none"/>
        </w:rPr>
        <w:t>.落实政府采购政策需满足的资格要求：</w:t>
      </w:r>
      <w:r>
        <w:rPr>
          <w:rFonts w:hint="eastAsia" w:ascii="宋体" w:hAnsi="宋体" w:cs="宋体"/>
          <w:color w:val="auto"/>
          <w:highlight w:val="none"/>
        </w:rPr>
        <w:t>本项目</w:t>
      </w:r>
      <w:r>
        <w:rPr>
          <w:rFonts w:hint="eastAsia" w:cs="宋体"/>
          <w:color w:val="auto"/>
          <w:highlight w:val="none"/>
          <w:lang w:val="en-US" w:eastAsia="zh-CN"/>
        </w:rPr>
        <w:t>不</w:t>
      </w:r>
      <w:r>
        <w:rPr>
          <w:rFonts w:hint="eastAsia" w:ascii="宋体" w:hAnsi="宋体" w:cs="宋体"/>
          <w:color w:val="auto"/>
          <w:highlight w:val="none"/>
        </w:rPr>
        <w:t>专门面向中小企业。</w:t>
      </w:r>
    </w:p>
    <w:p w14:paraId="430C961A">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3.本项目的特定资格要求：</w:t>
      </w:r>
      <w:bookmarkEnd w:id="28"/>
      <w:bookmarkEnd w:id="29"/>
      <w:bookmarkEnd w:id="30"/>
      <w:bookmarkEnd w:id="31"/>
      <w:bookmarkEnd w:id="32"/>
      <w:bookmarkEnd w:id="33"/>
      <w:bookmarkStart w:id="34" w:name="_Toc28359017"/>
      <w:bookmarkStart w:id="35" w:name="_Toc155185864"/>
      <w:bookmarkStart w:id="36" w:name="_Toc9513"/>
      <w:bookmarkStart w:id="37" w:name="_Toc109899414"/>
      <w:bookmarkStart w:id="38" w:name="_Toc44583633"/>
      <w:bookmarkStart w:id="39" w:name="_Toc140132749"/>
      <w:bookmarkStart w:id="40" w:name="_Toc28359094"/>
      <w:bookmarkStart w:id="41" w:name="_Toc109899833"/>
      <w:bookmarkStart w:id="42" w:name="_Toc163492816"/>
      <w:bookmarkStart w:id="43" w:name="_Toc109900252"/>
      <w:bookmarkStart w:id="44" w:name="_Toc9733"/>
      <w:bookmarkStart w:id="45" w:name="_Toc35393803"/>
      <w:bookmarkStart w:id="46" w:name="_Toc35393634"/>
      <w:r>
        <w:rPr>
          <w:rFonts w:hint="eastAsia" w:cs="宋体"/>
          <w:i w:val="0"/>
          <w:iCs w:val="0"/>
          <w:color w:val="auto"/>
          <w:sz w:val="24"/>
          <w:szCs w:val="24"/>
          <w:highlight w:val="none"/>
          <w:u w:val="none"/>
          <w:lang w:val="en-US" w:eastAsia="zh-CN"/>
        </w:rPr>
        <w:t>（1）</w:t>
      </w:r>
      <w:r>
        <w:rPr>
          <w:rFonts w:hint="eastAsia" w:ascii="宋体" w:hAnsi="宋体" w:eastAsia="宋体" w:cs="宋体"/>
          <w:i w:val="0"/>
          <w:iCs w:val="0"/>
          <w:color w:val="auto"/>
          <w:sz w:val="24"/>
          <w:szCs w:val="24"/>
          <w:highlight w:val="none"/>
          <w:u w:val="none"/>
          <w:lang w:val="en-US" w:eastAsia="zh-CN"/>
        </w:rPr>
        <w:t>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属于第一类医疗器械的可提供医疗器械经营备案凭证或按照国家医疗器械经营监督管理办法规定无需备案的可不提供</w:t>
      </w:r>
      <w:r>
        <w:rPr>
          <w:rFonts w:hint="eastAsia" w:cs="宋体"/>
          <w:i w:val="0"/>
          <w:iCs w:val="0"/>
          <w:color w:val="auto"/>
          <w:sz w:val="24"/>
          <w:szCs w:val="24"/>
          <w:highlight w:val="none"/>
          <w:u w:val="none"/>
          <w:lang w:val="en-US" w:eastAsia="zh-CN"/>
        </w:rPr>
        <w:t>。（2）根据《财政部关于在政府采购活动中查询及使用信用记录有关问题的通知》（财库〔2016〕125号）的规定，将在资格审查时通过“信用中国”网站、中国政府采购网等渠道查询供应商信用记录。被列入失信被执行人、重大税收违法案件当事人名单、政府采购严重违法失信行为记录名单的供应商，将被拒绝参与本项目政府采购活动。</w:t>
      </w:r>
    </w:p>
    <w:p w14:paraId="15BBE69D">
      <w:pPr>
        <w:pageBreakBefore w:val="0"/>
        <w:shd w:val="clear" w:color="auto" w:fill="auto"/>
        <w:kinsoku/>
        <w:overflowPunct/>
        <w:topLinePunct w:val="0"/>
        <w:autoSpaceDE/>
        <w:autoSpaceDN/>
        <w:bidi w:val="0"/>
        <w:adjustRightInd/>
        <w:spacing w:line="440" w:lineRule="exact"/>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三、获取招标文件</w:t>
      </w:r>
    </w:p>
    <w:p w14:paraId="02F9D742">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时间：</w:t>
      </w:r>
      <w:bookmarkStart w:id="640" w:name="_GoBack"/>
      <w:bookmarkEnd w:id="640"/>
      <w:r>
        <w:rPr>
          <w:rFonts w:hint="eastAsia" w:cs="宋体"/>
          <w:b w:val="0"/>
          <w:bCs w:val="0"/>
          <w:i w:val="0"/>
          <w:iCs w:val="0"/>
          <w:color w:val="auto"/>
          <w:kern w:val="2"/>
          <w:sz w:val="24"/>
          <w:szCs w:val="24"/>
          <w:highlight w:val="none"/>
          <w:u w:val="none"/>
          <w:lang w:val="en-US" w:eastAsia="zh-CN" w:bidi="ar-SA"/>
        </w:rPr>
        <w:t>2026年05月10日至2026年05月16日</w:t>
      </w:r>
      <w:r>
        <w:rPr>
          <w:rFonts w:hint="eastAsia" w:ascii="宋体" w:hAnsi="宋体" w:eastAsia="宋体" w:cs="宋体"/>
          <w:b w:val="0"/>
          <w:bCs w:val="0"/>
          <w:i w:val="0"/>
          <w:iCs w:val="0"/>
          <w:color w:val="auto"/>
          <w:kern w:val="2"/>
          <w:sz w:val="24"/>
          <w:szCs w:val="24"/>
          <w:highlight w:val="none"/>
          <w:u w:val="none"/>
          <w:lang w:val="en-US" w:eastAsia="zh-CN" w:bidi="ar-SA"/>
        </w:rPr>
        <w:t>，每天上午00:00至14:00，下午14:00至23:59（北京时间，法定节假日除外）</w:t>
      </w:r>
    </w:p>
    <w:p w14:paraId="5CA702C0">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地点：政采云平台线上</w:t>
      </w:r>
    </w:p>
    <w:p w14:paraId="3B18B92C">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6DB9F5B8">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售价（元）：0</w:t>
      </w:r>
    </w:p>
    <w:p w14:paraId="580F7306">
      <w:pPr>
        <w:pageBreakBefore w:val="0"/>
        <w:numPr>
          <w:ilvl w:val="0"/>
          <w:numId w:val="0"/>
        </w:numPr>
        <w:shd w:val="clear" w:color="auto" w:fill="auto"/>
        <w:kinsoku/>
        <w:overflowPunct/>
        <w:topLinePunct w:val="0"/>
        <w:autoSpaceDE/>
        <w:autoSpaceDN/>
        <w:bidi w:val="0"/>
        <w:adjustRightInd/>
        <w:spacing w:line="440" w:lineRule="exact"/>
        <w:rPr>
          <w:rFonts w:hint="eastAsia" w:ascii="宋体" w:hAnsi="宋体" w:eastAsia="宋体" w:cs="宋体"/>
          <w:b/>
          <w:bCs/>
          <w:i w:val="0"/>
          <w:iCs w:val="0"/>
          <w:color w:val="auto"/>
          <w:kern w:val="2"/>
          <w:sz w:val="24"/>
          <w:szCs w:val="24"/>
          <w:highlight w:val="none"/>
          <w:u w:val="none"/>
          <w:lang w:val="en-US" w:eastAsia="zh-CN" w:bidi="ar-SA"/>
        </w:rPr>
      </w:pPr>
      <w:r>
        <w:rPr>
          <w:rFonts w:hint="eastAsia" w:cs="宋体"/>
          <w:b/>
          <w:bCs/>
          <w:i w:val="0"/>
          <w:iCs w:val="0"/>
          <w:color w:val="auto"/>
          <w:kern w:val="2"/>
          <w:sz w:val="24"/>
          <w:szCs w:val="24"/>
          <w:highlight w:val="none"/>
          <w:u w:val="none"/>
          <w:lang w:val="en-US" w:eastAsia="zh-CN" w:bidi="ar-SA"/>
        </w:rPr>
        <w:t>四、</w:t>
      </w:r>
      <w:r>
        <w:rPr>
          <w:rFonts w:hint="eastAsia" w:ascii="宋体" w:hAnsi="宋体" w:eastAsia="宋体" w:cs="宋体"/>
          <w:b/>
          <w:bCs/>
          <w:i w:val="0"/>
          <w:iCs w:val="0"/>
          <w:color w:val="auto"/>
          <w:kern w:val="2"/>
          <w:sz w:val="24"/>
          <w:szCs w:val="24"/>
          <w:highlight w:val="none"/>
          <w:u w:val="none"/>
          <w:lang w:val="en-US" w:eastAsia="zh-CN" w:bidi="ar-SA"/>
        </w:rPr>
        <w:t>提交投标文件截止时间、开标时间和地点</w:t>
      </w:r>
    </w:p>
    <w:p w14:paraId="5404C20F">
      <w:pPr>
        <w:pageBreakBefore w:val="0"/>
        <w:numPr>
          <w:ilvl w:val="0"/>
          <w:numId w:val="0"/>
        </w:numPr>
        <w:shd w:val="clear" w:color="auto" w:fill="auto"/>
        <w:kinsoku/>
        <w:overflowPunct/>
        <w:topLinePunct w:val="0"/>
        <w:autoSpaceDE/>
        <w:autoSpaceDN/>
        <w:bidi w:val="0"/>
        <w:adjustRightInd/>
        <w:spacing w:line="440" w:lineRule="exact"/>
        <w:ind w:left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提交投标文件截止时间：</w:t>
      </w:r>
      <w:r>
        <w:rPr>
          <w:rFonts w:hint="eastAsia" w:ascii="宋体" w:hAnsi="宋体" w:cs="宋体"/>
          <w:b w:val="0"/>
          <w:bCs w:val="0"/>
          <w:i w:val="0"/>
          <w:iCs w:val="0"/>
          <w:color w:val="auto"/>
          <w:kern w:val="2"/>
          <w:sz w:val="24"/>
          <w:szCs w:val="24"/>
          <w:highlight w:val="none"/>
          <w:u w:val="none"/>
          <w:lang w:val="en-US" w:eastAsia="zh-CN" w:bidi="ar-SA"/>
        </w:rPr>
        <w:t>202</w:t>
      </w:r>
      <w:r>
        <w:rPr>
          <w:rFonts w:hint="eastAsia" w:cs="宋体"/>
          <w:b w:val="0"/>
          <w:bCs w:val="0"/>
          <w:i w:val="0"/>
          <w:iCs w:val="0"/>
          <w:color w:val="auto"/>
          <w:kern w:val="2"/>
          <w:sz w:val="24"/>
          <w:szCs w:val="24"/>
          <w:highlight w:val="none"/>
          <w:u w:val="none"/>
          <w:lang w:val="en-US" w:eastAsia="zh-CN" w:bidi="ar-SA"/>
        </w:rPr>
        <w:t>6</w:t>
      </w:r>
      <w:r>
        <w:rPr>
          <w:rFonts w:hint="eastAsia" w:ascii="宋体" w:hAnsi="宋体" w:cs="宋体"/>
          <w:b w:val="0"/>
          <w:bCs w:val="0"/>
          <w:i w:val="0"/>
          <w:iCs w:val="0"/>
          <w:color w:val="auto"/>
          <w:kern w:val="2"/>
          <w:sz w:val="24"/>
          <w:szCs w:val="24"/>
          <w:highlight w:val="none"/>
          <w:u w:val="none"/>
          <w:lang w:val="en-US" w:eastAsia="zh-CN" w:bidi="ar-SA"/>
        </w:rPr>
        <w:t>年</w:t>
      </w:r>
      <w:r>
        <w:rPr>
          <w:rFonts w:hint="eastAsia" w:cs="宋体"/>
          <w:b w:val="0"/>
          <w:bCs w:val="0"/>
          <w:i w:val="0"/>
          <w:iCs w:val="0"/>
          <w:color w:val="auto"/>
          <w:kern w:val="2"/>
          <w:sz w:val="24"/>
          <w:szCs w:val="24"/>
          <w:highlight w:val="none"/>
          <w:u w:val="none"/>
          <w:lang w:val="en-US" w:eastAsia="zh-CN" w:bidi="ar-SA"/>
        </w:rPr>
        <w:t>06</w:t>
      </w:r>
      <w:r>
        <w:rPr>
          <w:rFonts w:hint="eastAsia" w:ascii="宋体" w:hAnsi="宋体" w:cs="宋体"/>
          <w:b w:val="0"/>
          <w:bCs w:val="0"/>
          <w:i w:val="0"/>
          <w:iCs w:val="0"/>
          <w:color w:val="auto"/>
          <w:kern w:val="2"/>
          <w:sz w:val="24"/>
          <w:szCs w:val="24"/>
          <w:highlight w:val="none"/>
          <w:u w:val="none"/>
          <w:lang w:val="en-US" w:eastAsia="zh-CN" w:bidi="ar-SA"/>
        </w:rPr>
        <w:t>月</w:t>
      </w:r>
      <w:r>
        <w:rPr>
          <w:rFonts w:hint="eastAsia" w:cs="宋体"/>
          <w:b w:val="0"/>
          <w:bCs w:val="0"/>
          <w:i w:val="0"/>
          <w:iCs w:val="0"/>
          <w:color w:val="auto"/>
          <w:kern w:val="2"/>
          <w:sz w:val="24"/>
          <w:szCs w:val="24"/>
          <w:highlight w:val="none"/>
          <w:u w:val="none"/>
          <w:lang w:val="en-US" w:eastAsia="zh-CN" w:bidi="ar-SA"/>
        </w:rPr>
        <w:t>02</w:t>
      </w:r>
      <w:r>
        <w:rPr>
          <w:rFonts w:hint="eastAsia" w:ascii="宋体" w:hAnsi="宋体" w:cs="宋体"/>
          <w:b w:val="0"/>
          <w:bCs w:val="0"/>
          <w:i w:val="0"/>
          <w:iCs w:val="0"/>
          <w:color w:val="auto"/>
          <w:kern w:val="2"/>
          <w:sz w:val="24"/>
          <w:szCs w:val="24"/>
          <w:highlight w:val="none"/>
          <w:u w:val="none"/>
          <w:lang w:val="en-US" w:eastAsia="zh-CN" w:bidi="ar-SA"/>
        </w:rPr>
        <w:t>日</w:t>
      </w:r>
      <w:r>
        <w:rPr>
          <w:rFonts w:hint="eastAsia" w:ascii="宋体" w:hAnsi="宋体" w:eastAsia="宋体" w:cs="宋体"/>
          <w:b w:val="0"/>
          <w:bCs w:val="0"/>
          <w:i w:val="0"/>
          <w:iCs w:val="0"/>
          <w:color w:val="auto"/>
          <w:kern w:val="2"/>
          <w:sz w:val="24"/>
          <w:szCs w:val="24"/>
          <w:highlight w:val="none"/>
          <w:u w:val="none"/>
          <w:lang w:val="en-US" w:eastAsia="zh-CN" w:bidi="ar-SA"/>
        </w:rPr>
        <w:t xml:space="preserve"> 11:00（北京时间）</w:t>
      </w:r>
    </w:p>
    <w:p w14:paraId="77D3D544">
      <w:pPr>
        <w:pageBreakBefore w:val="0"/>
        <w:numPr>
          <w:ilvl w:val="0"/>
          <w:numId w:val="0"/>
        </w:numPr>
        <w:shd w:val="clear" w:color="auto" w:fill="auto"/>
        <w:kinsoku/>
        <w:overflowPunct/>
        <w:topLinePunct w:val="0"/>
        <w:autoSpaceDE/>
        <w:autoSpaceDN/>
        <w:bidi w:val="0"/>
        <w:adjustRightInd/>
        <w:spacing w:line="440" w:lineRule="exact"/>
        <w:ind w:left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投标地点：请登录政采云投标客户端投标</w:t>
      </w:r>
    </w:p>
    <w:p w14:paraId="23D1299E">
      <w:pPr>
        <w:pageBreakBefore w:val="0"/>
        <w:numPr>
          <w:ilvl w:val="0"/>
          <w:numId w:val="0"/>
        </w:numPr>
        <w:shd w:val="clear" w:color="auto" w:fill="auto"/>
        <w:kinsoku/>
        <w:overflowPunct/>
        <w:topLinePunct w:val="0"/>
        <w:autoSpaceDE/>
        <w:autoSpaceDN/>
        <w:bidi w:val="0"/>
        <w:adjustRightInd/>
        <w:spacing w:line="440" w:lineRule="exact"/>
        <w:ind w:left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开标时间：</w:t>
      </w:r>
      <w:r>
        <w:rPr>
          <w:rFonts w:hint="eastAsia" w:ascii="宋体" w:hAnsi="宋体" w:cs="宋体"/>
          <w:b w:val="0"/>
          <w:bCs w:val="0"/>
          <w:i w:val="0"/>
          <w:iCs w:val="0"/>
          <w:color w:val="auto"/>
          <w:kern w:val="2"/>
          <w:sz w:val="24"/>
          <w:szCs w:val="24"/>
          <w:highlight w:val="none"/>
          <w:u w:val="none"/>
          <w:lang w:val="en-US" w:eastAsia="zh-CN" w:bidi="ar-SA"/>
        </w:rPr>
        <w:t>202</w:t>
      </w:r>
      <w:r>
        <w:rPr>
          <w:rFonts w:hint="eastAsia" w:cs="宋体"/>
          <w:b w:val="0"/>
          <w:bCs w:val="0"/>
          <w:i w:val="0"/>
          <w:iCs w:val="0"/>
          <w:color w:val="auto"/>
          <w:kern w:val="2"/>
          <w:sz w:val="24"/>
          <w:szCs w:val="24"/>
          <w:highlight w:val="none"/>
          <w:u w:val="none"/>
          <w:lang w:val="en-US" w:eastAsia="zh-CN" w:bidi="ar-SA"/>
        </w:rPr>
        <w:t>6</w:t>
      </w:r>
      <w:r>
        <w:rPr>
          <w:rFonts w:hint="eastAsia" w:ascii="宋体" w:hAnsi="宋体" w:cs="宋体"/>
          <w:b w:val="0"/>
          <w:bCs w:val="0"/>
          <w:i w:val="0"/>
          <w:iCs w:val="0"/>
          <w:color w:val="auto"/>
          <w:kern w:val="2"/>
          <w:sz w:val="24"/>
          <w:szCs w:val="24"/>
          <w:highlight w:val="none"/>
          <w:u w:val="none"/>
          <w:lang w:val="en-US" w:eastAsia="zh-CN" w:bidi="ar-SA"/>
        </w:rPr>
        <w:t>年</w:t>
      </w:r>
      <w:r>
        <w:rPr>
          <w:rFonts w:hint="eastAsia" w:cs="宋体"/>
          <w:b w:val="0"/>
          <w:bCs w:val="0"/>
          <w:i w:val="0"/>
          <w:iCs w:val="0"/>
          <w:color w:val="auto"/>
          <w:kern w:val="2"/>
          <w:sz w:val="24"/>
          <w:szCs w:val="24"/>
          <w:highlight w:val="none"/>
          <w:u w:val="none"/>
          <w:lang w:val="en-US" w:eastAsia="zh-CN" w:bidi="ar-SA"/>
        </w:rPr>
        <w:t>06</w:t>
      </w:r>
      <w:r>
        <w:rPr>
          <w:rFonts w:hint="eastAsia" w:ascii="宋体" w:hAnsi="宋体" w:cs="宋体"/>
          <w:b w:val="0"/>
          <w:bCs w:val="0"/>
          <w:i w:val="0"/>
          <w:iCs w:val="0"/>
          <w:color w:val="auto"/>
          <w:kern w:val="2"/>
          <w:sz w:val="24"/>
          <w:szCs w:val="24"/>
          <w:highlight w:val="none"/>
          <w:u w:val="none"/>
          <w:lang w:val="en-US" w:eastAsia="zh-CN" w:bidi="ar-SA"/>
        </w:rPr>
        <w:t>月</w:t>
      </w:r>
      <w:r>
        <w:rPr>
          <w:rFonts w:hint="eastAsia" w:cs="宋体"/>
          <w:b w:val="0"/>
          <w:bCs w:val="0"/>
          <w:i w:val="0"/>
          <w:iCs w:val="0"/>
          <w:color w:val="auto"/>
          <w:kern w:val="2"/>
          <w:sz w:val="24"/>
          <w:szCs w:val="24"/>
          <w:highlight w:val="none"/>
          <w:u w:val="none"/>
          <w:lang w:val="en-US" w:eastAsia="zh-CN" w:bidi="ar-SA"/>
        </w:rPr>
        <w:t>02</w:t>
      </w:r>
      <w:r>
        <w:rPr>
          <w:rFonts w:hint="eastAsia" w:ascii="宋体" w:hAnsi="宋体" w:cs="宋体"/>
          <w:b w:val="0"/>
          <w:bCs w:val="0"/>
          <w:i w:val="0"/>
          <w:iCs w:val="0"/>
          <w:color w:val="auto"/>
          <w:kern w:val="2"/>
          <w:sz w:val="24"/>
          <w:szCs w:val="24"/>
          <w:highlight w:val="none"/>
          <w:u w:val="none"/>
          <w:lang w:val="en-US" w:eastAsia="zh-CN" w:bidi="ar-SA"/>
        </w:rPr>
        <w:t>日</w:t>
      </w:r>
      <w:r>
        <w:rPr>
          <w:rFonts w:hint="eastAsia" w:ascii="宋体" w:hAnsi="宋体" w:eastAsia="宋体" w:cs="宋体"/>
          <w:b w:val="0"/>
          <w:bCs w:val="0"/>
          <w:i w:val="0"/>
          <w:iCs w:val="0"/>
          <w:color w:val="auto"/>
          <w:kern w:val="2"/>
          <w:sz w:val="24"/>
          <w:szCs w:val="24"/>
          <w:highlight w:val="none"/>
          <w:u w:val="none"/>
          <w:lang w:val="en-US" w:eastAsia="zh-CN" w:bidi="ar-SA"/>
        </w:rPr>
        <w:t xml:space="preserve"> 11:00（北京时间）</w:t>
      </w:r>
    </w:p>
    <w:p w14:paraId="1F3A9599">
      <w:pPr>
        <w:pStyle w:val="3"/>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40" w:lineRule="exact"/>
        <w:ind w:left="0" w:leftChars="0" w:firstLine="480" w:firstLineChars="200"/>
        <w:textAlignment w:val="auto"/>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开标地点：投标人登录政采云平台https://www.zcygov.cn/，进入“项目采购-开标评标-右边选择对应项目点击“进入项目”进入开标大厅。</w:t>
      </w:r>
    </w:p>
    <w:p w14:paraId="5A2A7457">
      <w:pPr>
        <w:pStyle w:val="3"/>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40" w:lineRule="exact"/>
        <w:ind w:left="0" w:leftChars="0" w:firstLine="0" w:firstLineChars="0"/>
        <w:textAlignment w:val="auto"/>
        <w:rPr>
          <w:rFonts w:hint="eastAsia" w:ascii="宋体" w:hAnsi="宋体" w:eastAsia="宋体" w:cs="宋体"/>
          <w:b/>
          <w:bCs/>
          <w:i w:val="0"/>
          <w:iCs w:val="0"/>
          <w:color w:val="auto"/>
          <w:kern w:val="2"/>
          <w:sz w:val="24"/>
          <w:szCs w:val="24"/>
          <w:highlight w:val="none"/>
          <w:u w:val="none"/>
          <w:lang w:val="hr-HR" w:eastAsia="zh-CN" w:bidi="ar-SA"/>
        </w:rPr>
      </w:pPr>
      <w:r>
        <w:rPr>
          <w:rFonts w:hint="eastAsia" w:ascii="宋体" w:hAnsi="宋体" w:eastAsia="宋体" w:cs="宋体"/>
          <w:b/>
          <w:bCs/>
          <w:i w:val="0"/>
          <w:iCs w:val="0"/>
          <w:color w:val="auto"/>
          <w:kern w:val="2"/>
          <w:sz w:val="24"/>
          <w:szCs w:val="24"/>
          <w:highlight w:val="none"/>
          <w:u w:val="none"/>
          <w:lang w:val="en-US" w:eastAsia="zh-CN" w:bidi="ar-SA"/>
        </w:rPr>
        <w:t>五、</w:t>
      </w:r>
      <w:r>
        <w:rPr>
          <w:rFonts w:hint="eastAsia" w:ascii="宋体" w:hAnsi="宋体" w:eastAsia="宋体" w:cs="宋体"/>
          <w:b/>
          <w:bCs/>
          <w:i w:val="0"/>
          <w:iCs w:val="0"/>
          <w:color w:val="auto"/>
          <w:kern w:val="2"/>
          <w:sz w:val="24"/>
          <w:szCs w:val="24"/>
          <w:highlight w:val="none"/>
          <w:u w:val="none"/>
          <w:lang w:val="hr-HR" w:eastAsia="zh-CN" w:bidi="ar-SA"/>
        </w:rPr>
        <w:t>公告期限</w:t>
      </w:r>
      <w:bookmarkEnd w:id="34"/>
      <w:bookmarkEnd w:id="35"/>
      <w:bookmarkEnd w:id="36"/>
      <w:bookmarkEnd w:id="37"/>
      <w:bookmarkEnd w:id="38"/>
      <w:bookmarkEnd w:id="39"/>
      <w:bookmarkEnd w:id="40"/>
      <w:bookmarkEnd w:id="41"/>
      <w:bookmarkEnd w:id="42"/>
      <w:bookmarkEnd w:id="43"/>
      <w:bookmarkEnd w:id="44"/>
      <w:bookmarkEnd w:id="45"/>
      <w:bookmarkEnd w:id="46"/>
    </w:p>
    <w:p w14:paraId="7EECA399">
      <w:pPr>
        <w:pageBreakBefore w:val="0"/>
        <w:shd w:val="clear" w:color="auto" w:fill="auto"/>
        <w:kinsoku/>
        <w:wordWrap/>
        <w:overflowPunct/>
        <w:topLinePunct w:val="0"/>
        <w:autoSpaceDE/>
        <w:autoSpaceDN/>
        <w:bidi w:val="0"/>
        <w:adjustRightInd/>
        <w:snapToGrid w:val="0"/>
        <w:spacing w:line="440" w:lineRule="exact"/>
        <w:ind w:left="0" w:leftChars="0" w:firstLine="480" w:firstLineChars="200"/>
        <w:jc w:val="both"/>
        <w:outlineLvl w:val="9"/>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自本公告发布之日起5个工作日。</w:t>
      </w:r>
      <w:bookmarkStart w:id="47" w:name="_Toc109900253"/>
      <w:bookmarkStart w:id="48" w:name="_Toc140132750"/>
      <w:bookmarkStart w:id="49" w:name="_Toc44583634"/>
      <w:bookmarkStart w:id="50" w:name="_Toc35393804"/>
      <w:bookmarkStart w:id="51" w:name="_Toc109899834"/>
      <w:bookmarkStart w:id="52" w:name="_Toc35393635"/>
      <w:bookmarkStart w:id="53" w:name="_Toc163492817"/>
      <w:bookmarkStart w:id="54" w:name="_Toc155185865"/>
      <w:bookmarkStart w:id="55" w:name="_Toc109899415"/>
    </w:p>
    <w:p w14:paraId="44C6BF73">
      <w:pPr>
        <w:pageBreakBefore w:val="0"/>
        <w:shd w:val="clear" w:color="auto" w:fill="auto"/>
        <w:kinsoku/>
        <w:wordWrap/>
        <w:overflowPunct/>
        <w:topLinePunct w:val="0"/>
        <w:autoSpaceDE/>
        <w:autoSpaceDN/>
        <w:bidi w:val="0"/>
        <w:adjustRightInd/>
        <w:snapToGrid w:val="0"/>
        <w:spacing w:line="440" w:lineRule="exact"/>
        <w:ind w:left="0" w:firstLine="0" w:firstLineChars="0"/>
        <w:jc w:val="both"/>
        <w:outlineLvl w:val="9"/>
        <w:rPr>
          <w:rFonts w:hint="eastAsia" w:ascii="宋体" w:hAnsi="宋体" w:eastAsia="宋体" w:cs="宋体"/>
          <w:b w:val="0"/>
          <w:bCs w:val="0"/>
          <w:i w:val="0"/>
          <w:iCs w:val="0"/>
          <w:color w:val="auto"/>
          <w:kern w:val="2"/>
          <w:sz w:val="24"/>
          <w:szCs w:val="24"/>
          <w:highlight w:val="none"/>
          <w:u w:val="none"/>
          <w:lang w:val="hr-HR" w:eastAsia="zh-CN" w:bidi="ar-SA"/>
        </w:rPr>
      </w:pPr>
      <w:bookmarkStart w:id="56" w:name="_Toc11867"/>
      <w:bookmarkStart w:id="57" w:name="_Toc6777"/>
      <w:r>
        <w:rPr>
          <w:rStyle w:val="28"/>
          <w:rFonts w:hint="eastAsia" w:ascii="宋体" w:hAnsi="宋体" w:eastAsia="宋体" w:cs="宋体"/>
          <w:color w:val="auto"/>
          <w:sz w:val="24"/>
          <w:szCs w:val="24"/>
          <w:highlight w:val="none"/>
          <w:u w:val="none"/>
          <w:lang w:val="en-US" w:eastAsia="zh-CN"/>
        </w:rPr>
        <w:t>六</w:t>
      </w:r>
      <w:r>
        <w:rPr>
          <w:rStyle w:val="28"/>
          <w:rFonts w:hint="eastAsia" w:ascii="宋体" w:hAnsi="宋体" w:eastAsia="宋体" w:cs="宋体"/>
          <w:color w:val="auto"/>
          <w:sz w:val="24"/>
          <w:szCs w:val="24"/>
          <w:highlight w:val="none"/>
          <w:u w:val="none"/>
          <w:lang w:val="hr-HR" w:eastAsia="zh-CN"/>
        </w:rPr>
        <w:t>、其他补充事宜</w:t>
      </w:r>
      <w:bookmarkEnd w:id="47"/>
      <w:bookmarkEnd w:id="48"/>
      <w:bookmarkEnd w:id="49"/>
      <w:bookmarkEnd w:id="50"/>
      <w:bookmarkEnd w:id="51"/>
      <w:bookmarkEnd w:id="52"/>
      <w:bookmarkEnd w:id="53"/>
      <w:bookmarkEnd w:id="54"/>
      <w:bookmarkEnd w:id="55"/>
      <w:bookmarkEnd w:id="56"/>
      <w:bookmarkEnd w:id="57"/>
    </w:p>
    <w:p w14:paraId="5E8FD0E6">
      <w:pPr>
        <w:pStyle w:val="3"/>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40" w:lineRule="exact"/>
        <w:ind w:left="0" w:leftChars="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58" w:name="_Toc1462"/>
      <w:bookmarkStart w:id="59" w:name="_Toc12646"/>
      <w:r>
        <w:rPr>
          <w:rFonts w:hint="eastAsia" w:ascii="宋体" w:hAnsi="宋体" w:eastAsia="宋体" w:cs="宋体"/>
          <w:b/>
          <w:bCs/>
          <w:i w:val="0"/>
          <w:iCs w:val="0"/>
          <w:color w:val="auto"/>
          <w:kern w:val="2"/>
          <w:sz w:val="24"/>
          <w:szCs w:val="24"/>
          <w:highlight w:val="none"/>
          <w:u w:val="none"/>
          <w:lang w:val="en-US" w:eastAsia="zh-CN" w:bidi="ar-SA"/>
        </w:rPr>
        <w:t>/</w:t>
      </w:r>
    </w:p>
    <w:p w14:paraId="5F314246">
      <w:pPr>
        <w:pStyle w:val="3"/>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40" w:lineRule="exact"/>
        <w:ind w:left="0" w:leftChars="0" w:firstLine="0" w:firstLineChars="0"/>
        <w:textAlignment w:val="auto"/>
        <w:rPr>
          <w:rFonts w:hint="eastAsia" w:ascii="宋体" w:hAnsi="宋体" w:eastAsia="宋体" w:cs="宋体"/>
          <w:i w:val="0"/>
          <w:iCs w:val="0"/>
          <w:color w:val="auto"/>
          <w:sz w:val="24"/>
          <w:szCs w:val="24"/>
          <w:highlight w:val="none"/>
          <w:u w:val="none"/>
          <w:lang w:val="hr-HR" w:eastAsia="zh-CN"/>
        </w:rPr>
      </w:pPr>
      <w:r>
        <w:rPr>
          <w:rFonts w:hint="eastAsia" w:ascii="宋体" w:hAnsi="宋体" w:cs="宋体"/>
          <w:b/>
          <w:bCs/>
          <w:i w:val="0"/>
          <w:iCs w:val="0"/>
          <w:color w:val="auto"/>
          <w:kern w:val="2"/>
          <w:sz w:val="24"/>
          <w:szCs w:val="24"/>
          <w:highlight w:val="none"/>
          <w:u w:val="none"/>
          <w:lang w:val="en-US" w:eastAsia="zh-CN" w:bidi="ar-SA"/>
        </w:rPr>
        <w:t>七</w:t>
      </w:r>
      <w:r>
        <w:rPr>
          <w:rFonts w:hint="eastAsia" w:ascii="宋体" w:hAnsi="宋体" w:eastAsia="宋体" w:cs="宋体"/>
          <w:b/>
          <w:bCs/>
          <w:i w:val="0"/>
          <w:iCs w:val="0"/>
          <w:color w:val="auto"/>
          <w:kern w:val="2"/>
          <w:sz w:val="24"/>
          <w:szCs w:val="24"/>
          <w:highlight w:val="none"/>
          <w:u w:val="none"/>
          <w:lang w:val="en-US" w:eastAsia="zh-CN" w:bidi="ar-SA"/>
        </w:rPr>
        <w:t>、</w:t>
      </w:r>
      <w:r>
        <w:rPr>
          <w:rFonts w:hint="eastAsia" w:ascii="宋体" w:hAnsi="宋体" w:eastAsia="宋体" w:cs="宋体"/>
          <w:b/>
          <w:bCs/>
          <w:i w:val="0"/>
          <w:iCs w:val="0"/>
          <w:color w:val="auto"/>
          <w:kern w:val="2"/>
          <w:sz w:val="24"/>
          <w:szCs w:val="24"/>
          <w:highlight w:val="none"/>
          <w:u w:val="none"/>
          <w:lang w:val="hr-HR" w:eastAsia="zh-CN" w:bidi="ar-SA"/>
        </w:rPr>
        <w:t>凡对本次采购提出询问，请按以下方式联系</w:t>
      </w:r>
      <w:bookmarkEnd w:id="58"/>
      <w:bookmarkEnd w:id="59"/>
    </w:p>
    <w:p w14:paraId="52C90B43">
      <w:pPr>
        <w:pStyle w:val="36"/>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rPr>
      </w:pPr>
      <w:bookmarkStart w:id="60" w:name="_Toc28359019"/>
      <w:bookmarkStart w:id="61" w:name="_Toc35393637"/>
      <w:bookmarkStart w:id="62" w:name="_Toc28359096"/>
      <w:bookmarkStart w:id="63" w:name="_Toc35393806"/>
      <w:r>
        <w:rPr>
          <w:rFonts w:hint="eastAsia" w:ascii="宋体" w:hAnsi="宋体" w:eastAsia="宋体" w:cs="宋体"/>
          <w:color w:val="auto"/>
          <w:sz w:val="24"/>
          <w:szCs w:val="24"/>
          <w:highlight w:val="none"/>
          <w:u w:val="none"/>
        </w:rPr>
        <w:t>1.采购人信息</w:t>
      </w:r>
      <w:bookmarkEnd w:id="60"/>
      <w:bookmarkEnd w:id="61"/>
      <w:bookmarkEnd w:id="62"/>
      <w:bookmarkEnd w:id="63"/>
    </w:p>
    <w:p w14:paraId="19CB0E7A">
      <w:pPr>
        <w:pStyle w:val="36"/>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名称：青河县人民医院</w:t>
      </w:r>
    </w:p>
    <w:p w14:paraId="68484835">
      <w:pPr>
        <w:pStyle w:val="36"/>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地址：青河县模范北路13号</w:t>
      </w:r>
    </w:p>
    <w:p w14:paraId="28C02A5D">
      <w:pPr>
        <w:pStyle w:val="36"/>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eastAsia="zh-CN"/>
        </w:rPr>
        <w:t>联系人：邓革新</w:t>
      </w:r>
    </w:p>
    <w:p w14:paraId="78F801EC">
      <w:pPr>
        <w:pStyle w:val="36"/>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联系方式：</w:t>
      </w:r>
      <w:r>
        <w:rPr>
          <w:rFonts w:hint="eastAsia" w:ascii="宋体" w:hAnsi="宋体" w:eastAsia="宋体" w:cs="宋体"/>
          <w:color w:val="auto"/>
          <w:sz w:val="24"/>
          <w:szCs w:val="24"/>
          <w:highlight w:val="none"/>
          <w:u w:val="none"/>
          <w:lang w:val="en-US" w:eastAsia="zh-CN"/>
        </w:rPr>
        <w:t>13345311070</w:t>
      </w:r>
    </w:p>
    <w:p w14:paraId="42EC7CF7">
      <w:pPr>
        <w:pStyle w:val="36"/>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2.采购代理机构信息</w:t>
      </w:r>
    </w:p>
    <w:p w14:paraId="19D012A3">
      <w:pPr>
        <w:keepNext w:val="0"/>
        <w:keepLines w:val="0"/>
        <w:pageBreakBefore w:val="0"/>
        <w:widowControl w:val="0"/>
        <w:shd w:val="clear" w:color="auto" w:fill="auto"/>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 称：新疆华域建设工程项目管理咨询有限公司</w:t>
      </w:r>
    </w:p>
    <w:p w14:paraId="75A75D6D">
      <w:pPr>
        <w:keepNext w:val="0"/>
        <w:keepLines w:val="0"/>
        <w:pageBreakBefore w:val="0"/>
        <w:widowControl w:val="0"/>
        <w:shd w:val="clear" w:color="auto" w:fill="auto"/>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 址：乌鲁木齐市五星北路194号新地园大厦13、14楼</w:t>
      </w:r>
    </w:p>
    <w:p w14:paraId="36E9E548">
      <w:pPr>
        <w:keepNext w:val="0"/>
        <w:keepLines w:val="0"/>
        <w:pageBreakBefore w:val="0"/>
        <w:widowControl w:val="0"/>
        <w:shd w:val="clear" w:color="auto" w:fill="auto"/>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联系方式：13999938813  、13899901320</w:t>
      </w:r>
    </w:p>
    <w:p w14:paraId="60F0834B">
      <w:pPr>
        <w:keepNext w:val="0"/>
        <w:keepLines w:val="0"/>
        <w:pageBreakBefore w:val="0"/>
        <w:widowControl w:val="0"/>
        <w:shd w:val="clear" w:color="auto" w:fill="auto"/>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3.项目联系方式</w:t>
      </w:r>
    </w:p>
    <w:p w14:paraId="5BB95CA7">
      <w:pPr>
        <w:keepNext w:val="0"/>
        <w:keepLines w:val="0"/>
        <w:pageBreakBefore w:val="0"/>
        <w:widowControl w:val="0"/>
        <w:shd w:val="clear" w:color="auto" w:fill="auto"/>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项目联系人：</w:t>
      </w:r>
      <w:r>
        <w:rPr>
          <w:rFonts w:hint="eastAsia" w:cs="宋体"/>
          <w:color w:val="auto"/>
          <w:sz w:val="24"/>
          <w:szCs w:val="24"/>
          <w:highlight w:val="none"/>
          <w:u w:val="none"/>
          <w:lang w:val="en-US" w:eastAsia="zh-CN"/>
        </w:rPr>
        <w:t>王文周、李昱骁、薛迎、王慧</w:t>
      </w:r>
    </w:p>
    <w:p w14:paraId="7CBCDBE7">
      <w:pPr>
        <w:keepNext w:val="0"/>
        <w:keepLines w:val="0"/>
        <w:pageBreakBefore w:val="0"/>
        <w:widowControl w:val="0"/>
        <w:shd w:val="clear" w:color="auto" w:fill="auto"/>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电 话：13999938813  、13899901320</w:t>
      </w:r>
    </w:p>
    <w:p w14:paraId="3382A67F">
      <w:pPr>
        <w:rPr>
          <w:rFonts w:hint="eastAsia" w:ascii="宋体" w:hAnsi="宋体" w:eastAsia="宋体" w:cs="宋体"/>
          <w:color w:val="auto"/>
          <w:highlight w:val="none"/>
        </w:rPr>
      </w:pPr>
    </w:p>
    <w:p w14:paraId="111920A4">
      <w:pPr>
        <w:rPr>
          <w:rFonts w:hint="eastAsia" w:ascii="宋体" w:hAnsi="宋体" w:eastAsia="宋体" w:cs="宋体"/>
          <w:color w:val="auto"/>
          <w:highlight w:val="none"/>
        </w:rPr>
      </w:pPr>
    </w:p>
    <w:p w14:paraId="207DA524">
      <w:pPr>
        <w:rPr>
          <w:rFonts w:hint="eastAsia" w:ascii="宋体" w:hAnsi="宋体" w:eastAsia="宋体" w:cs="宋体"/>
          <w:color w:val="auto"/>
          <w:highlight w:val="none"/>
        </w:rPr>
      </w:pPr>
    </w:p>
    <w:p w14:paraId="1D1D867D">
      <w:pPr>
        <w:rPr>
          <w:rFonts w:hint="eastAsia" w:ascii="宋体" w:hAnsi="宋体" w:eastAsia="宋体" w:cs="宋体"/>
          <w:color w:val="auto"/>
          <w:highlight w:val="none"/>
        </w:rPr>
      </w:pPr>
    </w:p>
    <w:p w14:paraId="7BB66E6A">
      <w:pPr>
        <w:rPr>
          <w:rFonts w:hint="eastAsia" w:ascii="宋体" w:hAnsi="宋体" w:eastAsia="宋体" w:cs="宋体"/>
          <w:color w:val="auto"/>
          <w:highlight w:val="none"/>
        </w:rPr>
      </w:pPr>
    </w:p>
    <w:p w14:paraId="24AB5DB7">
      <w:pPr>
        <w:rPr>
          <w:rFonts w:hint="eastAsia" w:ascii="宋体" w:hAnsi="宋体" w:eastAsia="宋体" w:cs="宋体"/>
          <w:color w:val="auto"/>
          <w:highlight w:val="none"/>
        </w:rPr>
      </w:pPr>
    </w:p>
    <w:p w14:paraId="7676B3AD">
      <w:pPr>
        <w:rPr>
          <w:rFonts w:hint="eastAsia" w:ascii="宋体" w:hAnsi="宋体" w:eastAsia="宋体" w:cs="宋体"/>
          <w:color w:val="auto"/>
          <w:highlight w:val="none"/>
        </w:rPr>
      </w:pPr>
    </w:p>
    <w:p w14:paraId="3F48B342">
      <w:pPr>
        <w:rPr>
          <w:rFonts w:hint="eastAsia" w:ascii="宋体" w:hAnsi="宋体" w:eastAsia="宋体" w:cs="宋体"/>
          <w:color w:val="auto"/>
          <w:highlight w:val="none"/>
        </w:rPr>
      </w:pPr>
    </w:p>
    <w:p w14:paraId="00F21897">
      <w:pPr>
        <w:rPr>
          <w:rFonts w:hint="eastAsia" w:ascii="宋体" w:hAnsi="宋体" w:eastAsia="宋体" w:cs="宋体"/>
          <w:color w:val="auto"/>
          <w:highlight w:val="none"/>
        </w:rPr>
      </w:pPr>
    </w:p>
    <w:p w14:paraId="3CCD8759">
      <w:pPr>
        <w:rPr>
          <w:rFonts w:hint="eastAsia" w:ascii="宋体" w:hAnsi="宋体" w:eastAsia="宋体" w:cs="宋体"/>
          <w:color w:val="auto"/>
          <w:highlight w:val="none"/>
        </w:rPr>
      </w:pPr>
    </w:p>
    <w:p w14:paraId="01085C22">
      <w:pPr>
        <w:rPr>
          <w:rFonts w:hint="eastAsia" w:ascii="宋体" w:hAnsi="宋体" w:eastAsia="宋体" w:cs="宋体"/>
          <w:color w:val="auto"/>
          <w:highlight w:val="none"/>
        </w:rPr>
      </w:pPr>
    </w:p>
    <w:p w14:paraId="329AEC6B">
      <w:pPr>
        <w:rPr>
          <w:rFonts w:hint="eastAsia" w:ascii="宋体" w:hAnsi="宋体" w:eastAsia="宋体" w:cs="宋体"/>
          <w:color w:val="auto"/>
          <w:highlight w:val="none"/>
        </w:rPr>
      </w:pPr>
    </w:p>
    <w:p w14:paraId="68D1BB44">
      <w:pPr>
        <w:rPr>
          <w:rFonts w:hint="eastAsia" w:ascii="宋体" w:hAnsi="宋体" w:eastAsia="宋体" w:cs="宋体"/>
          <w:color w:val="auto"/>
          <w:highlight w:val="none"/>
        </w:rPr>
      </w:pPr>
    </w:p>
    <w:p w14:paraId="473025A5">
      <w:pPr>
        <w:rPr>
          <w:rFonts w:hint="eastAsia" w:ascii="宋体" w:hAnsi="宋体" w:eastAsia="宋体" w:cs="宋体"/>
          <w:color w:val="auto"/>
          <w:highlight w:val="none"/>
        </w:rPr>
      </w:pPr>
    </w:p>
    <w:p w14:paraId="5D473ADF">
      <w:pPr>
        <w:rPr>
          <w:rFonts w:hint="eastAsia" w:ascii="宋体" w:hAnsi="宋体" w:eastAsia="宋体" w:cs="宋体"/>
          <w:color w:val="auto"/>
          <w:highlight w:val="none"/>
        </w:rPr>
      </w:pPr>
    </w:p>
    <w:p w14:paraId="400287F0">
      <w:pPr>
        <w:rPr>
          <w:rFonts w:hint="eastAsia" w:ascii="宋体" w:hAnsi="宋体" w:eastAsia="宋体" w:cs="宋体"/>
          <w:color w:val="auto"/>
          <w:highlight w:val="none"/>
        </w:rPr>
      </w:pPr>
    </w:p>
    <w:p w14:paraId="79434453">
      <w:pPr>
        <w:rPr>
          <w:rFonts w:hint="eastAsia" w:ascii="宋体" w:hAnsi="宋体" w:eastAsia="宋体" w:cs="宋体"/>
          <w:color w:val="auto"/>
          <w:highlight w:val="none"/>
        </w:rPr>
      </w:pPr>
    </w:p>
    <w:p w14:paraId="18ABB59A">
      <w:pPr>
        <w:rPr>
          <w:rFonts w:hint="eastAsia" w:ascii="宋体" w:hAnsi="宋体" w:eastAsia="宋体" w:cs="宋体"/>
          <w:color w:val="auto"/>
          <w:highlight w:val="none"/>
        </w:rPr>
      </w:pPr>
    </w:p>
    <w:p w14:paraId="35BEC9C4">
      <w:pPr>
        <w:rPr>
          <w:rFonts w:hint="eastAsia" w:ascii="宋体" w:hAnsi="宋体" w:eastAsia="宋体" w:cs="宋体"/>
          <w:color w:val="auto"/>
          <w:highlight w:val="none"/>
        </w:rPr>
      </w:pPr>
    </w:p>
    <w:p w14:paraId="6AE0F62D">
      <w:pPr>
        <w:rPr>
          <w:rFonts w:hint="eastAsia" w:ascii="宋体" w:hAnsi="宋体" w:eastAsia="宋体" w:cs="宋体"/>
          <w:color w:val="auto"/>
          <w:highlight w:val="none"/>
        </w:rPr>
      </w:pPr>
    </w:p>
    <w:p w14:paraId="377BC188">
      <w:pPr>
        <w:rPr>
          <w:rFonts w:hint="eastAsia" w:ascii="宋体" w:hAnsi="宋体" w:eastAsia="宋体" w:cs="宋体"/>
          <w:color w:val="auto"/>
          <w:highlight w:val="none"/>
        </w:rPr>
      </w:pPr>
    </w:p>
    <w:p w14:paraId="6692FF13">
      <w:pPr>
        <w:pStyle w:val="2"/>
        <w:spacing w:before="220" w:after="220" w:line="480" w:lineRule="auto"/>
        <w:ind w:left="420" w:hanging="420"/>
        <w:jc w:val="center"/>
        <w:rPr>
          <w:rFonts w:hint="eastAsia" w:ascii="宋体" w:hAnsi="宋体" w:eastAsia="宋体" w:cs="宋体"/>
          <w:bCs/>
          <w:color w:val="auto"/>
          <w:sz w:val="36"/>
          <w:szCs w:val="36"/>
          <w:highlight w:val="none"/>
        </w:rPr>
      </w:pPr>
      <w:bookmarkStart w:id="64" w:name="_Toc6667"/>
      <w:bookmarkStart w:id="65" w:name="_Toc155185867"/>
      <w:bookmarkStart w:id="66" w:name="_Toc14929"/>
      <w:r>
        <w:rPr>
          <w:rFonts w:hint="eastAsia" w:ascii="宋体" w:hAnsi="宋体" w:eastAsia="宋体" w:cs="宋体"/>
          <w:bCs/>
          <w:color w:val="auto"/>
          <w:sz w:val="36"/>
          <w:szCs w:val="36"/>
          <w:highlight w:val="none"/>
        </w:rPr>
        <w:t>第二章 投标人须知</w:t>
      </w:r>
      <w:bookmarkEnd w:id="64"/>
      <w:bookmarkEnd w:id="65"/>
      <w:bookmarkEnd w:id="66"/>
    </w:p>
    <w:bookmarkEnd w:id="4"/>
    <w:p w14:paraId="119AE527">
      <w:pPr>
        <w:pStyle w:val="3"/>
        <w:pageBreakBefore w:val="0"/>
        <w:kinsoku/>
        <w:overflowPunct/>
        <w:topLinePunct w:val="0"/>
        <w:bidi w:val="0"/>
        <w:spacing w:before="0" w:after="0" w:line="440" w:lineRule="exact"/>
        <w:ind w:left="0" w:firstLine="0" w:firstLineChars="0"/>
        <w:textAlignment w:val="auto"/>
        <w:rPr>
          <w:rFonts w:hint="eastAsia" w:ascii="宋体" w:hAnsi="宋体" w:eastAsia="宋体" w:cs="宋体"/>
          <w:color w:val="auto"/>
          <w:sz w:val="24"/>
          <w:szCs w:val="24"/>
          <w:highlight w:val="none"/>
        </w:rPr>
      </w:pPr>
      <w:bookmarkStart w:id="67" w:name="_Toc6574"/>
      <w:bookmarkStart w:id="68" w:name="_Toc155185868"/>
      <w:r>
        <w:rPr>
          <w:rFonts w:hint="eastAsia" w:ascii="宋体" w:hAnsi="宋体" w:eastAsia="宋体" w:cs="宋体"/>
          <w:color w:val="auto"/>
          <w:sz w:val="24"/>
          <w:szCs w:val="24"/>
          <w:highlight w:val="none"/>
        </w:rPr>
        <w:t>一、投标人须知前附表</w:t>
      </w:r>
      <w:bookmarkEnd w:id="67"/>
      <w:bookmarkEnd w:id="68"/>
    </w:p>
    <w:p w14:paraId="0332589C">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投标人应仔细阅读本招标文件的第二章“投标人须知”，下面所列资料是对“投标人须知”的具体补充和说明，如有矛盾，应以本表为准。</w:t>
      </w:r>
      <w:r>
        <w:rPr>
          <w:rFonts w:hint="eastAsia" w:ascii="宋体" w:hAnsi="宋体" w:eastAsia="宋体" w:cs="宋体"/>
          <w:color w:val="auto"/>
          <w:sz w:val="24"/>
          <w:szCs w:val="24"/>
          <w:highlight w:val="none"/>
          <w:lang w:val="en-US"/>
        </w:rPr>
        <w:t>标记“☑”的选项意为适用于本项目，标记“□”的选项意为不适用于本项目。</w:t>
      </w:r>
    </w:p>
    <w:tbl>
      <w:tblPr>
        <w:tblStyle w:val="22"/>
        <w:tblW w:w="985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898"/>
        <w:gridCol w:w="1611"/>
        <w:gridCol w:w="7343"/>
      </w:tblGrid>
      <w:tr w14:paraId="4A7266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7" w:hRule="atLeast"/>
          <w:tblHeader/>
          <w:jc w:val="center"/>
        </w:trPr>
        <w:tc>
          <w:tcPr>
            <w:tcW w:w="898" w:type="dxa"/>
            <w:tcBorders>
              <w:top w:val="single" w:color="auto" w:sz="4" w:space="0"/>
              <w:left w:val="single" w:color="auto" w:sz="4" w:space="0"/>
              <w:bottom w:val="single" w:color="auto" w:sz="4" w:space="0"/>
              <w:right w:val="single" w:color="auto" w:sz="4" w:space="0"/>
            </w:tcBorders>
            <w:shd w:val="clear" w:color="auto" w:fill="D8D8D8"/>
            <w:noWrap w:val="0"/>
            <w:vAlign w:val="center"/>
          </w:tcPr>
          <w:p w14:paraId="46FAB15B">
            <w:pPr>
              <w:pStyle w:val="37"/>
              <w:pageBreakBefore w:val="0"/>
              <w:kinsoku/>
              <w:overflowPunct/>
              <w:topLinePunct w:val="0"/>
              <w:bidi w:val="0"/>
              <w:spacing w:line="240" w:lineRule="auto"/>
              <w:ind w:left="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611" w:type="dxa"/>
            <w:tcBorders>
              <w:top w:val="single" w:color="auto" w:sz="4" w:space="0"/>
              <w:left w:val="single" w:color="auto" w:sz="4" w:space="0"/>
              <w:bottom w:val="single" w:color="auto" w:sz="4" w:space="0"/>
              <w:right w:val="single" w:color="auto" w:sz="4" w:space="0"/>
            </w:tcBorders>
            <w:shd w:val="clear" w:color="auto" w:fill="D8D8D8"/>
            <w:noWrap w:val="0"/>
            <w:vAlign w:val="center"/>
          </w:tcPr>
          <w:p w14:paraId="1DE06316">
            <w:pPr>
              <w:pStyle w:val="37"/>
              <w:pageBreakBefore w:val="0"/>
              <w:kinsoku/>
              <w:overflowPunct/>
              <w:topLinePunct w:val="0"/>
              <w:bidi w:val="0"/>
              <w:spacing w:line="240" w:lineRule="auto"/>
              <w:ind w:left="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7343" w:type="dxa"/>
            <w:tcBorders>
              <w:top w:val="single" w:color="auto" w:sz="4" w:space="0"/>
              <w:left w:val="single" w:color="auto" w:sz="4" w:space="0"/>
              <w:bottom w:val="single" w:color="auto" w:sz="4" w:space="0"/>
              <w:right w:val="single" w:color="auto" w:sz="4" w:space="0"/>
            </w:tcBorders>
            <w:shd w:val="clear" w:color="auto" w:fill="D8D8D8"/>
            <w:noWrap w:val="0"/>
            <w:vAlign w:val="center"/>
          </w:tcPr>
          <w:p w14:paraId="344C0F62">
            <w:pPr>
              <w:pStyle w:val="37"/>
              <w:pageBreakBefore w:val="0"/>
              <w:kinsoku/>
              <w:overflowPunct/>
              <w:topLinePunct w:val="0"/>
              <w:bidi w:val="0"/>
              <w:spacing w:line="240" w:lineRule="auto"/>
              <w:ind w:left="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6BA9A2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1D9BB819">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611" w:type="dxa"/>
            <w:noWrap w:val="0"/>
            <w:vAlign w:val="center"/>
          </w:tcPr>
          <w:p w14:paraId="7120C92B">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项目名称</w:t>
            </w:r>
          </w:p>
        </w:tc>
        <w:tc>
          <w:tcPr>
            <w:tcW w:w="7343" w:type="dxa"/>
            <w:noWrap w:val="0"/>
            <w:vAlign w:val="center"/>
          </w:tcPr>
          <w:p w14:paraId="2B35A8FF">
            <w:pPr>
              <w:pStyle w:val="37"/>
              <w:pageBreakBefore w:val="0"/>
              <w:shd w:val="clear" w:color="auto" w:fill="auto"/>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eastAsia="zh-CN"/>
              </w:rPr>
              <w:t>阿勒泰地区青河县紧密型医共体提标资源共享中心扩能建设项目（中医类）</w:t>
            </w:r>
          </w:p>
        </w:tc>
      </w:tr>
      <w:tr w14:paraId="31E67A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199" w:hRule="atLeast"/>
          <w:jc w:val="center"/>
        </w:trPr>
        <w:tc>
          <w:tcPr>
            <w:tcW w:w="898" w:type="dxa"/>
            <w:noWrap w:val="0"/>
            <w:vAlign w:val="center"/>
          </w:tcPr>
          <w:p w14:paraId="4D395D4C">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1611" w:type="dxa"/>
            <w:noWrap w:val="0"/>
            <w:vAlign w:val="center"/>
          </w:tcPr>
          <w:p w14:paraId="4B2B568C">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采购人</w:t>
            </w:r>
          </w:p>
        </w:tc>
        <w:tc>
          <w:tcPr>
            <w:tcW w:w="7343" w:type="dxa"/>
            <w:noWrap w:val="0"/>
            <w:vAlign w:val="center"/>
          </w:tcPr>
          <w:p w14:paraId="735097BC">
            <w:pPr>
              <w:keepNext w:val="0"/>
              <w:keepLines w:val="0"/>
              <w:pageBreakBefore w:val="0"/>
              <w:widowControl w:val="0"/>
              <w:shd w:val="clear" w:color="auto" w:fill="auto"/>
              <w:kinsoku/>
              <w:overflowPunct/>
              <w:topLinePunct w:val="0"/>
              <w:bidi w:val="0"/>
              <w:adjustRightInd w:val="0"/>
              <w:snapToGrid w:val="0"/>
              <w:spacing w:line="440" w:lineRule="exact"/>
              <w:ind w:left="0" w:leftChars="0" w:firstLine="0" w:firstLineChars="0"/>
              <w:textAlignment w:val="auto"/>
              <w:rPr>
                <w:rFonts w:hint="eastAsia" w:ascii="宋体" w:hAnsi="宋体" w:eastAsia="宋体" w:cs="宋体"/>
                <w:color w:val="auto"/>
                <w:spacing w:val="0"/>
                <w:position w:val="0"/>
                <w:sz w:val="24"/>
                <w:szCs w:val="24"/>
                <w:highlight w:val="none"/>
                <w:u w:val="none"/>
              </w:rPr>
            </w:pPr>
            <w:r>
              <w:rPr>
                <w:rFonts w:hint="eastAsia" w:ascii="宋体" w:hAnsi="宋体" w:eastAsia="宋体" w:cs="宋体"/>
                <w:color w:val="auto"/>
                <w:spacing w:val="0"/>
                <w:position w:val="0"/>
                <w:sz w:val="24"/>
                <w:szCs w:val="24"/>
                <w:highlight w:val="none"/>
                <w:u w:val="none"/>
                <w:lang w:eastAsia="zh-CN"/>
              </w:rPr>
              <w:t>采购人</w:t>
            </w:r>
            <w:r>
              <w:rPr>
                <w:rFonts w:hint="eastAsia" w:ascii="宋体" w:hAnsi="宋体" w:eastAsia="宋体" w:cs="宋体"/>
                <w:color w:val="auto"/>
                <w:spacing w:val="0"/>
                <w:position w:val="0"/>
                <w:sz w:val="24"/>
                <w:szCs w:val="24"/>
                <w:highlight w:val="none"/>
                <w:u w:val="none"/>
              </w:rPr>
              <w:t>名称：青河县人民医院　　　　　　　　</w:t>
            </w:r>
          </w:p>
          <w:p w14:paraId="2BA4BC65">
            <w:pPr>
              <w:keepNext w:val="0"/>
              <w:keepLines w:val="0"/>
              <w:pageBreakBefore w:val="0"/>
              <w:widowControl w:val="0"/>
              <w:shd w:val="clear" w:color="auto" w:fill="auto"/>
              <w:kinsoku/>
              <w:overflowPunct/>
              <w:topLinePunct w:val="0"/>
              <w:bidi w:val="0"/>
              <w:adjustRightInd w:val="0"/>
              <w:snapToGrid w:val="0"/>
              <w:spacing w:line="440" w:lineRule="exact"/>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地址：青河县模范北路13号</w:t>
            </w:r>
          </w:p>
          <w:p w14:paraId="50661679">
            <w:pPr>
              <w:keepNext w:val="0"/>
              <w:keepLines w:val="0"/>
              <w:pageBreakBefore w:val="0"/>
              <w:widowControl w:val="0"/>
              <w:shd w:val="clear" w:color="auto" w:fill="auto"/>
              <w:kinsoku/>
              <w:overflowPunct/>
              <w:topLinePunct w:val="0"/>
              <w:bidi w:val="0"/>
              <w:adjustRightInd w:val="0"/>
              <w:snapToGrid w:val="0"/>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none"/>
                <w:lang w:eastAsia="zh-CN"/>
              </w:rPr>
              <w:t>邓革新</w:t>
            </w:r>
          </w:p>
          <w:p w14:paraId="0EB45210">
            <w:pPr>
              <w:keepNext w:val="0"/>
              <w:keepLines w:val="0"/>
              <w:pageBreakBefore w:val="0"/>
              <w:widowControl w:val="0"/>
              <w:shd w:val="clear" w:color="auto" w:fill="auto"/>
              <w:kinsoku/>
              <w:overflowPunct/>
              <w:topLinePunct w:val="0"/>
              <w:bidi w:val="0"/>
              <w:adjustRightInd w:val="0"/>
              <w:snapToGrid w:val="0"/>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none"/>
                <w:lang w:val="en-US" w:eastAsia="zh-CN"/>
              </w:rPr>
              <w:t>13345311070</w:t>
            </w:r>
          </w:p>
        </w:tc>
      </w:tr>
      <w:tr w14:paraId="78AA86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4D9639F2">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1611" w:type="dxa"/>
            <w:noWrap w:val="0"/>
            <w:vAlign w:val="center"/>
          </w:tcPr>
          <w:p w14:paraId="45450DD5">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采购代理机构</w:t>
            </w:r>
          </w:p>
        </w:tc>
        <w:tc>
          <w:tcPr>
            <w:tcW w:w="7343" w:type="dxa"/>
            <w:noWrap w:val="0"/>
            <w:vAlign w:val="center"/>
          </w:tcPr>
          <w:p w14:paraId="056AFAF2">
            <w:pPr>
              <w:pStyle w:val="37"/>
              <w:spacing w:line="360" w:lineRule="atLeast"/>
              <w:rPr>
                <w:rFonts w:hint="eastAsia" w:cs="宋体"/>
                <w:color w:val="auto"/>
                <w:szCs w:val="24"/>
                <w:highlight w:val="none"/>
              </w:rPr>
            </w:pPr>
            <w:r>
              <w:rPr>
                <w:rFonts w:hint="eastAsia" w:cs="宋体"/>
                <w:color w:val="auto"/>
                <w:szCs w:val="24"/>
                <w:highlight w:val="none"/>
              </w:rPr>
              <w:t>名 称：新疆华域建设工程项目管理咨询有限公司</w:t>
            </w:r>
          </w:p>
          <w:p w14:paraId="73976E5E">
            <w:pPr>
              <w:pStyle w:val="37"/>
              <w:spacing w:line="360" w:lineRule="atLeast"/>
              <w:rPr>
                <w:rFonts w:hint="eastAsia" w:cs="宋体"/>
                <w:color w:val="auto"/>
                <w:szCs w:val="24"/>
                <w:highlight w:val="none"/>
              </w:rPr>
            </w:pPr>
            <w:r>
              <w:rPr>
                <w:rFonts w:hint="eastAsia" w:cs="宋体"/>
                <w:color w:val="auto"/>
                <w:szCs w:val="24"/>
                <w:highlight w:val="none"/>
              </w:rPr>
              <w:t>地 址：乌鲁木齐市五星北路194号新地园大厦13、14楼</w:t>
            </w:r>
          </w:p>
          <w:p w14:paraId="157C8440">
            <w:pPr>
              <w:pStyle w:val="37"/>
              <w:spacing w:line="360" w:lineRule="atLeast"/>
              <w:rPr>
                <w:rFonts w:hint="eastAsia" w:cs="宋体"/>
                <w:color w:val="auto"/>
                <w:szCs w:val="24"/>
                <w:highlight w:val="none"/>
              </w:rPr>
            </w:pPr>
            <w:r>
              <w:rPr>
                <w:rFonts w:hint="eastAsia" w:cs="宋体"/>
                <w:color w:val="auto"/>
                <w:szCs w:val="24"/>
                <w:highlight w:val="none"/>
              </w:rPr>
              <w:t>联系人：</w:t>
            </w:r>
            <w:r>
              <w:rPr>
                <w:rFonts w:hint="eastAsia" w:cs="宋体"/>
                <w:color w:val="auto"/>
                <w:sz w:val="24"/>
                <w:szCs w:val="24"/>
                <w:highlight w:val="none"/>
                <w:u w:val="none"/>
                <w:lang w:val="en-US" w:eastAsia="zh-CN"/>
              </w:rPr>
              <w:t>王文周、李昱骁、薛迎、王慧</w:t>
            </w:r>
            <w:r>
              <w:rPr>
                <w:rFonts w:hint="eastAsia" w:ascii="宋体" w:hAnsi="宋体" w:eastAsia="宋体" w:cs="宋体"/>
                <w:color w:val="auto"/>
                <w:sz w:val="24"/>
                <w:szCs w:val="24"/>
                <w:highlight w:val="none"/>
                <w:u w:val="none"/>
                <w:lang w:val="en-US" w:eastAsia="zh-CN"/>
              </w:rPr>
              <w:t xml:space="preserve"> </w:t>
            </w:r>
          </w:p>
          <w:p w14:paraId="3D133AB2">
            <w:pPr>
              <w:keepNext w:val="0"/>
              <w:keepLines w:val="0"/>
              <w:pageBreakBefore w:val="0"/>
              <w:widowControl/>
              <w:shd w:val="clear" w:color="auto" w:fill="auto"/>
              <w:kinsoku/>
              <w:wordWrap/>
              <w:overflowPunct/>
              <w:topLinePunct w:val="0"/>
              <w:bidi w:val="0"/>
              <w:adjustRightInd w:val="0"/>
              <w:snapToGrid w:val="0"/>
              <w:spacing w:line="440" w:lineRule="exact"/>
              <w:ind w:left="0" w:leftChars="0" w:firstLine="0" w:firstLineChars="0"/>
              <w:jc w:val="left"/>
              <w:textAlignment w:val="auto"/>
              <w:rPr>
                <w:rFonts w:hint="eastAsia" w:ascii="宋体" w:hAnsi="宋体" w:eastAsia="宋体" w:cs="宋体"/>
                <w:color w:val="auto"/>
                <w:sz w:val="24"/>
                <w:szCs w:val="24"/>
                <w:highlight w:val="none"/>
              </w:rPr>
            </w:pPr>
            <w:r>
              <w:rPr>
                <w:rFonts w:hint="eastAsia" w:cs="宋体"/>
                <w:color w:val="auto"/>
                <w:szCs w:val="24"/>
                <w:highlight w:val="none"/>
              </w:rPr>
              <w:t>联系方式：</w:t>
            </w:r>
            <w:r>
              <w:rPr>
                <w:rFonts w:hint="eastAsia" w:cs="宋体"/>
                <w:color w:val="auto"/>
                <w:szCs w:val="24"/>
                <w:highlight w:val="none"/>
                <w:lang w:val="en-US" w:eastAsia="zh-CN"/>
              </w:rPr>
              <w:t>13999938813  、13899901320</w:t>
            </w:r>
            <w:r>
              <w:rPr>
                <w:rFonts w:hint="eastAsia" w:ascii="宋体" w:hAnsi="宋体" w:eastAsia="宋体" w:cs="宋体"/>
                <w:color w:val="auto"/>
                <w:spacing w:val="0"/>
                <w:position w:val="0"/>
                <w:sz w:val="24"/>
                <w:szCs w:val="24"/>
                <w:highlight w:val="none"/>
              </w:rPr>
              <w:t xml:space="preserve">  </w:t>
            </w:r>
          </w:p>
        </w:tc>
      </w:tr>
      <w:tr w14:paraId="09A240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095EDC2A">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2.5</w:t>
            </w:r>
          </w:p>
        </w:tc>
        <w:tc>
          <w:tcPr>
            <w:tcW w:w="1611" w:type="dxa"/>
            <w:noWrap w:val="0"/>
            <w:vAlign w:val="center"/>
          </w:tcPr>
          <w:p w14:paraId="2612C767">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核心产品</w:t>
            </w:r>
          </w:p>
        </w:tc>
        <w:tc>
          <w:tcPr>
            <w:tcW w:w="7343" w:type="dxa"/>
            <w:noWrap w:val="0"/>
            <w:vAlign w:val="center"/>
          </w:tcPr>
          <w:p w14:paraId="2F934899">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包不适用。 </w:t>
            </w:r>
          </w:p>
          <w:p w14:paraId="19E591D3">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本项目第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包为单一产品采购项目。 </w:t>
            </w:r>
          </w:p>
          <w:p w14:paraId="4EA64023">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kern w:val="2"/>
                <w:sz w:val="24"/>
                <w:szCs w:val="24"/>
                <w:highlight w:val="none"/>
                <w:u w:val="single"/>
                <w:lang w:val="en-US" w:eastAsia="zh-CN" w:bidi="ar-SA"/>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本项目第</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rPr>
              <w:t>包为非单一产品采购项目，其中核心产品为：</w:t>
            </w:r>
            <w:r>
              <w:rPr>
                <w:rFonts w:hint="eastAsia" w:cs="宋体"/>
                <w:color w:val="auto"/>
                <w:sz w:val="24"/>
                <w:szCs w:val="24"/>
                <w:highlight w:val="none"/>
                <w:u w:val="single"/>
                <w:lang w:eastAsia="zh-CN"/>
              </w:rPr>
              <w:t>中医适宜技术教学管理机</w:t>
            </w:r>
          </w:p>
        </w:tc>
      </w:tr>
      <w:tr w14:paraId="0B1C89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616AE544">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611" w:type="dxa"/>
            <w:noWrap w:val="0"/>
            <w:vAlign w:val="center"/>
          </w:tcPr>
          <w:p w14:paraId="62C38301">
            <w:pPr>
              <w:pageBreakBefore w:val="0"/>
              <w:widowControl/>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科研仪器设备</w:t>
            </w:r>
          </w:p>
        </w:tc>
        <w:tc>
          <w:tcPr>
            <w:tcW w:w="7343" w:type="dxa"/>
            <w:noWrap w:val="0"/>
            <w:vAlign w:val="center"/>
          </w:tcPr>
          <w:p w14:paraId="1551FF5E">
            <w:pPr>
              <w:pageBreakBefore w:val="0"/>
              <w:widowControl/>
              <w:kinsoku/>
              <w:overflowPunct/>
              <w:topLinePunct w:val="0"/>
              <w:bidi w:val="0"/>
              <w:spacing w:line="440" w:lineRule="exact"/>
              <w:ind w:lef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是否属于科研仪器设备采购项目： </w:t>
            </w:r>
          </w:p>
          <w:p w14:paraId="122028D8">
            <w:pPr>
              <w:pageBreakBefore w:val="0"/>
              <w:widowControl/>
              <w:kinsoku/>
              <w:overflowPunct/>
              <w:topLinePunct w:val="0"/>
              <w:bidi w:val="0"/>
              <w:spacing w:line="440" w:lineRule="exact"/>
              <w:ind w:lef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 xml:space="preserve">是 </w:t>
            </w:r>
          </w:p>
          <w:p w14:paraId="1E0785A2">
            <w:pPr>
              <w:pageBreakBefore w:val="0"/>
              <w:widowControl/>
              <w:kinsoku/>
              <w:overflowPunct/>
              <w:topLinePunct w:val="0"/>
              <w:bidi w:val="0"/>
              <w:spacing w:line="440" w:lineRule="exact"/>
              <w:ind w:lef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否</w:t>
            </w:r>
          </w:p>
        </w:tc>
      </w:tr>
      <w:tr w14:paraId="364923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3CC10C47">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611" w:type="dxa"/>
            <w:noWrap w:val="0"/>
            <w:vAlign w:val="center"/>
          </w:tcPr>
          <w:p w14:paraId="59452FBB">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bookmarkStart w:id="69" w:name="_Hlk143529175"/>
            <w:r>
              <w:rPr>
                <w:rFonts w:hint="eastAsia" w:ascii="宋体" w:hAnsi="宋体" w:eastAsia="宋体" w:cs="宋体"/>
                <w:color w:val="auto"/>
                <w:sz w:val="24"/>
                <w:szCs w:val="24"/>
                <w:highlight w:val="none"/>
              </w:rPr>
              <w:t>现场考察</w:t>
            </w:r>
            <w:bookmarkEnd w:id="69"/>
          </w:p>
        </w:tc>
        <w:tc>
          <w:tcPr>
            <w:tcW w:w="7343" w:type="dxa"/>
            <w:noWrap w:val="0"/>
            <w:vAlign w:val="center"/>
          </w:tcPr>
          <w:p w14:paraId="2B490776">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p>
          <w:p w14:paraId="638BF05B">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4A7AB019">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533D2F9">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43EEAD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3D422930">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w:t>
            </w:r>
          </w:p>
        </w:tc>
        <w:tc>
          <w:tcPr>
            <w:tcW w:w="1611" w:type="dxa"/>
            <w:noWrap w:val="0"/>
            <w:vAlign w:val="center"/>
          </w:tcPr>
          <w:p w14:paraId="512EF35F">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7343" w:type="dxa"/>
            <w:noWrap w:val="0"/>
            <w:vAlign w:val="center"/>
          </w:tcPr>
          <w:p w14:paraId="129421B7">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766FFC3E">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1688DAD">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4F5788D">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474D4B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52776760">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1611" w:type="dxa"/>
            <w:noWrap w:val="0"/>
            <w:vAlign w:val="center"/>
          </w:tcPr>
          <w:p w14:paraId="394D3C3F">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询问</w:t>
            </w:r>
          </w:p>
        </w:tc>
        <w:tc>
          <w:tcPr>
            <w:tcW w:w="7343" w:type="dxa"/>
            <w:noWrap w:val="0"/>
            <w:vAlign w:val="center"/>
          </w:tcPr>
          <w:p w14:paraId="24E4EAD3">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1.方式：</w:t>
            </w:r>
          </w:p>
          <w:p w14:paraId="50B3373B">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在供应商客户端中按照格式填写询问函，并在生成询问函后加盖电子印章提交；其他询问</w:t>
            </w:r>
            <w:r>
              <w:rPr>
                <w:rFonts w:hint="eastAsia" w:ascii="宋体" w:hAnsi="宋体" w:eastAsia="宋体" w:cs="宋体"/>
                <w:color w:val="auto"/>
                <w:sz w:val="24"/>
                <w:szCs w:val="24"/>
                <w:highlight w:val="none"/>
                <w:u w:val="none"/>
              </w:rPr>
              <w:t>方式：以加盖</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u w:val="none"/>
              </w:rPr>
              <w:t>公章的书面形式递交至代理公司。</w:t>
            </w:r>
          </w:p>
          <w:p w14:paraId="27295EBA">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2.时间要求：</w:t>
            </w:r>
          </w:p>
          <w:p w14:paraId="152E3546">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收到采购文件之日起7个工作日内（逾期视为对招标文件内容无异议的，采购人将视其为同意。在规定的时间后就招标文件内容提出的异议或询问的将不予受理。）。</w:t>
            </w:r>
          </w:p>
        </w:tc>
      </w:tr>
      <w:tr w14:paraId="5E4B7E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4F0F3878">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snapToGrid w:val="0"/>
                <w:color w:val="auto"/>
                <w:szCs w:val="24"/>
                <w:highlight w:val="none"/>
              </w:rPr>
            </w:pPr>
            <w:r>
              <w:rPr>
                <w:rFonts w:hint="eastAsia" w:cs="宋体"/>
                <w:color w:val="auto"/>
                <w:sz w:val="24"/>
                <w:szCs w:val="24"/>
                <w:highlight w:val="none"/>
                <w:u w:val="none"/>
                <w:lang w:val="en-US" w:eastAsia="zh-CN"/>
              </w:rPr>
              <w:t xml:space="preserve">14.6 </w:t>
            </w:r>
          </w:p>
        </w:tc>
        <w:tc>
          <w:tcPr>
            <w:tcW w:w="1611" w:type="dxa"/>
            <w:noWrap w:val="0"/>
            <w:vAlign w:val="center"/>
          </w:tcPr>
          <w:p w14:paraId="6E5EAC12">
            <w:pPr>
              <w:pStyle w:val="37"/>
              <w:pageBreakBefore w:val="0"/>
              <w:kinsoku/>
              <w:overflowPunct/>
              <w:topLinePunct w:val="0"/>
              <w:bidi w:val="0"/>
              <w:spacing w:line="440" w:lineRule="exact"/>
              <w:ind w:left="0" w:firstLine="0" w:firstLineChars="0"/>
              <w:jc w:val="center"/>
              <w:textAlignment w:val="auto"/>
              <w:rPr>
                <w:rFonts w:hint="eastAsia" w:cs="宋体"/>
                <w:color w:val="auto"/>
                <w:sz w:val="24"/>
                <w:szCs w:val="24"/>
                <w:highlight w:val="none"/>
                <w:lang w:val="en-US" w:eastAsia="zh-CN"/>
              </w:rPr>
            </w:pPr>
            <w:r>
              <w:rPr>
                <w:rFonts w:hint="eastAsia" w:cs="宋体"/>
                <w:color w:val="auto"/>
                <w:sz w:val="24"/>
                <w:szCs w:val="24"/>
                <w:highlight w:val="none"/>
                <w:u w:val="none"/>
                <w:lang w:val="en-US" w:eastAsia="zh-CN"/>
              </w:rPr>
              <w:t>预算金额或者最高投标限价</w:t>
            </w:r>
          </w:p>
        </w:tc>
        <w:tc>
          <w:tcPr>
            <w:tcW w:w="7343" w:type="dxa"/>
            <w:noWrap w:val="0"/>
            <w:vAlign w:val="center"/>
          </w:tcPr>
          <w:p w14:paraId="4FEA412D">
            <w:pPr>
              <w:pStyle w:val="37"/>
              <w:pageBreakBefore w:val="0"/>
              <w:kinsoku/>
              <w:overflowPunct/>
              <w:topLinePunct w:val="0"/>
              <w:bidi w:val="0"/>
              <w:spacing w:line="440" w:lineRule="exact"/>
              <w:ind w:left="0" w:firstLine="0" w:firstLineChars="0"/>
              <w:textAlignment w:val="auto"/>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投标报价总价不得超过招标文件第三章采购需求中规定的最高投标限价总价，否则评标委员会将对其作无效投标处理。</w:t>
            </w:r>
          </w:p>
        </w:tc>
      </w:tr>
      <w:tr w14:paraId="454D42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003E4EC5">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w:t>
            </w:r>
          </w:p>
        </w:tc>
        <w:tc>
          <w:tcPr>
            <w:tcW w:w="1611" w:type="dxa"/>
            <w:noWrap w:val="0"/>
            <w:vAlign w:val="center"/>
          </w:tcPr>
          <w:p w14:paraId="610FDF08">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7343" w:type="dxa"/>
            <w:noWrap w:val="0"/>
            <w:vAlign w:val="center"/>
          </w:tcPr>
          <w:p w14:paraId="327D579D">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655AA8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75" w:hRule="atLeast"/>
          <w:jc w:val="center"/>
        </w:trPr>
        <w:tc>
          <w:tcPr>
            <w:tcW w:w="898" w:type="dxa"/>
            <w:noWrap w:val="0"/>
            <w:vAlign w:val="center"/>
          </w:tcPr>
          <w:p w14:paraId="707762FD">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p>
        </w:tc>
        <w:tc>
          <w:tcPr>
            <w:tcW w:w="1611" w:type="dxa"/>
            <w:noWrap w:val="0"/>
            <w:vAlign w:val="center"/>
          </w:tcPr>
          <w:p w14:paraId="6573F366">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7343" w:type="dxa"/>
            <w:noWrap w:val="0"/>
            <w:vAlign w:val="center"/>
          </w:tcPr>
          <w:p w14:paraId="1FE391ED">
            <w:pPr>
              <w:spacing w:line="360" w:lineRule="atLeast"/>
              <w:rPr>
                <w:rFonts w:hint="eastAsia"/>
                <w:color w:val="auto"/>
                <w:szCs w:val="24"/>
                <w:highlight w:val="none"/>
              </w:rPr>
            </w:pPr>
            <w:r>
              <w:rPr>
                <w:rFonts w:hint="eastAsia"/>
                <w:color w:val="auto"/>
                <w:szCs w:val="24"/>
                <w:highlight w:val="none"/>
              </w:rPr>
              <w:t>投标保证金：</w:t>
            </w:r>
          </w:p>
          <w:p w14:paraId="23E82C1D">
            <w:pPr>
              <w:spacing w:line="360" w:lineRule="atLeast"/>
              <w:rPr>
                <w:rFonts w:hint="default"/>
                <w:color w:val="auto"/>
                <w:szCs w:val="24"/>
                <w:highlight w:val="none"/>
                <w:lang w:val="en-US" w:eastAsia="zh-CN"/>
              </w:rPr>
            </w:pPr>
            <w:r>
              <w:rPr>
                <w:rFonts w:hint="eastAsia"/>
                <w:color w:val="auto"/>
                <w:szCs w:val="24"/>
                <w:highlight w:val="none"/>
                <w:lang w:val="en-US" w:eastAsia="zh-CN"/>
              </w:rPr>
              <w:t>金额</w:t>
            </w:r>
            <w:r>
              <w:rPr>
                <w:rFonts w:hint="eastAsia"/>
                <w:color w:val="auto"/>
                <w:szCs w:val="24"/>
                <w:highlight w:val="none"/>
              </w:rPr>
              <w:t>：</w:t>
            </w:r>
            <w:r>
              <w:rPr>
                <w:rFonts w:hint="eastAsia"/>
                <w:color w:val="auto"/>
                <w:szCs w:val="24"/>
                <w:highlight w:val="none"/>
                <w:lang w:val="en-US" w:eastAsia="zh-CN"/>
              </w:rPr>
              <w:t>120000.00</w:t>
            </w:r>
            <w:r>
              <w:rPr>
                <w:rFonts w:hint="eastAsia"/>
                <w:color w:val="auto"/>
                <w:szCs w:val="24"/>
                <w:highlight w:val="none"/>
              </w:rPr>
              <w:t>元</w:t>
            </w:r>
          </w:p>
          <w:p w14:paraId="59D63DDD">
            <w:pPr>
              <w:spacing w:line="360" w:lineRule="atLeast"/>
              <w:rPr>
                <w:rFonts w:hint="eastAsia"/>
                <w:color w:val="auto"/>
                <w:szCs w:val="24"/>
                <w:highlight w:val="none"/>
              </w:rPr>
            </w:pPr>
            <w:r>
              <w:rPr>
                <w:rFonts w:hint="eastAsia"/>
                <w:color w:val="auto"/>
                <w:szCs w:val="24"/>
                <w:highlight w:val="none"/>
              </w:rPr>
              <w:t>投标保证金缴纳方式：以支票、汇票、本票或者金融机构、担保机构出具的保函等非现金形式提交。</w:t>
            </w:r>
          </w:p>
          <w:p w14:paraId="53DE478B">
            <w:pPr>
              <w:spacing w:line="360" w:lineRule="atLeast"/>
              <w:rPr>
                <w:rFonts w:hint="eastAsia"/>
                <w:color w:val="auto"/>
                <w:szCs w:val="24"/>
                <w:highlight w:val="none"/>
              </w:rPr>
            </w:pPr>
            <w:r>
              <w:rPr>
                <w:rFonts w:hint="eastAsia"/>
                <w:color w:val="auto"/>
                <w:szCs w:val="24"/>
                <w:highlight w:val="none"/>
              </w:rPr>
              <w:t>投标保证金缴纳账号：</w:t>
            </w:r>
          </w:p>
          <w:p w14:paraId="2DD857C2">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textAlignment w:val="auto"/>
              <w:rPr>
                <w:rFonts w:hint="eastAsia"/>
                <w:color w:val="auto"/>
                <w:sz w:val="24"/>
                <w:szCs w:val="24"/>
                <w:highlight w:val="none"/>
              </w:rPr>
            </w:pPr>
            <w:r>
              <w:rPr>
                <w:rFonts w:hint="eastAsia"/>
                <w:color w:val="auto"/>
                <w:sz w:val="24"/>
                <w:szCs w:val="24"/>
                <w:highlight w:val="none"/>
              </w:rPr>
              <w:t>开户名称：新疆华域建设工程项目管理咨询有限公司</w:t>
            </w:r>
          </w:p>
          <w:p w14:paraId="64805022">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textAlignment w:val="auto"/>
              <w:rPr>
                <w:rFonts w:hint="eastAsia"/>
                <w:color w:val="auto"/>
                <w:sz w:val="24"/>
                <w:szCs w:val="24"/>
                <w:highlight w:val="none"/>
              </w:rPr>
            </w:pPr>
            <w:r>
              <w:rPr>
                <w:rFonts w:hint="eastAsia"/>
                <w:color w:val="auto"/>
                <w:sz w:val="24"/>
                <w:szCs w:val="24"/>
                <w:highlight w:val="none"/>
              </w:rPr>
              <w:t>开户银行：中国银行乌鲁木齐南湖东路支行</w:t>
            </w:r>
          </w:p>
          <w:p w14:paraId="2A4F1BEC">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textAlignment w:val="auto"/>
              <w:rPr>
                <w:rFonts w:hint="eastAsia"/>
                <w:color w:val="auto"/>
                <w:sz w:val="24"/>
                <w:szCs w:val="24"/>
                <w:highlight w:val="none"/>
              </w:rPr>
            </w:pPr>
            <w:r>
              <w:rPr>
                <w:rFonts w:hint="eastAsia"/>
                <w:color w:val="auto"/>
                <w:sz w:val="24"/>
                <w:szCs w:val="24"/>
                <w:highlight w:val="none"/>
              </w:rPr>
              <w:t xml:space="preserve">开户行行号：104881006151 </w:t>
            </w:r>
          </w:p>
          <w:p w14:paraId="5AC8B418">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textAlignment w:val="auto"/>
              <w:rPr>
                <w:rFonts w:hint="eastAsia"/>
                <w:color w:val="auto"/>
                <w:sz w:val="24"/>
                <w:szCs w:val="24"/>
                <w:highlight w:val="none"/>
              </w:rPr>
            </w:pPr>
            <w:r>
              <w:rPr>
                <w:rFonts w:hint="eastAsia"/>
                <w:color w:val="auto"/>
                <w:sz w:val="24"/>
                <w:szCs w:val="24"/>
                <w:highlight w:val="none"/>
              </w:rPr>
              <w:t>账   号： 107083025521</w:t>
            </w:r>
          </w:p>
          <w:p w14:paraId="0AEC3287">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textAlignment w:val="auto"/>
              <w:rPr>
                <w:rFonts w:hint="eastAsia"/>
                <w:b/>
                <w:bCs/>
                <w:color w:val="auto"/>
                <w:sz w:val="24"/>
                <w:szCs w:val="24"/>
                <w:highlight w:val="none"/>
              </w:rPr>
            </w:pPr>
            <w:r>
              <w:rPr>
                <w:rFonts w:hint="eastAsia"/>
                <w:color w:val="auto"/>
                <w:sz w:val="24"/>
                <w:szCs w:val="24"/>
                <w:highlight w:val="none"/>
              </w:rPr>
              <w:t>投标保证金缴纳期限：凡拟参加本次招标项目的供应商，必须在</w:t>
            </w:r>
            <w:r>
              <w:rPr>
                <w:rFonts w:hint="eastAsia"/>
                <w:color w:val="auto"/>
                <w:sz w:val="24"/>
                <w:szCs w:val="24"/>
                <w:highlight w:val="none"/>
                <w:lang w:val="en-US"/>
              </w:rPr>
              <w:t>投标文件递交截止时间之</w:t>
            </w:r>
            <w:r>
              <w:rPr>
                <w:rFonts w:hint="eastAsia"/>
                <w:color w:val="auto"/>
                <w:sz w:val="24"/>
                <w:szCs w:val="24"/>
                <w:highlight w:val="none"/>
              </w:rPr>
              <w:t>前将投标保证金汇入指定账户</w:t>
            </w:r>
            <w:r>
              <w:rPr>
                <w:rFonts w:hint="eastAsia"/>
                <w:b/>
                <w:bCs/>
                <w:color w:val="auto"/>
                <w:sz w:val="24"/>
                <w:szCs w:val="24"/>
                <w:highlight w:val="none"/>
              </w:rPr>
              <w:t>（</w:t>
            </w:r>
            <w:r>
              <w:rPr>
                <w:rFonts w:hint="eastAsia"/>
                <w:b/>
                <w:bCs/>
                <w:color w:val="auto"/>
                <w:sz w:val="24"/>
                <w:szCs w:val="24"/>
                <w:highlight w:val="none"/>
                <w:lang w:val="en-US"/>
              </w:rPr>
              <w:t>以到账为准</w:t>
            </w:r>
            <w:r>
              <w:rPr>
                <w:rFonts w:hint="eastAsia"/>
                <w:b/>
                <w:bCs/>
                <w:color w:val="auto"/>
                <w:sz w:val="24"/>
                <w:szCs w:val="24"/>
                <w:highlight w:val="none"/>
              </w:rPr>
              <w:t>）。</w:t>
            </w:r>
          </w:p>
          <w:p w14:paraId="77BDF883">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textAlignment w:val="auto"/>
              <w:rPr>
                <w:rFonts w:hint="eastAsia" w:ascii="宋体" w:hAnsi="宋体" w:eastAsia="宋体" w:cs="宋体"/>
                <w:color w:val="auto"/>
                <w:sz w:val="24"/>
                <w:szCs w:val="24"/>
                <w:highlight w:val="none"/>
              </w:rPr>
            </w:pPr>
            <w:r>
              <w:rPr>
                <w:rFonts w:hint="eastAsia"/>
                <w:b/>
                <w:bCs/>
                <w:color w:val="auto"/>
                <w:sz w:val="24"/>
                <w:szCs w:val="24"/>
                <w:highlight w:val="none"/>
              </w:rPr>
              <w:t>注：供应商缴纳投标保证金时，须备注所投</w:t>
            </w:r>
            <w:r>
              <w:rPr>
                <w:rFonts w:hint="eastAsia"/>
                <w:b/>
                <w:bCs/>
                <w:color w:val="auto"/>
                <w:sz w:val="24"/>
                <w:szCs w:val="24"/>
                <w:highlight w:val="none"/>
                <w:lang w:val="en-US"/>
              </w:rPr>
              <w:t>项目名称</w:t>
            </w:r>
            <w:r>
              <w:rPr>
                <w:rFonts w:hint="eastAsia"/>
                <w:b/>
                <w:bCs/>
                <w:color w:val="auto"/>
                <w:sz w:val="24"/>
                <w:szCs w:val="24"/>
                <w:highlight w:val="none"/>
                <w:lang w:val="en-US" w:eastAsia="zh-CN"/>
              </w:rPr>
              <w:t>（可简写）</w:t>
            </w:r>
            <w:r>
              <w:rPr>
                <w:rFonts w:hint="eastAsia"/>
                <w:b/>
                <w:bCs/>
                <w:color w:val="auto"/>
                <w:sz w:val="24"/>
                <w:szCs w:val="24"/>
                <w:highlight w:val="none"/>
              </w:rPr>
              <w:t>。</w:t>
            </w:r>
            <w:r>
              <w:rPr>
                <w:rFonts w:hint="eastAsia" w:ascii="宋体" w:hAnsi="宋体" w:eastAsia="宋体" w:cs="宋体"/>
                <w:color w:val="auto"/>
                <w:sz w:val="24"/>
                <w:szCs w:val="24"/>
                <w:highlight w:val="none"/>
              </w:rPr>
              <w:t xml:space="preserve">              </w:t>
            </w:r>
          </w:p>
          <w:p w14:paraId="1988C6F8">
            <w:pPr>
              <w:pStyle w:val="38"/>
              <w:keepNext w:val="0"/>
              <w:keepLines w:val="0"/>
              <w:pageBreakBefore w:val="0"/>
              <w:widowControl w:val="0"/>
              <w:shd w:val="clear" w:color="auto" w:fill="auto"/>
              <w:kinsoku/>
              <w:wordWrap/>
              <w:overflowPunct/>
              <w:topLinePunct w:val="0"/>
              <w:autoSpaceDE/>
              <w:autoSpaceDN/>
              <w:bidi w:val="0"/>
              <w:adjustRightInd/>
              <w:snapToGrid/>
              <w:spacing w:line="360" w:lineRule="atLeas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31C56D11">
            <w:pPr>
              <w:pStyle w:val="38"/>
              <w:keepNext w:val="0"/>
              <w:keepLines w:val="0"/>
              <w:pageBreakBefore w:val="0"/>
              <w:widowControl w:val="0"/>
              <w:shd w:val="clear" w:color="auto" w:fill="auto"/>
              <w:kinsoku/>
              <w:wordWrap/>
              <w:overflowPunct/>
              <w:topLinePunct w:val="0"/>
              <w:autoSpaceDE/>
              <w:autoSpaceDN/>
              <w:bidi w:val="0"/>
              <w:adjustRightInd/>
              <w:snapToGrid/>
              <w:spacing w:line="360" w:lineRule="atLeas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69AE5FDA">
            <w:pPr>
              <w:pStyle w:val="38"/>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tc>
      </w:tr>
      <w:tr w14:paraId="1FA2BD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34" w:hRule="atLeast"/>
          <w:jc w:val="center"/>
        </w:trPr>
        <w:tc>
          <w:tcPr>
            <w:tcW w:w="898" w:type="dxa"/>
            <w:noWrap w:val="0"/>
            <w:vAlign w:val="center"/>
          </w:tcPr>
          <w:p w14:paraId="054121CF">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611" w:type="dxa"/>
            <w:noWrap w:val="0"/>
            <w:vAlign w:val="center"/>
          </w:tcPr>
          <w:p w14:paraId="5BCCD6B3">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7343" w:type="dxa"/>
            <w:noWrap w:val="0"/>
            <w:vAlign w:val="center"/>
          </w:tcPr>
          <w:p w14:paraId="1ED24248">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投标样品递交： </w:t>
            </w:r>
          </w:p>
          <w:p w14:paraId="74639196">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☑不需要 </w:t>
            </w:r>
          </w:p>
          <w:p w14:paraId="5B544BDB">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□需要，具体要求如下： </w:t>
            </w:r>
          </w:p>
          <w:p w14:paraId="1232AC07">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1.样品制作的标准和要求：_________； </w:t>
            </w:r>
          </w:p>
          <w:p w14:paraId="6EE79AD0">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2.是否需要随样品提交相关检测报告： </w:t>
            </w:r>
          </w:p>
          <w:p w14:paraId="27E35565">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□不需要 </w:t>
            </w:r>
          </w:p>
          <w:p w14:paraId="0609CE1B">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□需要 </w:t>
            </w:r>
          </w:p>
          <w:p w14:paraId="5A7435B2">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3.样品递交要求：递交时间：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21BD78A">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，逾期提供的样品将不予接受。 </w:t>
            </w:r>
          </w:p>
          <w:p w14:paraId="5EFFB00F">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4.未中标人样品退还：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467BD9C">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5.中标人样品保管、封存及退还：_________； </w:t>
            </w:r>
          </w:p>
          <w:p w14:paraId="4BBE316F">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6.其他要求（如有）：_________。 </w:t>
            </w:r>
          </w:p>
        </w:tc>
      </w:tr>
      <w:tr w14:paraId="51D206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87" w:hRule="atLeast"/>
          <w:jc w:val="center"/>
        </w:trPr>
        <w:tc>
          <w:tcPr>
            <w:tcW w:w="898" w:type="dxa"/>
            <w:noWrap w:val="0"/>
            <w:vAlign w:val="center"/>
          </w:tcPr>
          <w:p w14:paraId="581A2417">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w:t>
            </w:r>
          </w:p>
        </w:tc>
        <w:tc>
          <w:tcPr>
            <w:tcW w:w="1611" w:type="dxa"/>
            <w:noWrap w:val="0"/>
            <w:vAlign w:val="center"/>
          </w:tcPr>
          <w:p w14:paraId="21D9DE1C">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7343" w:type="dxa"/>
            <w:noWrap w:val="0"/>
            <w:vAlign w:val="center"/>
          </w:tcPr>
          <w:p w14:paraId="35117F07">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不进行</w:t>
            </w:r>
          </w:p>
          <w:p w14:paraId="5E428D3A">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4A3CBA1B">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401D3BEB">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345DE7C1">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7371F1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2A9FAFF0">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w:t>
            </w:r>
          </w:p>
        </w:tc>
        <w:tc>
          <w:tcPr>
            <w:tcW w:w="1611" w:type="dxa"/>
            <w:noWrap w:val="0"/>
            <w:vAlign w:val="center"/>
          </w:tcPr>
          <w:p w14:paraId="0B1ED3B2">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7343" w:type="dxa"/>
            <w:noWrap w:val="0"/>
            <w:vAlign w:val="center"/>
          </w:tcPr>
          <w:p w14:paraId="530265C6">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 xml:space="preserve">分钟。 </w:t>
            </w:r>
          </w:p>
          <w:p w14:paraId="5D4B8A08">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除因交易平台发生故障导致投标文件无法按时解密外，投标文件未按时解密的，视为未按规定提交投标文件。</w:t>
            </w:r>
          </w:p>
        </w:tc>
      </w:tr>
      <w:tr w14:paraId="1D8132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68B18B1C">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w:t>
            </w:r>
          </w:p>
        </w:tc>
        <w:tc>
          <w:tcPr>
            <w:tcW w:w="1611" w:type="dxa"/>
            <w:noWrap w:val="0"/>
            <w:vAlign w:val="center"/>
          </w:tcPr>
          <w:p w14:paraId="66A23ACC">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评标方法</w:t>
            </w:r>
          </w:p>
        </w:tc>
        <w:tc>
          <w:tcPr>
            <w:tcW w:w="7343" w:type="dxa"/>
            <w:noWrap w:val="0"/>
            <w:vAlign w:val="center"/>
          </w:tcPr>
          <w:p w14:paraId="14002589">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综合评分法</w:t>
            </w:r>
          </w:p>
          <w:p w14:paraId="443A68C7">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最低评标价法</w:t>
            </w:r>
          </w:p>
        </w:tc>
      </w:tr>
      <w:tr w14:paraId="7608D1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2D91D400">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w:t>
            </w:r>
          </w:p>
        </w:tc>
        <w:tc>
          <w:tcPr>
            <w:tcW w:w="1611" w:type="dxa"/>
            <w:noWrap w:val="0"/>
            <w:vAlign w:val="center"/>
          </w:tcPr>
          <w:p w14:paraId="7EA3B294">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7343" w:type="dxa"/>
            <w:noWrap w:val="0"/>
            <w:vAlign w:val="center"/>
          </w:tcPr>
          <w:p w14:paraId="311507F4">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家</w:t>
            </w:r>
          </w:p>
        </w:tc>
      </w:tr>
      <w:tr w14:paraId="454221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20EBD3C4">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w:t>
            </w:r>
          </w:p>
        </w:tc>
        <w:tc>
          <w:tcPr>
            <w:tcW w:w="1611" w:type="dxa"/>
            <w:noWrap w:val="0"/>
            <w:vAlign w:val="center"/>
          </w:tcPr>
          <w:p w14:paraId="68968998">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7343" w:type="dxa"/>
            <w:noWrap w:val="0"/>
            <w:vAlign w:val="center"/>
          </w:tcPr>
          <w:p w14:paraId="32984B4A">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201B6679">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5722BC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90" w:hRule="atLeast"/>
          <w:jc w:val="center"/>
        </w:trPr>
        <w:tc>
          <w:tcPr>
            <w:tcW w:w="898" w:type="dxa"/>
            <w:noWrap w:val="0"/>
            <w:vAlign w:val="center"/>
          </w:tcPr>
          <w:p w14:paraId="2CD30B0C">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w:t>
            </w:r>
          </w:p>
          <w:p w14:paraId="06AE3D6F">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30.3</w:t>
            </w:r>
          </w:p>
        </w:tc>
        <w:tc>
          <w:tcPr>
            <w:tcW w:w="1611" w:type="dxa"/>
            <w:noWrap w:val="0"/>
            <w:vAlign w:val="center"/>
          </w:tcPr>
          <w:p w14:paraId="0658FCBA">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提供相同品牌产品的不同投标人确定中标候选人的规定</w:t>
            </w:r>
          </w:p>
        </w:tc>
        <w:tc>
          <w:tcPr>
            <w:tcW w:w="7343" w:type="dxa"/>
            <w:noWrap w:val="0"/>
            <w:vAlign w:val="center"/>
          </w:tcPr>
          <w:p w14:paraId="25210581">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kern w:val="0"/>
                <w:sz w:val="24"/>
                <w:szCs w:val="24"/>
                <w:highlight w:val="none"/>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color w:val="auto"/>
                <w:kern w:val="0"/>
                <w:sz w:val="24"/>
                <w:szCs w:val="24"/>
                <w:highlight w:val="none"/>
                <w:u w:val="single"/>
                <w:lang w:val="en-US" w:eastAsia="zh-CN" w:bidi="ar"/>
              </w:rPr>
              <w:t>经济报价较低的投标人获得中标人推荐资格的</w:t>
            </w:r>
            <w:r>
              <w:rPr>
                <w:rFonts w:hint="eastAsia" w:ascii="宋体" w:hAnsi="宋体" w:eastAsia="宋体" w:cs="宋体"/>
                <w:color w:val="auto"/>
                <w:kern w:val="0"/>
                <w:sz w:val="24"/>
                <w:szCs w:val="24"/>
                <w:highlight w:val="none"/>
              </w:rPr>
              <w:t>方式确定一个投标人获得中标人推荐资格，其他同品牌投标人不作为中标候选人。</w:t>
            </w:r>
          </w:p>
          <w:p w14:paraId="348F429F">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rPr>
              <w:t>最低评标价法的采购项目，提供相同品牌产品的不同投标人参加同一合同项下投标的，以其中通过资格审查、符合性审查且报价最低的参加评标；报价相同的，按照</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方式确定一个参加评标的投标人，其他投标无效。</w:t>
            </w:r>
          </w:p>
        </w:tc>
      </w:tr>
      <w:tr w14:paraId="218FA9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7CF2B6E8">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p>
        </w:tc>
        <w:tc>
          <w:tcPr>
            <w:tcW w:w="1611" w:type="dxa"/>
            <w:noWrap w:val="0"/>
            <w:vAlign w:val="center"/>
          </w:tcPr>
          <w:p w14:paraId="6193292F">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7343" w:type="dxa"/>
            <w:noWrap w:val="0"/>
            <w:vAlign w:val="center"/>
          </w:tcPr>
          <w:p w14:paraId="70BC7AAF">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1.金额：</w:t>
            </w:r>
          </w:p>
          <w:p w14:paraId="3A0A5E03">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3537A020">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合同价的</w:t>
            </w:r>
            <w:r>
              <w:rPr>
                <w:rFonts w:hint="eastAsia"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w:t>
            </w:r>
          </w:p>
          <w:p w14:paraId="09464A06">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              元</w:t>
            </w:r>
          </w:p>
          <w:p w14:paraId="4BF409AE">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2.支付方式：</w:t>
            </w:r>
          </w:p>
          <w:p w14:paraId="3C084400">
            <w:pPr>
              <w:pStyle w:val="38"/>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投标人可自主选择以支票、汇票、本票、电汇、转账、网银、保函等非现金形式缴纳或提交保证金。</w:t>
            </w:r>
          </w:p>
          <w:p w14:paraId="13C3D0E3">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3.收取单位：                            </w:t>
            </w:r>
          </w:p>
          <w:p w14:paraId="3EDA16A7">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4.收取账号：              </w:t>
            </w:r>
          </w:p>
          <w:p w14:paraId="137A8286">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5.退还时间：              </w:t>
            </w:r>
          </w:p>
          <w:p w14:paraId="18CFC4B7">
            <w:pPr>
              <w:pStyle w:val="37"/>
              <w:pageBreakBefore w:val="0"/>
              <w:kinsoku/>
              <w:overflowPunct/>
              <w:topLinePunct w:val="0"/>
              <w:bidi w:val="0"/>
              <w:spacing w:line="440" w:lineRule="exact"/>
              <w:ind w:left="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2DDC11E5">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1.以上各类机构出具的以担保函、保证保险承担责任的方式均须满足无条件见索即付条件。</w:t>
            </w:r>
          </w:p>
          <w:p w14:paraId="3DA72B4C">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2.以担保函、保证保险形式缴纳履约保证金的，受益人和收取单位须为采购人。</w:t>
            </w:r>
          </w:p>
          <w:p w14:paraId="0AFD5E20">
            <w:pPr>
              <w:pStyle w:val="37"/>
              <w:pageBreakBefore w:val="0"/>
              <w:kinsoku/>
              <w:overflowPunct/>
              <w:topLinePunct w:val="0"/>
              <w:bidi w:val="0"/>
              <w:spacing w:line="440" w:lineRule="exact"/>
              <w:ind w:left="0" w:firstLine="240" w:firstLineChars="10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中标通知书》发出后20日内，中标方足额缴纳履约保证金，未按要求提交履约保函或缴纳保证金的视为投标人不具备履约能力，采购人有权取消其中标资格，并可根据相关法律法规决定是否不予退还投标保证金。项目验收合格后退还履约保证金。</w:t>
            </w:r>
          </w:p>
        </w:tc>
      </w:tr>
      <w:tr w14:paraId="798150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5436B7FE">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34.5</w:t>
            </w:r>
          </w:p>
        </w:tc>
        <w:tc>
          <w:tcPr>
            <w:tcW w:w="1611" w:type="dxa"/>
            <w:noWrap w:val="0"/>
            <w:vAlign w:val="center"/>
          </w:tcPr>
          <w:p w14:paraId="4E70CDA3">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中标后分包</w:t>
            </w:r>
          </w:p>
        </w:tc>
        <w:tc>
          <w:tcPr>
            <w:tcW w:w="7343" w:type="dxa"/>
            <w:noWrap w:val="0"/>
            <w:vAlign w:val="center"/>
          </w:tcPr>
          <w:p w14:paraId="3F1E7E10">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本项目的非主体、非关键性工作是否允许分包： </w:t>
            </w:r>
          </w:p>
          <w:p w14:paraId="273CE183">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不允许 </w:t>
            </w:r>
          </w:p>
          <w:p w14:paraId="3BF13443">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允许，具体要求： </w:t>
            </w:r>
          </w:p>
          <w:p w14:paraId="78015B3C">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1.可以分包履行的具体内容：</w:t>
            </w:r>
            <w:r>
              <w:rPr>
                <w:rFonts w:hint="eastAsia" w:ascii="宋体" w:hAnsi="宋体" w:eastAsia="宋体" w:cs="宋体"/>
                <w:color w:val="auto"/>
                <w:sz w:val="24"/>
                <w:szCs w:val="24"/>
                <w:highlight w:val="none"/>
                <w:u w:val="none"/>
              </w:rPr>
              <w:t>_</w:t>
            </w: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_</w:t>
            </w:r>
            <w:r>
              <w:rPr>
                <w:rFonts w:hint="eastAsia" w:ascii="宋体" w:hAnsi="宋体" w:eastAsia="宋体" w:cs="宋体"/>
                <w:color w:val="auto"/>
                <w:sz w:val="24"/>
                <w:szCs w:val="24"/>
                <w:highlight w:val="none"/>
              </w:rPr>
              <w:t xml:space="preserve">； </w:t>
            </w:r>
          </w:p>
          <w:p w14:paraId="707C1FFF">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2.允许分包的金额或者比例：</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_； </w:t>
            </w:r>
          </w:p>
          <w:p w14:paraId="6BD618E9">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3.其他要求：</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_。 </w:t>
            </w:r>
          </w:p>
        </w:tc>
      </w:tr>
      <w:tr w14:paraId="68F0EA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449D9483">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w:t>
            </w:r>
          </w:p>
        </w:tc>
        <w:tc>
          <w:tcPr>
            <w:tcW w:w="1611" w:type="dxa"/>
            <w:noWrap w:val="0"/>
            <w:vAlign w:val="center"/>
          </w:tcPr>
          <w:p w14:paraId="43C77CD4">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w:t>
            </w:r>
          </w:p>
        </w:tc>
        <w:tc>
          <w:tcPr>
            <w:tcW w:w="7343" w:type="dxa"/>
            <w:noWrap w:val="0"/>
            <w:vAlign w:val="center"/>
          </w:tcPr>
          <w:p w14:paraId="128AC2A9">
            <w:pPr>
              <w:pStyle w:val="46"/>
              <w:pageBreakBefore w:val="0"/>
              <w:kinsoku/>
              <w:overflowPunct/>
              <w:topLinePunct w:val="0"/>
              <w:autoSpaceDE w:val="0"/>
              <w:autoSpaceDN w:val="0"/>
              <w:bidi w:val="0"/>
              <w:adjustRightInd w:val="0"/>
              <w:spacing w:line="440" w:lineRule="exact"/>
              <w:ind w:left="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针对同一采购程序环节的质疑次数：一次性提出</w:t>
            </w:r>
          </w:p>
          <w:p w14:paraId="3F7167DB">
            <w:pPr>
              <w:pStyle w:val="46"/>
              <w:pageBreakBefore w:val="0"/>
              <w:kinsoku/>
              <w:overflowPunct/>
              <w:topLinePunct w:val="0"/>
              <w:autoSpaceDE w:val="0"/>
              <w:autoSpaceDN w:val="0"/>
              <w:bidi w:val="0"/>
              <w:adjustRightInd w:val="0"/>
              <w:spacing w:line="440" w:lineRule="exact"/>
              <w:ind w:left="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递交方式：书面形式递交             </w:t>
            </w:r>
          </w:p>
          <w:p w14:paraId="6230E8B4">
            <w:pPr>
              <w:pStyle w:val="46"/>
              <w:pageBreakBefore w:val="0"/>
              <w:kinsoku/>
              <w:overflowPunct/>
              <w:topLinePunct w:val="0"/>
              <w:autoSpaceDE w:val="0"/>
              <w:autoSpaceDN w:val="0"/>
              <w:bidi w:val="0"/>
              <w:adjustRightInd w:val="0"/>
              <w:spacing w:line="440" w:lineRule="exact"/>
              <w:ind w:left="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接收部门：新疆华域建设工程项目管理咨询有限公司              </w:t>
            </w:r>
          </w:p>
          <w:p w14:paraId="12C537FC">
            <w:pPr>
              <w:pStyle w:val="46"/>
              <w:pageBreakBefore w:val="0"/>
              <w:kinsoku/>
              <w:overflowPunct/>
              <w:topLinePunct w:val="0"/>
              <w:autoSpaceDE w:val="0"/>
              <w:autoSpaceDN w:val="0"/>
              <w:bidi w:val="0"/>
              <w:adjustRightInd w:val="0"/>
              <w:spacing w:line="440" w:lineRule="exact"/>
              <w:ind w:left="0" w:firstLine="0" w:firstLineChars="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联系</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rPr>
              <w:t xml:space="preserve">： </w:t>
            </w:r>
            <w:r>
              <w:rPr>
                <w:rFonts w:hint="eastAsia" w:ascii="宋体" w:hAnsi="宋体" w:cs="宋体"/>
                <w:color w:val="auto"/>
                <w:sz w:val="24"/>
                <w:szCs w:val="24"/>
                <w:highlight w:val="none"/>
                <w:lang w:val="en-US" w:eastAsia="zh-CN"/>
              </w:rPr>
              <w:t>王文周、李昱骁、薛迎、王慧</w:t>
            </w:r>
          </w:p>
          <w:p w14:paraId="2C8B5BFA">
            <w:pPr>
              <w:pStyle w:val="46"/>
              <w:pageBreakBefore w:val="0"/>
              <w:kinsoku/>
              <w:overflowPunct/>
              <w:topLinePunct w:val="0"/>
              <w:autoSpaceDE w:val="0"/>
              <w:autoSpaceDN w:val="0"/>
              <w:bidi w:val="0"/>
              <w:adjustRightInd w:val="0"/>
              <w:spacing w:line="440" w:lineRule="exact"/>
              <w:ind w:left="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联系电话：13999938813、13899901320            </w:t>
            </w:r>
          </w:p>
          <w:p w14:paraId="222E26F0">
            <w:pPr>
              <w:pStyle w:val="46"/>
              <w:pageBreakBefore w:val="0"/>
              <w:kinsoku/>
              <w:overflowPunct/>
              <w:topLinePunct w:val="0"/>
              <w:autoSpaceDE w:val="0"/>
              <w:autoSpaceDN w:val="0"/>
              <w:bidi w:val="0"/>
              <w:adjustRightInd w:val="0"/>
              <w:spacing w:line="440" w:lineRule="exact"/>
              <w:ind w:left="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通讯地址：乌鲁木齐市五星北路194号新地园大厦1401            </w:t>
            </w:r>
          </w:p>
        </w:tc>
      </w:tr>
      <w:tr w14:paraId="72A020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597" w:hRule="atLeast"/>
          <w:jc w:val="center"/>
        </w:trPr>
        <w:tc>
          <w:tcPr>
            <w:tcW w:w="898" w:type="dxa"/>
            <w:noWrap w:val="0"/>
            <w:vAlign w:val="center"/>
          </w:tcPr>
          <w:p w14:paraId="7DD29B7F">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38.1</w:t>
            </w:r>
          </w:p>
        </w:tc>
        <w:tc>
          <w:tcPr>
            <w:tcW w:w="1611" w:type="dxa"/>
            <w:noWrap w:val="0"/>
            <w:vAlign w:val="center"/>
          </w:tcPr>
          <w:p w14:paraId="1359DF03">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7343" w:type="dxa"/>
            <w:noWrap w:val="0"/>
            <w:vAlign w:val="center"/>
          </w:tcPr>
          <w:p w14:paraId="11F115C2">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1.收费对象：</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6EF152C1">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2.收费标准：</w:t>
            </w:r>
            <w:r>
              <w:rPr>
                <w:rFonts w:hint="eastAsia" w:ascii="宋体" w:hAnsi="宋体" w:eastAsia="宋体" w:cs="宋体"/>
                <w:b w:val="0"/>
                <w:i w:val="0"/>
                <w:caps w:val="0"/>
                <w:color w:val="auto"/>
                <w:spacing w:val="0"/>
                <w:w w:val="100"/>
                <w:kern w:val="2"/>
                <w:position w:val="0"/>
                <w:sz w:val="24"/>
                <w:szCs w:val="24"/>
                <w:highlight w:val="none"/>
                <w:u w:val="single" w:color="auto"/>
                <w:lang w:val="en-US" w:eastAsia="zh-CN" w:bidi="ar-SA"/>
              </w:rPr>
              <w:t>招标代理服务费按照国家发展改革委关于进一步放开建设项目专业服务价格的通知发改价格[2015]299号文，计算方法参照“国家计委关于印发《招标代理服务收费管理暂行办法》的通知”(计价格〔2002〕1980号)文件规定，根据上述文件的规定，本次招标代理服务费以中标价格为基数收取</w:t>
            </w:r>
            <w:r>
              <w:rPr>
                <w:rFonts w:hint="eastAsia" w:ascii="宋体" w:hAnsi="宋体" w:cs="宋体"/>
                <w:b w:val="0"/>
                <w:i w:val="0"/>
                <w:caps w:val="0"/>
                <w:color w:val="auto"/>
                <w:spacing w:val="0"/>
                <w:w w:val="100"/>
                <w:kern w:val="2"/>
                <w:position w:val="0"/>
                <w:sz w:val="24"/>
                <w:szCs w:val="24"/>
                <w:highlight w:val="none"/>
                <w:u w:val="single" w:color="auto"/>
                <w:lang w:val="en-US" w:eastAsia="zh-CN" w:bidi="ar-SA"/>
              </w:rPr>
              <w:t>，</w:t>
            </w:r>
            <w:r>
              <w:rPr>
                <w:rFonts w:hint="eastAsia" w:ascii="宋体" w:hAnsi="宋体" w:eastAsia="宋体" w:cs="宋体"/>
                <w:b w:val="0"/>
                <w:i w:val="0"/>
                <w:caps w:val="0"/>
                <w:color w:val="auto"/>
                <w:spacing w:val="0"/>
                <w:w w:val="100"/>
                <w:kern w:val="2"/>
                <w:position w:val="0"/>
                <w:sz w:val="24"/>
                <w:szCs w:val="24"/>
                <w:highlight w:val="none"/>
                <w:u w:val="single" w:color="auto"/>
                <w:lang w:val="en-US" w:eastAsia="zh-CN" w:bidi="ar-SA"/>
              </w:rPr>
              <w:t>由中标人向采购代理机构支付。本项目最高限价已包含代理服务费，请供应商将该费用考虑在报价之中，招标人将不另行支付</w:t>
            </w:r>
            <w:r>
              <w:rPr>
                <w:rFonts w:hint="eastAsia" w:ascii="宋体" w:hAnsi="宋体" w:eastAsia="宋体" w:cs="宋体"/>
                <w:color w:val="auto"/>
                <w:sz w:val="24"/>
                <w:szCs w:val="24"/>
                <w:highlight w:val="none"/>
                <w:u w:val="single" w:color="auto"/>
              </w:rPr>
              <w:t>。</w:t>
            </w:r>
          </w:p>
          <w:p w14:paraId="08E8C396">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3.收取时间：</w:t>
            </w:r>
            <w:r>
              <w:rPr>
                <w:rFonts w:hint="eastAsia" w:ascii="宋体" w:hAnsi="宋体" w:eastAsia="宋体" w:cs="宋体"/>
                <w:color w:val="auto"/>
                <w:sz w:val="24"/>
                <w:szCs w:val="24"/>
                <w:highlight w:val="none"/>
                <w:u w:val="single"/>
              </w:rPr>
              <w:t>核发中标通知书时由中标单位一次性支付。</w:t>
            </w:r>
          </w:p>
          <w:p w14:paraId="5D4A1852">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4.收取方式：</w:t>
            </w:r>
            <w:r>
              <w:rPr>
                <w:rFonts w:hint="eastAsia" w:ascii="宋体" w:hAnsi="宋体" w:eastAsia="宋体" w:cs="宋体"/>
                <w:color w:val="auto"/>
                <w:sz w:val="24"/>
                <w:szCs w:val="24"/>
                <w:highlight w:val="none"/>
                <w:u w:val="single"/>
              </w:rPr>
              <w:t>银行电汇</w:t>
            </w:r>
          </w:p>
          <w:p w14:paraId="36269C63">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5.收款账户信息：</w:t>
            </w:r>
          </w:p>
          <w:p w14:paraId="1CA0DBD8">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开户名称：新疆华域建设工程项目管理咨询有限公司</w:t>
            </w:r>
          </w:p>
          <w:p w14:paraId="78CC1F6D">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开户银行：中国银行乌鲁木齐南湖东路支行</w:t>
            </w:r>
          </w:p>
          <w:p w14:paraId="52A53426">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开户行行号：104881006151 </w:t>
            </w:r>
          </w:p>
          <w:p w14:paraId="0AB2739C">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账   号： 107083025521</w:t>
            </w:r>
          </w:p>
        </w:tc>
      </w:tr>
      <w:tr w14:paraId="17D91E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2A629A8C">
            <w:pPr>
              <w:pStyle w:val="37"/>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41.1</w:t>
            </w:r>
          </w:p>
        </w:tc>
        <w:tc>
          <w:tcPr>
            <w:tcW w:w="1611" w:type="dxa"/>
            <w:noWrap w:val="0"/>
            <w:vAlign w:val="center"/>
          </w:tcPr>
          <w:p w14:paraId="4E952BA2">
            <w:pPr>
              <w:pStyle w:val="37"/>
              <w:jc w:val="center"/>
              <w:rPr>
                <w:rFonts w:hint="eastAsia" w:ascii="宋体" w:hAnsi="宋体" w:eastAsia="宋体" w:cs="宋体"/>
                <w:color w:val="auto"/>
                <w:sz w:val="24"/>
                <w:szCs w:val="24"/>
                <w:highlight w:val="none"/>
              </w:rPr>
            </w:pPr>
            <w:r>
              <w:rPr>
                <w:rFonts w:hint="eastAsia" w:cs="宋体"/>
                <w:color w:val="auto"/>
                <w:sz w:val="24"/>
                <w:szCs w:val="24"/>
                <w:highlight w:val="none"/>
                <w:lang w:eastAsia="zh-CN"/>
              </w:rPr>
              <w:t>支持本国产品政策</w:t>
            </w:r>
          </w:p>
        </w:tc>
        <w:tc>
          <w:tcPr>
            <w:tcW w:w="7343" w:type="dxa"/>
            <w:noWrap w:val="0"/>
            <w:vAlign w:val="center"/>
          </w:tcPr>
          <w:p w14:paraId="68B47CF0">
            <w:pPr>
              <w:pStyle w:val="65"/>
              <w:widowControl w:val="0"/>
              <w:spacing w:before="0" w:beforeAutospacing="0" w:after="0" w:afterAutospacing="0" w:line="240" w:lineRule="auto"/>
              <w:jc w:val="both"/>
              <w:rPr>
                <w:rFonts w:hint="eastAsia" w:ascii="宋体" w:hAnsi="宋体" w:eastAsia="宋体" w:cs="宋体"/>
                <w:color w:val="auto"/>
                <w:sz w:val="24"/>
                <w:szCs w:val="24"/>
                <w:highlight w:val="none"/>
                <w:u w:val="single"/>
              </w:rPr>
            </w:pPr>
            <w:r>
              <w:rPr>
                <w:rFonts w:hint="eastAsia" w:cs="宋体"/>
                <w:b w:val="0"/>
                <w:bCs/>
                <w:color w:val="auto"/>
                <w:kern w:val="0"/>
                <w:sz w:val="24"/>
                <w:szCs w:val="24"/>
                <w:highlight w:val="none"/>
                <w:lang w:val="en-US" w:eastAsia="zh-CN" w:bidi="ar-SA"/>
              </w:rPr>
              <w:t>对符合本国产品标准的，依法对本国产品给予价格评审优惠，用扣除后的价格参与评审。</w:t>
            </w:r>
          </w:p>
        </w:tc>
      </w:tr>
      <w:tr w14:paraId="12844B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770A193F">
            <w:pPr>
              <w:pStyle w:val="37"/>
              <w:pageBreakBefore w:val="0"/>
              <w:kinsoku/>
              <w:overflowPunct/>
              <w:topLinePunct w:val="0"/>
              <w:bidi w:val="0"/>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cs="宋体"/>
                <w:color w:val="auto"/>
                <w:sz w:val="24"/>
                <w:szCs w:val="24"/>
                <w:highlight w:val="none"/>
                <w:lang w:val="en-US" w:eastAsia="zh-CN"/>
              </w:rPr>
              <w:t>2</w:t>
            </w:r>
          </w:p>
        </w:tc>
        <w:tc>
          <w:tcPr>
            <w:tcW w:w="1611" w:type="dxa"/>
            <w:noWrap w:val="0"/>
            <w:vAlign w:val="center"/>
          </w:tcPr>
          <w:p w14:paraId="5653B1FF">
            <w:pPr>
              <w:pStyle w:val="37"/>
              <w:pageBreakBefore w:val="0"/>
              <w:kinsoku/>
              <w:overflowPunct/>
              <w:topLinePunct w:val="0"/>
              <w:bidi w:val="0"/>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7343" w:type="dxa"/>
            <w:noWrap w:val="0"/>
            <w:vAlign w:val="center"/>
          </w:tcPr>
          <w:p w14:paraId="3C84DCC5">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2EB88A57">
            <w:pPr>
              <w:pStyle w:val="37"/>
              <w:pageBreakBefore w:val="0"/>
              <w:kinsoku/>
              <w:overflowPunct/>
              <w:topLinePunct w:val="0"/>
              <w:bidi w:val="0"/>
              <w:spacing w:line="440" w:lineRule="exact"/>
              <w:ind w:left="0" w:lef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r>
              <w:rPr>
                <w:rFonts w:hint="eastAsia" w:cs="宋体"/>
                <w:color w:val="auto"/>
                <w:sz w:val="24"/>
                <w:szCs w:val="24"/>
                <w:highlight w:val="none"/>
                <w:lang w:val="zh-CN"/>
              </w:rPr>
              <w:t>，</w:t>
            </w:r>
            <w:r>
              <w:rPr>
                <w:rFonts w:hint="eastAsia" w:cs="宋体"/>
                <w:color w:val="auto"/>
                <w:sz w:val="24"/>
                <w:szCs w:val="24"/>
                <w:highlight w:val="none"/>
                <w:lang w:val="en-US" w:eastAsia="zh-CN"/>
              </w:rPr>
              <w:t>仅允许第三章“采购需求”中列明了“允许进口”的货物提供进口产品，否则视为不响应。</w:t>
            </w:r>
          </w:p>
        </w:tc>
      </w:tr>
      <w:tr w14:paraId="69C3A5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213DEB14">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p>
        </w:tc>
        <w:tc>
          <w:tcPr>
            <w:tcW w:w="1611" w:type="dxa"/>
            <w:noWrap w:val="0"/>
            <w:vAlign w:val="center"/>
          </w:tcPr>
          <w:p w14:paraId="2B068E6E">
            <w:pPr>
              <w:pStyle w:val="37"/>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r>
              <w:rPr>
                <w:rStyle w:val="25"/>
                <w:rFonts w:hint="eastAsia" w:ascii="宋体" w:hAnsi="宋体" w:eastAsia="宋体" w:cs="宋体"/>
                <w:b/>
                <w:bCs w:val="0"/>
                <w:color w:val="auto"/>
                <w:sz w:val="24"/>
                <w:szCs w:val="24"/>
                <w:highlight w:val="none"/>
                <w:lang w:val="en-US" w:eastAsia="zh-CN"/>
              </w:rPr>
              <w:t>（非专门面向中小企业采购项目适用）</w:t>
            </w:r>
          </w:p>
        </w:tc>
        <w:tc>
          <w:tcPr>
            <w:tcW w:w="7343" w:type="dxa"/>
            <w:noWrap w:val="0"/>
            <w:vAlign w:val="center"/>
          </w:tcPr>
          <w:p w14:paraId="3D7C8704">
            <w:pPr>
              <w:pStyle w:val="65"/>
              <w:keepNext w:val="0"/>
              <w:keepLines w:val="0"/>
              <w:pageBreakBefore w:val="0"/>
              <w:widowControl w:val="0"/>
              <w:kinsoku/>
              <w:wordWrap/>
              <w:overflowPunct/>
              <w:topLinePunct w:val="0"/>
              <w:bidi w:val="0"/>
              <w:snapToGrid/>
              <w:spacing w:before="0" w:beforeAutospacing="0" w:after="0" w:afterAutospacing="0" w:line="4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10%</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2F51D766">
            <w:pPr>
              <w:pStyle w:val="65"/>
              <w:keepNext w:val="0"/>
              <w:keepLines w:val="0"/>
              <w:pageBreakBefore w:val="0"/>
              <w:widowControl w:val="0"/>
              <w:kinsoku/>
              <w:wordWrap/>
              <w:overflowPunct/>
              <w:topLinePunct w:val="0"/>
              <w:bidi w:val="0"/>
              <w:snapToGrid/>
              <w:spacing w:before="0" w:beforeAutospacing="0" w:after="0" w:afterAutospacing="0" w:line="4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32C24076">
            <w:pPr>
              <w:pStyle w:val="65"/>
              <w:keepNext w:val="0"/>
              <w:keepLines w:val="0"/>
              <w:pageBreakBefore w:val="0"/>
              <w:widowControl w:val="0"/>
              <w:kinsoku/>
              <w:wordWrap/>
              <w:overflowPunct/>
              <w:topLinePunct w:val="0"/>
              <w:bidi w:val="0"/>
              <w:snapToGrid/>
              <w:spacing w:before="0" w:beforeAutospacing="0" w:after="0" w:afterAutospacing="0" w:line="4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229765F6">
            <w:pPr>
              <w:pStyle w:val="65"/>
              <w:keepNext w:val="0"/>
              <w:keepLines w:val="0"/>
              <w:pageBreakBefore w:val="0"/>
              <w:widowControl w:val="0"/>
              <w:kinsoku/>
              <w:wordWrap/>
              <w:overflowPunct/>
              <w:topLinePunct w:val="0"/>
              <w:bidi w:val="0"/>
              <w:snapToGrid/>
              <w:spacing w:before="0" w:beforeAutospacing="0" w:after="0" w:afterAutospacing="0" w:line="4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74C731CC">
            <w:pPr>
              <w:pStyle w:val="65"/>
              <w:keepNext w:val="0"/>
              <w:keepLines w:val="0"/>
              <w:pageBreakBefore w:val="0"/>
              <w:widowControl w:val="0"/>
              <w:kinsoku/>
              <w:wordWrap/>
              <w:overflowPunct/>
              <w:topLinePunct w:val="0"/>
              <w:bidi w:val="0"/>
              <w:snapToGrid/>
              <w:spacing w:before="0" w:beforeAutospacing="0" w:after="0" w:afterAutospacing="0" w:line="400" w:lineRule="exact"/>
              <w:jc w:val="left"/>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1E9DC9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30A029C0">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42.5</w:t>
            </w:r>
          </w:p>
        </w:tc>
        <w:tc>
          <w:tcPr>
            <w:tcW w:w="1611" w:type="dxa"/>
            <w:noWrap w:val="0"/>
            <w:vAlign w:val="center"/>
          </w:tcPr>
          <w:p w14:paraId="4F1E8026">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标的所属行业</w:t>
            </w:r>
          </w:p>
          <w:p w14:paraId="6AFBA109">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参照后附《工信部联企业〔2011〕300号》</w:t>
            </w:r>
          </w:p>
        </w:tc>
        <w:tc>
          <w:tcPr>
            <w:tcW w:w="7343" w:type="dxa"/>
            <w:noWrap w:val="0"/>
            <w:vAlign w:val="center"/>
          </w:tcPr>
          <w:p w14:paraId="67CF88C7">
            <w:pPr>
              <w:pageBreakBefore w:val="0"/>
              <w:widowControl/>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 xml:space="preserve">本项目采购标的对应的中小企业划分标准所属行业： </w:t>
            </w:r>
            <w:r>
              <w:rPr>
                <w:rFonts w:hint="eastAsia" w:ascii="宋体" w:hAnsi="宋体" w:eastAsia="宋体" w:cs="宋体"/>
                <w:color w:val="auto"/>
                <w:kern w:val="0"/>
                <w:sz w:val="24"/>
                <w:szCs w:val="24"/>
                <w:highlight w:val="none"/>
                <w:u w:val="single"/>
                <w:lang w:val="en-US" w:eastAsia="zh-CN"/>
              </w:rPr>
              <w:t>工业</w:t>
            </w:r>
          </w:p>
          <w:p w14:paraId="646C7F7E">
            <w:pPr>
              <w:pStyle w:val="37"/>
              <w:pageBreakBefore w:val="0"/>
              <w:kinsoku/>
              <w:overflowPunct/>
              <w:topLinePunct w:val="0"/>
              <w:bidi w:val="0"/>
              <w:spacing w:line="440" w:lineRule="exact"/>
              <w:ind w:left="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标的名称</w:t>
            </w:r>
            <w:r>
              <w:rPr>
                <w:rFonts w:hint="eastAsia" w:cs="宋体"/>
                <w:color w:val="auto"/>
                <w:kern w:val="0"/>
                <w:sz w:val="24"/>
                <w:szCs w:val="24"/>
                <w:highlight w:val="none"/>
                <w:lang w:val="en-US" w:eastAsia="zh-CN"/>
              </w:rPr>
              <w:t>见第三章采购需求中的采购清单。</w:t>
            </w:r>
          </w:p>
        </w:tc>
      </w:tr>
      <w:tr w14:paraId="1DA51B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898" w:type="dxa"/>
            <w:noWrap w:val="0"/>
            <w:vAlign w:val="center"/>
          </w:tcPr>
          <w:p w14:paraId="4B912044">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43.5</w:t>
            </w:r>
          </w:p>
        </w:tc>
        <w:tc>
          <w:tcPr>
            <w:tcW w:w="1611" w:type="dxa"/>
            <w:noWrap w:val="0"/>
            <w:vAlign w:val="center"/>
          </w:tcPr>
          <w:p w14:paraId="53018436">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优先采购创新节能环保产品</w:t>
            </w:r>
          </w:p>
        </w:tc>
        <w:tc>
          <w:tcPr>
            <w:tcW w:w="7343" w:type="dxa"/>
            <w:noWrap w:val="0"/>
            <w:vAlign w:val="center"/>
          </w:tcPr>
          <w:p w14:paraId="65356190">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所投产品纳入创新产品应用示范推荐目录内企业、所投产品获得节能产品或环境标志产品认证证书的企业报价给予</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的价格扣除。</w:t>
            </w:r>
          </w:p>
        </w:tc>
      </w:tr>
      <w:tr w14:paraId="7014F2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679" w:hRule="atLeast"/>
          <w:jc w:val="center"/>
        </w:trPr>
        <w:tc>
          <w:tcPr>
            <w:tcW w:w="898" w:type="dxa"/>
            <w:noWrap w:val="0"/>
            <w:vAlign w:val="center"/>
          </w:tcPr>
          <w:p w14:paraId="6A4BFF6C">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611" w:type="dxa"/>
            <w:noWrap w:val="0"/>
            <w:vAlign w:val="center"/>
          </w:tcPr>
          <w:p w14:paraId="32E62F05">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需要补充的其他内容</w:t>
            </w:r>
          </w:p>
        </w:tc>
        <w:tc>
          <w:tcPr>
            <w:tcW w:w="7343" w:type="dxa"/>
            <w:noWrap w:val="0"/>
            <w:vAlign w:val="center"/>
          </w:tcPr>
          <w:p w14:paraId="172D158E">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1、开标现场信用查询：采购人或采购代理机构将通过“信用中国”网站（www.creditchina.gov.cn）和中国政府采购网（www.ccgp.gov.cn）查询相关主体信用记录。</w:t>
            </w:r>
          </w:p>
          <w:p w14:paraId="4C5FCFE0">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2、本项目现场信用记录查询时间：投标文件截止2小时内。</w:t>
            </w:r>
          </w:p>
          <w:p w14:paraId="6E8E2449">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投标报价具有唯一性，</w:t>
            </w:r>
            <w:r>
              <w:rPr>
                <w:rFonts w:hint="eastAsia" w:cs="宋体"/>
                <w:color w:val="auto"/>
                <w:sz w:val="24"/>
                <w:szCs w:val="24"/>
                <w:highlight w:val="none"/>
                <w:lang w:val="en-US" w:eastAsia="zh-CN"/>
              </w:rPr>
              <w:t>不得</w:t>
            </w:r>
            <w:r>
              <w:rPr>
                <w:rFonts w:hint="eastAsia" w:ascii="宋体" w:hAnsi="宋体" w:eastAsia="宋体" w:cs="宋体"/>
                <w:color w:val="auto"/>
                <w:sz w:val="24"/>
                <w:szCs w:val="24"/>
                <w:highlight w:val="none"/>
              </w:rPr>
              <w:t>超过采购项目预算，本项目不接受选择性报价，对于出现的政采云平台开标唱标环节经投标供应商确认的投标报价与投标文件中开标一览表的报价不一致的现象，视作选择性报价，将被作为无效投标处理。</w:t>
            </w:r>
          </w:p>
          <w:p w14:paraId="551225F1">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在中标成交通知书发出之日起</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日内，按照采购文件确定的事项签订采购合同，并在合同签订之日起2个工作日内将合同上传至</w:t>
            </w:r>
            <w:r>
              <w:rPr>
                <w:rFonts w:hint="eastAsia" w:ascii="宋体" w:hAnsi="宋体" w:eastAsia="宋体" w:cs="宋体"/>
                <w:color w:val="auto"/>
                <w:sz w:val="24"/>
                <w:szCs w:val="24"/>
                <w:highlight w:val="none"/>
                <w:lang w:eastAsia="zh-CN"/>
              </w:rPr>
              <w:t>新疆</w:t>
            </w:r>
            <w:r>
              <w:rPr>
                <w:rFonts w:hint="eastAsia" w:ascii="宋体" w:hAnsi="宋体" w:eastAsia="宋体" w:cs="宋体"/>
                <w:color w:val="auto"/>
                <w:sz w:val="24"/>
                <w:szCs w:val="24"/>
                <w:highlight w:val="none"/>
              </w:rPr>
              <w:t>政府采购网进行公示。</w:t>
            </w:r>
          </w:p>
          <w:p w14:paraId="78A6F1ED">
            <w:pPr>
              <w:pStyle w:val="37"/>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color w:val="auto"/>
                <w:szCs w:val="24"/>
                <w:highlight w:val="none"/>
                <w:lang w:val="en-US" w:eastAsia="zh-CN"/>
              </w:rPr>
              <w:t>5</w:t>
            </w:r>
            <w:r>
              <w:rPr>
                <w:rFonts w:hint="eastAsia" w:cs="宋体"/>
                <w:color w:val="auto"/>
                <w:szCs w:val="24"/>
                <w:highlight w:val="none"/>
              </w:rPr>
              <w:t>、</w:t>
            </w:r>
            <w:r>
              <w:rPr>
                <w:rFonts w:hint="eastAsia" w:ascii="宋体" w:hAnsi="宋体" w:eastAsia="宋体" w:cs="宋体"/>
                <w:b/>
                <w:bCs/>
                <w:color w:val="auto"/>
                <w:sz w:val="24"/>
                <w:szCs w:val="24"/>
                <w:highlight w:val="none"/>
                <w:lang w:val="en-US" w:eastAsia="zh-CN"/>
              </w:rPr>
              <w:t>关于异常</w:t>
            </w:r>
            <w:r>
              <w:rPr>
                <w:rFonts w:hint="eastAsia" w:cs="宋体"/>
                <w:b/>
                <w:bCs/>
                <w:color w:val="auto"/>
                <w:sz w:val="24"/>
                <w:szCs w:val="24"/>
                <w:highlight w:val="none"/>
                <w:lang w:val="en-US" w:eastAsia="zh-CN"/>
              </w:rPr>
              <w:t>低价。根据《财库（2026）2号》文件：（一）采购人应当在采购文件中明确，政府采购评审中出现下列情形之一的，评审委员会应当启动异常低价投标（响应）审查程序：</w:t>
            </w:r>
          </w:p>
          <w:p w14:paraId="0E5E8D72">
            <w:pPr>
              <w:pStyle w:val="37"/>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158424E5">
            <w:pPr>
              <w:pStyle w:val="37"/>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3031C5DB">
            <w:pPr>
              <w:pStyle w:val="37"/>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3.投标（响应）报价低于采购项目最高限价45%的，即投标（响应）报价&lt;采购项目最高限价×45%；</w:t>
            </w:r>
          </w:p>
          <w:p w14:paraId="4D01E9AB">
            <w:pPr>
              <w:pStyle w:val="37"/>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4.评审委员会基于专业判断，认为供应商报价过低，有可能影响产品质量或者不能诚信履约的其他情形。</w:t>
            </w:r>
          </w:p>
          <w:p w14:paraId="02F0F168">
            <w:pPr>
              <w:pStyle w:val="37"/>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采购人可以结合具体项目实际情况，提高上述第1项至第3项中启动异常低价投标（响应）审查的数值标准，但是最高不得超过65%。</w:t>
            </w:r>
          </w:p>
          <w:p w14:paraId="5FAADAB8">
            <w:pPr>
              <w:pStyle w:val="37"/>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相关法律法规对供应商报价有规定的，从其规定。</w:t>
            </w:r>
          </w:p>
          <w:p w14:paraId="5345228F">
            <w:pPr>
              <w:pStyle w:val="37"/>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1B38CEA">
            <w:pPr>
              <w:pStyle w:val="37"/>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E014C94">
            <w:pPr>
              <w:pStyle w:val="37"/>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EF1A6A7">
            <w:pPr>
              <w:pStyle w:val="37"/>
              <w:spacing w:line="360" w:lineRule="atLeast"/>
              <w:rPr>
                <w:rFonts w:hint="eastAsia" w:eastAsia="宋体" w:cs="宋体"/>
                <w:color w:val="auto"/>
                <w:szCs w:val="24"/>
                <w:highlight w:val="none"/>
                <w:lang w:eastAsia="zh-CN"/>
              </w:rPr>
            </w:pPr>
            <w:r>
              <w:rPr>
                <w:rFonts w:hint="eastAsia" w:cs="宋体"/>
                <w:b/>
                <w:bCs/>
                <w:color w:val="auto"/>
                <w:sz w:val="24"/>
                <w:szCs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17B07A8A">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lang w:val="en-US" w:eastAsia="zh-CN"/>
              </w:rPr>
            </w:pPr>
            <w:r>
              <w:rPr>
                <w:rFonts w:hint="eastAsia" w:cs="宋体"/>
                <w:color w:val="auto"/>
                <w:szCs w:val="24"/>
                <w:highlight w:val="none"/>
                <w:lang w:val="en-US" w:eastAsia="zh-CN"/>
              </w:rPr>
              <w:t>6</w:t>
            </w:r>
            <w:r>
              <w:rPr>
                <w:rFonts w:hint="eastAsia" w:cs="宋体"/>
                <w:color w:val="auto"/>
                <w:szCs w:val="24"/>
                <w:highlight w:val="none"/>
              </w:rPr>
              <w:t>、无论何种原因，在响应文件中未提供相应材料的，评审小组将视同其未提供。</w:t>
            </w:r>
          </w:p>
        </w:tc>
      </w:tr>
      <w:tr w14:paraId="7E0F6F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853" w:hRule="atLeast"/>
          <w:jc w:val="center"/>
        </w:trPr>
        <w:tc>
          <w:tcPr>
            <w:tcW w:w="898" w:type="dxa"/>
            <w:tcBorders>
              <w:right w:val="single" w:color="auto" w:sz="4" w:space="0"/>
            </w:tcBorders>
            <w:noWrap w:val="0"/>
            <w:vAlign w:val="center"/>
          </w:tcPr>
          <w:p w14:paraId="50397EE3">
            <w:pPr>
              <w:pStyle w:val="37"/>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注意事项</w:t>
            </w:r>
          </w:p>
        </w:tc>
        <w:tc>
          <w:tcPr>
            <w:tcW w:w="8954" w:type="dxa"/>
            <w:gridSpan w:val="2"/>
            <w:tcBorders>
              <w:left w:val="single" w:color="auto" w:sz="4" w:space="0"/>
            </w:tcBorders>
            <w:noWrap w:val="0"/>
            <w:vAlign w:val="center"/>
          </w:tcPr>
          <w:p w14:paraId="4C8E5C34">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各供应商应成为政采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5AF0355D">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将政采云电子交易客户端下载、安装完成后，可通过账号密码或CA登录客户端进行投标文件的制作。在使用政采云投标客户端时，建议使用WIN7及以上操作系统。客户端请至政采云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78B1CB78">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3、本项目采用不见面开标、投标人需要递交电子投标文件，加密的电子投标文件，在投标截止时间前通过新疆政府采购云平台：https://www.zcygov.cn/上传到指定位置。无需递交纸质文件。</w:t>
            </w:r>
          </w:p>
          <w:p w14:paraId="43BD67B9">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565145E8">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5、远程开标前，投标人务必在新疆政府采购云平台：https://www.zcygov.cn/投标文件上传模块中使用“模拟解密”功能，验证本机远程自助解密环境。</w:t>
            </w:r>
          </w:p>
          <w:p w14:paraId="1C14BBE4">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6、供应商应当在招标截止时间前,将生成的“电子加密</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”上传递交至“政府采购云平台”,招标截止时间以后上传递交的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将被“政府采购云平台”拒收。</w:t>
            </w:r>
          </w:p>
          <w:p w14:paraId="63F12155">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7、供应商在招标前须提前配置好电脑浏览器（建议使用360 浏览器或谷歌浏览器）, 招标时请使用制作加密电子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的CA锁进行解密及报价确认。</w:t>
            </w:r>
          </w:p>
          <w:p w14:paraId="57676711">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8、供应商登录政采云平台，在招标文件规定时间内用“项目采购-开标评标”功能进行解密</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。若供应商在规定时间内未按时解密的，视为无效招标。解密与加密</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须使用同一个CA。 </w:t>
            </w:r>
          </w:p>
        </w:tc>
      </w:tr>
      <w:tr w14:paraId="38D01B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514" w:hRule="atLeast"/>
          <w:jc w:val="center"/>
        </w:trPr>
        <w:tc>
          <w:tcPr>
            <w:tcW w:w="9852" w:type="dxa"/>
            <w:gridSpan w:val="3"/>
            <w:noWrap w:val="0"/>
            <w:vAlign w:val="center"/>
          </w:tcPr>
          <w:p w14:paraId="5967618B">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1168AF6D">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29D99D56">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p w14:paraId="5C768CA1">
            <w:pPr>
              <w:pStyle w:val="37"/>
              <w:spacing w:line="360" w:lineRule="atLeast"/>
              <w:rPr>
                <w:rFonts w:hint="eastAsia" w:cs="宋体"/>
                <w:b/>
                <w:bCs/>
                <w:color w:val="auto"/>
                <w:szCs w:val="24"/>
                <w:highlight w:val="none"/>
              </w:rPr>
            </w:pPr>
            <w:r>
              <w:rPr>
                <w:rFonts w:hint="eastAsia" w:cs="宋体"/>
                <w:b/>
                <w:bCs/>
                <w:color w:val="auto"/>
                <w:szCs w:val="24"/>
                <w:highlight w:val="none"/>
              </w:rPr>
              <w:t>3. 采购文件中部分加粗、标★</w:t>
            </w:r>
            <w:r>
              <w:rPr>
                <w:rFonts w:hint="eastAsia" w:cs="宋体"/>
                <w:b/>
                <w:bCs/>
                <w:color w:val="auto"/>
                <w:szCs w:val="24"/>
                <w:highlight w:val="none"/>
                <w:lang w:eastAsia="zh-CN"/>
              </w:rPr>
              <w:t>（</w:t>
            </w:r>
            <w:r>
              <w:rPr>
                <w:rFonts w:hint="eastAsia" w:cs="宋体"/>
                <w:b/>
                <w:bCs/>
                <w:color w:val="auto"/>
                <w:szCs w:val="24"/>
                <w:highlight w:val="none"/>
                <w:lang w:val="en-US" w:eastAsia="zh-CN"/>
              </w:rPr>
              <w:t>或标▲</w:t>
            </w:r>
            <w:r>
              <w:rPr>
                <w:rFonts w:hint="eastAsia" w:cs="宋体"/>
                <w:b/>
                <w:bCs/>
                <w:color w:val="auto"/>
                <w:szCs w:val="24"/>
                <w:highlight w:val="none"/>
                <w:lang w:eastAsia="zh-CN"/>
              </w:rPr>
              <w:t>）</w:t>
            </w:r>
            <w:r>
              <w:rPr>
                <w:rFonts w:hint="eastAsia" w:cs="宋体"/>
                <w:b/>
                <w:bCs/>
                <w:color w:val="auto"/>
                <w:szCs w:val="24"/>
                <w:highlight w:val="none"/>
              </w:rPr>
              <w:t>、加下划线、废标、无效标、投标被拒绝字样的条款，着重提醒各投标人注意，并认真查看采购文件中的每一个条款及要求，因误读采购文件而造成其他的后果，招标人概不负责。</w:t>
            </w:r>
          </w:p>
          <w:p w14:paraId="65A203E1">
            <w:pPr>
              <w:pStyle w:val="37"/>
              <w:spacing w:line="360" w:lineRule="atLeast"/>
              <w:rPr>
                <w:rFonts w:hint="eastAsia" w:cs="宋体"/>
                <w:color w:val="auto"/>
                <w:szCs w:val="24"/>
                <w:highlight w:val="none"/>
              </w:rPr>
            </w:pPr>
            <w:r>
              <w:rPr>
                <w:rFonts w:hint="eastAsia" w:cs="宋体"/>
                <w:color w:val="auto"/>
                <w:szCs w:val="24"/>
                <w:highlight w:val="none"/>
              </w:rPr>
              <w:t>4. 投标文件中有弄虚作假的内容，其投标文件作废。（如假证书、假业绩、隐瞒不良行为记录、夸大荣誉、使用非本单位在职员工的相关证件及不符合采购文件规定的条款等）；在签订合同之前，投标人如发现投标人的投标文件有弄虚作假内容，招标人可拒绝与其签订合同。并将其列入政府采购黑名单库。</w:t>
            </w:r>
          </w:p>
          <w:p w14:paraId="1D3542CE">
            <w:pPr>
              <w:pStyle w:val="37"/>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Cs w:val="24"/>
                <w:highlight w:val="none"/>
              </w:rPr>
              <w:t>5.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实施。</w:t>
            </w:r>
          </w:p>
        </w:tc>
      </w:tr>
    </w:tbl>
    <w:p w14:paraId="78DD4C54">
      <w:pPr>
        <w:rPr>
          <w:rFonts w:hint="eastAsia" w:ascii="宋体" w:hAnsi="宋体" w:eastAsia="宋体" w:cs="宋体"/>
          <w:b/>
          <w:bCs/>
          <w:color w:val="auto"/>
          <w:sz w:val="28"/>
          <w:szCs w:val="28"/>
          <w:highlight w:val="none"/>
        </w:rPr>
      </w:pPr>
      <w:r>
        <w:rPr>
          <w:rFonts w:hint="eastAsia" w:ascii="宋体" w:hAnsi="宋体" w:eastAsia="宋体" w:cs="宋体"/>
          <w:color w:val="auto"/>
          <w:highlight w:val="none"/>
        </w:rPr>
        <w:br w:type="page"/>
      </w:r>
      <w:bookmarkStart w:id="70" w:name="_Toc155185869"/>
      <w:bookmarkStart w:id="71" w:name="_Toc25718"/>
      <w:r>
        <w:rPr>
          <w:rFonts w:hint="eastAsia" w:ascii="宋体" w:hAnsi="宋体" w:eastAsia="宋体" w:cs="宋体"/>
          <w:b/>
          <w:bCs/>
          <w:color w:val="auto"/>
          <w:sz w:val="28"/>
          <w:szCs w:val="28"/>
          <w:highlight w:val="none"/>
        </w:rPr>
        <w:t>二、投标人须知</w:t>
      </w:r>
      <w:bookmarkEnd w:id="70"/>
      <w:bookmarkEnd w:id="71"/>
    </w:p>
    <w:p w14:paraId="16343675">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72" w:name="_Toc27067"/>
      <w:bookmarkStart w:id="73" w:name="_Toc27686"/>
      <w:bookmarkStart w:id="74" w:name="_Toc26511"/>
      <w:bookmarkStart w:id="75" w:name="_Toc155185870"/>
      <w:bookmarkStart w:id="76" w:name="_Toc23355"/>
      <w:bookmarkStart w:id="77" w:name="_Toc163492822"/>
      <w:r>
        <w:rPr>
          <w:rFonts w:hint="eastAsia" w:ascii="宋体" w:hAnsi="宋体" w:eastAsia="宋体" w:cs="宋体"/>
          <w:color w:val="auto"/>
          <w:sz w:val="24"/>
          <w:highlight w:val="none"/>
        </w:rPr>
        <w:t>（一）总则</w:t>
      </w:r>
      <w:bookmarkEnd w:id="72"/>
      <w:bookmarkEnd w:id="73"/>
      <w:bookmarkEnd w:id="74"/>
      <w:bookmarkEnd w:id="75"/>
      <w:bookmarkEnd w:id="76"/>
      <w:bookmarkEnd w:id="77"/>
    </w:p>
    <w:p w14:paraId="4935F5F5">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78" w:name="_Toc9584"/>
      <w:bookmarkStart w:id="79" w:name="_Toc109900469"/>
      <w:bookmarkStart w:id="80" w:name="_Toc163492823"/>
      <w:bookmarkStart w:id="81" w:name="_Toc31233"/>
      <w:bookmarkStart w:id="82" w:name="_Toc155095689"/>
      <w:bookmarkStart w:id="83" w:name="_Toc109899631"/>
      <w:bookmarkStart w:id="84" w:name="_Toc29103"/>
      <w:bookmarkStart w:id="85" w:name="_Toc26566"/>
      <w:bookmarkStart w:id="86" w:name="_Toc109900050"/>
      <w:bookmarkStart w:id="87" w:name="_Toc8451"/>
      <w:bookmarkStart w:id="88" w:name="_Toc109897532"/>
      <w:r>
        <w:rPr>
          <w:rFonts w:hint="eastAsia" w:ascii="宋体" w:hAnsi="宋体" w:eastAsia="宋体" w:cs="宋体"/>
          <w:color w:val="auto"/>
          <w:sz w:val="24"/>
          <w:highlight w:val="none"/>
        </w:rPr>
        <w:t>1.适用范围</w:t>
      </w:r>
      <w:bookmarkEnd w:id="78"/>
      <w:bookmarkEnd w:id="79"/>
      <w:bookmarkEnd w:id="80"/>
      <w:bookmarkEnd w:id="81"/>
      <w:bookmarkEnd w:id="82"/>
      <w:bookmarkEnd w:id="83"/>
      <w:bookmarkEnd w:id="84"/>
      <w:bookmarkEnd w:id="85"/>
      <w:bookmarkEnd w:id="86"/>
      <w:bookmarkEnd w:id="87"/>
      <w:bookmarkEnd w:id="88"/>
    </w:p>
    <w:p w14:paraId="7A3F5181">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1.1本招标文件仅适用于本项目的采购活动。</w:t>
      </w:r>
    </w:p>
    <w:p w14:paraId="28675B8C">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89" w:name="_Toc32274"/>
      <w:bookmarkStart w:id="90" w:name="_Toc11923"/>
      <w:bookmarkStart w:id="91" w:name="_Toc26282"/>
      <w:bookmarkStart w:id="92" w:name="_Toc20400"/>
      <w:bookmarkStart w:id="93" w:name="_Toc163492824"/>
      <w:r>
        <w:rPr>
          <w:rFonts w:hint="eastAsia" w:ascii="宋体" w:hAnsi="宋体" w:eastAsia="宋体" w:cs="宋体"/>
          <w:color w:val="auto"/>
          <w:sz w:val="24"/>
          <w:highlight w:val="none"/>
        </w:rPr>
        <w:t>2.基本定义</w:t>
      </w:r>
      <w:bookmarkEnd w:id="89"/>
      <w:bookmarkEnd w:id="90"/>
      <w:bookmarkEnd w:id="91"/>
      <w:bookmarkEnd w:id="92"/>
      <w:bookmarkEnd w:id="93"/>
    </w:p>
    <w:p w14:paraId="259E5C43">
      <w:pPr>
        <w:pStyle w:val="36"/>
        <w:rPr>
          <w:rFonts w:hint="eastAsia" w:ascii="宋体" w:hAnsi="宋体" w:eastAsia="宋体" w:cs="宋体"/>
          <w:color w:val="auto"/>
          <w:highlight w:val="none"/>
        </w:rPr>
      </w:pPr>
      <w:r>
        <w:rPr>
          <w:rFonts w:hint="eastAsia" w:ascii="宋体" w:hAnsi="宋体" w:eastAsia="宋体" w:cs="宋体"/>
          <w:color w:val="auto"/>
          <w:highlight w:val="none"/>
        </w:rPr>
        <w:t>2.1根据《中华人民共和国政府采购法》及其实施条例等有关法律、法规和规章的规定，制定本招标文件。</w:t>
      </w:r>
    </w:p>
    <w:p w14:paraId="5FD68BFF">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2.2采购人：</w:t>
      </w:r>
      <w:r>
        <w:rPr>
          <w:rFonts w:hint="eastAsia" w:ascii="宋体" w:hAnsi="宋体" w:eastAsia="宋体" w:cs="宋体"/>
          <w:color w:val="auto"/>
          <w:kern w:val="0"/>
          <w:szCs w:val="24"/>
          <w:highlight w:val="none"/>
        </w:rPr>
        <w:t>指依法进行政府采购的国家机关、事业单位、团体组织</w:t>
      </w:r>
      <w:r>
        <w:rPr>
          <w:rFonts w:hint="eastAsia" w:ascii="宋体" w:hAnsi="宋体" w:eastAsia="宋体" w:cs="宋体"/>
          <w:color w:val="auto"/>
          <w:highlight w:val="none"/>
        </w:rPr>
        <w:t>。</w:t>
      </w:r>
    </w:p>
    <w:p w14:paraId="679EC7B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2.3采购代理机构：</w:t>
      </w:r>
      <w:r>
        <w:rPr>
          <w:rFonts w:hint="eastAsia" w:ascii="宋体" w:hAnsi="宋体" w:eastAsia="宋体" w:cs="宋体"/>
          <w:color w:val="auto"/>
          <w:kern w:val="0"/>
          <w:szCs w:val="24"/>
          <w:highlight w:val="none"/>
        </w:rPr>
        <w:t>指依法进行政府采购的国家机关、事业单位、团体组织</w:t>
      </w:r>
      <w:r>
        <w:rPr>
          <w:rFonts w:hint="eastAsia" w:ascii="宋体" w:hAnsi="宋体" w:eastAsia="宋体" w:cs="宋体"/>
          <w:color w:val="auto"/>
          <w:highlight w:val="none"/>
        </w:rPr>
        <w:t>委托的采购代理机构。</w:t>
      </w:r>
    </w:p>
    <w:p w14:paraId="76FFF750">
      <w:pPr>
        <w:pStyle w:val="36"/>
        <w:rPr>
          <w:rFonts w:hint="eastAsia" w:ascii="宋体" w:hAnsi="宋体" w:eastAsia="宋体" w:cs="宋体"/>
          <w:color w:val="auto"/>
          <w:highlight w:val="none"/>
        </w:rPr>
      </w:pPr>
      <w:r>
        <w:rPr>
          <w:rFonts w:hint="eastAsia" w:ascii="宋体" w:hAnsi="宋体" w:eastAsia="宋体" w:cs="宋体"/>
          <w:color w:val="auto"/>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E5A1ADF">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2.5 核心产品见</w:t>
      </w:r>
      <w:r>
        <w:rPr>
          <w:rFonts w:hint="eastAsia" w:ascii="宋体" w:hAnsi="宋体" w:eastAsia="宋体" w:cs="宋体"/>
          <w:color w:val="auto"/>
          <w:highlight w:val="none"/>
        </w:rPr>
        <w:t>“投标人须知前附表”</w:t>
      </w:r>
      <w:r>
        <w:rPr>
          <w:rFonts w:hint="eastAsia" w:ascii="宋体" w:hAnsi="宋体" w:eastAsia="宋体" w:cs="宋体"/>
          <w:color w:val="auto"/>
          <w:highlight w:val="none"/>
          <w:lang w:val="en-US"/>
        </w:rPr>
        <w:t>。</w:t>
      </w:r>
    </w:p>
    <w:p w14:paraId="28B771FE">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2.6是否属于</w:t>
      </w:r>
      <w:r>
        <w:rPr>
          <w:rFonts w:hint="eastAsia" w:ascii="宋体" w:hAnsi="宋体" w:eastAsia="宋体" w:cs="宋体"/>
          <w:color w:val="auto"/>
          <w:kern w:val="0"/>
          <w:szCs w:val="24"/>
          <w:highlight w:val="none"/>
          <w:lang w:val="en-US"/>
        </w:rPr>
        <w:t>科研仪器设备采购</w:t>
      </w:r>
      <w:r>
        <w:rPr>
          <w:rFonts w:hint="eastAsia" w:ascii="宋体" w:hAnsi="宋体" w:eastAsia="宋体" w:cs="宋体"/>
          <w:color w:val="auto"/>
          <w:highlight w:val="none"/>
          <w:lang w:val="en-US"/>
        </w:rPr>
        <w:t>见</w:t>
      </w:r>
      <w:r>
        <w:rPr>
          <w:rFonts w:hint="eastAsia" w:ascii="宋体" w:hAnsi="宋体" w:eastAsia="宋体" w:cs="宋体"/>
          <w:color w:val="auto"/>
          <w:highlight w:val="none"/>
        </w:rPr>
        <w:t>“</w:t>
      </w:r>
      <w:r>
        <w:rPr>
          <w:rFonts w:hint="eastAsia" w:ascii="宋体" w:hAnsi="宋体" w:eastAsia="宋体" w:cs="宋体"/>
          <w:color w:val="auto"/>
          <w:highlight w:val="none"/>
          <w:lang w:val="en-US"/>
        </w:rPr>
        <w:t>投标人</w:t>
      </w:r>
      <w:r>
        <w:rPr>
          <w:rFonts w:hint="eastAsia" w:ascii="宋体" w:hAnsi="宋体" w:eastAsia="宋体" w:cs="宋体"/>
          <w:color w:val="auto"/>
          <w:highlight w:val="none"/>
        </w:rPr>
        <w:t>须知前附表”</w:t>
      </w:r>
      <w:r>
        <w:rPr>
          <w:rFonts w:hint="eastAsia" w:ascii="宋体" w:hAnsi="宋体" w:eastAsia="宋体" w:cs="宋体"/>
          <w:color w:val="auto"/>
          <w:highlight w:val="none"/>
          <w:lang w:val="en-US"/>
        </w:rPr>
        <w:t>。</w:t>
      </w:r>
    </w:p>
    <w:p w14:paraId="6BA1140A">
      <w:pPr>
        <w:ind w:firstLine="480" w:firstLineChars="200"/>
        <w:rPr>
          <w:rFonts w:hint="eastAsia" w:ascii="宋体" w:hAnsi="宋体" w:eastAsia="宋体" w:cs="宋体"/>
          <w:color w:val="auto"/>
          <w:highlight w:val="none"/>
        </w:rPr>
      </w:pPr>
      <w:r>
        <w:rPr>
          <w:rFonts w:hint="eastAsia" w:ascii="宋体" w:hAnsi="宋体" w:eastAsia="宋体" w:cs="宋体"/>
          <w:iCs/>
          <w:color w:val="auto"/>
          <w:highlight w:val="none"/>
          <w:shd w:val="clear" w:color="auto" w:fill="FFFFFF"/>
        </w:rPr>
        <w:t>2.7投标人（也称“供应商”、“申请人”）：指向采购人提供货物、工程或者服务的法人、其他组织或者自然人。</w:t>
      </w:r>
      <w:r>
        <w:rPr>
          <w:rFonts w:hint="eastAsia" w:ascii="宋体" w:hAnsi="宋体" w:eastAsia="宋体" w:cs="宋体"/>
          <w:color w:val="auto"/>
          <w:highlight w:val="none"/>
        </w:rPr>
        <w:t>分支机构不得参加政府采购活动，但银行、保险、石油石化、电力、电信等有行业特殊情况的除外。本项目的投标人须满足以下条件：</w:t>
      </w:r>
    </w:p>
    <w:p w14:paraId="4637AF0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2.7.1具备《中华人民共和国政府采购法》第二十二条规定的条件，遵守本项目采购人本级和上级财政部门政府采购的有关规定。</w:t>
      </w:r>
    </w:p>
    <w:p w14:paraId="6EA4C3A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2.7.2以招标公告中发布的方式依法获得了本项目的招标文件。</w:t>
      </w:r>
    </w:p>
    <w:p w14:paraId="2B12ACBE">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2.7.3符合本招标文件规定并参加投标的供应商。</w:t>
      </w:r>
    </w:p>
    <w:p w14:paraId="1480F33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eastAsia="宋体" w:cs="宋体"/>
          <w:iCs/>
          <w:color w:val="auto"/>
          <w:highlight w:val="none"/>
          <w:shd w:val="clear" w:color="auto" w:fill="FFFFFF"/>
        </w:rPr>
        <w:t>潜在投标人、潜在供应商：指</w:t>
      </w:r>
      <w:r>
        <w:rPr>
          <w:rFonts w:hint="eastAsia" w:ascii="宋体" w:hAnsi="宋体" w:eastAsia="宋体" w:cs="宋体"/>
          <w:color w:val="auto"/>
          <w:highlight w:val="none"/>
        </w:rPr>
        <w:t>符合本招标文件规定的供应商。</w:t>
      </w:r>
    </w:p>
    <w:p w14:paraId="27AC1F1D">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94" w:name="_Toc5535"/>
      <w:bookmarkStart w:id="95" w:name="_Toc16195"/>
      <w:bookmarkStart w:id="96" w:name="_Toc28067"/>
      <w:bookmarkStart w:id="97" w:name="_Toc163492825"/>
      <w:bookmarkStart w:id="98" w:name="_Toc9283"/>
      <w:bookmarkStart w:id="99" w:name="_Toc140132758"/>
      <w:r>
        <w:rPr>
          <w:rFonts w:hint="eastAsia" w:ascii="宋体" w:hAnsi="宋体" w:eastAsia="宋体" w:cs="宋体"/>
          <w:color w:val="auto"/>
          <w:sz w:val="24"/>
          <w:highlight w:val="none"/>
        </w:rPr>
        <w:t>3.资金来源</w:t>
      </w:r>
      <w:bookmarkEnd w:id="94"/>
      <w:bookmarkEnd w:id="95"/>
      <w:bookmarkEnd w:id="96"/>
      <w:bookmarkEnd w:id="97"/>
      <w:bookmarkEnd w:id="98"/>
      <w:bookmarkEnd w:id="99"/>
    </w:p>
    <w:p w14:paraId="01850F4B">
      <w:pPr>
        <w:pStyle w:val="36"/>
        <w:rPr>
          <w:rFonts w:hint="eastAsia" w:ascii="宋体" w:hAnsi="宋体" w:eastAsia="宋体" w:cs="宋体"/>
          <w:color w:val="auto"/>
          <w:highlight w:val="none"/>
        </w:rPr>
      </w:pPr>
      <w:r>
        <w:rPr>
          <w:rFonts w:hint="eastAsia" w:ascii="宋体" w:hAnsi="宋体" w:eastAsia="宋体" w:cs="宋体"/>
          <w:color w:val="auto"/>
          <w:highlight w:val="none"/>
        </w:rPr>
        <w:t>3.1资金来源：</w:t>
      </w:r>
      <w:r>
        <w:rPr>
          <w:rFonts w:hint="eastAsia" w:ascii="宋体" w:hAnsi="宋体" w:eastAsia="宋体" w:cs="宋体"/>
          <w:color w:val="auto"/>
          <w:highlight w:val="none"/>
          <w:lang w:val="en-US"/>
        </w:rPr>
        <w:t>为财政性资金即</w:t>
      </w:r>
      <w:r>
        <w:rPr>
          <w:rFonts w:hint="eastAsia" w:ascii="宋体" w:hAnsi="宋体" w:eastAsia="宋体" w:cs="宋体"/>
          <w:color w:val="auto"/>
          <w:highlight w:val="none"/>
        </w:rPr>
        <w:t>纳入预算管理的资金。以财政性资金作为还款来源的借贷资金，视同财政性资金。财政性资金与非财政性资金无法分割采购的，统一适用《中华人民共和国政府采购法》及其实施条例。</w:t>
      </w:r>
    </w:p>
    <w:p w14:paraId="0DA3A54F">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00" w:name="_Toc4999"/>
      <w:bookmarkStart w:id="101" w:name="_Toc163492826"/>
      <w:bookmarkStart w:id="102" w:name="_Toc140132760"/>
      <w:bookmarkStart w:id="103" w:name="_Toc17305"/>
      <w:bookmarkStart w:id="104" w:name="_Toc14888"/>
      <w:bookmarkStart w:id="105" w:name="_Toc23672"/>
      <w:r>
        <w:rPr>
          <w:rFonts w:hint="eastAsia" w:ascii="宋体" w:hAnsi="宋体" w:eastAsia="宋体" w:cs="宋体"/>
          <w:color w:val="auto"/>
          <w:sz w:val="24"/>
          <w:highlight w:val="none"/>
        </w:rPr>
        <w:t>4.投标人资格要求</w:t>
      </w:r>
      <w:bookmarkEnd w:id="100"/>
      <w:bookmarkEnd w:id="101"/>
      <w:bookmarkEnd w:id="102"/>
      <w:bookmarkEnd w:id="103"/>
      <w:bookmarkEnd w:id="104"/>
      <w:bookmarkEnd w:id="105"/>
    </w:p>
    <w:p w14:paraId="15467CD4">
      <w:pPr>
        <w:pStyle w:val="36"/>
        <w:rPr>
          <w:rFonts w:hint="eastAsia" w:ascii="宋体" w:hAnsi="宋体" w:eastAsia="宋体" w:cs="宋体"/>
          <w:color w:val="auto"/>
          <w:highlight w:val="none"/>
        </w:rPr>
      </w:pPr>
      <w:r>
        <w:rPr>
          <w:rFonts w:hint="eastAsia" w:ascii="宋体" w:hAnsi="宋体" w:eastAsia="宋体" w:cs="宋体"/>
          <w:color w:val="auto"/>
          <w:highlight w:val="none"/>
        </w:rPr>
        <w:t>4.1投标人资格要求：见“</w:t>
      </w:r>
      <w:r>
        <w:rPr>
          <w:rFonts w:hint="eastAsia" w:ascii="宋体" w:hAnsi="宋体" w:eastAsia="宋体" w:cs="宋体"/>
          <w:color w:val="auto"/>
          <w:highlight w:val="none"/>
          <w:lang w:val="en-US"/>
        </w:rPr>
        <w:t>第一章 招标公告</w:t>
      </w:r>
      <w:r>
        <w:rPr>
          <w:rFonts w:hint="eastAsia" w:ascii="宋体" w:hAnsi="宋体" w:eastAsia="宋体" w:cs="宋体"/>
          <w:color w:val="auto"/>
          <w:highlight w:val="none"/>
        </w:rPr>
        <w:t>”；</w:t>
      </w:r>
    </w:p>
    <w:p w14:paraId="7BA1F4C7">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rPr>
        <w:t>2</w:t>
      </w:r>
      <w:r>
        <w:rPr>
          <w:rFonts w:hint="eastAsia" w:ascii="宋体" w:hAnsi="宋体" w:eastAsia="宋体" w:cs="宋体"/>
          <w:color w:val="auto"/>
          <w:highlight w:val="none"/>
        </w:rPr>
        <w:t>“</w:t>
      </w:r>
      <w:r>
        <w:rPr>
          <w:rFonts w:hint="eastAsia" w:ascii="宋体" w:hAnsi="宋体" w:eastAsia="宋体" w:cs="宋体"/>
          <w:color w:val="auto"/>
          <w:highlight w:val="none"/>
          <w:lang w:val="en-US"/>
        </w:rPr>
        <w:t>第一章 招标公告</w:t>
      </w:r>
      <w:r>
        <w:rPr>
          <w:rFonts w:hint="eastAsia" w:ascii="宋体" w:hAnsi="宋体" w:eastAsia="宋体" w:cs="宋体"/>
          <w:color w:val="auto"/>
          <w:highlight w:val="none"/>
        </w:rPr>
        <w:t>”规定接受联合体投标的，还应遵守以下规定：</w:t>
      </w:r>
    </w:p>
    <w:p w14:paraId="61E94F2B">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rPr>
        <w:t>2.</w:t>
      </w:r>
      <w:r>
        <w:rPr>
          <w:rFonts w:hint="eastAsia" w:ascii="宋体" w:hAnsi="宋体" w:eastAsia="宋体" w:cs="宋体"/>
          <w:color w:val="auto"/>
          <w:highlight w:val="none"/>
        </w:rPr>
        <w:t>1两个以上的自然人、法人或者其他组织可以组成一个联合体，以一个</w:t>
      </w:r>
      <w:r>
        <w:rPr>
          <w:rFonts w:hint="eastAsia" w:ascii="宋体" w:hAnsi="宋体" w:eastAsia="宋体" w:cs="宋体"/>
          <w:color w:val="auto"/>
          <w:highlight w:val="none"/>
          <w:lang w:val="en-US"/>
        </w:rPr>
        <w:t>投标人</w:t>
      </w:r>
      <w:r>
        <w:rPr>
          <w:rFonts w:hint="eastAsia" w:ascii="宋体" w:hAnsi="宋体" w:eastAsia="宋体" w:cs="宋体"/>
          <w:color w:val="auto"/>
          <w:highlight w:val="none"/>
        </w:rPr>
        <w:t>的身份共同参加政府采购。以联合体形式进行政府采购的，参加联合体的供应商均应当具备《中华人民共和国政府采购法》第二十二条规定的条件。</w:t>
      </w:r>
    </w:p>
    <w:p w14:paraId="4C9BBBA5">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rPr>
        <w:t>2.2</w:t>
      </w:r>
      <w:r>
        <w:rPr>
          <w:rFonts w:hint="eastAsia" w:ascii="宋体" w:hAnsi="宋体" w:eastAsia="宋体" w:cs="宋体"/>
          <w:color w:val="auto"/>
          <w:highlight w:val="none"/>
        </w:rPr>
        <w:t>联合体各方应按招标文件提供的格式签订联合</w:t>
      </w:r>
      <w:r>
        <w:rPr>
          <w:rFonts w:hint="eastAsia" w:ascii="宋体" w:hAnsi="宋体" w:eastAsia="宋体" w:cs="宋体"/>
          <w:color w:val="auto"/>
          <w:highlight w:val="none"/>
          <w:lang w:val="en-US"/>
        </w:rPr>
        <w:t>体</w:t>
      </w:r>
      <w:r>
        <w:rPr>
          <w:rFonts w:hint="eastAsia" w:ascii="宋体" w:hAnsi="宋体" w:eastAsia="宋体" w:cs="宋体"/>
          <w:color w:val="auto"/>
          <w:highlight w:val="none"/>
        </w:rPr>
        <w:t>协议</w:t>
      </w:r>
      <w:r>
        <w:rPr>
          <w:rFonts w:hint="eastAsia" w:ascii="宋体" w:hAnsi="宋体" w:eastAsia="宋体" w:cs="宋体"/>
          <w:color w:val="auto"/>
          <w:highlight w:val="none"/>
          <w:lang w:val="en-US"/>
        </w:rPr>
        <w:t>书</w:t>
      </w:r>
      <w:r>
        <w:rPr>
          <w:rFonts w:hint="eastAsia" w:ascii="宋体" w:hAnsi="宋体" w:eastAsia="宋体" w:cs="宋体"/>
          <w:color w:val="auto"/>
          <w:highlight w:val="none"/>
        </w:rPr>
        <w:t>，明确约定联合体各方承担的工作和相应的责任，并将联合</w:t>
      </w:r>
      <w:r>
        <w:rPr>
          <w:rFonts w:hint="eastAsia" w:ascii="宋体" w:hAnsi="宋体" w:eastAsia="宋体" w:cs="宋体"/>
          <w:color w:val="auto"/>
          <w:highlight w:val="none"/>
          <w:lang w:val="en-US"/>
        </w:rPr>
        <w:t>体</w:t>
      </w:r>
      <w:r>
        <w:rPr>
          <w:rFonts w:hint="eastAsia" w:ascii="宋体" w:hAnsi="宋体" w:eastAsia="宋体" w:cs="宋体"/>
          <w:color w:val="auto"/>
          <w:highlight w:val="none"/>
        </w:rPr>
        <w:t>协议</w:t>
      </w:r>
      <w:r>
        <w:rPr>
          <w:rFonts w:hint="eastAsia" w:ascii="宋体" w:hAnsi="宋体" w:eastAsia="宋体" w:cs="宋体"/>
          <w:color w:val="auto"/>
          <w:highlight w:val="none"/>
          <w:lang w:val="en-US"/>
        </w:rPr>
        <w:t>书</w:t>
      </w:r>
      <w:r>
        <w:rPr>
          <w:rFonts w:hint="eastAsia" w:ascii="宋体" w:hAnsi="宋体" w:eastAsia="宋体" w:cs="宋体"/>
          <w:color w:val="auto"/>
          <w:highlight w:val="none"/>
        </w:rPr>
        <w:t>作为投标文件的一部分提交，该协议书对联合</w:t>
      </w:r>
      <w:r>
        <w:rPr>
          <w:rFonts w:hint="eastAsia" w:ascii="宋体" w:hAnsi="宋体" w:eastAsia="宋体" w:cs="宋体"/>
          <w:color w:val="auto"/>
          <w:highlight w:val="none"/>
          <w:lang w:val="en-US"/>
        </w:rPr>
        <w:t>体所有成员</w:t>
      </w:r>
      <w:r>
        <w:rPr>
          <w:rFonts w:hint="eastAsia" w:ascii="宋体" w:hAnsi="宋体" w:eastAsia="宋体" w:cs="宋体"/>
          <w:color w:val="auto"/>
          <w:highlight w:val="none"/>
        </w:rPr>
        <w:t>均具有法律约束力。</w:t>
      </w:r>
    </w:p>
    <w:p w14:paraId="1476A635">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4.2.3</w:t>
      </w:r>
      <w:r>
        <w:rPr>
          <w:rFonts w:hint="eastAsia" w:ascii="宋体" w:hAnsi="宋体" w:eastAsia="宋体" w:cs="宋体"/>
          <w:color w:val="auto"/>
          <w:highlight w:val="none"/>
        </w:rPr>
        <w:t>联合体中有同类资质的供应商按照联合体分工承担相同工作的，应当按照资质等级较低的供应商确定资质等级。</w:t>
      </w:r>
    </w:p>
    <w:p w14:paraId="4944721B">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4.2</w:t>
      </w:r>
      <w:r>
        <w:rPr>
          <w:rFonts w:hint="eastAsia" w:ascii="宋体" w:hAnsi="宋体" w:eastAsia="宋体" w:cs="宋体"/>
          <w:color w:val="auto"/>
          <w:highlight w:val="none"/>
        </w:rPr>
        <w:t>.</w:t>
      </w:r>
      <w:r>
        <w:rPr>
          <w:rFonts w:hint="eastAsia" w:ascii="宋体" w:hAnsi="宋体" w:eastAsia="宋体" w:cs="宋体"/>
          <w:color w:val="auto"/>
          <w:highlight w:val="none"/>
          <w:lang w:val="en-US"/>
        </w:rPr>
        <w:t>4</w:t>
      </w:r>
      <w:r>
        <w:rPr>
          <w:rFonts w:hint="eastAsia" w:ascii="宋体" w:hAnsi="宋体" w:eastAsia="宋体" w:cs="宋体"/>
          <w:color w:val="auto"/>
          <w:highlight w:val="none"/>
        </w:rPr>
        <w:t>以联合体形式参加政府采购活动的，联合体各方不得再单独参加或者与其他供应商另外组成联合体参加</w:t>
      </w:r>
      <w:r>
        <w:rPr>
          <w:rFonts w:hint="eastAsia" w:ascii="宋体" w:hAnsi="宋体" w:eastAsia="宋体" w:cs="宋体"/>
          <w:color w:val="auto"/>
          <w:highlight w:val="none"/>
          <w:lang w:val="en-US"/>
        </w:rPr>
        <w:t>同一合同项下的</w:t>
      </w:r>
      <w:r>
        <w:rPr>
          <w:rFonts w:hint="eastAsia" w:ascii="宋体" w:hAnsi="宋体" w:eastAsia="宋体" w:cs="宋体"/>
          <w:color w:val="auto"/>
          <w:highlight w:val="none"/>
        </w:rPr>
        <w:t>投标，否则相关投标将被认定为</w:t>
      </w:r>
      <w:r>
        <w:rPr>
          <w:rFonts w:hint="eastAsia" w:ascii="宋体" w:hAnsi="宋体" w:eastAsia="宋体" w:cs="宋体"/>
          <w:b/>
          <w:bCs/>
          <w:color w:val="auto"/>
          <w:highlight w:val="none"/>
        </w:rPr>
        <w:t>投标无效</w:t>
      </w:r>
      <w:r>
        <w:rPr>
          <w:rFonts w:hint="eastAsia" w:ascii="宋体" w:hAnsi="宋体" w:eastAsia="宋体" w:cs="宋体"/>
          <w:color w:val="auto"/>
          <w:highlight w:val="none"/>
        </w:rPr>
        <w:t>。</w:t>
      </w:r>
    </w:p>
    <w:p w14:paraId="0DA0FC0A">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4.2</w:t>
      </w:r>
      <w:r>
        <w:rPr>
          <w:rFonts w:hint="eastAsia" w:ascii="宋体" w:hAnsi="宋体" w:eastAsia="宋体" w:cs="宋体"/>
          <w:color w:val="auto"/>
          <w:highlight w:val="none"/>
        </w:rPr>
        <w:t>.5大中型企业、其他自然人、法人或者非法人组织与小型、微型企业组成联合体共同参加投标</w:t>
      </w:r>
      <w:r>
        <w:rPr>
          <w:rFonts w:hint="eastAsia" w:ascii="宋体" w:hAnsi="宋体" w:eastAsia="宋体" w:cs="宋体"/>
          <w:color w:val="auto"/>
          <w:highlight w:val="none"/>
          <w:lang w:val="en-US"/>
        </w:rPr>
        <w:t>的</w:t>
      </w:r>
      <w:r>
        <w:rPr>
          <w:rFonts w:hint="eastAsia" w:ascii="宋体" w:hAnsi="宋体" w:eastAsia="宋体" w:cs="宋体"/>
          <w:color w:val="auto"/>
          <w:highlight w:val="none"/>
        </w:rPr>
        <w:t>，联合</w:t>
      </w:r>
      <w:r>
        <w:rPr>
          <w:rFonts w:hint="eastAsia" w:ascii="宋体" w:hAnsi="宋体" w:eastAsia="宋体" w:cs="宋体"/>
          <w:color w:val="auto"/>
          <w:highlight w:val="none"/>
          <w:lang w:val="en-US"/>
        </w:rPr>
        <w:t>体</w:t>
      </w:r>
      <w:r>
        <w:rPr>
          <w:rFonts w:hint="eastAsia" w:ascii="宋体" w:hAnsi="宋体" w:eastAsia="宋体" w:cs="宋体"/>
          <w:color w:val="auto"/>
          <w:highlight w:val="none"/>
        </w:rPr>
        <w:t>协议</w:t>
      </w:r>
      <w:r>
        <w:rPr>
          <w:rFonts w:hint="eastAsia" w:ascii="宋体" w:hAnsi="宋体" w:eastAsia="宋体" w:cs="宋体"/>
          <w:color w:val="auto"/>
          <w:highlight w:val="none"/>
          <w:lang w:val="en-US"/>
        </w:rPr>
        <w:t>书</w:t>
      </w:r>
      <w:r>
        <w:rPr>
          <w:rFonts w:hint="eastAsia" w:ascii="宋体" w:hAnsi="宋体" w:eastAsia="宋体" w:cs="宋体"/>
          <w:color w:val="auto"/>
          <w:highlight w:val="none"/>
        </w:rPr>
        <w:t>中应写明小型、微型企业的合同金额占到联合</w:t>
      </w:r>
      <w:r>
        <w:rPr>
          <w:rFonts w:hint="eastAsia" w:ascii="宋体" w:hAnsi="宋体" w:eastAsia="宋体" w:cs="宋体"/>
          <w:color w:val="auto"/>
          <w:highlight w:val="none"/>
          <w:lang w:val="en-US"/>
        </w:rPr>
        <w:t>体</w:t>
      </w:r>
      <w:r>
        <w:rPr>
          <w:rFonts w:hint="eastAsia" w:ascii="宋体" w:hAnsi="宋体" w:eastAsia="宋体" w:cs="宋体"/>
          <w:color w:val="auto"/>
          <w:highlight w:val="none"/>
        </w:rPr>
        <w:t>投标</w:t>
      </w:r>
      <w:r>
        <w:rPr>
          <w:rFonts w:hint="eastAsia" w:ascii="宋体" w:hAnsi="宋体" w:eastAsia="宋体" w:cs="宋体"/>
          <w:color w:val="auto"/>
          <w:highlight w:val="none"/>
          <w:lang w:val="en-US"/>
        </w:rPr>
        <w:t>合同</w:t>
      </w:r>
      <w:r>
        <w:rPr>
          <w:rFonts w:hint="eastAsia" w:ascii="宋体" w:hAnsi="宋体" w:eastAsia="宋体" w:cs="宋体"/>
          <w:color w:val="auto"/>
          <w:highlight w:val="none"/>
        </w:rPr>
        <w:t>总金额的比例。</w:t>
      </w:r>
    </w:p>
    <w:p w14:paraId="1CF42B2E">
      <w:pPr>
        <w:pStyle w:val="36"/>
        <w:rPr>
          <w:rFonts w:hint="eastAsia" w:ascii="宋体" w:hAnsi="宋体" w:eastAsia="宋体" w:cs="宋体"/>
          <w:color w:val="auto"/>
          <w:highlight w:val="none"/>
        </w:rPr>
      </w:pPr>
      <w:r>
        <w:rPr>
          <w:rFonts w:hint="eastAsia" w:ascii="宋体" w:hAnsi="宋体" w:eastAsia="宋体" w:cs="宋体"/>
          <w:color w:val="auto"/>
          <w:highlight w:val="none"/>
        </w:rPr>
        <w:t>4.2</w:t>
      </w:r>
      <w:r>
        <w:rPr>
          <w:rFonts w:hint="eastAsia" w:ascii="宋体" w:hAnsi="宋体" w:eastAsia="宋体" w:cs="宋体"/>
          <w:color w:val="auto"/>
          <w:highlight w:val="none"/>
          <w:lang w:val="en-US"/>
        </w:rPr>
        <w:t>.6</w:t>
      </w:r>
      <w:r>
        <w:rPr>
          <w:rFonts w:hint="eastAsia" w:ascii="宋体" w:hAnsi="宋体" w:eastAsia="宋体" w:cs="宋体"/>
          <w:color w:val="auto"/>
          <w:highlight w:val="none"/>
        </w:rPr>
        <w:t>联合体中标</w:t>
      </w:r>
      <w:r>
        <w:rPr>
          <w:rFonts w:hint="eastAsia" w:ascii="宋体" w:hAnsi="宋体" w:eastAsia="宋体" w:cs="宋体"/>
          <w:color w:val="auto"/>
          <w:highlight w:val="none"/>
          <w:lang w:val="en-US"/>
        </w:rPr>
        <w:t>的</w:t>
      </w:r>
      <w:r>
        <w:rPr>
          <w:rFonts w:hint="eastAsia" w:ascii="宋体" w:hAnsi="宋体" w:eastAsia="宋体" w:cs="宋体"/>
          <w:color w:val="auto"/>
          <w:highlight w:val="none"/>
        </w:rPr>
        <w:t>，</w:t>
      </w:r>
      <w:r>
        <w:rPr>
          <w:rFonts w:hint="eastAsia" w:ascii="宋体" w:hAnsi="宋体" w:eastAsia="宋体" w:cs="宋体"/>
          <w:color w:val="auto"/>
          <w:highlight w:val="none"/>
          <w:lang w:val="en-US"/>
        </w:rPr>
        <w:t>采购</w:t>
      </w:r>
      <w:r>
        <w:rPr>
          <w:rFonts w:hint="eastAsia" w:ascii="宋体" w:hAnsi="宋体" w:eastAsia="宋体" w:cs="宋体"/>
          <w:color w:val="auto"/>
          <w:highlight w:val="none"/>
        </w:rPr>
        <w:t>合同应由</w:t>
      </w:r>
      <w:r>
        <w:rPr>
          <w:rFonts w:hint="eastAsia" w:ascii="宋体" w:hAnsi="宋体" w:eastAsia="宋体" w:cs="宋体"/>
          <w:color w:val="auto"/>
          <w:highlight w:val="none"/>
          <w:lang w:val="en-US"/>
        </w:rPr>
        <w:t>联合体</w:t>
      </w:r>
      <w:r>
        <w:rPr>
          <w:rFonts w:hint="eastAsia" w:ascii="宋体" w:hAnsi="宋体" w:eastAsia="宋体" w:cs="宋体"/>
          <w:color w:val="auto"/>
          <w:highlight w:val="none"/>
        </w:rPr>
        <w:t>各成员的合法授权代表签字</w:t>
      </w:r>
      <w:r>
        <w:rPr>
          <w:rFonts w:hint="eastAsia" w:ascii="宋体" w:hAnsi="宋体" w:eastAsia="宋体" w:cs="宋体"/>
          <w:color w:val="auto"/>
          <w:highlight w:val="none"/>
          <w:lang w:val="en-US"/>
        </w:rPr>
        <w:t>及</w:t>
      </w:r>
      <w:r>
        <w:rPr>
          <w:rFonts w:hint="eastAsia" w:ascii="宋体" w:hAnsi="宋体" w:eastAsia="宋体" w:cs="宋体"/>
          <w:color w:val="auto"/>
          <w:highlight w:val="none"/>
        </w:rPr>
        <w:t>加盖</w:t>
      </w:r>
      <w:r>
        <w:rPr>
          <w:rFonts w:hint="eastAsia" w:ascii="宋体" w:hAnsi="宋体" w:eastAsia="宋体" w:cs="宋体"/>
          <w:color w:val="auto"/>
          <w:highlight w:val="none"/>
          <w:lang w:val="en-US"/>
        </w:rPr>
        <w:t>联合体</w:t>
      </w:r>
      <w:r>
        <w:rPr>
          <w:rFonts w:hint="eastAsia" w:ascii="宋体" w:hAnsi="宋体" w:eastAsia="宋体" w:cs="宋体"/>
          <w:color w:val="auto"/>
          <w:highlight w:val="none"/>
        </w:rPr>
        <w:t>各成员公章，</w:t>
      </w:r>
      <w:r>
        <w:rPr>
          <w:rFonts w:hint="eastAsia" w:ascii="宋体" w:hAnsi="宋体" w:eastAsia="宋体" w:cs="宋体"/>
          <w:color w:val="auto"/>
          <w:highlight w:val="none"/>
          <w:lang w:val="en-US"/>
        </w:rPr>
        <w:t>并</w:t>
      </w:r>
      <w:r>
        <w:rPr>
          <w:rFonts w:hint="eastAsia" w:ascii="宋体" w:hAnsi="宋体" w:eastAsia="宋体" w:cs="宋体"/>
          <w:color w:val="auto"/>
          <w:highlight w:val="none"/>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2074C758">
      <w:pPr>
        <w:pStyle w:val="36"/>
        <w:rPr>
          <w:rFonts w:hint="eastAsia" w:ascii="宋体" w:hAnsi="宋体" w:eastAsia="宋体" w:cs="宋体"/>
          <w:color w:val="auto"/>
          <w:highlight w:val="none"/>
        </w:rPr>
      </w:pPr>
      <w:r>
        <w:rPr>
          <w:rFonts w:hint="eastAsia" w:ascii="宋体" w:hAnsi="宋体" w:eastAsia="宋体" w:cs="宋体"/>
          <w:color w:val="auto"/>
          <w:highlight w:val="none"/>
        </w:rPr>
        <w:t>4.2</w:t>
      </w:r>
      <w:r>
        <w:rPr>
          <w:rFonts w:hint="eastAsia" w:ascii="宋体" w:hAnsi="宋体" w:eastAsia="宋体" w:cs="宋体"/>
          <w:color w:val="auto"/>
          <w:highlight w:val="none"/>
          <w:lang w:val="en-US"/>
        </w:rPr>
        <w:t>.7</w:t>
      </w:r>
      <w:r>
        <w:rPr>
          <w:rFonts w:hint="eastAsia" w:ascii="宋体" w:hAnsi="宋体" w:eastAsia="宋体" w:cs="宋体"/>
          <w:color w:val="auto"/>
          <w:highlight w:val="none"/>
        </w:rPr>
        <w:t>联合体或其成员不得将其在合同项下的权利或义务全部或部分转让给第三人，有关分包事项须事先取得采购</w:t>
      </w:r>
      <w:r>
        <w:rPr>
          <w:rFonts w:hint="eastAsia" w:ascii="宋体" w:hAnsi="宋体" w:eastAsia="宋体" w:cs="宋体"/>
          <w:color w:val="auto"/>
          <w:highlight w:val="none"/>
          <w:lang w:val="en-US"/>
        </w:rPr>
        <w:t>人</w:t>
      </w:r>
      <w:r>
        <w:rPr>
          <w:rFonts w:hint="eastAsia" w:ascii="宋体" w:hAnsi="宋体" w:eastAsia="宋体" w:cs="宋体"/>
          <w:color w:val="auto"/>
          <w:highlight w:val="none"/>
        </w:rPr>
        <w:t>书面同意并且须遵守相关法律、法规、本次招标的全部相关规定。</w:t>
      </w:r>
    </w:p>
    <w:p w14:paraId="31EE743D">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4.2</w:t>
      </w:r>
      <w:r>
        <w:rPr>
          <w:rFonts w:hint="eastAsia" w:ascii="宋体" w:hAnsi="宋体" w:eastAsia="宋体" w:cs="宋体"/>
          <w:color w:val="auto"/>
          <w:highlight w:val="none"/>
        </w:rPr>
        <w:t>.</w:t>
      </w:r>
      <w:r>
        <w:rPr>
          <w:rFonts w:hint="eastAsia" w:ascii="宋体" w:hAnsi="宋体" w:eastAsia="宋体" w:cs="宋体"/>
          <w:color w:val="auto"/>
          <w:highlight w:val="none"/>
          <w:lang w:val="en-US"/>
        </w:rPr>
        <w:t>8</w:t>
      </w:r>
      <w:r>
        <w:rPr>
          <w:rFonts w:hint="eastAsia" w:ascii="宋体" w:hAnsi="宋体" w:eastAsia="宋体" w:cs="宋体"/>
          <w:color w:val="auto"/>
          <w:highlight w:val="none"/>
        </w:rPr>
        <w:t>对联合体投标的其他资格要求见“</w:t>
      </w:r>
      <w:r>
        <w:rPr>
          <w:rFonts w:hint="eastAsia" w:ascii="宋体" w:hAnsi="宋体" w:eastAsia="宋体" w:cs="宋体"/>
          <w:color w:val="auto"/>
          <w:highlight w:val="none"/>
          <w:lang w:val="en-US"/>
        </w:rPr>
        <w:t>第一章 招标公告</w:t>
      </w:r>
      <w:r>
        <w:rPr>
          <w:rFonts w:hint="eastAsia" w:ascii="宋体" w:hAnsi="宋体" w:eastAsia="宋体" w:cs="宋体"/>
          <w:color w:val="auto"/>
          <w:highlight w:val="none"/>
        </w:rPr>
        <w:t>”</w:t>
      </w:r>
      <w:r>
        <w:rPr>
          <w:rFonts w:hint="eastAsia" w:ascii="宋体" w:hAnsi="宋体" w:eastAsia="宋体" w:cs="宋体"/>
          <w:color w:val="auto"/>
          <w:highlight w:val="none"/>
          <w:lang w:val="en-US"/>
        </w:rPr>
        <w:t>中的“二、申请人的</w:t>
      </w:r>
      <w:r>
        <w:rPr>
          <w:rFonts w:hint="eastAsia" w:ascii="宋体" w:hAnsi="宋体" w:eastAsia="宋体" w:cs="宋体"/>
          <w:color w:val="auto"/>
          <w:highlight w:val="none"/>
        </w:rPr>
        <w:t>资格</w:t>
      </w:r>
      <w:r>
        <w:rPr>
          <w:rFonts w:hint="eastAsia" w:ascii="宋体" w:hAnsi="宋体" w:eastAsia="宋体" w:cs="宋体"/>
          <w:color w:val="auto"/>
          <w:highlight w:val="none"/>
          <w:lang w:val="en-US"/>
        </w:rPr>
        <w:t>要求”</w:t>
      </w:r>
      <w:r>
        <w:rPr>
          <w:rFonts w:hint="eastAsia" w:ascii="宋体" w:hAnsi="宋体" w:eastAsia="宋体" w:cs="宋体"/>
          <w:color w:val="auto"/>
          <w:highlight w:val="none"/>
        </w:rPr>
        <w:t>。</w:t>
      </w:r>
    </w:p>
    <w:p w14:paraId="579F94BE">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06" w:name="_Toc21085"/>
      <w:bookmarkStart w:id="107" w:name="_Toc14011"/>
      <w:bookmarkStart w:id="108" w:name="_Toc2393"/>
      <w:bookmarkStart w:id="109" w:name="_Toc163492827"/>
      <w:bookmarkStart w:id="110" w:name="_Toc8952"/>
      <w:r>
        <w:rPr>
          <w:rFonts w:hint="eastAsia" w:ascii="宋体" w:hAnsi="宋体" w:eastAsia="宋体" w:cs="宋体"/>
          <w:color w:val="auto"/>
          <w:sz w:val="24"/>
          <w:highlight w:val="none"/>
        </w:rPr>
        <w:t>5.费用承担</w:t>
      </w:r>
      <w:bookmarkEnd w:id="106"/>
      <w:bookmarkEnd w:id="107"/>
      <w:bookmarkEnd w:id="108"/>
      <w:bookmarkEnd w:id="109"/>
      <w:bookmarkEnd w:id="110"/>
    </w:p>
    <w:p w14:paraId="13B90947">
      <w:pPr>
        <w:pStyle w:val="36"/>
        <w:rPr>
          <w:rFonts w:hint="eastAsia" w:ascii="宋体" w:hAnsi="宋体" w:eastAsia="宋体" w:cs="宋体"/>
          <w:color w:val="auto"/>
          <w:highlight w:val="none"/>
        </w:rPr>
      </w:pPr>
      <w:r>
        <w:rPr>
          <w:rFonts w:hint="eastAsia" w:ascii="宋体" w:hAnsi="宋体" w:eastAsia="宋体" w:cs="宋体"/>
          <w:color w:val="auto"/>
          <w:highlight w:val="none"/>
        </w:rPr>
        <w:t>5.1</w:t>
      </w:r>
      <w:r>
        <w:rPr>
          <w:rFonts w:hint="eastAsia" w:ascii="宋体" w:hAnsi="宋体" w:eastAsia="宋体" w:cs="宋体"/>
          <w:color w:val="auto"/>
          <w:highlight w:val="none"/>
          <w:lang w:val="en-US"/>
        </w:rPr>
        <w:t>不论投标的结果如何，投标人应承担所有与准备和参加投标有关的费用。</w:t>
      </w:r>
    </w:p>
    <w:p w14:paraId="5DE26554">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11" w:name="_Toc163492828"/>
      <w:bookmarkStart w:id="112" w:name="_Toc30861"/>
      <w:bookmarkStart w:id="113" w:name="_Toc18248"/>
      <w:bookmarkStart w:id="114" w:name="_Toc7681"/>
      <w:bookmarkStart w:id="115" w:name="_Toc140132761"/>
      <w:bookmarkStart w:id="116" w:name="_Toc12379"/>
      <w:r>
        <w:rPr>
          <w:rFonts w:hint="eastAsia" w:ascii="宋体" w:hAnsi="宋体" w:eastAsia="宋体" w:cs="宋体"/>
          <w:color w:val="auto"/>
          <w:sz w:val="24"/>
          <w:highlight w:val="none"/>
        </w:rPr>
        <w:t>6.保密</w:t>
      </w:r>
      <w:bookmarkEnd w:id="111"/>
      <w:bookmarkEnd w:id="112"/>
      <w:bookmarkEnd w:id="113"/>
      <w:bookmarkEnd w:id="114"/>
      <w:bookmarkEnd w:id="115"/>
      <w:bookmarkEnd w:id="116"/>
    </w:p>
    <w:p w14:paraId="72822219">
      <w:pPr>
        <w:pStyle w:val="36"/>
        <w:rPr>
          <w:rFonts w:hint="eastAsia" w:ascii="宋体" w:hAnsi="宋体" w:eastAsia="宋体" w:cs="宋体"/>
          <w:color w:val="auto"/>
          <w:highlight w:val="none"/>
        </w:rPr>
      </w:pPr>
      <w:r>
        <w:rPr>
          <w:rFonts w:hint="eastAsia" w:ascii="宋体" w:hAnsi="宋体" w:eastAsia="宋体" w:cs="宋体"/>
          <w:color w:val="auto"/>
          <w:highlight w:val="none"/>
        </w:rPr>
        <w:t>6.1</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参与招标投标活动的各方应对招标文件和投标文件中的商业和技术等秘密保密，否则应承担相应的法律责任。</w:t>
      </w:r>
    </w:p>
    <w:p w14:paraId="0EE72736">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2BF1C7F1">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6.3 采购代理机构有权将投标人提供的所有资料向有关政府部门或评审投标文件的有关人员披露。</w:t>
      </w:r>
    </w:p>
    <w:p w14:paraId="189B2013">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6.4 各级人民政府财政部门对政府采购活动进行监督检查，有权查阅、复制有关文件、资料，相关单位和人员应当予以配合。</w:t>
      </w:r>
    </w:p>
    <w:p w14:paraId="425396C9">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17" w:name="_Toc140132762"/>
      <w:bookmarkStart w:id="118" w:name="_Toc31425"/>
      <w:bookmarkStart w:id="119" w:name="_Toc29628"/>
      <w:bookmarkStart w:id="120" w:name="_Toc15553"/>
      <w:bookmarkStart w:id="121" w:name="_Toc30926"/>
      <w:bookmarkStart w:id="122" w:name="_Toc163492829"/>
      <w:r>
        <w:rPr>
          <w:rFonts w:hint="eastAsia" w:ascii="宋体" w:hAnsi="宋体" w:eastAsia="宋体" w:cs="宋体"/>
          <w:color w:val="auto"/>
          <w:sz w:val="24"/>
          <w:highlight w:val="none"/>
        </w:rPr>
        <w:t>7.语言文字</w:t>
      </w:r>
      <w:bookmarkEnd w:id="117"/>
      <w:bookmarkEnd w:id="118"/>
      <w:bookmarkEnd w:id="119"/>
      <w:bookmarkEnd w:id="120"/>
      <w:bookmarkEnd w:id="121"/>
      <w:bookmarkEnd w:id="122"/>
    </w:p>
    <w:p w14:paraId="404B20A2">
      <w:pPr>
        <w:pStyle w:val="36"/>
        <w:rPr>
          <w:rFonts w:hint="eastAsia" w:ascii="宋体" w:hAnsi="宋体" w:eastAsia="宋体" w:cs="宋体"/>
          <w:color w:val="auto"/>
          <w:highlight w:val="none"/>
        </w:rPr>
      </w:pPr>
      <w:r>
        <w:rPr>
          <w:rFonts w:hint="eastAsia" w:ascii="宋体" w:hAnsi="宋体" w:eastAsia="宋体" w:cs="宋体"/>
          <w:color w:val="auto"/>
          <w:highlight w:val="none"/>
        </w:rPr>
        <w:t>7.1招标投标</w:t>
      </w:r>
      <w:r>
        <w:rPr>
          <w:rFonts w:hint="eastAsia" w:ascii="宋体" w:hAnsi="宋体" w:eastAsia="宋体" w:cs="宋体"/>
          <w:color w:val="auto"/>
          <w:highlight w:val="none"/>
          <w:lang w:val="en-US"/>
        </w:rPr>
        <w:t>过程</w:t>
      </w:r>
      <w:r>
        <w:rPr>
          <w:rFonts w:hint="eastAsia" w:ascii="宋体" w:hAnsi="宋体" w:eastAsia="宋体" w:cs="宋体"/>
          <w:color w:val="auto"/>
          <w:highlight w:val="none"/>
        </w:rPr>
        <w:t>文件使用的语言文字为中文。专用术语使用外文的，应附有中文注释。</w:t>
      </w:r>
      <w:r>
        <w:rPr>
          <w:rFonts w:hint="eastAsia" w:ascii="宋体" w:hAnsi="宋体" w:eastAsia="宋体" w:cs="宋体"/>
          <w:color w:val="auto"/>
          <w:highlight w:val="none"/>
          <w:lang w:val="en-US"/>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2642EB8">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23" w:name="_Toc28427"/>
      <w:bookmarkStart w:id="124" w:name="_Toc19184"/>
      <w:bookmarkStart w:id="125" w:name="_Toc16458"/>
      <w:bookmarkStart w:id="126" w:name="_Toc140132763"/>
      <w:bookmarkStart w:id="127" w:name="_Toc163492830"/>
      <w:bookmarkStart w:id="128" w:name="_Toc31019"/>
      <w:r>
        <w:rPr>
          <w:rFonts w:hint="eastAsia" w:ascii="宋体" w:hAnsi="宋体" w:eastAsia="宋体" w:cs="宋体"/>
          <w:color w:val="auto"/>
          <w:sz w:val="24"/>
          <w:highlight w:val="none"/>
        </w:rPr>
        <w:t>8.计量单位</w:t>
      </w:r>
      <w:bookmarkEnd w:id="123"/>
      <w:bookmarkEnd w:id="124"/>
      <w:bookmarkEnd w:id="125"/>
      <w:bookmarkEnd w:id="126"/>
      <w:bookmarkEnd w:id="127"/>
      <w:bookmarkEnd w:id="128"/>
    </w:p>
    <w:p w14:paraId="3D35DFC2">
      <w:pPr>
        <w:pStyle w:val="36"/>
        <w:rPr>
          <w:rFonts w:hint="eastAsia" w:ascii="宋体" w:hAnsi="宋体" w:eastAsia="宋体" w:cs="宋体"/>
          <w:color w:val="auto"/>
          <w:highlight w:val="none"/>
        </w:rPr>
      </w:pPr>
      <w:r>
        <w:rPr>
          <w:rFonts w:hint="eastAsia" w:ascii="宋体" w:hAnsi="宋体" w:eastAsia="宋体" w:cs="宋体"/>
          <w:color w:val="auto"/>
          <w:highlight w:val="none"/>
        </w:rPr>
        <w:t>8.1所有计量均采用中华人民共和国法定计量单位。</w:t>
      </w:r>
    </w:p>
    <w:p w14:paraId="1192254F">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29" w:name="_Toc30077"/>
      <w:bookmarkStart w:id="130" w:name="_Toc28428"/>
      <w:bookmarkStart w:id="131" w:name="_Toc30434"/>
      <w:bookmarkStart w:id="132" w:name="_Toc163492831"/>
      <w:bookmarkStart w:id="133" w:name="_Toc8827"/>
      <w:bookmarkStart w:id="134" w:name="_Toc140132764"/>
      <w:r>
        <w:rPr>
          <w:rFonts w:hint="eastAsia" w:ascii="宋体" w:hAnsi="宋体" w:eastAsia="宋体" w:cs="宋体"/>
          <w:color w:val="auto"/>
          <w:sz w:val="24"/>
          <w:highlight w:val="none"/>
        </w:rPr>
        <w:t>9.现场考察和答疑会</w:t>
      </w:r>
      <w:bookmarkEnd w:id="129"/>
      <w:bookmarkEnd w:id="130"/>
      <w:bookmarkEnd w:id="131"/>
      <w:bookmarkEnd w:id="132"/>
      <w:bookmarkEnd w:id="133"/>
      <w:bookmarkEnd w:id="134"/>
    </w:p>
    <w:p w14:paraId="6EB0E95F">
      <w:pPr>
        <w:pStyle w:val="36"/>
        <w:rPr>
          <w:rFonts w:hint="eastAsia" w:ascii="宋体" w:hAnsi="宋体" w:eastAsia="宋体" w:cs="宋体"/>
          <w:color w:val="auto"/>
          <w:highlight w:val="none"/>
        </w:rPr>
      </w:pPr>
      <w:bookmarkStart w:id="135" w:name="_Hlk143529198"/>
      <w:r>
        <w:rPr>
          <w:rFonts w:hint="eastAsia" w:ascii="宋体" w:hAnsi="宋体" w:eastAsia="宋体" w:cs="宋体"/>
          <w:color w:val="auto"/>
          <w:highlight w:val="none"/>
        </w:rPr>
        <w:t xml:space="preserve">9.1 “投标人须知前附表”规定组织现场考察的，采购代理机构按“投标人须知前附表”规定的时间、地点组织投标人项目现场考察。 </w:t>
      </w:r>
    </w:p>
    <w:p w14:paraId="41113F9D">
      <w:pPr>
        <w:pStyle w:val="36"/>
        <w:rPr>
          <w:rFonts w:hint="eastAsia" w:ascii="宋体" w:hAnsi="宋体" w:eastAsia="宋体" w:cs="宋体"/>
          <w:color w:val="auto"/>
          <w:highlight w:val="none"/>
        </w:rPr>
      </w:pPr>
      <w:r>
        <w:rPr>
          <w:rFonts w:hint="eastAsia" w:ascii="宋体" w:hAnsi="宋体" w:eastAsia="宋体" w:cs="宋体"/>
          <w:color w:val="auto"/>
          <w:highlight w:val="none"/>
        </w:rPr>
        <w:t>9.2 投标人现场考察发生的费用自理。</w:t>
      </w:r>
    </w:p>
    <w:p w14:paraId="57DC0EE9">
      <w:pPr>
        <w:pStyle w:val="36"/>
        <w:rPr>
          <w:rFonts w:hint="eastAsia" w:ascii="宋体" w:hAnsi="宋体" w:eastAsia="宋体" w:cs="宋体"/>
          <w:color w:val="auto"/>
          <w:highlight w:val="none"/>
        </w:rPr>
      </w:pPr>
      <w:r>
        <w:rPr>
          <w:rFonts w:hint="eastAsia" w:ascii="宋体" w:hAnsi="宋体" w:eastAsia="宋体" w:cs="宋体"/>
          <w:color w:val="auto"/>
          <w:highlight w:val="none"/>
        </w:rPr>
        <w:t>9.3 在现场考察中，因投标人自身原因发生的人员伤亡和财产损失，由投标人自行负责。</w:t>
      </w:r>
    </w:p>
    <w:p w14:paraId="2E53ADF6">
      <w:pPr>
        <w:pStyle w:val="36"/>
        <w:rPr>
          <w:rFonts w:hint="eastAsia" w:ascii="宋体" w:hAnsi="宋体" w:eastAsia="宋体" w:cs="宋体"/>
          <w:color w:val="auto"/>
          <w:highlight w:val="none"/>
        </w:rPr>
      </w:pPr>
      <w:r>
        <w:rPr>
          <w:rFonts w:hint="eastAsia" w:ascii="宋体" w:hAnsi="宋体" w:eastAsia="宋体" w:cs="宋体"/>
          <w:color w:val="auto"/>
          <w:highlight w:val="none"/>
        </w:rPr>
        <w:t>9.4 采购人在现场考察中介绍的项目场地和相关的周边环境情况，仅供投标人在编制投标文件时参考，采购人和采购代理机构不对投标人据此作出的判断和决策负责。</w:t>
      </w:r>
    </w:p>
    <w:p w14:paraId="7E426AAB">
      <w:pPr>
        <w:pStyle w:val="36"/>
        <w:rPr>
          <w:rFonts w:hint="eastAsia" w:ascii="宋体" w:hAnsi="宋体" w:eastAsia="宋体" w:cs="宋体"/>
          <w:color w:val="auto"/>
          <w:highlight w:val="none"/>
        </w:rPr>
      </w:pPr>
      <w:r>
        <w:rPr>
          <w:rFonts w:hint="eastAsia" w:ascii="宋体" w:hAnsi="宋体" w:eastAsia="宋体" w:cs="宋体"/>
          <w:color w:val="auto"/>
          <w:highlight w:val="none"/>
        </w:rPr>
        <w:t>9.5 “投标人须知前附表”规定召开答疑会的，采购代理机构按“投标人须知前附表”规定的时间和地点召开答疑会，澄清投标人提出的问题。</w:t>
      </w:r>
    </w:p>
    <w:p w14:paraId="3EBBDB29">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9.6 由于未参加现场考察或未参加标前答疑会而导致对项目实际情况不了解，影响投标文件编制、投标报价准确性、综合因素响应不全面等问题的，由投标人自行承担不利评审后果。</w:t>
      </w:r>
    </w:p>
    <w:bookmarkEnd w:id="135"/>
    <w:p w14:paraId="25E1E1DE">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36" w:name="_Toc2189"/>
      <w:bookmarkStart w:id="137" w:name="_Toc31066"/>
      <w:bookmarkStart w:id="138" w:name="_Toc1905"/>
      <w:bookmarkStart w:id="139" w:name="_Toc155185858"/>
      <w:bookmarkStart w:id="140" w:name="_Toc163492833"/>
      <w:bookmarkStart w:id="141" w:name="_Toc26824"/>
      <w:bookmarkStart w:id="142" w:name="_Toc155185871"/>
      <w:r>
        <w:rPr>
          <w:rFonts w:hint="eastAsia" w:ascii="宋体" w:hAnsi="宋体" w:eastAsia="宋体" w:cs="宋体"/>
          <w:color w:val="auto"/>
          <w:sz w:val="24"/>
          <w:highlight w:val="none"/>
        </w:rPr>
        <w:t>10.电子投标说明</w:t>
      </w:r>
      <w:bookmarkEnd w:id="136"/>
      <w:bookmarkEnd w:id="137"/>
      <w:bookmarkEnd w:id="138"/>
      <w:bookmarkEnd w:id="139"/>
      <w:bookmarkEnd w:id="140"/>
      <w:bookmarkEnd w:id="141"/>
      <w:r>
        <w:rPr>
          <w:rFonts w:hint="eastAsia" w:ascii="宋体" w:hAnsi="宋体" w:eastAsia="宋体" w:cs="宋体"/>
          <w:color w:val="auto"/>
          <w:sz w:val="24"/>
          <w:highlight w:val="none"/>
        </w:rPr>
        <w:t xml:space="preserve">   </w:t>
      </w:r>
    </w:p>
    <w:p w14:paraId="6DA9DE29">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 xml:space="preserve">10.1 </w:t>
      </w:r>
      <w:r>
        <w:rPr>
          <w:rFonts w:hint="eastAsia" w:ascii="宋体" w:hAnsi="宋体" w:eastAsia="宋体" w:cs="宋体"/>
          <w:color w:val="auto"/>
          <w:highlight w:val="none"/>
        </w:rPr>
        <w:t>本次采购采用电子交易方式，电子交易平台为</w:t>
      </w:r>
      <w:r>
        <w:rPr>
          <w:rFonts w:hint="eastAsia" w:ascii="宋体" w:hAnsi="宋体" w:eastAsia="宋体" w:cs="宋体"/>
          <w:color w:val="auto"/>
          <w:highlight w:val="none"/>
          <w:lang w:val="en-US" w:eastAsia="zh-CN"/>
        </w:rPr>
        <w:t>新疆</w:t>
      </w:r>
      <w:r>
        <w:rPr>
          <w:rFonts w:hint="eastAsia" w:ascii="宋体" w:hAnsi="宋体" w:eastAsia="宋体" w:cs="宋体"/>
          <w:color w:val="auto"/>
          <w:highlight w:val="none"/>
        </w:rPr>
        <w:t>政府采购</w:t>
      </w:r>
      <w:r>
        <w:rPr>
          <w:rFonts w:hint="eastAsia" w:ascii="宋体" w:hAnsi="宋体" w:eastAsia="宋体" w:cs="宋体"/>
          <w:color w:val="auto"/>
          <w:highlight w:val="none"/>
          <w:lang w:val="en-US"/>
        </w:rPr>
        <w:t>电子交易云</w:t>
      </w:r>
      <w:r>
        <w:rPr>
          <w:rFonts w:hint="eastAsia" w:ascii="宋体" w:hAnsi="宋体" w:eastAsia="宋体" w:cs="宋体"/>
          <w:color w:val="auto"/>
          <w:highlight w:val="none"/>
        </w:rPr>
        <w:t>平台</w:t>
      </w:r>
      <w:r>
        <w:rPr>
          <w:rFonts w:hint="eastAsia" w:ascii="宋体" w:hAnsi="宋体" w:eastAsia="宋体" w:cs="宋体"/>
          <w:color w:val="auto"/>
          <w:highlight w:val="none"/>
          <w:lang w:val="hr-HR"/>
        </w:rPr>
        <w:t>（</w:t>
      </w:r>
      <w:r>
        <w:rPr>
          <w:rFonts w:hint="eastAsia" w:ascii="宋体" w:hAnsi="宋体" w:eastAsia="宋体" w:cs="宋体"/>
          <w:color w:val="auto"/>
          <w:highlight w:val="none"/>
        </w:rPr>
        <w:t>网址</w:t>
      </w:r>
      <w:r>
        <w:rPr>
          <w:rFonts w:hint="eastAsia" w:ascii="宋体" w:hAnsi="宋体" w:eastAsia="宋体" w:cs="宋体"/>
          <w:color w:val="auto"/>
          <w:highlight w:val="none"/>
          <w:lang w:val="hr-HR"/>
        </w:rPr>
        <w:t>：https://www.zcygov.cn/）</w:t>
      </w:r>
      <w:r>
        <w:rPr>
          <w:rFonts w:hint="eastAsia" w:ascii="宋体" w:hAnsi="宋体" w:eastAsia="宋体" w:cs="宋体"/>
          <w:color w:val="auto"/>
          <w:highlight w:val="none"/>
        </w:rPr>
        <w:t>。投标人参与本项目电子交易活动前，应</w:t>
      </w:r>
      <w:r>
        <w:rPr>
          <w:rFonts w:hint="eastAsia" w:ascii="宋体" w:hAnsi="宋体" w:eastAsia="宋体" w:cs="宋体"/>
          <w:color w:val="auto"/>
          <w:highlight w:val="none"/>
          <w:lang w:val="en-US"/>
        </w:rPr>
        <w:t>在</w:t>
      </w:r>
      <w:r>
        <w:rPr>
          <w:rFonts w:hint="eastAsia" w:ascii="宋体" w:hAnsi="宋体" w:eastAsia="宋体" w:cs="宋体"/>
          <w:color w:val="auto"/>
          <w:highlight w:val="none"/>
        </w:rPr>
        <w:t>政</w:t>
      </w:r>
      <w:r>
        <w:rPr>
          <w:rFonts w:hint="eastAsia" w:ascii="宋体" w:hAnsi="宋体" w:eastAsia="宋体" w:cs="宋体"/>
          <w:color w:val="auto"/>
          <w:highlight w:val="none"/>
          <w:lang w:val="en-US"/>
        </w:rPr>
        <w:t>采云</w:t>
      </w:r>
      <w:r>
        <w:rPr>
          <w:rFonts w:hint="eastAsia" w:ascii="宋体" w:hAnsi="宋体" w:eastAsia="宋体" w:cs="宋体"/>
          <w:color w:val="auto"/>
          <w:highlight w:val="none"/>
        </w:rPr>
        <w:t>平台</w:t>
      </w:r>
      <w:r>
        <w:rPr>
          <w:rFonts w:hint="eastAsia" w:ascii="宋体" w:hAnsi="宋体" w:eastAsia="宋体" w:cs="宋体"/>
          <w:color w:val="auto"/>
          <w:highlight w:val="none"/>
          <w:lang w:val="en-US"/>
        </w:rPr>
        <w:t>上</w:t>
      </w:r>
      <w:r>
        <w:rPr>
          <w:rFonts w:hint="eastAsia" w:ascii="宋体" w:hAnsi="宋体" w:eastAsia="宋体" w:cs="宋体"/>
          <w:color w:val="auto"/>
          <w:highlight w:val="none"/>
        </w:rPr>
        <w:t>注册</w:t>
      </w:r>
      <w:r>
        <w:rPr>
          <w:rFonts w:hint="eastAsia" w:ascii="宋体" w:hAnsi="宋体" w:eastAsia="宋体" w:cs="宋体"/>
          <w:color w:val="auto"/>
          <w:highlight w:val="none"/>
          <w:lang w:val="en-US"/>
        </w:rPr>
        <w:t>供应商账号</w:t>
      </w:r>
      <w:r>
        <w:rPr>
          <w:rFonts w:hint="eastAsia" w:ascii="宋体" w:hAnsi="宋体" w:eastAsia="宋体" w:cs="宋体"/>
          <w:color w:val="auto"/>
          <w:highlight w:val="none"/>
        </w:rPr>
        <w:t>。编制电子</w:t>
      </w:r>
      <w:r>
        <w:rPr>
          <w:rFonts w:hint="eastAsia" w:ascii="宋体" w:hAnsi="宋体" w:eastAsia="宋体" w:cs="宋体"/>
          <w:color w:val="auto"/>
          <w:highlight w:val="none"/>
          <w:lang w:val="en-US"/>
        </w:rPr>
        <w:t>投标</w:t>
      </w:r>
      <w:r>
        <w:rPr>
          <w:rFonts w:hint="eastAsia" w:ascii="宋体" w:hAnsi="宋体" w:eastAsia="宋体" w:cs="宋体"/>
          <w:color w:val="auto"/>
          <w:highlight w:val="none"/>
        </w:rPr>
        <w:t>文件前还需</w:t>
      </w:r>
      <w:r>
        <w:rPr>
          <w:rFonts w:hint="eastAsia" w:ascii="宋体" w:hAnsi="宋体" w:eastAsia="宋体" w:cs="宋体"/>
          <w:color w:val="auto"/>
          <w:highlight w:val="none"/>
          <w:lang w:val="en-US"/>
        </w:rPr>
        <w:t>申领CA证书并绑定帐号。投标人应充分考虑完成平台注册、申领CA证书等所需的时间。</w:t>
      </w:r>
      <w:r>
        <w:rPr>
          <w:rFonts w:hint="eastAsia" w:ascii="宋体" w:hAnsi="宋体" w:eastAsia="宋体" w:cs="宋体"/>
          <w:color w:val="auto"/>
          <w:highlight w:val="none"/>
        </w:rPr>
        <w:t>潜在投标人领取文件须提前完成注册、CA证书和电子签章申领和绑定、下载投标客户端。因未办理CA数字证书、CA证书故障、操作不当等原因造成无法投标或投标失败等后果由投标人自行承担。</w:t>
      </w:r>
      <w:r>
        <w:rPr>
          <w:rFonts w:hint="eastAsia" w:ascii="宋体" w:hAnsi="宋体" w:eastAsia="宋体" w:cs="宋体"/>
          <w:color w:val="auto"/>
          <w:highlight w:val="none"/>
          <w:lang w:val="en-US"/>
        </w:rPr>
        <w:t>投标人</w:t>
      </w:r>
      <w:r>
        <w:rPr>
          <w:rFonts w:hint="eastAsia" w:ascii="宋体" w:hAnsi="宋体" w:eastAsia="宋体" w:cs="宋体"/>
          <w:color w:val="auto"/>
          <w:highlight w:val="none"/>
        </w:rPr>
        <w:t>登录</w:t>
      </w:r>
      <w:r>
        <w:rPr>
          <w:rFonts w:hint="eastAsia" w:ascii="宋体" w:hAnsi="宋体" w:eastAsia="宋体" w:cs="宋体"/>
          <w:color w:val="auto"/>
          <w:highlight w:val="none"/>
          <w:lang w:eastAsia="zh-CN"/>
        </w:rPr>
        <w:t>新疆</w:t>
      </w:r>
      <w:r>
        <w:rPr>
          <w:rFonts w:hint="eastAsia" w:ascii="宋体" w:hAnsi="宋体" w:eastAsia="宋体" w:cs="宋体"/>
          <w:color w:val="auto"/>
          <w:highlight w:val="none"/>
        </w:rPr>
        <w:t>政府采购网“供应商注册”—“</w:t>
      </w:r>
      <w:r>
        <w:rPr>
          <w:rFonts w:hint="eastAsia" w:ascii="宋体" w:hAnsi="宋体" w:eastAsia="宋体" w:cs="宋体"/>
          <w:color w:val="auto"/>
          <w:highlight w:val="none"/>
          <w:lang w:eastAsia="zh-CN"/>
        </w:rPr>
        <w:t>新疆</w:t>
      </w:r>
      <w:r>
        <w:rPr>
          <w:rFonts w:hint="eastAsia" w:ascii="宋体" w:hAnsi="宋体" w:eastAsia="宋体" w:cs="宋体"/>
          <w:color w:val="auto"/>
          <w:highlight w:val="none"/>
        </w:rPr>
        <w:t>政府采购供应商入驻登记”—“立即登记”进行自助注册绑定。</w:t>
      </w:r>
    </w:p>
    <w:p w14:paraId="2718C049">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10.</w:t>
      </w:r>
      <w:r>
        <w:rPr>
          <w:rFonts w:hint="eastAsia" w:ascii="宋体" w:hAnsi="宋体" w:eastAsia="宋体" w:cs="宋体"/>
          <w:color w:val="auto"/>
          <w:highlight w:val="none"/>
        </w:rPr>
        <w:t>2</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投标人将</w:t>
      </w:r>
      <w:r>
        <w:rPr>
          <w:rFonts w:hint="eastAsia" w:ascii="宋体" w:hAnsi="宋体" w:eastAsia="宋体" w:cs="宋体"/>
          <w:color w:val="auto"/>
          <w:highlight w:val="none"/>
          <w:lang w:val="en-US" w:eastAsia="zh-CN"/>
        </w:rPr>
        <w:t>新疆</w:t>
      </w:r>
      <w:r>
        <w:rPr>
          <w:rFonts w:hint="eastAsia" w:ascii="宋体" w:hAnsi="宋体" w:eastAsia="宋体" w:cs="宋体"/>
          <w:color w:val="auto"/>
          <w:highlight w:val="none"/>
        </w:rPr>
        <w:t>政府采购</w:t>
      </w:r>
      <w:r>
        <w:rPr>
          <w:rFonts w:hint="eastAsia" w:ascii="宋体" w:hAnsi="宋体" w:eastAsia="宋体" w:cs="宋体"/>
          <w:color w:val="auto"/>
          <w:highlight w:val="none"/>
          <w:lang w:val="en-US"/>
        </w:rPr>
        <w:t>电子交易云</w:t>
      </w:r>
      <w:r>
        <w:rPr>
          <w:rFonts w:hint="eastAsia" w:ascii="宋体" w:hAnsi="宋体" w:eastAsia="宋体" w:cs="宋体"/>
          <w:color w:val="auto"/>
          <w:highlight w:val="none"/>
        </w:rPr>
        <w:t>平台电子交易客户端下载、安装完成后，可通过账号密码或CA登录客户端进行投标文件制作。在使用政采云投标客户端时，建议使用WIN7及以上操作系统。</w:t>
      </w:r>
      <w:r>
        <w:rPr>
          <w:rFonts w:hint="eastAsia" w:ascii="宋体" w:hAnsi="宋体" w:eastAsia="宋体" w:cs="宋体"/>
          <w:color w:val="auto"/>
          <w:highlight w:val="none"/>
          <w:lang w:val="en-US"/>
        </w:rPr>
        <w:t>投标人</w:t>
      </w:r>
      <w:r>
        <w:rPr>
          <w:rFonts w:hint="eastAsia" w:ascii="宋体" w:hAnsi="宋体" w:eastAsia="宋体" w:cs="宋体"/>
          <w:color w:val="auto"/>
          <w:highlight w:val="none"/>
        </w:rPr>
        <w:t>登录</w:t>
      </w:r>
      <w:r>
        <w:rPr>
          <w:rFonts w:hint="eastAsia" w:ascii="宋体" w:hAnsi="宋体" w:eastAsia="宋体" w:cs="宋体"/>
          <w:color w:val="auto"/>
          <w:highlight w:val="none"/>
          <w:lang w:eastAsia="zh-CN"/>
        </w:rPr>
        <w:t>新疆</w:t>
      </w:r>
      <w:r>
        <w:rPr>
          <w:rFonts w:hint="eastAsia" w:ascii="宋体" w:hAnsi="宋体" w:eastAsia="宋体" w:cs="宋体"/>
          <w:color w:val="auto"/>
          <w:highlight w:val="none"/>
        </w:rPr>
        <w:t>政府采购网“下载专区”—“电子招投标客户端下载”下载相关客户端，如有问题可拨打政采云客户服务热线95763进行咨询。</w:t>
      </w:r>
    </w:p>
    <w:p w14:paraId="67C8957C">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10.</w:t>
      </w:r>
      <w:r>
        <w:rPr>
          <w:rFonts w:hint="eastAsia" w:ascii="宋体" w:hAnsi="宋体" w:eastAsia="宋体" w:cs="宋体"/>
          <w:color w:val="auto"/>
          <w:highlight w:val="none"/>
        </w:rPr>
        <w:t>3</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加密的电子投标文件应在投标文件递交截止时间前通过政采云平台上传完成。逾期上传或者未上传指定地点的投标文件，不予受理。</w:t>
      </w:r>
    </w:p>
    <w:p w14:paraId="46E834C0">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10.</w:t>
      </w:r>
      <w:r>
        <w:rPr>
          <w:rFonts w:hint="eastAsia" w:ascii="宋体" w:hAnsi="宋体" w:eastAsia="宋体" w:cs="宋体"/>
          <w:color w:val="auto"/>
          <w:highlight w:val="none"/>
        </w:rPr>
        <w:t>4</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投标人在开标前须提前配置好电脑</w:t>
      </w:r>
      <w:r>
        <w:rPr>
          <w:rFonts w:hint="eastAsia" w:ascii="宋体" w:hAnsi="宋体" w:eastAsia="宋体" w:cs="宋体"/>
          <w:color w:val="auto"/>
          <w:highlight w:val="none"/>
          <w:lang w:val="en-US"/>
        </w:rPr>
        <w:t>及</w:t>
      </w:r>
      <w:r>
        <w:rPr>
          <w:rFonts w:hint="eastAsia" w:ascii="宋体" w:hAnsi="宋体" w:eastAsia="宋体" w:cs="宋体"/>
          <w:color w:val="auto"/>
          <w:highlight w:val="none"/>
        </w:rPr>
        <w:t>浏览器，开标时请使用制作加密电子投标文件的CA锁进行解密及报价确认。本项目投标文件解密时间</w:t>
      </w:r>
      <w:r>
        <w:rPr>
          <w:rFonts w:hint="eastAsia" w:ascii="宋体" w:hAnsi="宋体" w:eastAsia="宋体" w:cs="宋体"/>
          <w:color w:val="auto"/>
          <w:highlight w:val="none"/>
          <w:lang w:val="en-US"/>
        </w:rPr>
        <w:t>详见“投标人须知前附表”</w:t>
      </w:r>
      <w:r>
        <w:rPr>
          <w:rFonts w:hint="eastAsia" w:ascii="宋体" w:hAnsi="宋体" w:eastAsia="宋体" w:cs="宋体"/>
          <w:color w:val="auto"/>
          <w:highlight w:val="none"/>
        </w:rPr>
        <w:t>，如因自身原因导致无法正常解密，后果由投标人自行承担。</w:t>
      </w:r>
    </w:p>
    <w:p w14:paraId="4BCB9E3B">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10.</w:t>
      </w:r>
      <w:r>
        <w:rPr>
          <w:rFonts w:hint="eastAsia" w:ascii="宋体" w:hAnsi="宋体" w:eastAsia="宋体" w:cs="宋体"/>
          <w:color w:val="auto"/>
          <w:highlight w:val="none"/>
        </w:rPr>
        <w:t>5</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如遇“</w:t>
      </w:r>
      <w:r>
        <w:rPr>
          <w:rFonts w:hint="eastAsia" w:ascii="宋体" w:hAnsi="宋体" w:eastAsia="宋体" w:cs="宋体"/>
          <w:color w:val="auto"/>
          <w:highlight w:val="none"/>
          <w:lang w:val="en-US" w:eastAsia="zh-CN"/>
        </w:rPr>
        <w:t>新疆</w:t>
      </w:r>
      <w:r>
        <w:rPr>
          <w:rFonts w:hint="eastAsia" w:ascii="宋体" w:hAnsi="宋体" w:eastAsia="宋体" w:cs="宋体"/>
          <w:color w:val="auto"/>
          <w:highlight w:val="none"/>
        </w:rPr>
        <w:t>政府采购</w:t>
      </w:r>
      <w:r>
        <w:rPr>
          <w:rFonts w:hint="eastAsia" w:ascii="宋体" w:hAnsi="宋体" w:eastAsia="宋体" w:cs="宋体"/>
          <w:color w:val="auto"/>
          <w:highlight w:val="none"/>
          <w:lang w:val="en-US"/>
        </w:rPr>
        <w:t>电子交易云</w:t>
      </w:r>
      <w:r>
        <w:rPr>
          <w:rFonts w:hint="eastAsia" w:ascii="宋体" w:hAnsi="宋体" w:eastAsia="宋体" w:cs="宋体"/>
          <w:color w:val="auto"/>
          <w:highlight w:val="none"/>
        </w:rPr>
        <w:t>平台</w:t>
      </w:r>
      <w:r>
        <w:rPr>
          <w:rFonts w:hint="eastAsia" w:ascii="宋体" w:hAnsi="宋体" w:eastAsia="宋体" w:cs="宋体"/>
          <w:color w:val="auto"/>
          <w:highlight w:val="none"/>
          <w:lang w:val="hr-HR"/>
        </w:rPr>
        <w:t>（</w:t>
      </w:r>
      <w:r>
        <w:rPr>
          <w:rFonts w:hint="eastAsia" w:ascii="宋体" w:hAnsi="宋体" w:eastAsia="宋体" w:cs="宋体"/>
          <w:color w:val="auto"/>
          <w:highlight w:val="none"/>
        </w:rPr>
        <w:t>网址</w:t>
      </w:r>
      <w:r>
        <w:rPr>
          <w:rFonts w:hint="eastAsia" w:ascii="宋体" w:hAnsi="宋体" w:eastAsia="宋体" w:cs="宋体"/>
          <w:color w:val="auto"/>
          <w:highlight w:val="none"/>
          <w:lang w:val="hr-HR"/>
        </w:rPr>
        <w:t>：https://www.zcygov.cn/）</w:t>
      </w:r>
      <w:r>
        <w:rPr>
          <w:rFonts w:hint="eastAsia" w:ascii="宋体" w:hAnsi="宋体" w:eastAsia="宋体" w:cs="宋体"/>
          <w:color w:val="auto"/>
          <w:highlight w:val="none"/>
        </w:rPr>
        <w:t>”电子交易规则调整，以最新要求为准。</w:t>
      </w:r>
    </w:p>
    <w:p w14:paraId="4D7A3C1C">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10.6 电子交易系统咨询：投标人应当充分考虑到电子投标可能会发生的各种问题和风险，特别是投标文件签署、提交等问题，可按照“第一章 招标公告”的联系方式咨询相关人员。</w:t>
      </w:r>
    </w:p>
    <w:p w14:paraId="05E799CE">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451E8B9E">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143" w:name="_Toc163492834"/>
      <w:bookmarkStart w:id="144" w:name="_Toc27586"/>
      <w:bookmarkStart w:id="145" w:name="_Toc2058"/>
      <w:bookmarkStart w:id="146" w:name="_Toc2606"/>
      <w:bookmarkStart w:id="147" w:name="_Toc25633"/>
      <w:r>
        <w:rPr>
          <w:rFonts w:hint="eastAsia" w:ascii="宋体" w:hAnsi="宋体" w:eastAsia="宋体" w:cs="宋体"/>
          <w:color w:val="auto"/>
          <w:sz w:val="24"/>
          <w:highlight w:val="none"/>
        </w:rPr>
        <w:t>（二）招标文件</w:t>
      </w:r>
      <w:bookmarkEnd w:id="142"/>
      <w:bookmarkEnd w:id="143"/>
      <w:bookmarkEnd w:id="144"/>
      <w:bookmarkEnd w:id="145"/>
      <w:bookmarkEnd w:id="146"/>
      <w:bookmarkEnd w:id="147"/>
    </w:p>
    <w:p w14:paraId="0558553F">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48" w:name="_Toc24167"/>
      <w:bookmarkStart w:id="149" w:name="_Toc140132768"/>
      <w:bookmarkStart w:id="150" w:name="_Toc163492835"/>
      <w:bookmarkStart w:id="151" w:name="_Toc7878"/>
      <w:bookmarkStart w:id="152" w:name="_Toc27444"/>
      <w:bookmarkStart w:id="153" w:name="_Toc11591"/>
      <w:r>
        <w:rPr>
          <w:rFonts w:hint="eastAsia" w:ascii="宋体" w:hAnsi="宋体" w:eastAsia="宋体" w:cs="宋体"/>
          <w:color w:val="auto"/>
          <w:sz w:val="24"/>
          <w:highlight w:val="none"/>
        </w:rPr>
        <w:t>11.招标文件的组成</w:t>
      </w:r>
      <w:bookmarkEnd w:id="148"/>
      <w:bookmarkEnd w:id="149"/>
      <w:bookmarkEnd w:id="150"/>
      <w:bookmarkEnd w:id="151"/>
      <w:bookmarkEnd w:id="152"/>
      <w:bookmarkEnd w:id="153"/>
    </w:p>
    <w:p w14:paraId="51815526">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11.1本招标文件包括下列文件及根据本章第9款、第12款对招标文件所作的澄清或者修改。</w:t>
      </w:r>
    </w:p>
    <w:p w14:paraId="4A458EB3">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第一章 </w:t>
      </w:r>
      <w:r>
        <w:rPr>
          <w:rFonts w:hint="eastAsia" w:ascii="宋体" w:hAnsi="宋体" w:eastAsia="宋体" w:cs="宋体"/>
          <w:color w:val="auto"/>
          <w:highlight w:val="none"/>
        </w:rPr>
        <w:t>招标公告</w:t>
      </w:r>
    </w:p>
    <w:p w14:paraId="4650B905">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第二章 投标人须知</w:t>
      </w:r>
    </w:p>
    <w:p w14:paraId="17EAF742">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第三章 采购需求</w:t>
      </w:r>
    </w:p>
    <w:p w14:paraId="3698A728">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第四章 资格审查</w:t>
      </w:r>
    </w:p>
    <w:p w14:paraId="7B44E493">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第五章 评标方法及标准</w:t>
      </w:r>
    </w:p>
    <w:p w14:paraId="2A797676">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第六章 合同草案</w:t>
      </w:r>
    </w:p>
    <w:p w14:paraId="6CB52E9A">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第七章 投标文件的格式</w:t>
      </w:r>
    </w:p>
    <w:p w14:paraId="1A1881C0">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54" w:name="_Toc140132769"/>
      <w:bookmarkStart w:id="155" w:name="_Toc163492836"/>
      <w:bookmarkStart w:id="156" w:name="_Toc20196"/>
      <w:bookmarkStart w:id="157" w:name="_Toc13699"/>
      <w:bookmarkStart w:id="158" w:name="_Toc30904"/>
      <w:bookmarkStart w:id="159" w:name="_Toc14064"/>
      <w:r>
        <w:rPr>
          <w:rFonts w:hint="eastAsia" w:ascii="宋体" w:hAnsi="宋体" w:eastAsia="宋体" w:cs="宋体"/>
          <w:color w:val="auto"/>
          <w:sz w:val="24"/>
          <w:highlight w:val="none"/>
        </w:rPr>
        <w:t>12.招标文件的询问、澄清或者修改</w:t>
      </w:r>
      <w:bookmarkEnd w:id="154"/>
      <w:bookmarkEnd w:id="155"/>
      <w:bookmarkEnd w:id="156"/>
      <w:bookmarkEnd w:id="157"/>
      <w:bookmarkEnd w:id="158"/>
      <w:bookmarkEnd w:id="159"/>
    </w:p>
    <w:p w14:paraId="7C4C0194">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 投标人对采购项目有疑问的，可以按照“投标人须知前附表”中的规定提出询问。提出后，请投标人及时通过交易平台“答疑文件下载”栏目查看答疑文件或澄清文件。必要时，采购代理机构将组织相关专家召开答疑会，如召开，答疑会安排另行通知。采购人或采购代理机构将在收到询问后依法予以答复。对招标文件询问的答复，在必要时将以澄清形式推送给每个获取招标文件的潜在投标人(答复中不包括问题的来源)。</w:t>
      </w:r>
    </w:p>
    <w:p w14:paraId="6F9C7907">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投标人在规定的时间内未对招标文件提出疑问或要求澄清的，采购代理机构将视其为同意，对在“投标人须知前附表”中“提出询问的时间要求”之后就招标文件内容提出的疑问及澄清要求将不予受理。</w:t>
      </w:r>
    </w:p>
    <w:p w14:paraId="3B9BDA48">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12.2 采购人或者采购代理机构可以对已发出的招标文件进行必要的澄清或者修改。</w:t>
      </w:r>
      <w:r>
        <w:rPr>
          <w:rFonts w:hint="eastAsia" w:ascii="宋体" w:hAnsi="宋体" w:eastAsia="宋体" w:cs="宋体"/>
          <w:color w:val="auto"/>
          <w:highlight w:val="none"/>
        </w:rPr>
        <w:t>澄清或修改的内容为招标文件的组成部分，并对所有获取招标文件的潜在投标人具有约束力。</w:t>
      </w:r>
    </w:p>
    <w:p w14:paraId="47E46DA4">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12.3 招标文件的澄清或者修改以当面交接、邮寄、传真或电子邮件、网站披露等其中至少一种方式，发给所有领取招标文件的潜在投标人，但不包括问题的来源。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23206A05">
      <w:pPr>
        <w:pStyle w:val="3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2</w:t>
      </w:r>
      <w:r>
        <w:rPr>
          <w:rFonts w:hint="eastAsia" w:ascii="宋体" w:hAnsi="宋体" w:eastAsia="宋体" w:cs="宋体"/>
          <w:color w:val="auto"/>
          <w:highlight w:val="none"/>
        </w:rPr>
        <w:t xml:space="preserve">.4 </w:t>
      </w:r>
      <w:r>
        <w:rPr>
          <w:rFonts w:hint="eastAsia" w:ascii="宋体" w:hAnsi="宋体" w:eastAsia="宋体" w:cs="宋体"/>
          <w:color w:val="auto"/>
          <w:szCs w:val="24"/>
          <w:highlight w:val="none"/>
          <w:lang w:val="en-US"/>
        </w:rPr>
        <w:t>“</w:t>
      </w:r>
      <w:r>
        <w:rPr>
          <w:rFonts w:hint="eastAsia" w:ascii="宋体" w:hAnsi="宋体" w:eastAsia="宋体" w:cs="宋体"/>
          <w:color w:val="auto"/>
          <w:szCs w:val="24"/>
          <w:highlight w:val="none"/>
        </w:rPr>
        <w:t>投标人须知”所称“</w:t>
      </w:r>
      <w:r>
        <w:rPr>
          <w:rFonts w:hint="eastAsia" w:ascii="宋体" w:hAnsi="宋体" w:eastAsia="宋体" w:cs="宋体"/>
          <w:color w:val="auto"/>
          <w:highlight w:val="none"/>
        </w:rPr>
        <w:t>书面形式</w:t>
      </w:r>
      <w:r>
        <w:rPr>
          <w:rFonts w:hint="eastAsia" w:ascii="宋体" w:hAnsi="宋体" w:eastAsia="宋体" w:cs="宋体"/>
          <w:color w:val="auto"/>
          <w:szCs w:val="24"/>
          <w:highlight w:val="none"/>
        </w:rPr>
        <w:t>”</w:t>
      </w:r>
      <w:r>
        <w:rPr>
          <w:rFonts w:hint="eastAsia" w:ascii="宋体" w:hAnsi="宋体" w:eastAsia="宋体" w:cs="宋体"/>
          <w:color w:val="auto"/>
          <w:highlight w:val="none"/>
        </w:rPr>
        <w:t>包括系统消息、政府采购</w:t>
      </w:r>
      <w:r>
        <w:rPr>
          <w:rFonts w:hint="eastAsia" w:ascii="宋体" w:hAnsi="宋体" w:eastAsia="宋体" w:cs="宋体"/>
          <w:color w:val="auto"/>
          <w:highlight w:val="none"/>
          <w:lang w:val="en-US"/>
        </w:rPr>
        <w:t>云平台</w:t>
      </w:r>
      <w:r>
        <w:rPr>
          <w:rFonts w:hint="eastAsia" w:ascii="宋体" w:hAnsi="宋体" w:eastAsia="宋体" w:cs="宋体"/>
          <w:color w:val="auto"/>
          <w:highlight w:val="none"/>
        </w:rPr>
        <w:t>发布的公告。</w:t>
      </w:r>
    </w:p>
    <w:p w14:paraId="0F3F730F">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12.5采购代理机构一旦对招标文件作出了澄清、修改，即刻发生效力，采购代理机构有关的澄清、修改文件，将作为招标文件的组成部分，对所有现实的或潜在的投标人均具有约束力，而无论是否已经实际收到上述文件。同时，采购代理机构和投标人的权利及义务将受到新的截止期的约束。</w:t>
      </w:r>
    </w:p>
    <w:p w14:paraId="46793DEA">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12.6采购代理机构对招标文件作出的澄清、修改在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371D8E9F">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160" w:name="_Toc155185872"/>
      <w:bookmarkStart w:id="161" w:name="_Toc195"/>
      <w:bookmarkStart w:id="162" w:name="_Toc163492837"/>
      <w:bookmarkStart w:id="163" w:name="_Toc3060"/>
      <w:bookmarkStart w:id="164" w:name="_Toc9097"/>
      <w:bookmarkStart w:id="165" w:name="_Toc13035"/>
      <w:r>
        <w:rPr>
          <w:rFonts w:hint="eastAsia" w:ascii="宋体" w:hAnsi="宋体" w:eastAsia="宋体" w:cs="宋体"/>
          <w:color w:val="auto"/>
          <w:sz w:val="24"/>
          <w:highlight w:val="none"/>
        </w:rPr>
        <w:t>（三）投标文件</w:t>
      </w:r>
      <w:bookmarkEnd w:id="160"/>
      <w:bookmarkEnd w:id="161"/>
      <w:bookmarkEnd w:id="162"/>
      <w:bookmarkEnd w:id="163"/>
      <w:bookmarkEnd w:id="164"/>
      <w:bookmarkEnd w:id="165"/>
    </w:p>
    <w:p w14:paraId="40C700AD">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66" w:name="_Toc163492838"/>
      <w:bookmarkStart w:id="167" w:name="_Toc30794"/>
      <w:bookmarkStart w:id="168" w:name="_Toc1776"/>
      <w:bookmarkStart w:id="169" w:name="_Toc13879"/>
      <w:bookmarkStart w:id="170" w:name="_Toc24818"/>
      <w:r>
        <w:rPr>
          <w:rFonts w:hint="eastAsia" w:ascii="宋体" w:hAnsi="宋体" w:eastAsia="宋体" w:cs="宋体"/>
          <w:color w:val="auto"/>
          <w:sz w:val="24"/>
          <w:highlight w:val="none"/>
        </w:rPr>
        <w:t>13.投标文件的组成</w:t>
      </w:r>
      <w:bookmarkEnd w:id="166"/>
      <w:bookmarkEnd w:id="167"/>
      <w:bookmarkEnd w:id="168"/>
      <w:bookmarkEnd w:id="169"/>
      <w:bookmarkEnd w:id="170"/>
    </w:p>
    <w:p w14:paraId="0AD84456">
      <w:pPr>
        <w:pStyle w:val="66"/>
        <w:spacing w:line="360" w:lineRule="auto"/>
        <w:ind w:firstLine="480" w:firstLineChars="200"/>
        <w:rPr>
          <w:rFonts w:hint="eastAsia" w:ascii="宋体" w:hAnsi="宋体" w:eastAsia="宋体" w:cs="宋体"/>
          <w:color w:val="auto"/>
          <w:kern w:val="2"/>
          <w:sz w:val="24"/>
          <w:szCs w:val="22"/>
          <w:highlight w:val="none"/>
        </w:rPr>
      </w:pPr>
      <w:bookmarkStart w:id="171" w:name="_Toc140132772"/>
      <w:bookmarkStart w:id="172" w:name="_Toc163492839"/>
      <w:r>
        <w:rPr>
          <w:rFonts w:hint="eastAsia" w:ascii="宋体" w:hAnsi="宋体" w:eastAsia="宋体" w:cs="宋体"/>
          <w:color w:val="auto"/>
          <w:kern w:val="2"/>
          <w:sz w:val="24"/>
          <w:szCs w:val="22"/>
          <w:highlight w:val="none"/>
        </w:rPr>
        <w:t>13.1投标人应完整地按招标文件提供的投标文件格式及要求编写投标文件，具体内容详见“第七章 投标文件格式”的相关内容。</w:t>
      </w:r>
    </w:p>
    <w:p w14:paraId="4CFECEE5">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13.2投标人应提交招标文件要求的证明文件，证明其投标内容符合招标文件规定，该证明文件是投标文件的一部分。证明文件形式可以是文字资料、图纸和数据</w:t>
      </w:r>
      <w:bookmarkStart w:id="173" w:name="_Hlk11703583"/>
      <w:r>
        <w:rPr>
          <w:rFonts w:hint="eastAsia" w:ascii="宋体" w:hAnsi="宋体" w:eastAsia="宋体" w:cs="宋体"/>
          <w:color w:val="auto"/>
          <w:kern w:val="2"/>
          <w:sz w:val="24"/>
          <w:szCs w:val="22"/>
          <w:highlight w:val="none"/>
        </w:rPr>
        <w:t>等。</w:t>
      </w:r>
    </w:p>
    <w:bookmarkEnd w:id="173"/>
    <w:p w14:paraId="3CCAFE0C">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13.3为保证公平公正，除非本招标文件另有规定或说明，投标人对同一项目投标时，不得同时提供备选投标方案。</w:t>
      </w:r>
    </w:p>
    <w:p w14:paraId="60C912D2">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74" w:name="_Toc16697"/>
      <w:bookmarkStart w:id="175" w:name="_Toc10265"/>
      <w:bookmarkStart w:id="176" w:name="_Toc893"/>
      <w:bookmarkStart w:id="177" w:name="_Toc12233"/>
      <w:r>
        <w:rPr>
          <w:rFonts w:hint="eastAsia" w:ascii="宋体" w:hAnsi="宋体" w:eastAsia="宋体" w:cs="宋体"/>
          <w:color w:val="auto"/>
          <w:sz w:val="24"/>
          <w:highlight w:val="none"/>
        </w:rPr>
        <w:t>14.投标报价</w:t>
      </w:r>
      <w:bookmarkEnd w:id="171"/>
      <w:bookmarkEnd w:id="172"/>
      <w:bookmarkEnd w:id="174"/>
      <w:bookmarkEnd w:id="175"/>
      <w:bookmarkEnd w:id="176"/>
      <w:bookmarkEnd w:id="177"/>
    </w:p>
    <w:p w14:paraId="031C4747">
      <w:pPr>
        <w:ind w:firstLine="480" w:firstLineChars="200"/>
        <w:rPr>
          <w:rFonts w:hint="eastAsia" w:ascii="宋体" w:hAnsi="宋体" w:eastAsia="宋体" w:cs="宋体"/>
          <w:snapToGrid w:val="0"/>
          <w:color w:val="auto"/>
          <w:szCs w:val="24"/>
          <w:highlight w:val="none"/>
          <w:lang w:val="zh-CN"/>
        </w:rPr>
      </w:pPr>
      <w:r>
        <w:rPr>
          <w:rFonts w:hint="eastAsia" w:ascii="宋体" w:hAnsi="宋体" w:eastAsia="宋体" w:cs="宋体"/>
          <w:snapToGrid w:val="0"/>
          <w:color w:val="auto"/>
          <w:szCs w:val="24"/>
          <w:highlight w:val="none"/>
        </w:rPr>
        <w:t xml:space="preserve">14.1 </w:t>
      </w:r>
      <w:r>
        <w:rPr>
          <w:rFonts w:hint="eastAsia" w:ascii="宋体" w:hAnsi="宋体" w:eastAsia="宋体" w:cs="宋体"/>
          <w:snapToGrid w:val="0"/>
          <w:color w:val="auto"/>
          <w:szCs w:val="24"/>
          <w:highlight w:val="none"/>
          <w:lang w:val="zh-CN"/>
        </w:rPr>
        <w:t>投标人的报价均应以人民币进行报价。</w:t>
      </w:r>
    </w:p>
    <w:p w14:paraId="01023D33">
      <w:pPr>
        <w:ind w:firstLine="480" w:firstLineChars="200"/>
        <w:rPr>
          <w:rFonts w:hint="eastAsia" w:ascii="宋体" w:hAnsi="宋体" w:eastAsia="宋体" w:cs="宋体"/>
          <w:snapToGrid w:val="0"/>
          <w:color w:val="auto"/>
          <w:szCs w:val="24"/>
          <w:highlight w:val="none"/>
        </w:rPr>
      </w:pPr>
      <w:r>
        <w:rPr>
          <w:rFonts w:hint="eastAsia" w:ascii="宋体" w:hAnsi="宋体" w:eastAsia="宋体" w:cs="宋体"/>
          <w:snapToGrid w:val="0"/>
          <w:color w:val="auto"/>
          <w:szCs w:val="24"/>
          <w:highlight w:val="none"/>
        </w:rPr>
        <w:t>14.2 投标人应按照本招标文件规定的报价方式进行报价，投标报价中不得包含招标文件要求以外的内容，否则，在评标时不予核减。投标报价中也不得缺漏招标文件所要求的内容，否则，其</w:t>
      </w:r>
      <w:r>
        <w:rPr>
          <w:rFonts w:hint="eastAsia" w:ascii="宋体" w:hAnsi="宋体" w:eastAsia="宋体" w:cs="宋体"/>
          <w:b/>
          <w:bCs/>
          <w:snapToGrid w:val="0"/>
          <w:color w:val="auto"/>
          <w:szCs w:val="24"/>
          <w:highlight w:val="none"/>
        </w:rPr>
        <w:t>投标无效</w:t>
      </w:r>
      <w:r>
        <w:rPr>
          <w:rFonts w:hint="eastAsia" w:ascii="宋体" w:hAnsi="宋体" w:eastAsia="宋体" w:cs="宋体"/>
          <w:snapToGrid w:val="0"/>
          <w:color w:val="auto"/>
          <w:szCs w:val="24"/>
          <w:highlight w:val="none"/>
        </w:rPr>
        <w:t>。</w:t>
      </w:r>
    </w:p>
    <w:p w14:paraId="50BB449C">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的报价应包括为完成本项目所发生的一切费用和税费，采购人将不再支付报价以外的任何费用。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22C47B50">
      <w:pPr>
        <w:pStyle w:val="7"/>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投标人的报价应包括但不限于下列内容： </w:t>
      </w:r>
    </w:p>
    <w:p w14:paraId="0E105634">
      <w:pPr>
        <w:pStyle w:val="7"/>
        <w:ind w:firstLine="480"/>
        <w:rPr>
          <w:rFonts w:hint="eastAsia" w:ascii="宋体" w:hAnsi="宋体" w:eastAsia="宋体" w:cs="宋体"/>
          <w:color w:val="auto"/>
          <w:highlight w:val="none"/>
        </w:rPr>
      </w:pPr>
      <w:r>
        <w:rPr>
          <w:rFonts w:hint="eastAsia" w:ascii="宋体" w:hAnsi="宋体" w:eastAsia="宋体" w:cs="宋体"/>
          <w:snapToGrid w:val="0"/>
          <w:color w:val="auto"/>
          <w:szCs w:val="24"/>
          <w:highlight w:val="none"/>
        </w:rPr>
        <w:t>14.2.1 投标货物及标准附件、备品备件、专用工具等的出厂价（包括已在中</w:t>
      </w:r>
      <w:r>
        <w:rPr>
          <w:rFonts w:hint="eastAsia" w:ascii="宋体" w:hAnsi="宋体" w:eastAsia="宋体" w:cs="宋体"/>
          <w:color w:val="auto"/>
          <w:highlight w:val="none"/>
        </w:rPr>
        <w:t xml:space="preserve">国国内的进口货物完税后的仓库交货价、展室交货价或货架交货价）和运至最终目的地的运输费和保险费，安装调试、检验、技术服务、培训、质量保证、售后服务、税费等； </w:t>
      </w:r>
    </w:p>
    <w:p w14:paraId="77047E5F">
      <w:pPr>
        <w:pStyle w:val="7"/>
        <w:ind w:firstLine="480"/>
        <w:rPr>
          <w:rFonts w:hint="eastAsia" w:ascii="宋体" w:hAnsi="宋体" w:eastAsia="宋体" w:cs="宋体"/>
          <w:snapToGrid w:val="0"/>
          <w:color w:val="auto"/>
          <w:szCs w:val="24"/>
          <w:highlight w:val="none"/>
        </w:rPr>
      </w:pPr>
      <w:r>
        <w:rPr>
          <w:rFonts w:hint="eastAsia" w:ascii="宋体" w:hAnsi="宋体" w:eastAsia="宋体" w:cs="宋体"/>
          <w:snapToGrid w:val="0"/>
          <w:color w:val="auto"/>
          <w:szCs w:val="24"/>
          <w:highlight w:val="none"/>
        </w:rPr>
        <w:t>14.2.2 按照招标文件要求完成本项目的全部相关费用。</w:t>
      </w:r>
    </w:p>
    <w:p w14:paraId="4EFD30F8">
      <w:pPr>
        <w:ind w:firstLine="480" w:firstLineChars="200"/>
        <w:rPr>
          <w:rFonts w:hint="eastAsia" w:ascii="宋体" w:hAnsi="宋体" w:eastAsia="宋体" w:cs="宋体"/>
          <w:snapToGrid w:val="0"/>
          <w:color w:val="auto"/>
          <w:szCs w:val="24"/>
          <w:highlight w:val="none"/>
          <w:lang w:val="zh-CN"/>
        </w:rPr>
      </w:pPr>
      <w:r>
        <w:rPr>
          <w:rFonts w:hint="eastAsia" w:ascii="宋体" w:hAnsi="宋体" w:eastAsia="宋体" w:cs="宋体"/>
          <w:snapToGrid w:val="0"/>
          <w:color w:val="auto"/>
          <w:szCs w:val="24"/>
          <w:highlight w:val="none"/>
        </w:rPr>
        <w:t xml:space="preserve">14.3 </w:t>
      </w:r>
      <w:r>
        <w:rPr>
          <w:rFonts w:hint="eastAsia" w:ascii="宋体" w:hAnsi="宋体" w:eastAsia="宋体" w:cs="宋体"/>
          <w:color w:val="auto"/>
          <w:highlight w:val="none"/>
        </w:rPr>
        <w:t>投标人须严格按照分项报价表规定的内容填写货物单价以及其他事项。</w:t>
      </w:r>
      <w:r>
        <w:rPr>
          <w:rFonts w:hint="eastAsia" w:ascii="宋体" w:hAnsi="宋体" w:eastAsia="宋体" w:cs="宋体"/>
          <w:snapToGrid w:val="0"/>
          <w:color w:val="auto"/>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ascii="宋体" w:hAnsi="宋体" w:eastAsia="宋体" w:cs="宋体"/>
          <w:snapToGrid w:val="0"/>
          <w:color w:val="auto"/>
          <w:szCs w:val="24"/>
          <w:highlight w:val="none"/>
        </w:rPr>
        <w:t>缴</w:t>
      </w:r>
      <w:r>
        <w:rPr>
          <w:rFonts w:hint="eastAsia" w:ascii="宋体" w:hAnsi="宋体" w:eastAsia="宋体" w:cs="宋体"/>
          <w:snapToGrid w:val="0"/>
          <w:color w:val="auto"/>
          <w:szCs w:val="24"/>
          <w:highlight w:val="none"/>
          <w:lang w:val="zh-CN"/>
        </w:rPr>
        <w:t>纳的费用都应包括在投标人提交的投标报价中。</w:t>
      </w:r>
    </w:p>
    <w:p w14:paraId="6DE0C902">
      <w:pPr>
        <w:ind w:firstLine="480" w:firstLineChars="200"/>
        <w:rPr>
          <w:rFonts w:hint="eastAsia" w:ascii="宋体" w:hAnsi="宋体" w:eastAsia="宋体" w:cs="宋体"/>
          <w:snapToGrid w:val="0"/>
          <w:color w:val="auto"/>
          <w:szCs w:val="24"/>
          <w:highlight w:val="none"/>
        </w:rPr>
      </w:pPr>
      <w:r>
        <w:rPr>
          <w:rFonts w:hint="eastAsia" w:ascii="宋体" w:hAnsi="宋体" w:eastAsia="宋体" w:cs="宋体"/>
          <w:snapToGrid w:val="0"/>
          <w:color w:val="auto"/>
          <w:szCs w:val="24"/>
          <w:highlight w:val="none"/>
        </w:rPr>
        <w:t>14.4 投标人在投标文件中注明免费的项目将视为包含在投标报价中。</w:t>
      </w:r>
    </w:p>
    <w:p w14:paraId="2B9F556D">
      <w:pPr>
        <w:pStyle w:val="7"/>
        <w:ind w:firstLine="480"/>
        <w:rPr>
          <w:rFonts w:hint="eastAsia" w:ascii="宋体" w:hAnsi="宋体" w:eastAsia="宋体" w:cs="宋体"/>
          <w:color w:val="auto"/>
          <w:highlight w:val="none"/>
        </w:rPr>
      </w:pPr>
      <w:r>
        <w:rPr>
          <w:rFonts w:hint="eastAsia" w:ascii="宋体" w:hAnsi="宋体" w:eastAsia="宋体" w:cs="宋体"/>
          <w:snapToGrid w:val="0"/>
          <w:color w:val="auto"/>
          <w:szCs w:val="24"/>
          <w:highlight w:val="none"/>
        </w:rPr>
        <w:t>14.5 每一种采购内容只允许有一个报价，否则其</w:t>
      </w:r>
      <w:r>
        <w:rPr>
          <w:rFonts w:hint="eastAsia" w:ascii="宋体" w:hAnsi="宋体" w:eastAsia="宋体" w:cs="宋体"/>
          <w:b/>
          <w:bCs/>
          <w:snapToGrid w:val="0"/>
          <w:color w:val="auto"/>
          <w:szCs w:val="24"/>
          <w:highlight w:val="none"/>
        </w:rPr>
        <w:t>投标无效</w:t>
      </w:r>
      <w:r>
        <w:rPr>
          <w:rFonts w:hint="eastAsia" w:ascii="宋体" w:hAnsi="宋体" w:eastAsia="宋体" w:cs="宋体"/>
          <w:snapToGrid w:val="0"/>
          <w:color w:val="auto"/>
          <w:szCs w:val="24"/>
          <w:highlight w:val="none"/>
        </w:rPr>
        <w:t>。</w:t>
      </w:r>
      <w:r>
        <w:rPr>
          <w:rFonts w:hint="eastAsia" w:ascii="宋体" w:hAnsi="宋体" w:eastAsia="宋体" w:cs="宋体"/>
          <w:color w:val="auto"/>
          <w:highlight w:val="none"/>
        </w:rPr>
        <w:t>除非招标文件另有规定，不接受可选择或可调整的投标方案和报价，任何有选择的或可调整的投标方案和报价将被视为非实质性响应招标文件,其</w:t>
      </w:r>
      <w:r>
        <w:rPr>
          <w:rFonts w:hint="eastAsia" w:ascii="宋体" w:hAnsi="宋体" w:eastAsia="宋体" w:cs="宋体"/>
          <w:b/>
          <w:bCs/>
          <w:snapToGrid w:val="0"/>
          <w:color w:val="auto"/>
          <w:szCs w:val="24"/>
          <w:highlight w:val="none"/>
        </w:rPr>
        <w:t>投标无效</w:t>
      </w:r>
      <w:r>
        <w:rPr>
          <w:rFonts w:hint="eastAsia" w:ascii="宋体" w:hAnsi="宋体" w:eastAsia="宋体" w:cs="宋体"/>
          <w:color w:val="auto"/>
          <w:highlight w:val="none"/>
        </w:rPr>
        <w:t>。</w:t>
      </w:r>
    </w:p>
    <w:p w14:paraId="6AFD25CC">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14.6 投标报价不得超过“</w:t>
      </w:r>
      <w:r>
        <w:rPr>
          <w:rFonts w:hint="eastAsia" w:ascii="宋体" w:hAnsi="宋体" w:eastAsia="宋体" w:cs="宋体"/>
          <w:color w:val="auto"/>
          <w:highlight w:val="none"/>
        </w:rPr>
        <w:t>第一章 招标公告</w:t>
      </w:r>
      <w:r>
        <w:rPr>
          <w:rFonts w:hint="eastAsia" w:ascii="宋体" w:hAnsi="宋体" w:eastAsia="宋体" w:cs="宋体"/>
          <w:color w:val="auto"/>
          <w:szCs w:val="24"/>
          <w:highlight w:val="none"/>
        </w:rPr>
        <w:t>”中规定的最高投标限价</w:t>
      </w:r>
      <w:r>
        <w:rPr>
          <w:rFonts w:hint="eastAsia" w:ascii="宋体" w:hAnsi="宋体" w:eastAsia="宋体" w:cs="宋体"/>
          <w:color w:val="auto"/>
          <w:highlight w:val="none"/>
        </w:rPr>
        <w:t>或者预算金额</w:t>
      </w:r>
      <w:r>
        <w:rPr>
          <w:rFonts w:hint="eastAsia" w:ascii="宋体" w:hAnsi="宋体" w:eastAsia="宋体" w:cs="宋体"/>
          <w:color w:val="auto"/>
          <w:szCs w:val="24"/>
          <w:highlight w:val="none"/>
        </w:rPr>
        <w:t>，否则评标委员会将对其作</w:t>
      </w:r>
      <w:r>
        <w:rPr>
          <w:rFonts w:hint="eastAsia" w:ascii="宋体" w:hAnsi="宋体" w:eastAsia="宋体" w:cs="宋体"/>
          <w:b/>
          <w:bCs/>
          <w:color w:val="auto"/>
          <w:szCs w:val="24"/>
          <w:highlight w:val="none"/>
        </w:rPr>
        <w:t>无效投标处理</w:t>
      </w:r>
      <w:r>
        <w:rPr>
          <w:rFonts w:hint="eastAsia" w:ascii="宋体" w:hAnsi="宋体" w:eastAsia="宋体" w:cs="宋体"/>
          <w:color w:val="auto"/>
          <w:szCs w:val="24"/>
          <w:highlight w:val="none"/>
        </w:rPr>
        <w:t>。</w:t>
      </w:r>
    </w:p>
    <w:p w14:paraId="63CDC558">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14.7 投标人对投标报价若有说明应在投标文件中显著处注明。</w:t>
      </w:r>
    </w:p>
    <w:p w14:paraId="091BFA33">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1E076748">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4D9912BB">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14.9 最低报价不能作为中标的保证。</w:t>
      </w:r>
    </w:p>
    <w:p w14:paraId="7EB05058">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14.10</w:t>
      </w:r>
      <w:r>
        <w:rPr>
          <w:rFonts w:hint="eastAsia" w:ascii="宋体" w:hAnsi="宋体" w:eastAsia="宋体" w:cs="宋体"/>
          <w:color w:val="auto"/>
          <w:kern w:val="0"/>
          <w:szCs w:val="24"/>
          <w:highlight w:val="none"/>
        </w:rPr>
        <w:t>采购人不得向投标人索要或者接受其给予的赠品、回扣或者与采购无关的其他商品、服务。</w:t>
      </w:r>
    </w:p>
    <w:p w14:paraId="4269CBA9">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78" w:name="_Toc2907"/>
      <w:bookmarkStart w:id="179" w:name="_Toc4011"/>
      <w:bookmarkStart w:id="180" w:name="_Toc163492840"/>
      <w:bookmarkStart w:id="181" w:name="_Toc140132773"/>
      <w:bookmarkStart w:id="182" w:name="_Toc15358"/>
      <w:bookmarkStart w:id="183" w:name="_Toc11990"/>
      <w:r>
        <w:rPr>
          <w:rFonts w:hint="eastAsia" w:ascii="宋体" w:hAnsi="宋体" w:eastAsia="宋体" w:cs="宋体"/>
          <w:color w:val="auto"/>
          <w:sz w:val="24"/>
          <w:highlight w:val="none"/>
        </w:rPr>
        <w:t>15.投标有效期</w:t>
      </w:r>
      <w:bookmarkEnd w:id="178"/>
      <w:bookmarkEnd w:id="179"/>
      <w:bookmarkEnd w:id="180"/>
      <w:bookmarkEnd w:id="181"/>
      <w:bookmarkEnd w:id="182"/>
      <w:bookmarkEnd w:id="183"/>
    </w:p>
    <w:p w14:paraId="0FD2EF0C">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15.1 </w:t>
      </w:r>
      <w:r>
        <w:rPr>
          <w:rFonts w:hint="eastAsia" w:ascii="宋体" w:hAnsi="宋体" w:eastAsia="宋体" w:cs="宋体"/>
          <w:color w:val="auto"/>
          <w:kern w:val="0"/>
          <w:szCs w:val="21"/>
          <w:highlight w:val="none"/>
        </w:rPr>
        <w:t>投标有效期</w:t>
      </w:r>
      <w:r>
        <w:rPr>
          <w:rFonts w:hint="eastAsia" w:ascii="宋体" w:hAnsi="宋体" w:eastAsia="宋体" w:cs="宋体"/>
          <w:color w:val="auto"/>
          <w:szCs w:val="24"/>
          <w:highlight w:val="none"/>
        </w:rPr>
        <w:t>见“第二章 投标人须知前附表”，投标人承诺的投标有效期</w:t>
      </w:r>
      <w:r>
        <w:rPr>
          <w:rFonts w:hint="eastAsia" w:ascii="宋体" w:hAnsi="宋体" w:eastAsia="宋体" w:cs="宋体"/>
          <w:snapToGrid w:val="0"/>
          <w:color w:val="auto"/>
          <w:highlight w:val="none"/>
          <w:lang w:val="zh-CN"/>
        </w:rPr>
        <w:t>少于</w:t>
      </w:r>
      <w:r>
        <w:rPr>
          <w:rFonts w:hint="eastAsia" w:ascii="宋体" w:hAnsi="宋体" w:eastAsia="宋体" w:cs="宋体"/>
          <w:snapToGrid w:val="0"/>
          <w:color w:val="auto"/>
          <w:highlight w:val="none"/>
        </w:rPr>
        <w:t>招标</w:t>
      </w:r>
      <w:r>
        <w:rPr>
          <w:rFonts w:hint="eastAsia" w:ascii="宋体" w:hAnsi="宋体" w:eastAsia="宋体" w:cs="宋体"/>
          <w:snapToGrid w:val="0"/>
          <w:color w:val="auto"/>
          <w:highlight w:val="none"/>
          <w:lang w:val="zh-CN"/>
        </w:rPr>
        <w:t>文件规定期限的，其</w:t>
      </w:r>
      <w:r>
        <w:rPr>
          <w:rFonts w:hint="eastAsia" w:ascii="宋体" w:hAnsi="宋体" w:eastAsia="宋体" w:cs="宋体"/>
          <w:b/>
          <w:bCs/>
          <w:snapToGrid w:val="0"/>
          <w:color w:val="auto"/>
          <w:highlight w:val="none"/>
        </w:rPr>
        <w:t>投标</w:t>
      </w:r>
      <w:r>
        <w:rPr>
          <w:rFonts w:hint="eastAsia" w:ascii="宋体" w:hAnsi="宋体" w:eastAsia="宋体" w:cs="宋体"/>
          <w:b/>
          <w:bCs/>
          <w:snapToGrid w:val="0"/>
          <w:color w:val="auto"/>
          <w:highlight w:val="none"/>
          <w:lang w:val="zh-CN"/>
        </w:rPr>
        <w:t>无效</w:t>
      </w:r>
      <w:r>
        <w:rPr>
          <w:rFonts w:hint="eastAsia" w:ascii="宋体" w:hAnsi="宋体" w:eastAsia="宋体" w:cs="宋体"/>
          <w:snapToGrid w:val="0"/>
          <w:color w:val="auto"/>
          <w:highlight w:val="none"/>
          <w:lang w:val="zh-CN"/>
        </w:rPr>
        <w:t>。</w:t>
      </w:r>
    </w:p>
    <w:p w14:paraId="071B6535">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182F1189">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15.3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443D109F">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15.4投标人同意延长的，</w:t>
      </w:r>
      <w:r>
        <w:rPr>
          <w:rFonts w:hint="eastAsia" w:ascii="宋体" w:hAnsi="宋体" w:eastAsia="宋体" w:cs="宋体"/>
          <w:color w:val="auto"/>
          <w:highlight w:val="none"/>
        </w:rPr>
        <w:t>其投标保证金的有效期也相应延长，但</w:t>
      </w:r>
      <w:r>
        <w:rPr>
          <w:rFonts w:hint="eastAsia" w:ascii="宋体" w:hAnsi="宋体" w:eastAsia="宋体" w:cs="宋体"/>
          <w:color w:val="auto"/>
          <w:szCs w:val="24"/>
          <w:highlight w:val="none"/>
        </w:rPr>
        <w:t>不得要求或被允许修改或撤销其投标文件；投标人拒绝延长的，其投标文件在原投标有效期满后将不再有效，但其提交的投标保证金可予以退还。</w:t>
      </w:r>
    </w:p>
    <w:p w14:paraId="45FFD63D">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84" w:name="_Toc25519"/>
      <w:bookmarkStart w:id="185" w:name="_Toc18088"/>
      <w:bookmarkStart w:id="186" w:name="_Toc17233"/>
      <w:bookmarkStart w:id="187" w:name="_Toc140132774"/>
      <w:bookmarkStart w:id="188" w:name="_Toc163492841"/>
      <w:bookmarkStart w:id="189" w:name="_Toc22098"/>
      <w:r>
        <w:rPr>
          <w:rFonts w:hint="eastAsia" w:ascii="宋体" w:hAnsi="宋体" w:eastAsia="宋体" w:cs="宋体"/>
          <w:color w:val="auto"/>
          <w:sz w:val="24"/>
          <w:highlight w:val="none"/>
        </w:rPr>
        <w:t>16.投标文件的编制</w:t>
      </w:r>
      <w:bookmarkEnd w:id="184"/>
      <w:bookmarkEnd w:id="185"/>
      <w:bookmarkEnd w:id="186"/>
      <w:bookmarkEnd w:id="187"/>
      <w:bookmarkEnd w:id="188"/>
      <w:bookmarkEnd w:id="189"/>
    </w:p>
    <w:p w14:paraId="148257A2">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16.1投标文件应在供应商客户端中进行编制，在投标文件中要求加盖印章的，除有特殊说明之外，可使用电子签章签署。</w:t>
      </w:r>
    </w:p>
    <w:p w14:paraId="0A683F43">
      <w:pPr>
        <w:pStyle w:val="3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bookmarkStart w:id="190" w:name="_Hlk143528557"/>
      <w:r>
        <w:rPr>
          <w:rFonts w:hint="eastAsia" w:ascii="宋体" w:hAnsi="宋体" w:eastAsia="宋体" w:cs="宋体"/>
          <w:color w:val="auto"/>
          <w:highlight w:val="none"/>
        </w:rPr>
        <w:t>2投标人在供应商客户端中按照供应商客户端中的格式要求填写响应内容后，生成投标文件。投标人须按照招标文件的要求使用电子签章对要求加盖印章的部分逐一进行签章。</w:t>
      </w:r>
      <w:bookmarkEnd w:id="190"/>
    </w:p>
    <w:p w14:paraId="62A1FDBB">
      <w:pPr>
        <w:pStyle w:val="3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3</w:t>
      </w:r>
      <w:r>
        <w:rPr>
          <w:rFonts w:hint="eastAsia" w:ascii="宋体" w:hAnsi="宋体" w:eastAsia="宋体" w:cs="宋体"/>
          <w:color w:val="auto"/>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cs="宋体"/>
          <w:b/>
          <w:bCs/>
          <w:color w:val="auto"/>
          <w:highlight w:val="none"/>
        </w:rPr>
        <w:t>导致</w:t>
      </w:r>
      <w:r>
        <w:rPr>
          <w:rFonts w:hint="eastAsia" w:ascii="宋体" w:hAnsi="宋体" w:eastAsia="宋体" w:cs="宋体"/>
          <w:b/>
          <w:bCs/>
          <w:color w:val="auto"/>
          <w:highlight w:val="none"/>
          <w:lang w:val="en-US"/>
        </w:rPr>
        <w:t>其</w:t>
      </w:r>
      <w:r>
        <w:rPr>
          <w:rFonts w:hint="eastAsia" w:ascii="宋体" w:hAnsi="宋体" w:eastAsia="宋体" w:cs="宋体"/>
          <w:b/>
          <w:bCs/>
          <w:color w:val="auto"/>
          <w:highlight w:val="none"/>
        </w:rPr>
        <w:t>投标</w:t>
      </w:r>
      <w:r>
        <w:rPr>
          <w:rFonts w:hint="eastAsia" w:ascii="宋体" w:hAnsi="宋体" w:eastAsia="宋体" w:cs="宋体"/>
          <w:b/>
          <w:bCs/>
          <w:color w:val="auto"/>
          <w:highlight w:val="none"/>
          <w:lang w:val="en-US"/>
        </w:rPr>
        <w:t>无效</w:t>
      </w:r>
      <w:r>
        <w:rPr>
          <w:rFonts w:hint="eastAsia" w:ascii="宋体" w:hAnsi="宋体" w:eastAsia="宋体" w:cs="宋体"/>
          <w:color w:val="auto"/>
          <w:highlight w:val="none"/>
        </w:rPr>
        <w:t>。</w:t>
      </w:r>
    </w:p>
    <w:p w14:paraId="79A0FCCE">
      <w:pPr>
        <w:pStyle w:val="3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4</w:t>
      </w:r>
      <w:r>
        <w:rPr>
          <w:rFonts w:hint="eastAsia" w:ascii="宋体" w:hAnsi="宋体" w:eastAsia="宋体" w:cs="宋体"/>
          <w:color w:val="auto"/>
          <w:highlight w:val="none"/>
        </w:rPr>
        <w:t>投标文件须严格按照</w:t>
      </w:r>
      <w:r>
        <w:rPr>
          <w:rFonts w:hint="eastAsia" w:ascii="宋体" w:hAnsi="宋体" w:eastAsia="宋体" w:cs="宋体"/>
          <w:color w:val="auto"/>
          <w:highlight w:val="none"/>
          <w:lang w:val="en-US"/>
        </w:rPr>
        <w:t>本</w:t>
      </w:r>
      <w:r>
        <w:rPr>
          <w:rFonts w:hint="eastAsia" w:ascii="宋体" w:hAnsi="宋体" w:eastAsia="宋体" w:cs="宋体"/>
          <w:color w:val="auto"/>
          <w:highlight w:val="none"/>
        </w:rPr>
        <w:t>招标文件第</w:t>
      </w:r>
      <w:r>
        <w:rPr>
          <w:rFonts w:hint="eastAsia" w:ascii="宋体" w:hAnsi="宋体" w:eastAsia="宋体" w:cs="宋体"/>
          <w:color w:val="auto"/>
          <w:highlight w:val="none"/>
          <w:lang w:val="en-US"/>
        </w:rPr>
        <w:t>七章</w:t>
      </w:r>
      <w:r>
        <w:rPr>
          <w:rFonts w:hint="eastAsia" w:ascii="宋体" w:hAnsi="宋体" w:eastAsia="宋体" w:cs="宋体"/>
          <w:color w:val="auto"/>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339717BF">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ascii="宋体" w:hAnsi="宋体" w:eastAsia="宋体" w:cs="宋体"/>
          <w:b/>
          <w:bCs/>
          <w:color w:val="auto"/>
          <w:highlight w:val="none"/>
          <w:lang w:val="en-US"/>
        </w:rPr>
        <w:t>视为未响应</w:t>
      </w:r>
      <w:r>
        <w:rPr>
          <w:rFonts w:hint="eastAsia" w:ascii="宋体" w:hAnsi="宋体" w:eastAsia="宋体" w:cs="宋体"/>
          <w:color w:val="auto"/>
          <w:highlight w:val="none"/>
          <w:lang w:val="en-US"/>
        </w:rPr>
        <w:t>。</w:t>
      </w:r>
    </w:p>
    <w:p w14:paraId="2B755C89">
      <w:pPr>
        <w:pStyle w:val="3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6</w:t>
      </w:r>
      <w:r>
        <w:rPr>
          <w:rFonts w:hint="eastAsia" w:ascii="宋体" w:hAnsi="宋体" w:eastAsia="宋体" w:cs="宋体"/>
          <w:color w:val="auto"/>
          <w:highlight w:val="none"/>
        </w:rPr>
        <w:t>开标一览表为在开标</w:t>
      </w:r>
      <w:r>
        <w:rPr>
          <w:rFonts w:hint="eastAsia" w:ascii="宋体" w:hAnsi="宋体" w:eastAsia="宋体" w:cs="宋体"/>
          <w:color w:val="auto"/>
          <w:highlight w:val="none"/>
          <w:lang w:val="en-US"/>
        </w:rPr>
        <w:t>时</w:t>
      </w:r>
      <w:r>
        <w:rPr>
          <w:rFonts w:hint="eastAsia" w:ascii="宋体" w:hAnsi="宋体" w:eastAsia="宋体" w:cs="宋体"/>
          <w:color w:val="auto"/>
          <w:highlight w:val="none"/>
        </w:rPr>
        <w:t>唱标的内容，要求按格式统一填写，不得自行增减内容。</w:t>
      </w:r>
    </w:p>
    <w:p w14:paraId="49DDA8AF">
      <w:pPr>
        <w:pStyle w:val="3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7</w:t>
      </w:r>
      <w:r>
        <w:rPr>
          <w:rFonts w:hint="eastAsia" w:ascii="宋体" w:hAnsi="宋体" w:eastAsia="宋体" w:cs="宋体"/>
          <w:color w:val="auto"/>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宋体" w:hAnsi="宋体" w:eastAsia="宋体" w:cs="宋体"/>
          <w:color w:val="auto"/>
          <w:highlight w:val="none"/>
          <w:lang w:val="en-US"/>
        </w:rPr>
        <w:t>按</w:t>
      </w:r>
      <w:r>
        <w:rPr>
          <w:rFonts w:hint="eastAsia" w:ascii="宋体" w:hAnsi="宋体" w:eastAsia="宋体" w:cs="宋体"/>
          <w:b/>
          <w:bCs/>
          <w:color w:val="auto"/>
          <w:highlight w:val="none"/>
          <w:lang w:val="en-US"/>
        </w:rPr>
        <w:t>无效投标</w:t>
      </w:r>
      <w:r>
        <w:rPr>
          <w:rFonts w:hint="eastAsia" w:ascii="宋体" w:hAnsi="宋体" w:eastAsia="宋体" w:cs="宋体"/>
          <w:color w:val="auto"/>
          <w:highlight w:val="none"/>
        </w:rPr>
        <w:t>处理。</w:t>
      </w:r>
    </w:p>
    <w:p w14:paraId="0DD1724B">
      <w:pPr>
        <w:pStyle w:val="3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8</w:t>
      </w:r>
      <w:r>
        <w:rPr>
          <w:rFonts w:hint="eastAsia" w:ascii="宋体" w:hAnsi="宋体" w:eastAsia="宋体" w:cs="宋体"/>
          <w:color w:val="auto"/>
          <w:highlight w:val="none"/>
        </w:rPr>
        <w:t>投标人必须保证投标文件所提供的全部资料真实可靠，并接受采购</w:t>
      </w:r>
      <w:r>
        <w:rPr>
          <w:rFonts w:hint="eastAsia" w:ascii="宋体" w:hAnsi="宋体" w:eastAsia="宋体" w:cs="宋体"/>
          <w:color w:val="auto"/>
          <w:highlight w:val="none"/>
          <w:lang w:val="en-US"/>
        </w:rPr>
        <w:t>人、采购</w:t>
      </w:r>
      <w:r>
        <w:rPr>
          <w:rFonts w:hint="eastAsia" w:ascii="宋体" w:hAnsi="宋体" w:eastAsia="宋体" w:cs="宋体"/>
          <w:color w:val="auto"/>
          <w:highlight w:val="none"/>
        </w:rPr>
        <w:t>代理机构或评标委员会对其中任何资料进一步审查的要求。</w:t>
      </w:r>
    </w:p>
    <w:p w14:paraId="3C5C5806">
      <w:pPr>
        <w:pStyle w:val="3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9</w:t>
      </w:r>
      <w:r>
        <w:rPr>
          <w:rFonts w:hint="eastAsia" w:ascii="宋体" w:hAnsi="宋体" w:eastAsia="宋体" w:cs="宋体"/>
          <w:color w:val="auto"/>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color w:val="auto"/>
          <w:highlight w:val="none"/>
        </w:rPr>
        <w:t>无效投标</w:t>
      </w:r>
      <w:r>
        <w:rPr>
          <w:rFonts w:hint="eastAsia" w:ascii="宋体" w:hAnsi="宋体" w:eastAsia="宋体" w:cs="宋体"/>
          <w:color w:val="auto"/>
          <w:highlight w:val="none"/>
        </w:rPr>
        <w:t>处理。</w:t>
      </w:r>
    </w:p>
    <w:p w14:paraId="2619E3E4">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16.10电子投标文件的编制</w:t>
      </w:r>
    </w:p>
    <w:p w14:paraId="301B924A">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 xml:space="preserve">16.10.1电子投标文件需按招标文件要求进行制作编制。投标文件制作时，不同内容按标签提示制作导入，按照招标文件中明确的投标文件目录和格式进行编制，保证目录清晰、内容完整；           </w:t>
      </w:r>
    </w:p>
    <w:p w14:paraId="1C895C30">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宋体"/>
          <w:b/>
          <w:bCs/>
          <w:iCs/>
          <w:color w:val="auto"/>
          <w:kern w:val="2"/>
          <w:sz w:val="24"/>
          <w:szCs w:val="22"/>
          <w:highlight w:val="none"/>
          <w:shd w:val="clear" w:color="auto" w:fill="FFFFFF"/>
        </w:rPr>
        <w:t>其投标无效</w:t>
      </w:r>
      <w:r>
        <w:rPr>
          <w:rFonts w:hint="eastAsia" w:ascii="宋体" w:hAnsi="宋体" w:eastAsia="宋体" w:cs="宋体"/>
          <w:iCs/>
          <w:color w:val="auto"/>
          <w:kern w:val="2"/>
          <w:sz w:val="24"/>
          <w:szCs w:val="22"/>
          <w:highlight w:val="none"/>
          <w:shd w:val="clear" w:color="auto" w:fill="FFFFFF"/>
        </w:rPr>
        <w:t xml:space="preserve">。 </w:t>
      </w:r>
    </w:p>
    <w:p w14:paraId="15186656">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191" w:name="_Toc3198"/>
      <w:bookmarkStart w:id="192" w:name="_Toc4470"/>
      <w:bookmarkStart w:id="193" w:name="_Toc163492842"/>
      <w:bookmarkStart w:id="194" w:name="_Toc17210"/>
      <w:bookmarkStart w:id="195" w:name="_Toc29237"/>
      <w:bookmarkStart w:id="196" w:name="_Toc155185873"/>
      <w:r>
        <w:rPr>
          <w:rFonts w:hint="eastAsia" w:ascii="宋体" w:hAnsi="宋体" w:eastAsia="宋体" w:cs="宋体"/>
          <w:color w:val="auto"/>
          <w:sz w:val="24"/>
          <w:highlight w:val="none"/>
        </w:rPr>
        <w:t>（四）投标</w:t>
      </w:r>
      <w:bookmarkEnd w:id="191"/>
      <w:bookmarkEnd w:id="192"/>
      <w:bookmarkEnd w:id="193"/>
      <w:bookmarkEnd w:id="194"/>
      <w:bookmarkEnd w:id="195"/>
      <w:bookmarkEnd w:id="196"/>
    </w:p>
    <w:p w14:paraId="3CB9EB2D">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97" w:name="_Toc18595"/>
      <w:bookmarkStart w:id="198" w:name="_Toc28270"/>
      <w:bookmarkStart w:id="199" w:name="_Toc22324"/>
      <w:bookmarkStart w:id="200" w:name="_Toc4876"/>
      <w:bookmarkStart w:id="201" w:name="_Toc163492843"/>
      <w:r>
        <w:rPr>
          <w:rFonts w:hint="eastAsia" w:ascii="宋体" w:hAnsi="宋体" w:eastAsia="宋体" w:cs="宋体"/>
          <w:color w:val="auto"/>
          <w:sz w:val="24"/>
          <w:highlight w:val="none"/>
        </w:rPr>
        <w:t>17.投标保证金</w:t>
      </w:r>
      <w:bookmarkEnd w:id="197"/>
      <w:bookmarkEnd w:id="198"/>
      <w:bookmarkEnd w:id="199"/>
      <w:bookmarkEnd w:id="200"/>
    </w:p>
    <w:p w14:paraId="03FCC723">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17.1投标人应按照招标文件“第二章 投标人须知前附表”规定的金额及要求提交投标保证金。投标人自愿超额缴纳投标保证金的，投标文件不做无效处理。</w:t>
      </w:r>
    </w:p>
    <w:p w14:paraId="14CB62CC">
      <w:pPr>
        <w:ind w:firstLine="480" w:firstLineChars="200"/>
        <w:rPr>
          <w:rFonts w:hint="eastAsia" w:ascii="宋体" w:hAnsi="宋体" w:eastAsia="宋体" w:cs="宋体"/>
          <w:color w:val="auto"/>
          <w:highlight w:val="none"/>
        </w:rPr>
      </w:pPr>
      <w:r>
        <w:rPr>
          <w:rFonts w:hint="eastAsia" w:ascii="宋体" w:hAnsi="宋体" w:eastAsia="宋体" w:cs="宋体"/>
          <w:iCs/>
          <w:color w:val="auto"/>
          <w:highlight w:val="none"/>
          <w:shd w:val="clear" w:color="auto" w:fill="FFFFFF"/>
        </w:rPr>
        <w:t>17.2提交投标保证金可采用的形式：政府采购法律法规接受的支票、汇票、本票、网上银行支付或者金融机构、担保机构出具的保函等非现金形式。</w:t>
      </w:r>
      <w:r>
        <w:rPr>
          <w:rFonts w:hint="eastAsia" w:ascii="宋体" w:hAnsi="宋体" w:eastAsia="宋体" w:cs="宋体"/>
          <w:color w:val="auto"/>
          <w:highlight w:val="none"/>
        </w:rPr>
        <w:t>投标人未按照招标文件要求提交投标保证金的，其</w:t>
      </w:r>
      <w:r>
        <w:rPr>
          <w:rFonts w:hint="eastAsia" w:ascii="宋体" w:hAnsi="宋体" w:eastAsia="宋体" w:cs="宋体"/>
          <w:b/>
          <w:bCs/>
          <w:color w:val="auto"/>
          <w:highlight w:val="none"/>
        </w:rPr>
        <w:t>投标无效</w:t>
      </w:r>
      <w:r>
        <w:rPr>
          <w:rFonts w:hint="eastAsia" w:ascii="宋体" w:hAnsi="宋体" w:eastAsia="宋体" w:cs="宋体"/>
          <w:color w:val="auto"/>
          <w:highlight w:val="none"/>
        </w:rPr>
        <w:t>。投标保证金有效期同投标有效期。</w:t>
      </w:r>
    </w:p>
    <w:p w14:paraId="5F885778">
      <w:pPr>
        <w:pStyle w:val="7"/>
        <w:ind w:firstLine="480"/>
        <w:rPr>
          <w:rFonts w:hint="eastAsia" w:ascii="宋体" w:hAnsi="宋体" w:eastAsia="宋体" w:cs="宋体"/>
          <w:color w:val="auto"/>
          <w:highlight w:val="none"/>
        </w:rPr>
      </w:pPr>
      <w:r>
        <w:rPr>
          <w:rFonts w:hint="eastAsia" w:ascii="宋体" w:hAnsi="宋体" w:eastAsia="宋体" w:cs="宋体"/>
          <w:color w:val="auto"/>
          <w:highlight w:val="none"/>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highlight w:val="none"/>
        </w:rPr>
        <w:t>投标无效</w:t>
      </w:r>
      <w:r>
        <w:rPr>
          <w:rFonts w:hint="eastAsia" w:ascii="宋体" w:hAnsi="宋体" w:eastAsia="宋体" w:cs="宋体"/>
          <w:color w:val="auto"/>
          <w:highlight w:val="none"/>
        </w:rPr>
        <w:t>。</w:t>
      </w:r>
    </w:p>
    <w:p w14:paraId="61D8AB04">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17.4 投标人为联合体的，可以由联合体中的一方或者多方共同提交投标保证金，其提交的投标保证金对联合体各方均具有约束力。</w:t>
      </w:r>
    </w:p>
    <w:p w14:paraId="45F1E058">
      <w:pPr>
        <w:pStyle w:val="66"/>
        <w:spacing w:line="360" w:lineRule="auto"/>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14:paraId="789F36CC">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 xml:space="preserve">17.6 投标人在投标截止时间前撤回已提交的投标文件的，自收到投标人书面撤回通知之日起 5 个工作日内，退还已收取的投标保证金，但因投标人自身原因导致无法及时退还的除外。 </w:t>
      </w:r>
    </w:p>
    <w:p w14:paraId="160A0679">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17.7 终止招标项目已经收取投标保证金的，自终止采购活动后 5 个工作日内退还已收取的投标保证金及其在银行产生的孳息。</w:t>
      </w:r>
    </w:p>
    <w:p w14:paraId="2EE8BDAA">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17.8 有下列情形之一的，采购人或采购代理机构可以不予退还投标保证金,</w:t>
      </w:r>
      <w:r>
        <w:rPr>
          <w:rFonts w:hint="eastAsia" w:ascii="宋体" w:hAnsi="宋体" w:eastAsia="宋体" w:cs="宋体"/>
          <w:color w:val="auto"/>
          <w:kern w:val="2"/>
          <w:sz w:val="24"/>
          <w:szCs w:val="22"/>
          <w:highlight w:val="none"/>
        </w:rPr>
        <w:t>情节严重的将其列入不良记录名单</w:t>
      </w:r>
      <w:r>
        <w:rPr>
          <w:rFonts w:hint="eastAsia" w:ascii="宋体" w:hAnsi="宋体" w:eastAsia="宋体" w:cs="宋体"/>
          <w:iCs/>
          <w:color w:val="auto"/>
          <w:kern w:val="2"/>
          <w:sz w:val="24"/>
          <w:szCs w:val="22"/>
          <w:highlight w:val="none"/>
          <w:shd w:val="clear" w:color="auto" w:fill="FFFFFF"/>
        </w:rPr>
        <w:t xml:space="preserve">： </w:t>
      </w:r>
    </w:p>
    <w:p w14:paraId="696B31F9">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 xml:space="preserve">17.8.1 </w:t>
      </w:r>
      <w:r>
        <w:rPr>
          <w:rFonts w:hint="eastAsia" w:ascii="宋体" w:hAnsi="宋体" w:eastAsia="宋体" w:cs="宋体"/>
          <w:color w:val="auto"/>
          <w:kern w:val="2"/>
          <w:sz w:val="24"/>
          <w:szCs w:val="22"/>
          <w:highlight w:val="none"/>
        </w:rPr>
        <w:t>开标后在投标有效期内，投标人撤销其投标的；</w:t>
      </w:r>
      <w:r>
        <w:rPr>
          <w:rFonts w:hint="eastAsia" w:ascii="宋体" w:hAnsi="宋体" w:eastAsia="宋体" w:cs="宋体"/>
          <w:iCs/>
          <w:color w:val="auto"/>
          <w:kern w:val="2"/>
          <w:sz w:val="24"/>
          <w:szCs w:val="22"/>
          <w:highlight w:val="none"/>
          <w:shd w:val="clear" w:color="auto" w:fill="FFFFFF"/>
        </w:rPr>
        <w:t xml:space="preserve"> </w:t>
      </w:r>
    </w:p>
    <w:p w14:paraId="1BA37520">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 xml:space="preserve">17.8.2 </w:t>
      </w:r>
      <w:r>
        <w:rPr>
          <w:rFonts w:hint="eastAsia" w:ascii="宋体" w:hAnsi="宋体" w:eastAsia="宋体" w:cs="宋体"/>
          <w:color w:val="auto"/>
          <w:kern w:val="2"/>
          <w:sz w:val="24"/>
          <w:szCs w:val="22"/>
          <w:highlight w:val="none"/>
        </w:rPr>
        <w:t>中标后无正当理由不与采购人签订合同的；</w:t>
      </w:r>
    </w:p>
    <w:p w14:paraId="03C447B5">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iCs/>
          <w:color w:val="auto"/>
          <w:kern w:val="2"/>
          <w:sz w:val="24"/>
          <w:szCs w:val="22"/>
          <w:highlight w:val="none"/>
          <w:shd w:val="clear" w:color="auto" w:fill="FFFFFF"/>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14DA2AC2">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iCs/>
          <w:color w:val="auto"/>
          <w:kern w:val="2"/>
          <w:sz w:val="24"/>
          <w:szCs w:val="22"/>
          <w:highlight w:val="none"/>
          <w:shd w:val="clear" w:color="auto" w:fill="FFFFFF"/>
        </w:rPr>
        <w:t>17.8.</w:t>
      </w:r>
      <w:r>
        <w:rPr>
          <w:rFonts w:hint="eastAsia" w:ascii="宋体" w:hAnsi="宋体" w:eastAsia="宋体" w:cs="宋体"/>
          <w:color w:val="auto"/>
          <w:kern w:val="2"/>
          <w:sz w:val="24"/>
          <w:szCs w:val="22"/>
          <w:highlight w:val="none"/>
        </w:rPr>
        <w:t>4 将中标项目转让给他人，或者在投标文件中未说明，且未经采购人同意，将中标项目分包给他人的；</w:t>
      </w:r>
    </w:p>
    <w:p w14:paraId="17CFF49C">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iCs/>
          <w:color w:val="auto"/>
          <w:kern w:val="2"/>
          <w:sz w:val="24"/>
          <w:szCs w:val="22"/>
          <w:highlight w:val="none"/>
          <w:shd w:val="clear" w:color="auto" w:fill="FFFFFF"/>
        </w:rPr>
        <w:t>17.8.</w:t>
      </w:r>
      <w:r>
        <w:rPr>
          <w:rFonts w:hint="eastAsia" w:ascii="宋体" w:hAnsi="宋体" w:eastAsia="宋体" w:cs="宋体"/>
          <w:color w:val="auto"/>
          <w:kern w:val="2"/>
          <w:sz w:val="24"/>
          <w:szCs w:val="22"/>
          <w:highlight w:val="none"/>
        </w:rPr>
        <w:t>5 存在串通投标行为的；</w:t>
      </w:r>
    </w:p>
    <w:p w14:paraId="1B8AB3AF">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iCs/>
          <w:color w:val="auto"/>
          <w:kern w:val="2"/>
          <w:sz w:val="24"/>
          <w:szCs w:val="22"/>
          <w:highlight w:val="none"/>
          <w:shd w:val="clear" w:color="auto" w:fill="FFFFFF"/>
        </w:rPr>
        <w:t>17.8.</w:t>
      </w:r>
      <w:r>
        <w:rPr>
          <w:rFonts w:hint="eastAsia" w:ascii="宋体" w:hAnsi="宋体" w:eastAsia="宋体" w:cs="宋体"/>
          <w:color w:val="auto"/>
          <w:kern w:val="2"/>
          <w:sz w:val="24"/>
          <w:szCs w:val="22"/>
          <w:highlight w:val="none"/>
        </w:rPr>
        <w:t>6 存在弄虚作假或提供虚假材料谋取中标的；</w:t>
      </w:r>
    </w:p>
    <w:p w14:paraId="182FF21D">
      <w:pPr>
        <w:pStyle w:val="66"/>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iCs/>
          <w:color w:val="auto"/>
          <w:kern w:val="2"/>
          <w:sz w:val="24"/>
          <w:szCs w:val="22"/>
          <w:highlight w:val="none"/>
          <w:shd w:val="clear" w:color="auto" w:fill="FFFFFF"/>
        </w:rPr>
        <w:t>17.8.</w:t>
      </w:r>
      <w:r>
        <w:rPr>
          <w:rFonts w:hint="eastAsia" w:ascii="宋体" w:hAnsi="宋体" w:eastAsia="宋体" w:cs="宋体"/>
          <w:color w:val="auto"/>
          <w:kern w:val="2"/>
          <w:sz w:val="24"/>
          <w:szCs w:val="22"/>
          <w:highlight w:val="none"/>
        </w:rPr>
        <w:t>7 投标人其他未按招标文件规定和合同约定履行义务的行为。</w:t>
      </w:r>
    </w:p>
    <w:p w14:paraId="0972FF69">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17.9如开标时投标人对本单位投标保证金缴纳情况有疑义，投标人应在开标结束前向采购人提交书面申请核实保证金缴纳情况。由银行或保险公司核实后出具书面材料予以答复。</w:t>
      </w:r>
    </w:p>
    <w:p w14:paraId="7783BD83">
      <w:pPr>
        <w:pStyle w:val="66"/>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17.10为支持和促进中小企业发展，进一步发挥政府采购政策功能，鼓励投标供应商使用电子保函代替现金缴纳投标保证金，在线完成保函的申请、审核、开票、出函等环节，投标企业注意区分办理保函类型，并确认投标有效期</w:t>
      </w:r>
      <w:r>
        <w:rPr>
          <w:rFonts w:hint="eastAsia" w:ascii="宋体" w:hAnsi="宋体" w:eastAsia="宋体" w:cs="宋体"/>
          <w:iCs/>
          <w:color w:val="auto"/>
          <w:kern w:val="2"/>
          <w:sz w:val="24"/>
          <w:szCs w:val="22"/>
          <w:highlight w:val="none"/>
          <w:shd w:val="clear" w:color="auto" w:fill="FFFFFF"/>
          <w:lang w:eastAsia="zh-CN"/>
        </w:rPr>
        <w:t>。</w:t>
      </w:r>
      <w:r>
        <w:rPr>
          <w:rFonts w:hint="eastAsia" w:ascii="宋体" w:hAnsi="宋体" w:eastAsia="宋体" w:cs="宋体"/>
          <w:iCs/>
          <w:color w:val="auto"/>
          <w:kern w:val="2"/>
          <w:sz w:val="24"/>
          <w:szCs w:val="22"/>
          <w:highlight w:val="none"/>
          <w:shd w:val="clear" w:color="auto" w:fill="FFFFFF"/>
        </w:rPr>
        <w:t xml:space="preserve">，    </w:t>
      </w:r>
    </w:p>
    <w:p w14:paraId="13A1AD26">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02" w:name="_Toc8188"/>
      <w:bookmarkStart w:id="203" w:name="_Toc16247"/>
      <w:bookmarkStart w:id="204" w:name="_Toc26606"/>
      <w:bookmarkStart w:id="205" w:name="_Toc28464"/>
      <w:r>
        <w:rPr>
          <w:rFonts w:hint="eastAsia" w:ascii="宋体" w:hAnsi="宋体" w:eastAsia="宋体" w:cs="宋体"/>
          <w:color w:val="auto"/>
          <w:sz w:val="24"/>
          <w:highlight w:val="none"/>
        </w:rPr>
        <w:t>18.投标文件的加密</w:t>
      </w:r>
      <w:bookmarkEnd w:id="201"/>
      <w:bookmarkEnd w:id="202"/>
      <w:bookmarkEnd w:id="203"/>
      <w:bookmarkEnd w:id="204"/>
      <w:bookmarkEnd w:id="205"/>
    </w:p>
    <w:p w14:paraId="2BE7A3F6">
      <w:pPr>
        <w:ind w:firstLine="480" w:firstLineChars="200"/>
        <w:rPr>
          <w:rFonts w:hint="eastAsia" w:ascii="宋体" w:hAnsi="宋体" w:eastAsia="宋体" w:cs="宋体"/>
          <w:color w:val="auto"/>
          <w:szCs w:val="24"/>
          <w:highlight w:val="none"/>
          <w:u w:val="single"/>
        </w:rPr>
      </w:pPr>
      <w:bookmarkStart w:id="206" w:name="_Hlk143531864"/>
      <w:r>
        <w:rPr>
          <w:rFonts w:hint="eastAsia" w:ascii="宋体" w:hAnsi="宋体" w:eastAsia="宋体" w:cs="宋体"/>
          <w:color w:val="auto"/>
          <w:szCs w:val="24"/>
          <w:highlight w:val="none"/>
        </w:rPr>
        <w:t>18.1投标人在供应商客户端中生成投标文件并完成签章之后，使用CA证书在供应商客户端中对投标文件进行加密。</w:t>
      </w:r>
    </w:p>
    <w:p w14:paraId="5CE3C17A">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18.2投标人应在供应商客户端中对加密的投标文件进行解密验证，以防止投标文件加密异常，在开标时无法解密。</w:t>
      </w:r>
    </w:p>
    <w:p w14:paraId="7F1CC3F3">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18.3 投标人应保证加密投标文件的CA证书有效期在开标时间之前。若CA证书有效期临近开标时间，建议投标人提前办理CA证书续期，以免开标时无法进行解密。</w:t>
      </w:r>
    </w:p>
    <w:p w14:paraId="5087AE9E">
      <w:pPr>
        <w:wordWrap w:val="0"/>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18.4投标人在投标文件递交截止时间前通过</w:t>
      </w:r>
      <w:r>
        <w:rPr>
          <w:rFonts w:hint="eastAsia" w:ascii="宋体" w:hAnsi="宋体" w:eastAsia="宋体" w:cs="宋体"/>
          <w:color w:val="auto"/>
          <w:szCs w:val="24"/>
          <w:highlight w:val="none"/>
          <w:lang w:eastAsia="zh-CN"/>
        </w:rPr>
        <w:t>新疆</w:t>
      </w:r>
      <w:r>
        <w:rPr>
          <w:rFonts w:hint="eastAsia" w:ascii="宋体" w:hAnsi="宋体" w:eastAsia="宋体" w:cs="宋体"/>
          <w:color w:val="auto"/>
          <w:szCs w:val="24"/>
          <w:highlight w:val="none"/>
        </w:rPr>
        <w:t>政府采购网（http://www.ccgp-xinjiang.gov.cn/）的”政采云登录入口”登录后，将加密电子投标文件（为.jmbs后缀格式）上传到对应项目的指定位置，投标人认为有必要提交的其他资料请于投标截止时间前一并提交。</w:t>
      </w:r>
    </w:p>
    <w:p w14:paraId="08BED2A2">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18.5如果投标人未按上述要求加密并上传，采购代理机构对投标文件的误投、无法解密、传输错误等问题概不负责。对由此造成无法正常开启的投标文件，采购代理机构有权予以拒绝，并退回投标人。</w:t>
      </w:r>
    </w:p>
    <w:p w14:paraId="5331DB8C">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18.6本项目采用不见面开标，无需提供电子投标文件U盘。</w:t>
      </w:r>
    </w:p>
    <w:bookmarkEnd w:id="206"/>
    <w:p w14:paraId="7DCDABED">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07" w:name="_Toc140132777"/>
      <w:bookmarkStart w:id="208" w:name="_Toc16258"/>
      <w:bookmarkStart w:id="209" w:name="_Toc163492844"/>
      <w:bookmarkStart w:id="210" w:name="_Toc27844"/>
      <w:bookmarkStart w:id="211" w:name="_Toc32423"/>
      <w:bookmarkStart w:id="212" w:name="_Toc29763"/>
      <w:r>
        <w:rPr>
          <w:rFonts w:hint="eastAsia" w:ascii="宋体" w:hAnsi="宋体" w:eastAsia="宋体" w:cs="宋体"/>
          <w:color w:val="auto"/>
          <w:sz w:val="24"/>
          <w:highlight w:val="none"/>
        </w:rPr>
        <w:t>19.投标文件的递交</w:t>
      </w:r>
      <w:bookmarkEnd w:id="207"/>
      <w:r>
        <w:rPr>
          <w:rFonts w:hint="eastAsia" w:ascii="宋体" w:hAnsi="宋体" w:eastAsia="宋体" w:cs="宋体"/>
          <w:color w:val="auto"/>
          <w:sz w:val="24"/>
          <w:highlight w:val="none"/>
        </w:rPr>
        <w:t>（上传）</w:t>
      </w:r>
      <w:bookmarkEnd w:id="208"/>
      <w:bookmarkEnd w:id="209"/>
      <w:bookmarkEnd w:id="210"/>
      <w:bookmarkEnd w:id="211"/>
      <w:bookmarkEnd w:id="212"/>
    </w:p>
    <w:p w14:paraId="6E88A4EE">
      <w:pPr>
        <w:ind w:firstLine="480" w:firstLineChars="200"/>
        <w:rPr>
          <w:rFonts w:hint="eastAsia" w:ascii="宋体" w:hAnsi="宋体" w:eastAsia="宋体" w:cs="宋体"/>
          <w:color w:val="auto"/>
          <w:szCs w:val="24"/>
          <w:highlight w:val="none"/>
        </w:rPr>
      </w:pPr>
      <w:bookmarkStart w:id="213" w:name="_Hlk143531977"/>
      <w:r>
        <w:rPr>
          <w:rFonts w:hint="eastAsia" w:ascii="宋体" w:hAnsi="宋体" w:eastAsia="宋体" w:cs="宋体"/>
          <w:color w:val="auto"/>
          <w:szCs w:val="24"/>
          <w:highlight w:val="none"/>
        </w:rPr>
        <w:t xml:space="preserve">19.1 投标人应在“第一章 </w:t>
      </w:r>
      <w:r>
        <w:rPr>
          <w:rFonts w:hint="eastAsia" w:ascii="宋体" w:hAnsi="宋体" w:eastAsia="宋体" w:cs="宋体"/>
          <w:color w:val="auto"/>
          <w:highlight w:val="none"/>
        </w:rPr>
        <w:t>招标公告</w:t>
      </w:r>
      <w:r>
        <w:rPr>
          <w:rFonts w:hint="eastAsia" w:ascii="宋体" w:hAnsi="宋体" w:eastAsia="宋体" w:cs="宋体"/>
          <w:color w:val="auto"/>
          <w:szCs w:val="24"/>
          <w:highlight w:val="none"/>
        </w:rPr>
        <w:t>”规定的投标截止时间前递交（上传）投标文件。</w:t>
      </w:r>
    </w:p>
    <w:p w14:paraId="7A28E2B9">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19.2 投标人递交（上传）投标文件的地点见“第一章 </w:t>
      </w:r>
      <w:r>
        <w:rPr>
          <w:rFonts w:hint="eastAsia" w:ascii="宋体" w:hAnsi="宋体" w:eastAsia="宋体" w:cs="宋体"/>
          <w:color w:val="auto"/>
          <w:highlight w:val="none"/>
        </w:rPr>
        <w:t>招标公告</w:t>
      </w:r>
      <w:r>
        <w:rPr>
          <w:rFonts w:hint="eastAsia" w:ascii="宋体" w:hAnsi="宋体" w:eastAsia="宋体" w:cs="宋体"/>
          <w:color w:val="auto"/>
          <w:szCs w:val="24"/>
          <w:highlight w:val="none"/>
        </w:rPr>
        <w:t>”。</w:t>
      </w:r>
    </w:p>
    <w:p w14:paraId="36132911">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19.3投标人应充分评估集中同时投标带来的网络影响，尽量避开投标高峰时间，错峰进行电子投标。投标人递交全部的投标文件后可在政采云平台（项目采购—投标文件上传）中获取投标文件递交回执单。</w:t>
      </w:r>
    </w:p>
    <w:p w14:paraId="5F91F957">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19.4 投标人应在供应商客户端中下载未加密且完成签章的投标文件妥善保存，以便启动应急开标程序时使用。</w:t>
      </w:r>
    </w:p>
    <w:p w14:paraId="585A0110">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19.5投标人所递交的投标文件不予退还。</w:t>
      </w:r>
    </w:p>
    <w:bookmarkEnd w:id="213"/>
    <w:p w14:paraId="69B6CBBA">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14" w:name="_Toc29074"/>
      <w:bookmarkStart w:id="215" w:name="_Toc30939"/>
      <w:bookmarkStart w:id="216" w:name="_Toc4892"/>
      <w:bookmarkStart w:id="217" w:name="_Toc32306"/>
      <w:bookmarkStart w:id="218" w:name="_Toc163492845"/>
      <w:r>
        <w:rPr>
          <w:rFonts w:hint="eastAsia" w:ascii="宋体" w:hAnsi="宋体" w:eastAsia="宋体" w:cs="宋体"/>
          <w:color w:val="auto"/>
          <w:sz w:val="24"/>
          <w:highlight w:val="none"/>
        </w:rPr>
        <w:t>20.拒收</w:t>
      </w:r>
      <w:bookmarkEnd w:id="214"/>
      <w:bookmarkEnd w:id="215"/>
      <w:bookmarkEnd w:id="216"/>
      <w:bookmarkEnd w:id="217"/>
      <w:bookmarkEnd w:id="218"/>
    </w:p>
    <w:p w14:paraId="33085807">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20.1 超过投标文件提交截止时间</w:t>
      </w:r>
      <w:bookmarkStart w:id="219" w:name="_Hlk143532404"/>
      <w:r>
        <w:rPr>
          <w:rFonts w:hint="eastAsia" w:ascii="宋体" w:hAnsi="宋体" w:eastAsia="宋体" w:cs="宋体"/>
          <w:color w:val="auto"/>
          <w:szCs w:val="24"/>
          <w:highlight w:val="none"/>
        </w:rPr>
        <w:t>或者不按照本章要求加密的投标文件，交易系统应当拒收</w:t>
      </w:r>
      <w:bookmarkEnd w:id="219"/>
      <w:r>
        <w:rPr>
          <w:rFonts w:hint="eastAsia" w:ascii="宋体" w:hAnsi="宋体" w:eastAsia="宋体" w:cs="宋体"/>
          <w:color w:val="auto"/>
          <w:szCs w:val="24"/>
          <w:highlight w:val="none"/>
        </w:rPr>
        <w:t>。</w:t>
      </w:r>
    </w:p>
    <w:p w14:paraId="21F984AF">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20" w:name="_Toc4072"/>
      <w:bookmarkStart w:id="221" w:name="_Toc163492846"/>
      <w:bookmarkStart w:id="222" w:name="_Toc140132778"/>
      <w:bookmarkStart w:id="223" w:name="_Toc29200"/>
      <w:bookmarkStart w:id="224" w:name="_Toc26768"/>
      <w:bookmarkStart w:id="225" w:name="_Toc2528"/>
      <w:r>
        <w:rPr>
          <w:rFonts w:hint="eastAsia" w:ascii="宋体" w:hAnsi="宋体" w:eastAsia="宋体" w:cs="宋体"/>
          <w:color w:val="auto"/>
          <w:sz w:val="24"/>
          <w:highlight w:val="none"/>
        </w:rPr>
        <w:t>21.投标文件的修改与撤回</w:t>
      </w:r>
      <w:bookmarkEnd w:id="220"/>
      <w:bookmarkEnd w:id="221"/>
      <w:bookmarkEnd w:id="222"/>
      <w:bookmarkEnd w:id="223"/>
      <w:bookmarkEnd w:id="224"/>
      <w:bookmarkEnd w:id="225"/>
    </w:p>
    <w:p w14:paraId="1ADD40BA">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w:t>
      </w:r>
      <w:bookmarkStart w:id="226" w:name="_Hlk143532466"/>
      <w:r>
        <w:rPr>
          <w:rFonts w:hint="eastAsia" w:ascii="宋体" w:hAnsi="宋体" w:eastAsia="宋体" w:cs="宋体"/>
          <w:color w:val="auto"/>
          <w:szCs w:val="24"/>
          <w:highlight w:val="none"/>
        </w:rPr>
        <w:t>投标人在“</w:t>
      </w:r>
      <w:r>
        <w:rPr>
          <w:rFonts w:hint="eastAsia" w:ascii="宋体" w:hAnsi="宋体" w:eastAsia="宋体" w:cs="宋体"/>
          <w:color w:val="auto"/>
          <w:highlight w:val="none"/>
        </w:rPr>
        <w:t>第一章 招标公告</w:t>
      </w:r>
      <w:r>
        <w:rPr>
          <w:rFonts w:hint="eastAsia" w:ascii="宋体" w:hAnsi="宋体" w:eastAsia="宋体" w:cs="宋体"/>
          <w:color w:val="auto"/>
          <w:szCs w:val="24"/>
          <w:highlight w:val="none"/>
        </w:rPr>
        <w:t>”规定的投标文件递交截止时间之前，可在政府采购电子交易云平台上随时撤回已上传的电子投标文件，将修改好的电子投标文件在投标文件递交截止时间前重新上传到政府采购电子交易云平台的指定位置。</w:t>
      </w:r>
    </w:p>
    <w:bookmarkEnd w:id="226"/>
    <w:p w14:paraId="4EDBA327">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27" w:name="_Toc163492847"/>
      <w:bookmarkStart w:id="228" w:name="_Toc9242"/>
      <w:bookmarkStart w:id="229" w:name="_Toc19338"/>
      <w:bookmarkStart w:id="230" w:name="_Toc24996"/>
      <w:bookmarkStart w:id="231" w:name="_Toc155185874"/>
      <w:bookmarkStart w:id="232" w:name="_Toc6575"/>
      <w:r>
        <w:rPr>
          <w:rFonts w:hint="eastAsia" w:ascii="宋体" w:hAnsi="宋体" w:eastAsia="宋体" w:cs="宋体"/>
          <w:color w:val="auto"/>
          <w:sz w:val="24"/>
          <w:highlight w:val="none"/>
        </w:rPr>
        <w:t>22.实物样品</w:t>
      </w:r>
      <w:bookmarkEnd w:id="227"/>
      <w:bookmarkEnd w:id="228"/>
      <w:bookmarkEnd w:id="229"/>
      <w:bookmarkEnd w:id="230"/>
      <w:bookmarkEnd w:id="231"/>
      <w:bookmarkEnd w:id="232"/>
    </w:p>
    <w:p w14:paraId="44312764">
      <w:pPr>
        <w:pStyle w:val="3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2</w:t>
      </w:r>
      <w:r>
        <w:rPr>
          <w:rFonts w:hint="eastAsia" w:ascii="宋体" w:hAnsi="宋体" w:eastAsia="宋体" w:cs="宋体"/>
          <w:color w:val="auto"/>
          <w:highlight w:val="none"/>
        </w:rPr>
        <w:t>.1“投标人须知前附表”要求提供样品的，样品的具体要求及评审详见“第三章 采购需求”和“第五章 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w:t>
      </w:r>
    </w:p>
    <w:p w14:paraId="68D39192">
      <w:pPr>
        <w:pStyle w:val="36"/>
        <w:rPr>
          <w:rFonts w:hint="eastAsia" w:ascii="宋体" w:hAnsi="宋体" w:eastAsia="宋体" w:cs="宋体"/>
          <w:b/>
          <w:color w:val="auto"/>
          <w:szCs w:val="24"/>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2</w:t>
      </w:r>
      <w:r>
        <w:rPr>
          <w:rFonts w:hint="eastAsia" w:ascii="宋体" w:hAnsi="宋体" w:eastAsia="宋体" w:cs="宋体"/>
          <w:color w:val="auto"/>
          <w:highlight w:val="none"/>
        </w:rPr>
        <w:t>.2样品退还：未中标的投标人应</w:t>
      </w:r>
      <w:r>
        <w:rPr>
          <w:rFonts w:hint="eastAsia" w:ascii="宋体" w:hAnsi="宋体" w:eastAsia="宋体" w:cs="宋体"/>
          <w:color w:val="auto"/>
          <w:highlight w:val="none"/>
          <w:lang w:val="en-US"/>
        </w:rPr>
        <w:t>按照</w:t>
      </w:r>
      <w:r>
        <w:rPr>
          <w:rFonts w:hint="eastAsia" w:ascii="宋体" w:hAnsi="宋体" w:eastAsia="宋体" w:cs="宋体"/>
          <w:color w:val="auto"/>
          <w:highlight w:val="none"/>
        </w:rPr>
        <w:t>“投标人须知前附表”</w:t>
      </w:r>
      <w:r>
        <w:rPr>
          <w:rFonts w:hint="eastAsia" w:ascii="宋体" w:hAnsi="宋体" w:eastAsia="宋体" w:cs="宋体"/>
          <w:color w:val="auto"/>
          <w:highlight w:val="none"/>
          <w:lang w:val="en-US"/>
        </w:rPr>
        <w:t>要求</w:t>
      </w:r>
      <w:r>
        <w:rPr>
          <w:rFonts w:hint="eastAsia" w:ascii="宋体" w:hAnsi="宋体" w:eastAsia="宋体" w:cs="宋体"/>
          <w:color w:val="auto"/>
          <w:highlight w:val="none"/>
        </w:rPr>
        <w:t>自行联系采购人取回投标样品；中标人的样品由采购人进行保管、封存，并作为履约验收的参考（招标文件另有规定的从其规定）。</w:t>
      </w:r>
    </w:p>
    <w:p w14:paraId="6CE88736">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33" w:name="_Toc31127"/>
      <w:bookmarkStart w:id="234" w:name="_Toc155185875"/>
      <w:bookmarkStart w:id="235" w:name="_Toc25755"/>
      <w:bookmarkStart w:id="236" w:name="_Toc29711"/>
      <w:bookmarkStart w:id="237" w:name="_Toc28857"/>
      <w:bookmarkStart w:id="238" w:name="_Toc163492848"/>
      <w:r>
        <w:rPr>
          <w:rFonts w:hint="eastAsia" w:ascii="宋体" w:hAnsi="宋体" w:eastAsia="宋体" w:cs="宋体"/>
          <w:color w:val="auto"/>
          <w:sz w:val="24"/>
          <w:highlight w:val="none"/>
        </w:rPr>
        <w:t>23.演示</w:t>
      </w:r>
      <w:bookmarkEnd w:id="233"/>
      <w:bookmarkEnd w:id="234"/>
      <w:bookmarkEnd w:id="235"/>
      <w:bookmarkEnd w:id="236"/>
      <w:bookmarkEnd w:id="237"/>
      <w:bookmarkEnd w:id="238"/>
    </w:p>
    <w:p w14:paraId="1AA9BB1E">
      <w:pPr>
        <w:pStyle w:val="3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3</w:t>
      </w:r>
      <w:r>
        <w:rPr>
          <w:rFonts w:hint="eastAsia" w:ascii="宋体" w:hAnsi="宋体" w:eastAsia="宋体" w:cs="宋体"/>
          <w:color w:val="auto"/>
          <w:highlight w:val="none"/>
        </w:rPr>
        <w:t>.1要求投标人进行演示的，演示要求详见“投标人须知前附表”。</w:t>
      </w:r>
    </w:p>
    <w:p w14:paraId="1E7A7037">
      <w:pPr>
        <w:pStyle w:val="3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3</w:t>
      </w:r>
      <w:r>
        <w:rPr>
          <w:rFonts w:hint="eastAsia" w:ascii="宋体" w:hAnsi="宋体" w:eastAsia="宋体" w:cs="宋体"/>
          <w:color w:val="auto"/>
          <w:highlight w:val="none"/>
        </w:rPr>
        <w:t>.2演示的评审详见“第三章 采购需求”和“第五章 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w:t>
      </w:r>
    </w:p>
    <w:p w14:paraId="39AC55F0">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239" w:name="_Toc140132779"/>
      <w:bookmarkStart w:id="240" w:name="_Toc21792"/>
      <w:bookmarkStart w:id="241" w:name="_Toc163492849"/>
      <w:bookmarkStart w:id="242" w:name="_Toc25557"/>
      <w:bookmarkStart w:id="243" w:name="_Toc6826"/>
      <w:bookmarkStart w:id="244" w:name="_Toc7097"/>
      <w:bookmarkStart w:id="245" w:name="_Toc155185876"/>
      <w:r>
        <w:rPr>
          <w:rFonts w:hint="eastAsia" w:ascii="宋体" w:hAnsi="宋体" w:eastAsia="宋体" w:cs="宋体"/>
          <w:color w:val="auto"/>
          <w:sz w:val="24"/>
          <w:highlight w:val="none"/>
        </w:rPr>
        <w:t>（五）开标</w:t>
      </w:r>
      <w:bookmarkEnd w:id="239"/>
      <w:bookmarkEnd w:id="240"/>
      <w:bookmarkEnd w:id="241"/>
      <w:bookmarkEnd w:id="242"/>
      <w:bookmarkEnd w:id="243"/>
      <w:bookmarkEnd w:id="244"/>
      <w:bookmarkEnd w:id="245"/>
    </w:p>
    <w:p w14:paraId="17929368">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46" w:name="_Toc25197"/>
      <w:bookmarkStart w:id="247" w:name="_Toc140132780"/>
      <w:bookmarkStart w:id="248" w:name="_Toc31983"/>
      <w:bookmarkStart w:id="249" w:name="_Toc16939"/>
      <w:bookmarkStart w:id="250" w:name="_Toc29962"/>
      <w:bookmarkStart w:id="251" w:name="_Toc163492850"/>
      <w:r>
        <w:rPr>
          <w:rFonts w:hint="eastAsia" w:ascii="宋体" w:hAnsi="宋体" w:eastAsia="宋体" w:cs="宋体"/>
          <w:color w:val="auto"/>
          <w:sz w:val="24"/>
          <w:highlight w:val="none"/>
        </w:rPr>
        <w:t>24.开标会议</w:t>
      </w:r>
      <w:bookmarkEnd w:id="246"/>
      <w:bookmarkEnd w:id="247"/>
      <w:bookmarkEnd w:id="248"/>
      <w:bookmarkEnd w:id="249"/>
      <w:bookmarkEnd w:id="250"/>
      <w:bookmarkEnd w:id="251"/>
    </w:p>
    <w:p w14:paraId="6C38266B">
      <w:pPr>
        <w:ind w:firstLine="480" w:firstLineChars="200"/>
        <w:rPr>
          <w:rFonts w:hint="eastAsia" w:ascii="宋体" w:hAnsi="宋体" w:eastAsia="宋体" w:cs="宋体"/>
          <w:color w:val="auto"/>
          <w:szCs w:val="24"/>
          <w:highlight w:val="none"/>
        </w:rPr>
      </w:pPr>
      <w:bookmarkStart w:id="252" w:name="_Toc140132781"/>
      <w:r>
        <w:rPr>
          <w:rFonts w:hint="eastAsia" w:ascii="宋体" w:hAnsi="宋体" w:eastAsia="宋体" w:cs="宋体"/>
          <w:color w:val="auto"/>
          <w:szCs w:val="24"/>
          <w:highlight w:val="none"/>
        </w:rPr>
        <w:t xml:space="preserve">24.1开标会按“第一章 </w:t>
      </w:r>
      <w:r>
        <w:rPr>
          <w:rFonts w:hint="eastAsia" w:ascii="宋体" w:hAnsi="宋体" w:eastAsia="宋体" w:cs="宋体"/>
          <w:color w:val="auto"/>
          <w:highlight w:val="none"/>
        </w:rPr>
        <w:t>招标公告</w:t>
      </w:r>
      <w:r>
        <w:rPr>
          <w:rFonts w:hint="eastAsia" w:ascii="宋体" w:hAnsi="宋体" w:eastAsia="宋体" w:cs="宋体"/>
          <w:color w:val="auto"/>
          <w:szCs w:val="24"/>
          <w:highlight w:val="none"/>
        </w:rPr>
        <w:t>”规定的开标时间和地点准时举行，采购人、采购代理机构邀请所有投标人准时参加开标会。</w:t>
      </w:r>
      <w:r>
        <w:rPr>
          <w:rFonts w:hint="eastAsia" w:ascii="宋体" w:hAnsi="宋体" w:eastAsia="宋体" w:cs="宋体"/>
          <w:color w:val="auto"/>
          <w:highlight w:val="none"/>
        </w:rPr>
        <w:t>投标人应按照招标文件的要求参与不见面开标。</w:t>
      </w:r>
    </w:p>
    <w:p w14:paraId="6FF175E1">
      <w:pPr>
        <w:wordWrap w:val="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24.2 </w:t>
      </w:r>
      <w:bookmarkEnd w:id="252"/>
      <w:r>
        <w:rPr>
          <w:rFonts w:hint="eastAsia" w:ascii="宋体" w:hAnsi="宋体" w:eastAsia="宋体" w:cs="宋体"/>
          <w:color w:val="auto"/>
          <w:highlight w:val="none"/>
        </w:rPr>
        <w:t>采购代理机构按照招标文件规定的时间、地点主持开标。采购人在规定的投标文件递交截止时间（开标时间）和地点进行不见面远程开标。投标人的法定代表人或其委托代理人无需到达开标现场，仅需在任意地点通过</w:t>
      </w:r>
      <w:r>
        <w:rPr>
          <w:rFonts w:hint="eastAsia" w:ascii="宋体" w:hAnsi="宋体" w:eastAsia="宋体" w:cs="宋体"/>
          <w:color w:val="auto"/>
          <w:highlight w:val="none"/>
          <w:lang w:eastAsia="zh-CN"/>
        </w:rPr>
        <w:t>新疆</w:t>
      </w:r>
      <w:r>
        <w:rPr>
          <w:rFonts w:hint="eastAsia" w:ascii="宋体" w:hAnsi="宋体" w:eastAsia="宋体" w:cs="宋体"/>
          <w:color w:val="auto"/>
          <w:highlight w:val="none"/>
        </w:rPr>
        <w:t>政府采购电子交易云平台（网址：https://www.zcygov.cn/）的“政采云登录入口”登录后，进入“政采云远程开标大厅”参加开标会议，并使用CA密钥完成远程解密、提疑澄清、开标唱标、结果公布等交互环节。</w:t>
      </w:r>
    </w:p>
    <w:p w14:paraId="339A8E58">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7F5BF52D">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53" w:name="_Toc17474"/>
      <w:bookmarkStart w:id="254" w:name="_Toc140132783"/>
      <w:bookmarkStart w:id="255" w:name="_Toc20710"/>
      <w:bookmarkStart w:id="256" w:name="_Toc12764"/>
      <w:bookmarkStart w:id="257" w:name="_Toc163492852"/>
      <w:bookmarkStart w:id="258" w:name="_Toc30827"/>
      <w:r>
        <w:rPr>
          <w:rFonts w:hint="eastAsia" w:ascii="宋体" w:hAnsi="宋体" w:eastAsia="宋体" w:cs="宋体"/>
          <w:color w:val="auto"/>
          <w:sz w:val="24"/>
          <w:highlight w:val="none"/>
        </w:rPr>
        <w:t>25.开标程序</w:t>
      </w:r>
      <w:bookmarkEnd w:id="253"/>
      <w:bookmarkEnd w:id="254"/>
      <w:bookmarkEnd w:id="255"/>
      <w:bookmarkEnd w:id="256"/>
      <w:bookmarkEnd w:id="257"/>
      <w:bookmarkEnd w:id="258"/>
    </w:p>
    <w:p w14:paraId="3432B042">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25.1 投标人不足3家的，不得开标。</w:t>
      </w:r>
    </w:p>
    <w:p w14:paraId="09C9213A">
      <w:pPr>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25.2 评标委员会成员不得参加开标活动。</w:t>
      </w:r>
    </w:p>
    <w:p w14:paraId="0935B65B">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25.3主持人按下列程序进行开标：</w:t>
      </w:r>
    </w:p>
    <w:p w14:paraId="4BF351F9">
      <w:pPr>
        <w:ind w:firstLine="398" w:firstLineChars="166"/>
        <w:rPr>
          <w:rFonts w:hint="eastAsia" w:ascii="宋体" w:hAnsi="宋体" w:eastAsia="宋体" w:cs="宋体"/>
          <w:color w:val="auto"/>
          <w:szCs w:val="24"/>
          <w:highlight w:val="none"/>
        </w:rPr>
      </w:pPr>
      <w:r>
        <w:rPr>
          <w:rFonts w:hint="eastAsia" w:ascii="宋体" w:hAnsi="宋体" w:eastAsia="宋体" w:cs="宋体"/>
          <w:color w:val="auto"/>
          <w:szCs w:val="24"/>
          <w:highlight w:val="none"/>
        </w:rPr>
        <w:t>（1）宣布开标会纪律；</w:t>
      </w:r>
    </w:p>
    <w:p w14:paraId="0DCF7B75">
      <w:pPr>
        <w:ind w:firstLine="398" w:firstLineChars="166"/>
        <w:rPr>
          <w:rFonts w:hint="eastAsia" w:ascii="宋体" w:hAnsi="宋体" w:eastAsia="宋体" w:cs="宋体"/>
          <w:color w:val="auto"/>
          <w:szCs w:val="24"/>
          <w:highlight w:val="none"/>
        </w:rPr>
      </w:pPr>
      <w:r>
        <w:rPr>
          <w:rFonts w:hint="eastAsia" w:ascii="宋体" w:hAnsi="宋体" w:eastAsia="宋体" w:cs="宋体"/>
          <w:color w:val="auto"/>
          <w:szCs w:val="24"/>
          <w:highlight w:val="none"/>
        </w:rPr>
        <w:t>（2）介绍参加开标会的单位和人员；</w:t>
      </w:r>
    </w:p>
    <w:p w14:paraId="380DC8E4">
      <w:pPr>
        <w:ind w:firstLine="398" w:firstLineChars="166"/>
        <w:rPr>
          <w:rFonts w:hint="eastAsia" w:ascii="宋体" w:hAnsi="宋体" w:eastAsia="宋体" w:cs="宋体"/>
          <w:color w:val="auto"/>
          <w:szCs w:val="24"/>
          <w:highlight w:val="none"/>
        </w:rPr>
      </w:pPr>
      <w:r>
        <w:rPr>
          <w:rFonts w:hint="eastAsia" w:ascii="宋体" w:hAnsi="宋体" w:eastAsia="宋体" w:cs="宋体"/>
          <w:color w:val="auto"/>
          <w:szCs w:val="24"/>
          <w:highlight w:val="none"/>
        </w:rPr>
        <w:t>（3）发起投标文件解密。投标人应在“投标人须知前附表”规定的时间内使用加密投标文件的CA证书在系统中完成投标文件的解密；</w:t>
      </w:r>
    </w:p>
    <w:p w14:paraId="30345D10">
      <w:pPr>
        <w:ind w:firstLine="398" w:firstLineChars="166"/>
        <w:rPr>
          <w:rFonts w:hint="eastAsia" w:ascii="宋体" w:hAnsi="宋体" w:eastAsia="宋体" w:cs="宋体"/>
          <w:color w:val="auto"/>
          <w:szCs w:val="24"/>
          <w:highlight w:val="none"/>
        </w:rPr>
      </w:pPr>
      <w:r>
        <w:rPr>
          <w:rFonts w:hint="eastAsia" w:ascii="宋体" w:hAnsi="宋体" w:eastAsia="宋体" w:cs="宋体"/>
          <w:color w:val="auto"/>
          <w:szCs w:val="24"/>
          <w:highlight w:val="none"/>
        </w:rPr>
        <w:t>（4）解密完成后，系统自动显示投标人名称、投标价格和招标文件规定的需要宣布的其他内容；</w:t>
      </w:r>
    </w:p>
    <w:p w14:paraId="45A20F38">
      <w:pPr>
        <w:ind w:left="564" w:leftChars="200" w:hanging="84" w:hangingChars="35"/>
        <w:rPr>
          <w:rFonts w:hint="eastAsia" w:ascii="宋体" w:hAnsi="宋体" w:eastAsia="宋体" w:cs="宋体"/>
          <w:color w:val="auto"/>
          <w:szCs w:val="24"/>
          <w:highlight w:val="none"/>
        </w:rPr>
      </w:pPr>
      <w:r>
        <w:rPr>
          <w:rFonts w:hint="eastAsia" w:ascii="宋体" w:hAnsi="宋体" w:eastAsia="宋体" w:cs="宋体"/>
          <w:color w:val="auto"/>
          <w:szCs w:val="24"/>
          <w:highlight w:val="none"/>
        </w:rPr>
        <w:t>（5）系统自动生成开标记录表，投标人应在线对开标记录进行签署确认；</w:t>
      </w:r>
    </w:p>
    <w:p w14:paraId="2AED45DB">
      <w:pPr>
        <w:ind w:left="564" w:leftChars="200" w:hanging="84" w:hangingChars="35"/>
        <w:rPr>
          <w:rFonts w:hint="eastAsia" w:ascii="宋体" w:hAnsi="宋体" w:eastAsia="宋体" w:cs="宋体"/>
          <w:color w:val="auto"/>
          <w:szCs w:val="24"/>
          <w:highlight w:val="none"/>
        </w:rPr>
      </w:pPr>
      <w:r>
        <w:rPr>
          <w:rFonts w:hint="eastAsia" w:ascii="宋体" w:hAnsi="宋体" w:eastAsia="宋体" w:cs="宋体"/>
          <w:color w:val="auto"/>
          <w:szCs w:val="24"/>
          <w:highlight w:val="none"/>
        </w:rPr>
        <w:t>（6）开标会结束。</w:t>
      </w:r>
      <w:bookmarkStart w:id="259" w:name="_Toc163492853"/>
      <w:bookmarkStart w:id="260" w:name="_Toc140132784"/>
    </w:p>
    <w:p w14:paraId="68991356">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61" w:name="_Toc15283"/>
      <w:bookmarkStart w:id="262" w:name="_Toc10387"/>
      <w:bookmarkStart w:id="263" w:name="_Toc20123"/>
      <w:bookmarkStart w:id="264" w:name="_Toc19420"/>
      <w:r>
        <w:rPr>
          <w:rFonts w:hint="eastAsia" w:ascii="宋体" w:hAnsi="宋体" w:eastAsia="宋体" w:cs="宋体"/>
          <w:color w:val="auto"/>
          <w:sz w:val="24"/>
          <w:highlight w:val="none"/>
        </w:rPr>
        <w:t>26.开标疑义及回避情形</w:t>
      </w:r>
      <w:bookmarkEnd w:id="259"/>
      <w:bookmarkEnd w:id="260"/>
      <w:bookmarkEnd w:id="261"/>
      <w:bookmarkEnd w:id="262"/>
      <w:bookmarkEnd w:id="263"/>
      <w:bookmarkEnd w:id="264"/>
    </w:p>
    <w:p w14:paraId="2B8EE2DE">
      <w:pPr>
        <w:pStyle w:val="3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6</w:t>
      </w:r>
      <w:r>
        <w:rPr>
          <w:rFonts w:hint="eastAsia" w:ascii="宋体" w:hAnsi="宋体" w:eastAsia="宋体" w:cs="宋体"/>
          <w:color w:val="auto"/>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0453E042">
      <w:pPr>
        <w:pStyle w:val="3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6</w:t>
      </w:r>
      <w:r>
        <w:rPr>
          <w:rFonts w:hint="eastAsia" w:ascii="宋体" w:hAnsi="宋体" w:eastAsia="宋体" w:cs="宋体"/>
          <w:color w:val="auto"/>
          <w:highlight w:val="none"/>
        </w:rPr>
        <w:t>.2投标人未参加开标的，视同认可开标结果。</w:t>
      </w:r>
    </w:p>
    <w:p w14:paraId="1E61D0FD">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265" w:name="_Toc155185877"/>
      <w:bookmarkStart w:id="266" w:name="_Toc11421"/>
      <w:bookmarkStart w:id="267" w:name="_Toc2893"/>
      <w:bookmarkStart w:id="268" w:name="_Toc19512"/>
      <w:bookmarkStart w:id="269" w:name="_Toc20084"/>
      <w:bookmarkStart w:id="270" w:name="_Toc140132785"/>
      <w:bookmarkStart w:id="271" w:name="_Toc163492854"/>
      <w:r>
        <w:rPr>
          <w:rFonts w:hint="eastAsia" w:ascii="宋体" w:hAnsi="宋体" w:eastAsia="宋体" w:cs="宋体"/>
          <w:color w:val="auto"/>
          <w:sz w:val="24"/>
          <w:highlight w:val="none"/>
        </w:rPr>
        <w:t>（六）资格审查</w:t>
      </w:r>
      <w:bookmarkEnd w:id="265"/>
      <w:bookmarkEnd w:id="266"/>
      <w:bookmarkEnd w:id="267"/>
      <w:bookmarkEnd w:id="268"/>
      <w:bookmarkEnd w:id="269"/>
      <w:bookmarkEnd w:id="270"/>
      <w:bookmarkEnd w:id="271"/>
    </w:p>
    <w:p w14:paraId="42B2553A">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72" w:name="_Toc1466"/>
      <w:bookmarkStart w:id="273" w:name="_Toc9963"/>
      <w:bookmarkStart w:id="274" w:name="_Toc162"/>
      <w:bookmarkStart w:id="275" w:name="_Toc13821"/>
      <w:bookmarkStart w:id="276" w:name="_Toc163492855"/>
      <w:r>
        <w:rPr>
          <w:rFonts w:hint="eastAsia" w:ascii="宋体" w:hAnsi="宋体" w:eastAsia="宋体" w:cs="宋体"/>
          <w:color w:val="auto"/>
          <w:sz w:val="24"/>
          <w:highlight w:val="none"/>
        </w:rPr>
        <w:t>27.资格审查及审查主体</w:t>
      </w:r>
      <w:bookmarkEnd w:id="272"/>
      <w:bookmarkEnd w:id="273"/>
      <w:bookmarkEnd w:id="274"/>
      <w:bookmarkEnd w:id="275"/>
      <w:bookmarkEnd w:id="276"/>
    </w:p>
    <w:p w14:paraId="4F235BC0">
      <w:pPr>
        <w:pStyle w:val="36"/>
        <w:rPr>
          <w:rFonts w:hint="eastAsia" w:ascii="宋体" w:hAnsi="宋体" w:eastAsia="宋体" w:cs="宋体"/>
          <w:color w:val="auto"/>
          <w:highlight w:val="none"/>
        </w:rPr>
      </w:pPr>
      <w:bookmarkStart w:id="277" w:name="_Toc140132786"/>
      <w:r>
        <w:rPr>
          <w:rFonts w:hint="eastAsia" w:ascii="宋体" w:hAnsi="宋体" w:eastAsia="宋体" w:cs="宋体"/>
          <w:color w:val="auto"/>
          <w:highlight w:val="none"/>
        </w:rPr>
        <w:t>2</w:t>
      </w:r>
      <w:r>
        <w:rPr>
          <w:rFonts w:hint="eastAsia" w:ascii="宋体" w:hAnsi="宋体" w:eastAsia="宋体" w:cs="宋体"/>
          <w:color w:val="auto"/>
          <w:highlight w:val="none"/>
          <w:lang w:val="en-US"/>
        </w:rPr>
        <w:t>7</w:t>
      </w:r>
      <w:r>
        <w:rPr>
          <w:rFonts w:hint="eastAsia" w:ascii="宋体" w:hAnsi="宋体" w:eastAsia="宋体" w:cs="宋体"/>
          <w:color w:val="auto"/>
          <w:highlight w:val="none"/>
        </w:rPr>
        <w:t>.1</w:t>
      </w:r>
      <w:bookmarkEnd w:id="277"/>
      <w:r>
        <w:rPr>
          <w:rFonts w:hint="eastAsia" w:ascii="宋体" w:hAnsi="宋体" w:eastAsia="宋体" w:cs="宋体"/>
          <w:color w:val="auto"/>
          <w:highlight w:val="none"/>
        </w:rPr>
        <w:t>开标结束后，采购人或者采购代理机构应当依法对投标人的资格进行审查。</w:t>
      </w:r>
    </w:p>
    <w:p w14:paraId="33E8D586">
      <w:pPr>
        <w:pStyle w:val="36"/>
        <w:rPr>
          <w:rFonts w:hint="eastAsia" w:ascii="宋体" w:hAnsi="宋体" w:eastAsia="宋体" w:cs="宋体"/>
          <w:color w:val="auto"/>
          <w:highlight w:val="none"/>
        </w:rPr>
      </w:pPr>
      <w:bookmarkStart w:id="278" w:name="_Toc140132787"/>
      <w:r>
        <w:rPr>
          <w:rFonts w:hint="eastAsia" w:ascii="宋体" w:hAnsi="宋体" w:eastAsia="宋体" w:cs="宋体"/>
          <w:color w:val="auto"/>
          <w:highlight w:val="none"/>
        </w:rPr>
        <w:t>2</w:t>
      </w:r>
      <w:r>
        <w:rPr>
          <w:rFonts w:hint="eastAsia" w:ascii="宋体" w:hAnsi="宋体" w:eastAsia="宋体" w:cs="宋体"/>
          <w:color w:val="auto"/>
          <w:highlight w:val="none"/>
          <w:lang w:val="en-US"/>
        </w:rPr>
        <w:t>7</w:t>
      </w:r>
      <w:r>
        <w:rPr>
          <w:rFonts w:hint="eastAsia" w:ascii="宋体" w:hAnsi="宋体" w:eastAsia="宋体" w:cs="宋体"/>
          <w:color w:val="auto"/>
          <w:highlight w:val="none"/>
        </w:rPr>
        <w:t>.2资格审查按“第四章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资格审查”的规定进行。</w:t>
      </w:r>
      <w:bookmarkEnd w:id="278"/>
    </w:p>
    <w:p w14:paraId="57EEECDA">
      <w:pPr>
        <w:pStyle w:val="36"/>
        <w:rPr>
          <w:rFonts w:hint="eastAsia" w:ascii="宋体" w:hAnsi="宋体" w:eastAsia="宋体" w:cs="宋体"/>
          <w:color w:val="auto"/>
          <w:highlight w:val="none"/>
        </w:rPr>
      </w:pPr>
      <w:bookmarkStart w:id="279" w:name="_Toc140132788"/>
      <w:r>
        <w:rPr>
          <w:rFonts w:hint="eastAsia" w:ascii="宋体" w:hAnsi="宋体" w:eastAsia="宋体" w:cs="宋体"/>
          <w:color w:val="auto"/>
          <w:highlight w:val="none"/>
        </w:rPr>
        <w:t>2</w:t>
      </w:r>
      <w:r>
        <w:rPr>
          <w:rFonts w:hint="eastAsia" w:ascii="宋体" w:hAnsi="宋体" w:eastAsia="宋体" w:cs="宋体"/>
          <w:color w:val="auto"/>
          <w:highlight w:val="none"/>
          <w:lang w:val="en-US"/>
        </w:rPr>
        <w:t>7</w:t>
      </w:r>
      <w:r>
        <w:rPr>
          <w:rFonts w:hint="eastAsia" w:ascii="宋体" w:hAnsi="宋体" w:eastAsia="宋体" w:cs="宋体"/>
          <w:color w:val="auto"/>
          <w:highlight w:val="none"/>
        </w:rPr>
        <w:t>.3资格审查结束后，应及时对资格审查结果进行复核，对资格审查错误进行及时纠正并记录。</w:t>
      </w:r>
      <w:bookmarkEnd w:id="279"/>
    </w:p>
    <w:p w14:paraId="6ED7CB9E">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27.4</w:t>
      </w:r>
      <w:r>
        <w:rPr>
          <w:rFonts w:hint="eastAsia" w:ascii="宋体" w:hAnsi="宋体" w:eastAsia="宋体" w:cs="宋体"/>
          <w:color w:val="auto"/>
          <w:highlight w:val="none"/>
        </w:rPr>
        <w:t>资格审查合格投标人不足3家的，不得评标。</w:t>
      </w:r>
    </w:p>
    <w:p w14:paraId="2E2F1DC7">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280" w:name="_Toc140132789"/>
      <w:bookmarkStart w:id="281" w:name="_Toc30290"/>
      <w:bookmarkStart w:id="282" w:name="_Toc8249"/>
      <w:bookmarkStart w:id="283" w:name="_Toc163492856"/>
      <w:bookmarkStart w:id="284" w:name="_Toc31247"/>
      <w:bookmarkStart w:id="285" w:name="_Toc14198"/>
      <w:bookmarkStart w:id="286" w:name="_Toc155185878"/>
      <w:r>
        <w:rPr>
          <w:rFonts w:hint="eastAsia" w:ascii="宋体" w:hAnsi="宋体" w:eastAsia="宋体" w:cs="宋体"/>
          <w:color w:val="auto"/>
          <w:sz w:val="24"/>
          <w:highlight w:val="none"/>
        </w:rPr>
        <w:t>（七）评标</w:t>
      </w:r>
      <w:bookmarkEnd w:id="280"/>
      <w:bookmarkEnd w:id="281"/>
      <w:bookmarkEnd w:id="282"/>
      <w:bookmarkEnd w:id="283"/>
      <w:bookmarkEnd w:id="284"/>
      <w:bookmarkEnd w:id="285"/>
      <w:bookmarkEnd w:id="286"/>
    </w:p>
    <w:p w14:paraId="7090117A">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87" w:name="_Toc32434"/>
      <w:bookmarkStart w:id="288" w:name="_Toc20462"/>
      <w:bookmarkStart w:id="289" w:name="_Toc140132790"/>
      <w:bookmarkStart w:id="290" w:name="_Toc163492857"/>
      <w:bookmarkStart w:id="291" w:name="_Toc4659"/>
      <w:bookmarkStart w:id="292" w:name="_Toc16858"/>
      <w:r>
        <w:rPr>
          <w:rFonts w:hint="eastAsia" w:ascii="宋体" w:hAnsi="宋体" w:eastAsia="宋体" w:cs="宋体"/>
          <w:color w:val="auto"/>
          <w:sz w:val="24"/>
          <w:highlight w:val="none"/>
        </w:rPr>
        <w:t>28.评标委员会</w:t>
      </w:r>
      <w:bookmarkEnd w:id="287"/>
      <w:bookmarkEnd w:id="288"/>
      <w:bookmarkEnd w:id="289"/>
      <w:bookmarkEnd w:id="290"/>
      <w:bookmarkEnd w:id="291"/>
      <w:bookmarkEnd w:id="292"/>
    </w:p>
    <w:p w14:paraId="1AB49455">
      <w:pPr>
        <w:pStyle w:val="3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8</w:t>
      </w:r>
      <w:r>
        <w:rPr>
          <w:rFonts w:hint="eastAsia" w:ascii="宋体" w:hAnsi="宋体" w:eastAsia="宋体" w:cs="宋体"/>
          <w:color w:val="auto"/>
          <w:highlight w:val="none"/>
        </w:rPr>
        <w:t>.1 评标由采购人依法组建的评标委员会负责。评标委员会由采购人代表和评审专家组成，</w:t>
      </w:r>
      <w:r>
        <w:rPr>
          <w:rFonts w:hint="eastAsia" w:ascii="宋体" w:hAnsi="宋体" w:eastAsia="宋体" w:cs="宋体"/>
          <w:color w:val="auto"/>
          <w:highlight w:val="none"/>
          <w:lang w:val="en-US"/>
        </w:rPr>
        <w:t>成员人数应当为5</w:t>
      </w:r>
      <w:r>
        <w:rPr>
          <w:rFonts w:hint="eastAsia" w:ascii="宋体" w:hAnsi="宋体" w:eastAsia="宋体" w:cs="宋体"/>
          <w:color w:val="auto"/>
          <w:highlight w:val="none"/>
        </w:rPr>
        <w:t>人以上单数，其中</w:t>
      </w:r>
      <w:r>
        <w:rPr>
          <w:rFonts w:hint="eastAsia" w:ascii="宋体" w:hAnsi="宋体" w:eastAsia="宋体" w:cs="宋体"/>
          <w:color w:val="auto"/>
          <w:highlight w:val="none"/>
          <w:lang w:val="en-US"/>
        </w:rPr>
        <w:t>评审</w:t>
      </w:r>
      <w:r>
        <w:rPr>
          <w:rFonts w:hint="eastAsia" w:ascii="宋体" w:hAnsi="宋体" w:eastAsia="宋体" w:cs="宋体"/>
          <w:color w:val="auto"/>
          <w:highlight w:val="none"/>
        </w:rPr>
        <w:t>专家不</w:t>
      </w:r>
      <w:r>
        <w:rPr>
          <w:rFonts w:hint="eastAsia" w:ascii="宋体" w:hAnsi="宋体" w:eastAsia="宋体" w:cs="宋体"/>
          <w:color w:val="auto"/>
          <w:highlight w:val="none"/>
          <w:lang w:val="en-US"/>
        </w:rPr>
        <w:t>得</w:t>
      </w:r>
      <w:r>
        <w:rPr>
          <w:rFonts w:hint="eastAsia" w:ascii="宋体" w:hAnsi="宋体" w:eastAsia="宋体" w:cs="宋体"/>
          <w:color w:val="auto"/>
          <w:highlight w:val="none"/>
        </w:rPr>
        <w:t>少于</w:t>
      </w:r>
      <w:r>
        <w:rPr>
          <w:rFonts w:hint="eastAsia" w:ascii="宋体" w:hAnsi="宋体" w:eastAsia="宋体" w:cs="宋体"/>
          <w:color w:val="auto"/>
          <w:highlight w:val="none"/>
          <w:lang w:val="en-US"/>
        </w:rPr>
        <w:t>成员总数的</w:t>
      </w:r>
      <w:r>
        <w:rPr>
          <w:rFonts w:hint="eastAsia" w:ascii="宋体" w:hAnsi="宋体" w:eastAsia="宋体" w:cs="宋体"/>
          <w:color w:val="auto"/>
          <w:highlight w:val="none"/>
        </w:rPr>
        <w:t>三分之二。</w:t>
      </w:r>
      <w:r>
        <w:rPr>
          <w:rFonts w:hint="eastAsia" w:ascii="宋体" w:hAnsi="宋体" w:eastAsia="宋体" w:cs="宋体"/>
          <w:color w:val="auto"/>
          <w:highlight w:val="none"/>
          <w:lang w:val="en-US"/>
        </w:rPr>
        <w:t>采购人或者采购代理机构应当从省级以上财政部门设立的政府采购评审专家库中，通过随机方式抽取评审专家。</w:t>
      </w:r>
    </w:p>
    <w:p w14:paraId="298AE4C3">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28.2 采购项目符合下列情形之一的，评标委员会成员人数应当为7人以上单数：</w:t>
      </w:r>
    </w:p>
    <w:p w14:paraId="6818FD40">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（1）采购预算金额在1000万元以上；</w:t>
      </w:r>
    </w:p>
    <w:p w14:paraId="10EEB99B">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（2）技术复杂；</w:t>
      </w:r>
    </w:p>
    <w:p w14:paraId="05B62850">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（3）社会影响较大。</w:t>
      </w:r>
    </w:p>
    <w:p w14:paraId="521320CA">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67E84586">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28.4评标委员会成员名单在评标结果公告前应当保密。</w:t>
      </w:r>
    </w:p>
    <w:p w14:paraId="4249A7FB">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28.5评标中因评标委员会成员缺席、回避或者健康等特殊原因导致评标委员会组成不符合本办法规定的，采购人或者采购代理机构应当依法补足后继续评标。被更换的评标委员会成员所作出的评标意见无效。</w:t>
      </w:r>
    </w:p>
    <w:p w14:paraId="20C94A58">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28.6无法及时补足评标委员会成员的，采购人或者采购代理机构应当停止评标活动，封存所有投标文件和开标、评标资料，依法重新组建评标委员会进行评标。原评标委员会所作出的评标意见无效。</w:t>
      </w:r>
    </w:p>
    <w:p w14:paraId="3B1C12FC">
      <w:pPr>
        <w:pStyle w:val="3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8</w:t>
      </w:r>
      <w:r>
        <w:rPr>
          <w:rFonts w:hint="eastAsia" w:ascii="宋体" w:hAnsi="宋体" w:eastAsia="宋体" w:cs="宋体"/>
          <w:color w:val="auto"/>
          <w:highlight w:val="none"/>
        </w:rPr>
        <w:t>.</w:t>
      </w:r>
      <w:r>
        <w:rPr>
          <w:rFonts w:hint="eastAsia" w:ascii="宋体" w:hAnsi="宋体" w:eastAsia="宋体" w:cs="宋体"/>
          <w:color w:val="auto"/>
          <w:highlight w:val="none"/>
          <w:lang w:val="en-US"/>
        </w:rPr>
        <w:t>7</w:t>
      </w:r>
      <w:r>
        <w:rPr>
          <w:rFonts w:hint="eastAsia" w:ascii="宋体" w:hAnsi="宋体" w:eastAsia="宋体" w:cs="宋体"/>
          <w:color w:val="auto"/>
          <w:highlight w:val="none"/>
        </w:rPr>
        <w:t xml:space="preserve"> 评标委员会成员有下列情形之一的，应当回避：</w:t>
      </w:r>
    </w:p>
    <w:p w14:paraId="6E40FAC6">
      <w:pPr>
        <w:pStyle w:val="36"/>
        <w:rPr>
          <w:rFonts w:hint="eastAsia" w:ascii="宋体" w:hAnsi="宋体" w:eastAsia="宋体" w:cs="宋体"/>
          <w:color w:val="auto"/>
          <w:highlight w:val="none"/>
        </w:rPr>
      </w:pPr>
      <w:r>
        <w:rPr>
          <w:rFonts w:hint="eastAsia" w:ascii="宋体" w:hAnsi="宋体" w:eastAsia="宋体" w:cs="宋体"/>
          <w:color w:val="auto"/>
          <w:highlight w:val="none"/>
        </w:rPr>
        <w:t>（1）参加采购活动前3年内与投标人存在劳动关系；</w:t>
      </w:r>
    </w:p>
    <w:p w14:paraId="55B84EA9">
      <w:pPr>
        <w:pStyle w:val="36"/>
        <w:rPr>
          <w:rFonts w:hint="eastAsia" w:ascii="宋体" w:hAnsi="宋体" w:eastAsia="宋体" w:cs="宋体"/>
          <w:color w:val="auto"/>
          <w:highlight w:val="none"/>
        </w:rPr>
      </w:pPr>
      <w:r>
        <w:rPr>
          <w:rFonts w:hint="eastAsia" w:ascii="宋体" w:hAnsi="宋体" w:eastAsia="宋体" w:cs="宋体"/>
          <w:color w:val="auto"/>
          <w:highlight w:val="none"/>
        </w:rPr>
        <w:t>（2）参加采购活动前3年内担任投标人的董事、监事；</w:t>
      </w:r>
    </w:p>
    <w:p w14:paraId="632119F9">
      <w:pPr>
        <w:pStyle w:val="36"/>
        <w:rPr>
          <w:rFonts w:hint="eastAsia" w:ascii="宋体" w:hAnsi="宋体" w:eastAsia="宋体" w:cs="宋体"/>
          <w:color w:val="auto"/>
          <w:highlight w:val="none"/>
        </w:rPr>
      </w:pPr>
      <w:r>
        <w:rPr>
          <w:rFonts w:hint="eastAsia" w:ascii="宋体" w:hAnsi="宋体" w:eastAsia="宋体" w:cs="宋体"/>
          <w:color w:val="auto"/>
          <w:highlight w:val="none"/>
        </w:rPr>
        <w:t>（3）参加采购活动前3年内是投标人的控股股东或实际控制人；</w:t>
      </w:r>
    </w:p>
    <w:p w14:paraId="6F4DDBA7">
      <w:pPr>
        <w:pStyle w:val="36"/>
        <w:rPr>
          <w:rFonts w:hint="eastAsia" w:ascii="宋体" w:hAnsi="宋体" w:eastAsia="宋体" w:cs="宋体"/>
          <w:color w:val="auto"/>
          <w:highlight w:val="none"/>
        </w:rPr>
      </w:pPr>
      <w:r>
        <w:rPr>
          <w:rFonts w:hint="eastAsia" w:ascii="宋体" w:hAnsi="宋体" w:eastAsia="宋体" w:cs="宋体"/>
          <w:color w:val="auto"/>
          <w:highlight w:val="none"/>
        </w:rPr>
        <w:t>（4）与投标人的法定代表人或者负责人有夫妻、直系血亲、三代以内旁系血亲或者近姻亲关系；</w:t>
      </w:r>
    </w:p>
    <w:p w14:paraId="0D516441">
      <w:pPr>
        <w:pStyle w:val="36"/>
        <w:rPr>
          <w:rFonts w:hint="eastAsia" w:ascii="宋体" w:hAnsi="宋体" w:eastAsia="宋体" w:cs="宋体"/>
          <w:color w:val="auto"/>
          <w:highlight w:val="none"/>
        </w:rPr>
      </w:pPr>
      <w:r>
        <w:rPr>
          <w:rFonts w:hint="eastAsia" w:ascii="宋体" w:hAnsi="宋体" w:eastAsia="宋体" w:cs="宋体"/>
          <w:color w:val="auto"/>
          <w:highlight w:val="none"/>
        </w:rPr>
        <w:t>（5）与投标人有其他可能影响采购活动公平、公正进行的关系。</w:t>
      </w:r>
    </w:p>
    <w:p w14:paraId="47C6C204">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93" w:name="_Toc23723"/>
      <w:bookmarkStart w:id="294" w:name="_Toc163492858"/>
      <w:bookmarkStart w:id="295" w:name="_Toc140132791"/>
      <w:bookmarkStart w:id="296" w:name="_Toc15103"/>
      <w:bookmarkStart w:id="297" w:name="_Toc3667"/>
      <w:bookmarkStart w:id="298" w:name="_Toc26969"/>
      <w:r>
        <w:rPr>
          <w:rFonts w:hint="eastAsia" w:ascii="宋体" w:hAnsi="宋体" w:eastAsia="宋体" w:cs="宋体"/>
          <w:color w:val="auto"/>
          <w:sz w:val="24"/>
          <w:highlight w:val="none"/>
        </w:rPr>
        <w:t>29.评标</w:t>
      </w:r>
      <w:bookmarkEnd w:id="293"/>
      <w:bookmarkEnd w:id="294"/>
      <w:bookmarkEnd w:id="295"/>
      <w:bookmarkEnd w:id="296"/>
      <w:bookmarkEnd w:id="297"/>
      <w:bookmarkEnd w:id="298"/>
    </w:p>
    <w:p w14:paraId="02DE2C0F">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29</w:t>
      </w:r>
      <w:r>
        <w:rPr>
          <w:rFonts w:hint="eastAsia" w:ascii="宋体" w:hAnsi="宋体" w:eastAsia="宋体" w:cs="宋体"/>
          <w:color w:val="auto"/>
          <w:highlight w:val="none"/>
        </w:rPr>
        <w:t>.1</w:t>
      </w:r>
      <w:r>
        <w:rPr>
          <w:rFonts w:hint="eastAsia" w:ascii="宋体" w:hAnsi="宋体" w:eastAsia="宋体" w:cs="宋体"/>
          <w:color w:val="auto"/>
          <w:highlight w:val="none"/>
          <w:lang w:val="en-US"/>
        </w:rPr>
        <w:t xml:space="preserve"> 评标方法分为综合评分法和</w:t>
      </w:r>
      <w:r>
        <w:rPr>
          <w:rFonts w:hint="eastAsia" w:ascii="宋体" w:hAnsi="宋体" w:eastAsia="宋体" w:cs="宋体"/>
          <w:color w:val="auto"/>
          <w:highlight w:val="none"/>
        </w:rPr>
        <w:t>最低评标价法，本项目评标</w:t>
      </w:r>
      <w:r>
        <w:rPr>
          <w:rFonts w:hint="eastAsia" w:ascii="宋体" w:hAnsi="宋体" w:eastAsia="宋体" w:cs="宋体"/>
          <w:color w:val="auto"/>
          <w:highlight w:val="none"/>
          <w:lang w:val="en-US"/>
        </w:rPr>
        <w:t>方法详见</w:t>
      </w:r>
      <w:r>
        <w:rPr>
          <w:rFonts w:hint="eastAsia" w:ascii="宋体" w:hAnsi="宋体" w:eastAsia="宋体" w:cs="宋体"/>
          <w:color w:val="auto"/>
          <w:highlight w:val="none"/>
        </w:rPr>
        <w:t>“投标人须知前附表”。</w:t>
      </w:r>
    </w:p>
    <w:p w14:paraId="444B98E1">
      <w:pPr>
        <w:pStyle w:val="3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9.1.1</w:t>
      </w:r>
      <w:r>
        <w:rPr>
          <w:rFonts w:hint="eastAsia" w:ascii="宋体" w:hAnsi="宋体" w:eastAsia="宋体" w:cs="宋体"/>
          <w:color w:val="auto"/>
          <w:highlight w:val="none"/>
        </w:rPr>
        <w:t>综合评分法，是指投标文件满足招标文件全部实质性要求，且按照评审因素的量化指标评审得分最高的投标人为中标候选人的评标方法。</w:t>
      </w:r>
    </w:p>
    <w:p w14:paraId="0A2FCBFE">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29.1.2.</w:t>
      </w:r>
      <w:r>
        <w:rPr>
          <w:rFonts w:hint="eastAsia" w:ascii="宋体" w:hAnsi="宋体" w:eastAsia="宋体" w:cs="宋体"/>
          <w:color w:val="auto"/>
          <w:highlight w:val="none"/>
        </w:rPr>
        <w:t>最低评标价法，是指投标文件满足招标文件全部实质性要求，且投标报价最低的投标人为中标候选人的评标方法。</w:t>
      </w:r>
    </w:p>
    <w:p w14:paraId="5AA82D95">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29</w:t>
      </w:r>
      <w:r>
        <w:rPr>
          <w:rFonts w:hint="eastAsia" w:ascii="宋体" w:hAnsi="宋体" w:eastAsia="宋体" w:cs="宋体"/>
          <w:color w:val="auto"/>
          <w:highlight w:val="none"/>
        </w:rPr>
        <w:t>.</w:t>
      </w:r>
      <w:r>
        <w:rPr>
          <w:rFonts w:hint="eastAsia" w:ascii="宋体" w:hAnsi="宋体" w:eastAsia="宋体" w:cs="宋体"/>
          <w:color w:val="auto"/>
          <w:highlight w:val="none"/>
          <w:lang w:val="en-US"/>
        </w:rPr>
        <w:t xml:space="preserve">2 </w:t>
      </w:r>
      <w:r>
        <w:rPr>
          <w:rFonts w:hint="eastAsia" w:ascii="宋体" w:hAnsi="宋体" w:eastAsia="宋体" w:cs="宋体"/>
          <w:color w:val="auto"/>
          <w:highlight w:val="none"/>
        </w:rPr>
        <w:t>评标委员会按照“第五章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w:t>
      </w:r>
      <w:r>
        <w:rPr>
          <w:rFonts w:hint="eastAsia" w:ascii="宋体" w:hAnsi="宋体" w:eastAsia="宋体" w:cs="宋体"/>
          <w:color w:val="auto"/>
          <w:highlight w:val="none"/>
          <w:lang w:val="en-US"/>
        </w:rPr>
        <w:t>的</w:t>
      </w:r>
      <w:r>
        <w:rPr>
          <w:rFonts w:hint="eastAsia" w:ascii="宋体" w:hAnsi="宋体" w:eastAsia="宋体" w:cs="宋体"/>
          <w:color w:val="auto"/>
          <w:highlight w:val="none"/>
        </w:rPr>
        <w:t>规定对投标文件进行评审。“第五章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法及标准”没有规定的方法、评审因素和标准，不作为评标依据。</w:t>
      </w:r>
    </w:p>
    <w:p w14:paraId="26619289">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29</w:t>
      </w:r>
      <w:r>
        <w:rPr>
          <w:rFonts w:hint="eastAsia" w:ascii="宋体" w:hAnsi="宋体" w:eastAsia="宋体" w:cs="宋体"/>
          <w:color w:val="auto"/>
          <w:highlight w:val="none"/>
        </w:rPr>
        <w:t>.</w:t>
      </w:r>
      <w:r>
        <w:rPr>
          <w:rFonts w:hint="eastAsia" w:ascii="宋体" w:hAnsi="宋体" w:eastAsia="宋体" w:cs="宋体"/>
          <w:color w:val="auto"/>
          <w:highlight w:val="none"/>
          <w:lang w:val="en-US"/>
        </w:rPr>
        <w:t xml:space="preserve">3 </w:t>
      </w:r>
      <w:r>
        <w:rPr>
          <w:rFonts w:hint="eastAsia" w:ascii="宋体" w:hAnsi="宋体" w:eastAsia="宋体" w:cs="宋体"/>
          <w:color w:val="auto"/>
          <w:highlight w:val="none"/>
        </w:rPr>
        <w:t>评标委员会按“投标人须知前附表”规定的中标候选人数量在评标报告中向采购人推荐中标候选人。</w:t>
      </w:r>
    </w:p>
    <w:p w14:paraId="348362FF">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29.4 开标之后，直到签订合同止，凡是属于审查、澄清、评价和比较投标的有关资料以及定标意向等，均不得向投标人或者其他与评标无关的人员透露。</w:t>
      </w:r>
    </w:p>
    <w:p w14:paraId="28B5E345">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29.5 在确定中标人之前，投标人试图在投标文件审查、澄清、比较和评标时对评标委员会、采购人和采购代理机构施加任何影响都可能导致其</w:t>
      </w:r>
      <w:r>
        <w:rPr>
          <w:rFonts w:hint="eastAsia" w:ascii="宋体" w:hAnsi="宋体" w:eastAsia="宋体" w:cs="宋体"/>
          <w:b/>
          <w:bCs/>
          <w:color w:val="auto"/>
          <w:highlight w:val="none"/>
          <w:lang w:val="en-US"/>
        </w:rPr>
        <w:t>投标无效</w:t>
      </w:r>
      <w:r>
        <w:rPr>
          <w:rFonts w:hint="eastAsia" w:ascii="宋体" w:hAnsi="宋体" w:eastAsia="宋体" w:cs="宋体"/>
          <w:color w:val="auto"/>
          <w:highlight w:val="none"/>
          <w:lang w:val="en-US"/>
        </w:rPr>
        <w:t>。</w:t>
      </w:r>
    </w:p>
    <w:p w14:paraId="5DCB55B2">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29.6 电子招投标的应急措施</w:t>
      </w:r>
    </w:p>
    <w:p w14:paraId="02CCDC8F">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29.6.1电子开标、评标如出现下列原因，导致系统无法正常运行或无法正常评标时，应采取应急措施。</w:t>
      </w:r>
    </w:p>
    <w:p w14:paraId="2638D9D6">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（1）系统服务器发生故障，无法访问或无法使用系统；</w:t>
      </w:r>
    </w:p>
    <w:p w14:paraId="03A8CF4E">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（2）系统的软件或数据库出现错误，不能进行正常操作；</w:t>
      </w:r>
    </w:p>
    <w:p w14:paraId="5F57FAAE">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（3）系统发现有安全漏洞，有潜在的泄密危险；</w:t>
      </w:r>
    </w:p>
    <w:p w14:paraId="76C2701B">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（4）病毒发作或受到外来病毒的攻击；</w:t>
      </w:r>
    </w:p>
    <w:p w14:paraId="37E8BE18">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（5）出现其他不可抗拒的客观原因造成开评标系统无法正常使用。</w:t>
      </w:r>
    </w:p>
    <w:p w14:paraId="071D4F40">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出现上述情况时，应对未开标的暂停开标。已在系统内开标、评标的立即停止。采取应急措施时，必须对原有资料及信息作出妥善保密处理。</w:t>
      </w:r>
    </w:p>
    <w:p w14:paraId="3942E610">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29.6.2因系统原因导致投标人均无法解密电子投标文件时，采购代理机构可在开标现场直接导入投标人在投标截止时间前递交的未加密的电子投标文件进行开标、评标。</w:t>
      </w:r>
    </w:p>
    <w:p w14:paraId="78D9688F">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29.7 投标人瑕疵滞后发现的处理规则</w:t>
      </w:r>
    </w:p>
    <w:p w14:paraId="08DACAA6">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29.7.1无论基于何种原因，各项本应作</w:t>
      </w:r>
      <w:r>
        <w:rPr>
          <w:rFonts w:hint="eastAsia" w:ascii="宋体" w:hAnsi="宋体" w:eastAsia="宋体" w:cs="宋体"/>
          <w:b/>
          <w:bCs/>
          <w:color w:val="auto"/>
          <w:highlight w:val="none"/>
          <w:lang w:val="en-US"/>
        </w:rPr>
        <w:t>无效投标</w:t>
      </w:r>
      <w:r>
        <w:rPr>
          <w:rFonts w:hint="eastAsia" w:ascii="宋体" w:hAnsi="宋体" w:eastAsia="宋体" w:cs="宋体"/>
          <w:color w:val="auto"/>
          <w:highlight w:val="none"/>
          <w:lang w:val="en-US"/>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74E65718">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299" w:name="_Toc8349"/>
      <w:bookmarkStart w:id="300" w:name="_Toc140132792"/>
      <w:bookmarkStart w:id="301" w:name="_Toc163492859"/>
      <w:bookmarkStart w:id="302" w:name="_Toc4255"/>
      <w:bookmarkStart w:id="303" w:name="_Toc155185879"/>
      <w:bookmarkStart w:id="304" w:name="_Toc22170"/>
      <w:bookmarkStart w:id="305" w:name="_Toc1414"/>
      <w:r>
        <w:rPr>
          <w:rFonts w:hint="eastAsia" w:ascii="宋体" w:hAnsi="宋体" w:eastAsia="宋体" w:cs="宋体"/>
          <w:color w:val="auto"/>
          <w:sz w:val="24"/>
          <w:highlight w:val="none"/>
        </w:rPr>
        <w:t>（八）中标</w:t>
      </w:r>
      <w:bookmarkEnd w:id="299"/>
      <w:bookmarkEnd w:id="300"/>
      <w:bookmarkEnd w:id="301"/>
      <w:bookmarkEnd w:id="302"/>
      <w:bookmarkEnd w:id="303"/>
      <w:bookmarkEnd w:id="304"/>
      <w:bookmarkEnd w:id="305"/>
    </w:p>
    <w:p w14:paraId="18FDA752">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06" w:name="_Toc9777"/>
      <w:bookmarkStart w:id="307" w:name="_Toc31516"/>
      <w:bookmarkStart w:id="308" w:name="_Toc4784"/>
      <w:bookmarkStart w:id="309" w:name="_Toc140132793"/>
      <w:bookmarkStart w:id="310" w:name="_Toc163492860"/>
      <w:bookmarkStart w:id="311" w:name="_Toc26318"/>
      <w:r>
        <w:rPr>
          <w:rFonts w:hint="eastAsia" w:ascii="宋体" w:hAnsi="宋体" w:eastAsia="宋体" w:cs="宋体"/>
          <w:color w:val="auto"/>
          <w:sz w:val="24"/>
          <w:highlight w:val="none"/>
        </w:rPr>
        <w:t>30.确定中标人</w:t>
      </w:r>
      <w:bookmarkEnd w:id="306"/>
      <w:bookmarkEnd w:id="307"/>
      <w:bookmarkEnd w:id="308"/>
      <w:bookmarkEnd w:id="309"/>
      <w:bookmarkEnd w:id="310"/>
      <w:bookmarkEnd w:id="311"/>
    </w:p>
    <w:p w14:paraId="6A0682DB">
      <w:pPr>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highlight w:val="none"/>
        </w:rPr>
        <w:t>30.1</w:t>
      </w:r>
      <w:r>
        <w:rPr>
          <w:rFonts w:hint="eastAsia" w:ascii="宋体" w:hAnsi="宋体" w:eastAsia="宋体" w:cs="宋体"/>
          <w:color w:val="auto"/>
          <w:kern w:val="0"/>
          <w:szCs w:val="24"/>
          <w:highlight w:val="none"/>
        </w:rPr>
        <w:t>采购人将在评标报告确定的中标候选人名单中按顺序确定中标人，中标候选人并列的，按照</w:t>
      </w:r>
      <w:r>
        <w:rPr>
          <w:rFonts w:hint="eastAsia" w:ascii="宋体" w:hAnsi="宋体" w:eastAsia="宋体" w:cs="宋体"/>
          <w:color w:val="auto"/>
          <w:highlight w:val="none"/>
        </w:rPr>
        <w:t>“投标人须知前附表”</w:t>
      </w:r>
      <w:r>
        <w:rPr>
          <w:rFonts w:hint="eastAsia" w:ascii="宋体" w:hAnsi="宋体" w:eastAsia="宋体" w:cs="宋体"/>
          <w:color w:val="auto"/>
          <w:kern w:val="0"/>
          <w:szCs w:val="24"/>
          <w:highlight w:val="none"/>
        </w:rPr>
        <w:t>确定中标人；招标文件未规定的，采取随机抽取的方式确定。采购人是否委托评标委员会直接确定中标人，见</w:t>
      </w:r>
      <w:r>
        <w:rPr>
          <w:rFonts w:hint="eastAsia" w:ascii="宋体" w:hAnsi="宋体" w:eastAsia="宋体" w:cs="宋体"/>
          <w:color w:val="auto"/>
          <w:highlight w:val="none"/>
        </w:rPr>
        <w:t>“投标人须知前附表”</w:t>
      </w:r>
      <w:r>
        <w:rPr>
          <w:rFonts w:hint="eastAsia" w:ascii="宋体" w:hAnsi="宋体" w:eastAsia="宋体" w:cs="宋体"/>
          <w:color w:val="auto"/>
          <w:kern w:val="0"/>
          <w:szCs w:val="24"/>
          <w:highlight w:val="none"/>
        </w:rPr>
        <w:t>。</w:t>
      </w:r>
    </w:p>
    <w:p w14:paraId="0B46446C">
      <w:pPr>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30.2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宋体" w:hAnsi="宋体" w:eastAsia="宋体" w:cs="宋体"/>
          <w:color w:val="auto"/>
          <w:highlight w:val="none"/>
        </w:rPr>
        <w:t>“投标人须知前附表”</w:t>
      </w:r>
      <w:r>
        <w:rPr>
          <w:rFonts w:hint="eastAsia" w:ascii="宋体" w:hAnsi="宋体" w:eastAsia="宋体" w:cs="宋体"/>
          <w:color w:val="auto"/>
          <w:kern w:val="0"/>
          <w:szCs w:val="24"/>
          <w:highlight w:val="none"/>
        </w:rPr>
        <w:t>规定的方式确定一个投标人获得中标人推荐资格，招标文件未规定的采取随机抽取方式确定，其他同品牌投标人不作为中标候选人。</w:t>
      </w:r>
    </w:p>
    <w:p w14:paraId="6672C434">
      <w:pPr>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ascii="宋体" w:hAnsi="宋体" w:eastAsia="宋体" w:cs="宋体"/>
          <w:color w:val="auto"/>
          <w:highlight w:val="none"/>
        </w:rPr>
        <w:t>“投标人须知前附表”</w:t>
      </w:r>
      <w:r>
        <w:rPr>
          <w:rFonts w:hint="eastAsia" w:ascii="宋体" w:hAnsi="宋体" w:eastAsia="宋体" w:cs="宋体"/>
          <w:color w:val="auto"/>
          <w:kern w:val="0"/>
          <w:szCs w:val="24"/>
          <w:highlight w:val="none"/>
        </w:rPr>
        <w:t>规定的方式确定一个参加评标的投标人，招标文件未规定的采取随机抽取方式确定，其他投标无效。</w:t>
      </w:r>
    </w:p>
    <w:p w14:paraId="6C32A5DC">
      <w:pPr>
        <w:ind w:firstLine="480" w:firstLineChars="200"/>
        <w:rPr>
          <w:rFonts w:hint="eastAsia" w:ascii="宋体" w:hAnsi="宋体" w:eastAsia="宋体" w:cs="宋体"/>
          <w:color w:val="auto"/>
          <w:highlight w:val="none"/>
        </w:rPr>
      </w:pPr>
      <w:r>
        <w:rPr>
          <w:rFonts w:hint="eastAsia" w:ascii="宋体" w:hAnsi="宋体" w:eastAsia="宋体" w:cs="宋体"/>
          <w:color w:val="auto"/>
          <w:kern w:val="0"/>
          <w:szCs w:val="24"/>
          <w:highlight w:val="none"/>
        </w:rPr>
        <w:t>30.4非单一产品采购项目，采购人应当根据采购项目技术构成、产品价格比重等合理确定核心产品，并在</w:t>
      </w:r>
      <w:r>
        <w:rPr>
          <w:rFonts w:hint="eastAsia" w:ascii="宋体" w:hAnsi="宋体" w:eastAsia="宋体" w:cs="宋体"/>
          <w:color w:val="auto"/>
          <w:highlight w:val="none"/>
        </w:rPr>
        <w:t>“投标人须知前附表”</w:t>
      </w:r>
      <w:r>
        <w:rPr>
          <w:rFonts w:hint="eastAsia" w:ascii="宋体" w:hAnsi="宋体" w:eastAsia="宋体" w:cs="宋体"/>
          <w:color w:val="auto"/>
          <w:kern w:val="0"/>
          <w:szCs w:val="24"/>
          <w:highlight w:val="none"/>
        </w:rPr>
        <w:t xml:space="preserve">中载明。多家投标人提供的核心产品品牌相同的，按前两款规定处理。 </w:t>
      </w:r>
    </w:p>
    <w:p w14:paraId="322D0CA9">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12" w:name="_Toc24795"/>
      <w:bookmarkStart w:id="313" w:name="_Toc7431"/>
      <w:bookmarkStart w:id="314" w:name="_Toc6330"/>
      <w:bookmarkStart w:id="315" w:name="_Toc140132794"/>
      <w:bookmarkStart w:id="316" w:name="_Toc19155"/>
      <w:bookmarkStart w:id="317" w:name="_Toc163492861"/>
      <w:r>
        <w:rPr>
          <w:rFonts w:hint="eastAsia" w:ascii="宋体" w:hAnsi="宋体" w:eastAsia="宋体" w:cs="宋体"/>
          <w:color w:val="auto"/>
          <w:sz w:val="24"/>
          <w:highlight w:val="none"/>
        </w:rPr>
        <w:t>31.中标结果公告</w:t>
      </w:r>
      <w:bookmarkEnd w:id="312"/>
      <w:bookmarkEnd w:id="313"/>
      <w:bookmarkEnd w:id="314"/>
      <w:bookmarkEnd w:id="315"/>
      <w:bookmarkEnd w:id="316"/>
      <w:bookmarkEnd w:id="317"/>
    </w:p>
    <w:p w14:paraId="691D4B9E">
      <w:pPr>
        <w:pStyle w:val="36"/>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1</w:t>
      </w:r>
      <w:r>
        <w:rPr>
          <w:rFonts w:hint="eastAsia" w:ascii="宋体" w:hAnsi="宋体" w:eastAsia="宋体" w:cs="宋体"/>
          <w:color w:val="auto"/>
          <w:highlight w:val="none"/>
        </w:rPr>
        <w:t>.1</w:t>
      </w:r>
      <w:r>
        <w:rPr>
          <w:rFonts w:hint="eastAsia" w:ascii="宋体" w:hAnsi="宋体" w:eastAsia="宋体" w:cs="宋体"/>
          <w:color w:val="auto"/>
          <w:highlight w:val="none"/>
          <w:lang w:val="en-US"/>
        </w:rPr>
        <w:t>采购人或</w:t>
      </w:r>
      <w:r>
        <w:rPr>
          <w:rFonts w:hint="eastAsia" w:ascii="宋体" w:hAnsi="宋体" w:eastAsia="宋体" w:cs="宋体"/>
          <w:color w:val="auto"/>
          <w:highlight w:val="none"/>
        </w:rPr>
        <w:t>采购代理机构应当自中标人确定之日起2个工作日内，在</w:t>
      </w:r>
      <w:r>
        <w:rPr>
          <w:rFonts w:hint="eastAsia" w:ascii="宋体" w:hAnsi="宋体" w:eastAsia="宋体" w:cs="宋体"/>
          <w:color w:val="auto"/>
          <w:highlight w:val="none"/>
          <w:lang w:val="en-US"/>
        </w:rPr>
        <w:t>发布招标公告的同一</w:t>
      </w:r>
      <w:r>
        <w:rPr>
          <w:rFonts w:hint="eastAsia" w:ascii="宋体" w:hAnsi="宋体" w:eastAsia="宋体" w:cs="宋体"/>
          <w:color w:val="auto"/>
          <w:highlight w:val="none"/>
        </w:rPr>
        <w:t>媒体上发布中标结果公告，</w:t>
      </w:r>
      <w:r>
        <w:rPr>
          <w:rFonts w:hint="eastAsia" w:ascii="宋体" w:hAnsi="宋体" w:eastAsia="宋体" w:cs="宋体"/>
          <w:color w:val="auto"/>
          <w:highlight w:val="none"/>
          <w:lang w:val="en-US"/>
        </w:rPr>
        <w:t>同时向中标人</w:t>
      </w:r>
      <w:r>
        <w:rPr>
          <w:rFonts w:hint="eastAsia" w:ascii="宋体" w:hAnsi="宋体" w:eastAsia="宋体" w:cs="宋体"/>
          <w:color w:val="auto"/>
          <w:highlight w:val="none"/>
        </w:rPr>
        <w:t>发出中标通知书。招标文件随中标结果同时公告，中标结果公告期限为1个工作日。</w:t>
      </w:r>
    </w:p>
    <w:p w14:paraId="174260E3">
      <w:pPr>
        <w:pStyle w:val="36"/>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1</w:t>
      </w:r>
      <w:r>
        <w:rPr>
          <w:rFonts w:hint="eastAsia" w:ascii="宋体" w:hAnsi="宋体" w:eastAsia="宋体" w:cs="宋体"/>
          <w:bCs/>
          <w:color w:val="auto"/>
          <w:highlight w:val="none"/>
        </w:rPr>
        <w:t>.2中标</w:t>
      </w:r>
      <w:r>
        <w:rPr>
          <w:rFonts w:hint="eastAsia" w:ascii="宋体" w:hAnsi="宋体" w:eastAsia="宋体" w:cs="宋体"/>
          <w:bCs/>
          <w:color w:val="auto"/>
          <w:highlight w:val="none"/>
          <w:lang w:val="en-US"/>
        </w:rPr>
        <w:t>人</w:t>
      </w:r>
      <w:r>
        <w:rPr>
          <w:rFonts w:hint="eastAsia" w:ascii="宋体" w:hAnsi="宋体" w:eastAsia="宋体" w:cs="宋体"/>
          <w:bCs/>
          <w:color w:val="auto"/>
          <w:highlight w:val="none"/>
        </w:rPr>
        <w:t>为中小企业</w:t>
      </w:r>
      <w:r>
        <w:rPr>
          <w:rFonts w:hint="eastAsia" w:ascii="宋体" w:hAnsi="宋体" w:eastAsia="宋体" w:cs="宋体"/>
          <w:bCs/>
          <w:color w:val="auto"/>
          <w:highlight w:val="none"/>
          <w:lang w:val="en-US"/>
        </w:rPr>
        <w:t>享受中小企业扶持政策的</w:t>
      </w:r>
      <w:r>
        <w:rPr>
          <w:rFonts w:hint="eastAsia" w:ascii="宋体" w:hAnsi="宋体" w:eastAsia="宋体" w:cs="宋体"/>
          <w:bCs/>
          <w:color w:val="auto"/>
          <w:highlight w:val="none"/>
        </w:rPr>
        <w:t>，其“中小企业声明函”随中标结果同时公告。中标</w:t>
      </w:r>
      <w:r>
        <w:rPr>
          <w:rFonts w:hint="eastAsia" w:ascii="宋体" w:hAnsi="宋体" w:eastAsia="宋体" w:cs="宋体"/>
          <w:bCs/>
          <w:color w:val="auto"/>
          <w:highlight w:val="none"/>
          <w:lang w:val="en-US"/>
        </w:rPr>
        <w:t>人</w:t>
      </w:r>
      <w:r>
        <w:rPr>
          <w:rFonts w:hint="eastAsia" w:ascii="宋体" w:hAnsi="宋体" w:eastAsia="宋体" w:cs="宋体"/>
          <w:bCs/>
          <w:color w:val="auto"/>
          <w:highlight w:val="none"/>
        </w:rPr>
        <w:t>为残疾人福利性单位的，其“残疾人福利性单位声明函”随中标结果同时公告。</w:t>
      </w:r>
    </w:p>
    <w:p w14:paraId="12F337E9">
      <w:pPr>
        <w:pStyle w:val="36"/>
        <w:rPr>
          <w:rFonts w:hint="eastAsia" w:ascii="宋体" w:hAnsi="宋体" w:eastAsia="宋体" w:cs="宋体"/>
          <w:bCs/>
          <w:color w:val="auto"/>
          <w:highlight w:val="none"/>
        </w:rPr>
      </w:pPr>
      <w:r>
        <w:rPr>
          <w:rFonts w:hint="eastAsia" w:ascii="宋体" w:hAnsi="宋体" w:eastAsia="宋体" w:cs="宋体"/>
          <w:bCs/>
          <w:color w:val="auto"/>
          <w:highlight w:val="none"/>
          <w:lang w:val="en-US"/>
        </w:rPr>
        <w:t>31.3</w:t>
      </w:r>
      <w:r>
        <w:rPr>
          <w:rFonts w:hint="eastAsia" w:ascii="宋体" w:hAnsi="宋体" w:eastAsia="宋体" w:cs="宋体"/>
          <w:bCs/>
          <w:color w:val="auto"/>
          <w:highlight w:val="none"/>
        </w:rPr>
        <w:t>项目采购采用最低评标价法的，公告中标结果时同时公告因落实政府采购政策等原因进行价格扣除后中标</w:t>
      </w:r>
      <w:r>
        <w:rPr>
          <w:rFonts w:hint="eastAsia" w:ascii="宋体" w:hAnsi="宋体" w:eastAsia="宋体" w:cs="宋体"/>
          <w:bCs/>
          <w:color w:val="auto"/>
          <w:highlight w:val="none"/>
          <w:lang w:val="en-US"/>
        </w:rPr>
        <w:t>人</w:t>
      </w:r>
      <w:r>
        <w:rPr>
          <w:rFonts w:hint="eastAsia" w:ascii="宋体" w:hAnsi="宋体" w:eastAsia="宋体" w:cs="宋体"/>
          <w:bCs/>
          <w:color w:val="auto"/>
          <w:highlight w:val="none"/>
        </w:rPr>
        <w:t>的评审报价；项目采购采用综合评分法的，公告中标结果时同时公告中标</w:t>
      </w:r>
      <w:r>
        <w:rPr>
          <w:rFonts w:hint="eastAsia" w:ascii="宋体" w:hAnsi="宋体" w:eastAsia="宋体" w:cs="宋体"/>
          <w:bCs/>
          <w:color w:val="auto"/>
          <w:highlight w:val="none"/>
          <w:lang w:val="en-US"/>
        </w:rPr>
        <w:t>供应商</w:t>
      </w:r>
      <w:r>
        <w:rPr>
          <w:rFonts w:hint="eastAsia" w:ascii="宋体" w:hAnsi="宋体" w:eastAsia="宋体" w:cs="宋体"/>
          <w:bCs/>
          <w:color w:val="auto"/>
          <w:highlight w:val="none"/>
        </w:rPr>
        <w:t>的评审总得分。</w:t>
      </w:r>
    </w:p>
    <w:p w14:paraId="03503D56">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18" w:name="_Toc140132795"/>
      <w:bookmarkStart w:id="319" w:name="_Toc17569"/>
      <w:bookmarkStart w:id="320" w:name="_Toc17586"/>
      <w:bookmarkStart w:id="321" w:name="_Toc163492862"/>
      <w:bookmarkStart w:id="322" w:name="_Toc7104"/>
      <w:bookmarkStart w:id="323" w:name="_Toc2830"/>
      <w:r>
        <w:rPr>
          <w:rFonts w:hint="eastAsia" w:ascii="宋体" w:hAnsi="宋体" w:eastAsia="宋体" w:cs="宋体"/>
          <w:color w:val="auto"/>
          <w:sz w:val="24"/>
          <w:highlight w:val="none"/>
        </w:rPr>
        <w:t>32.中标通知</w:t>
      </w:r>
      <w:bookmarkEnd w:id="318"/>
      <w:bookmarkEnd w:id="319"/>
      <w:bookmarkEnd w:id="320"/>
      <w:bookmarkEnd w:id="321"/>
      <w:bookmarkEnd w:id="322"/>
      <w:bookmarkEnd w:id="323"/>
    </w:p>
    <w:p w14:paraId="513223F5">
      <w:pPr>
        <w:pStyle w:val="36"/>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2</w:t>
      </w:r>
      <w:r>
        <w:rPr>
          <w:rFonts w:hint="eastAsia" w:ascii="宋体" w:hAnsi="宋体" w:eastAsia="宋体" w:cs="宋体"/>
          <w:color w:val="auto"/>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78DFA728">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32.2中标通知书对采购人和中标人均具有法律效力。中标通知书发出后，采购人改变中标结果的，或者中标人放弃中标项目的，应当依法承担法律责任。</w:t>
      </w:r>
    </w:p>
    <w:p w14:paraId="49005ADC">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324" w:name="_Toc4010"/>
      <w:bookmarkStart w:id="325" w:name="_Toc163492863"/>
      <w:bookmarkStart w:id="326" w:name="_Toc28090"/>
      <w:bookmarkStart w:id="327" w:name="_Toc27448"/>
      <w:bookmarkStart w:id="328" w:name="_Toc9494"/>
      <w:r>
        <w:rPr>
          <w:rFonts w:hint="eastAsia" w:ascii="宋体" w:hAnsi="宋体" w:eastAsia="宋体" w:cs="宋体"/>
          <w:color w:val="auto"/>
          <w:sz w:val="24"/>
          <w:highlight w:val="none"/>
        </w:rPr>
        <w:t>（九）签订</w:t>
      </w:r>
      <w:bookmarkStart w:id="329" w:name="_Toc155185880"/>
      <w:bookmarkStart w:id="330" w:name="_Toc140132796"/>
      <w:r>
        <w:rPr>
          <w:rFonts w:hint="eastAsia" w:ascii="宋体" w:hAnsi="宋体" w:eastAsia="宋体" w:cs="宋体"/>
          <w:color w:val="auto"/>
          <w:sz w:val="24"/>
          <w:highlight w:val="none"/>
        </w:rPr>
        <w:t>合同</w:t>
      </w:r>
      <w:bookmarkEnd w:id="324"/>
      <w:bookmarkEnd w:id="325"/>
      <w:bookmarkEnd w:id="326"/>
      <w:bookmarkEnd w:id="327"/>
      <w:bookmarkEnd w:id="328"/>
      <w:bookmarkEnd w:id="329"/>
      <w:bookmarkEnd w:id="330"/>
    </w:p>
    <w:p w14:paraId="2C96F1A4">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31" w:name="_Toc6972"/>
      <w:bookmarkStart w:id="332" w:name="_Toc18377"/>
      <w:bookmarkStart w:id="333" w:name="_Toc163492864"/>
      <w:bookmarkStart w:id="334" w:name="_Toc22178"/>
      <w:bookmarkStart w:id="335" w:name="_Toc140132797"/>
      <w:bookmarkStart w:id="336" w:name="_Toc18923"/>
      <w:r>
        <w:rPr>
          <w:rFonts w:hint="eastAsia" w:ascii="宋体" w:hAnsi="宋体" w:eastAsia="宋体" w:cs="宋体"/>
          <w:color w:val="auto"/>
          <w:sz w:val="24"/>
          <w:highlight w:val="none"/>
        </w:rPr>
        <w:t>33.履约保证金</w:t>
      </w:r>
      <w:bookmarkEnd w:id="331"/>
      <w:bookmarkEnd w:id="332"/>
      <w:bookmarkEnd w:id="333"/>
      <w:bookmarkEnd w:id="334"/>
      <w:bookmarkEnd w:id="335"/>
      <w:bookmarkEnd w:id="336"/>
    </w:p>
    <w:p w14:paraId="5DF2F6DC">
      <w:pPr>
        <w:pStyle w:val="36"/>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3</w:t>
      </w:r>
      <w:r>
        <w:rPr>
          <w:rFonts w:hint="eastAsia" w:ascii="宋体" w:hAnsi="宋体" w:eastAsia="宋体" w:cs="宋体"/>
          <w:color w:val="auto"/>
          <w:highlight w:val="none"/>
        </w:rPr>
        <w:t>.1在签订合同前，中标人应按“投标人须知前附表”规定的金额、担保形式和采购人认可的履约担保格式向采购人提交履约保证金。</w:t>
      </w:r>
    </w:p>
    <w:p w14:paraId="52CA5375">
      <w:pPr>
        <w:pStyle w:val="36"/>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3</w:t>
      </w:r>
      <w:r>
        <w:rPr>
          <w:rFonts w:hint="eastAsia" w:ascii="宋体" w:hAnsi="宋体" w:eastAsia="宋体" w:cs="宋体"/>
          <w:color w:val="auto"/>
          <w:highlight w:val="none"/>
        </w:rPr>
        <w:t>.2中标人不能按本章第3</w:t>
      </w:r>
      <w:r>
        <w:rPr>
          <w:rFonts w:hint="eastAsia" w:ascii="宋体" w:hAnsi="宋体" w:eastAsia="宋体" w:cs="宋体"/>
          <w:color w:val="auto"/>
          <w:highlight w:val="none"/>
          <w:lang w:val="en-US"/>
        </w:rPr>
        <w:t>3</w:t>
      </w:r>
      <w:r>
        <w:rPr>
          <w:rFonts w:hint="eastAsia" w:ascii="宋体" w:hAnsi="宋体" w:eastAsia="宋体" w:cs="宋体"/>
          <w:color w:val="auto"/>
          <w:highlight w:val="none"/>
        </w:rPr>
        <w:t>.1项要求提交履约担保的，视为放弃中标，给采购人造成损失的，中标人还应当承担民事责任。</w:t>
      </w:r>
    </w:p>
    <w:p w14:paraId="222B17DC">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37" w:name="_Toc30681"/>
      <w:bookmarkStart w:id="338" w:name="_Toc25821"/>
      <w:bookmarkStart w:id="339" w:name="_Toc163492865"/>
      <w:bookmarkStart w:id="340" w:name="_Toc2818"/>
      <w:bookmarkStart w:id="341" w:name="_Toc19464"/>
      <w:bookmarkStart w:id="342" w:name="_Toc140132798"/>
      <w:r>
        <w:rPr>
          <w:rFonts w:hint="eastAsia" w:ascii="宋体" w:hAnsi="宋体" w:eastAsia="宋体" w:cs="宋体"/>
          <w:color w:val="auto"/>
          <w:sz w:val="24"/>
          <w:highlight w:val="none"/>
        </w:rPr>
        <w:t>34.签订合同</w:t>
      </w:r>
      <w:bookmarkEnd w:id="337"/>
      <w:bookmarkEnd w:id="338"/>
      <w:bookmarkEnd w:id="339"/>
      <w:bookmarkEnd w:id="340"/>
      <w:bookmarkEnd w:id="341"/>
      <w:bookmarkEnd w:id="342"/>
    </w:p>
    <w:p w14:paraId="4A9D80C1">
      <w:pPr>
        <w:pStyle w:val="36"/>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4</w:t>
      </w:r>
      <w:r>
        <w:rPr>
          <w:rFonts w:hint="eastAsia" w:ascii="宋体" w:hAnsi="宋体" w:eastAsia="宋体" w:cs="宋体"/>
          <w:color w:val="auto"/>
          <w:highlight w:val="none"/>
        </w:rPr>
        <w:t>.1 采购人和中标人应当自中标通知书发出之日起</w:t>
      </w:r>
      <w:r>
        <w:rPr>
          <w:rFonts w:hint="eastAsia" w:ascii="宋体" w:hAnsi="宋体" w:eastAsia="宋体" w:cs="宋体"/>
          <w:color w:val="auto"/>
          <w:highlight w:val="none"/>
          <w:lang w:val="en-US"/>
        </w:rPr>
        <w:t>25</w:t>
      </w:r>
      <w:r>
        <w:rPr>
          <w:rFonts w:hint="eastAsia" w:ascii="宋体" w:hAnsi="宋体" w:eastAsia="宋体" w:cs="宋体"/>
          <w:color w:val="auto"/>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183BE40B">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34.2 中标人拒绝与采购人签订合同的，采购人可以按照评标报告推荐的中标候选人名单排序，确定下一候选人为中标人，也可以重新开展政府采购活动。</w:t>
      </w:r>
    </w:p>
    <w:p w14:paraId="73986DC5">
      <w:pPr>
        <w:pStyle w:val="36"/>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rPr>
        <w:t>3</w:t>
      </w:r>
      <w:r>
        <w:rPr>
          <w:rFonts w:hint="eastAsia" w:ascii="宋体" w:hAnsi="宋体" w:eastAsia="宋体" w:cs="宋体"/>
          <w:color w:val="auto"/>
          <w:highlight w:val="none"/>
        </w:rPr>
        <w:t xml:space="preserve"> 采购人和中标人不得向对方提出任何不合理的要求，作为签订合同的条件，双方不得私下订立背离合同实质性内容的协议。</w:t>
      </w:r>
    </w:p>
    <w:p w14:paraId="50E4B8DD">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34.4 联合体中标的，联合体各方应当共同与采购人签订合同，就采购合同约定的事项向采购人承担连带责任。</w:t>
      </w:r>
    </w:p>
    <w:p w14:paraId="66643087">
      <w:pPr>
        <w:pStyle w:val="36"/>
        <w:rPr>
          <w:rFonts w:hint="eastAsia" w:ascii="宋体" w:hAnsi="宋体" w:eastAsia="宋体" w:cs="宋体"/>
          <w:b/>
          <w:bCs/>
          <w:color w:val="auto"/>
          <w:highlight w:val="none"/>
          <w:lang w:val="en-US"/>
        </w:rPr>
      </w:pPr>
      <w:r>
        <w:rPr>
          <w:rFonts w:hint="eastAsia" w:ascii="宋体" w:hAnsi="宋体" w:eastAsia="宋体" w:cs="宋体"/>
          <w:color w:val="auto"/>
          <w:highlight w:val="none"/>
          <w:lang w:val="en-US"/>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宋体" w:hAnsi="宋体" w:eastAsia="宋体" w:cs="宋体"/>
          <w:b/>
          <w:bCs/>
          <w:color w:val="auto"/>
          <w:highlight w:val="none"/>
          <w:lang w:val="en-US"/>
        </w:rPr>
        <w:t>投标无效</w:t>
      </w:r>
      <w:r>
        <w:rPr>
          <w:rFonts w:hint="eastAsia" w:ascii="宋体" w:hAnsi="宋体" w:eastAsia="宋体" w:cs="宋体"/>
          <w:color w:val="auto"/>
          <w:highlight w:val="none"/>
          <w:lang w:val="en-US"/>
        </w:rPr>
        <w:t>。中标人就采购项目和分包项目向采购人负责，分包供应商就分包项目承担责任。</w:t>
      </w:r>
      <w:r>
        <w:rPr>
          <w:rFonts w:hint="eastAsia" w:ascii="宋体" w:hAnsi="宋体" w:eastAsia="宋体" w:cs="宋体"/>
          <w:b/>
          <w:bCs/>
          <w:color w:val="auto"/>
          <w:highlight w:val="none"/>
          <w:lang w:val="en-US"/>
        </w:rPr>
        <w:t>政府采购合同不能转包。</w:t>
      </w:r>
    </w:p>
    <w:p w14:paraId="225ABEB1">
      <w:pPr>
        <w:pStyle w:val="36"/>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rPr>
        <w:t>6</w:t>
      </w:r>
      <w:r>
        <w:rPr>
          <w:rFonts w:hint="eastAsia" w:ascii="宋体" w:hAnsi="宋体" w:eastAsia="宋体" w:cs="宋体"/>
          <w:color w:val="auto"/>
          <w:highlight w:val="none"/>
        </w:rPr>
        <w:t>采购合同履行中，采购人需追加与合同标的相同的</w:t>
      </w:r>
      <w:r>
        <w:rPr>
          <w:rFonts w:hint="eastAsia" w:ascii="宋体" w:hAnsi="宋体" w:eastAsia="宋体" w:cs="宋体"/>
          <w:color w:val="auto"/>
          <w:highlight w:val="none"/>
          <w:lang w:val="en-US"/>
        </w:rPr>
        <w:t>货物、工程或者服务</w:t>
      </w:r>
      <w:r>
        <w:rPr>
          <w:rFonts w:hint="eastAsia" w:ascii="宋体" w:hAnsi="宋体" w:eastAsia="宋体" w:cs="宋体"/>
          <w:color w:val="auto"/>
          <w:highlight w:val="none"/>
        </w:rPr>
        <w:t>的，在不改变合同其他条款的前提下，可以与中标人协商签订补充合同，但所有补充合同的采购金额不得超过原合同采购金额的百分之十。</w:t>
      </w:r>
    </w:p>
    <w:p w14:paraId="0F1479E8">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34.7 采购人应于签订合同之日起2个工作日内在政采云平台备案公示。</w:t>
      </w:r>
    </w:p>
    <w:p w14:paraId="43E12FB3">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343" w:name="_Toc16618"/>
      <w:bookmarkStart w:id="344" w:name="_Toc155185881"/>
      <w:bookmarkStart w:id="345" w:name="_Toc163492866"/>
      <w:bookmarkStart w:id="346" w:name="_Toc3470"/>
      <w:bookmarkStart w:id="347" w:name="_Toc9575"/>
      <w:bookmarkStart w:id="348" w:name="_Toc16755"/>
      <w:bookmarkStart w:id="349" w:name="_Toc140132799"/>
      <w:r>
        <w:rPr>
          <w:rFonts w:hint="eastAsia" w:ascii="宋体" w:hAnsi="宋体" w:eastAsia="宋体" w:cs="宋体"/>
          <w:color w:val="auto"/>
          <w:sz w:val="24"/>
          <w:highlight w:val="none"/>
        </w:rPr>
        <w:t>（十）质疑和投诉</w:t>
      </w:r>
      <w:bookmarkEnd w:id="343"/>
      <w:bookmarkEnd w:id="344"/>
      <w:bookmarkEnd w:id="345"/>
      <w:bookmarkEnd w:id="346"/>
      <w:bookmarkEnd w:id="347"/>
      <w:bookmarkEnd w:id="348"/>
      <w:bookmarkEnd w:id="349"/>
    </w:p>
    <w:p w14:paraId="012DB2D3">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50" w:name="_Toc140132800"/>
      <w:bookmarkStart w:id="351" w:name="_Toc1814"/>
      <w:bookmarkStart w:id="352" w:name="_Toc8211"/>
      <w:bookmarkStart w:id="353" w:name="_Toc163492867"/>
      <w:bookmarkStart w:id="354" w:name="_Toc5638"/>
      <w:bookmarkStart w:id="355" w:name="_Toc26264"/>
      <w:r>
        <w:rPr>
          <w:rFonts w:hint="eastAsia" w:ascii="宋体" w:hAnsi="宋体" w:eastAsia="宋体" w:cs="宋体"/>
          <w:color w:val="auto"/>
          <w:sz w:val="24"/>
          <w:highlight w:val="none"/>
        </w:rPr>
        <w:t>35.质疑</w:t>
      </w:r>
      <w:bookmarkEnd w:id="350"/>
      <w:bookmarkEnd w:id="351"/>
      <w:bookmarkEnd w:id="352"/>
      <w:bookmarkEnd w:id="353"/>
      <w:bookmarkEnd w:id="354"/>
      <w:bookmarkEnd w:id="355"/>
    </w:p>
    <w:p w14:paraId="7E3ECF95">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rPr>
        <w:t>3</w:t>
      </w:r>
      <w:r>
        <w:rPr>
          <w:rFonts w:hint="eastAsia" w:ascii="宋体" w:hAnsi="宋体" w:eastAsia="宋体" w:cs="宋体"/>
          <w:color w:val="auto"/>
          <w:highlight w:val="none"/>
          <w:lang w:val="en-US"/>
        </w:rPr>
        <w:t>5</w:t>
      </w:r>
      <w:r>
        <w:rPr>
          <w:rFonts w:hint="eastAsia" w:ascii="宋体" w:hAnsi="宋体" w:eastAsia="宋体" w:cs="宋体"/>
          <w:color w:val="auto"/>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ascii="宋体" w:hAnsi="宋体" w:eastAsia="宋体" w:cs="宋体"/>
          <w:color w:val="auto"/>
          <w:highlight w:val="none"/>
          <w:lang w:val="en-US"/>
        </w:rPr>
        <w:t>详见“投标人须知前附表”</w:t>
      </w:r>
      <w:r>
        <w:rPr>
          <w:rFonts w:hint="eastAsia" w:ascii="宋体" w:hAnsi="宋体" w:eastAsia="宋体" w:cs="宋体"/>
          <w:color w:val="auto"/>
          <w:highlight w:val="none"/>
        </w:rPr>
        <w:t>。供应商在法定质疑期内一次性提出针对同一采购程序环节的质疑。</w:t>
      </w:r>
    </w:p>
    <w:p w14:paraId="0F746032">
      <w:pPr>
        <w:pStyle w:val="36"/>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rPr>
        <w:t>5</w:t>
      </w:r>
      <w:r>
        <w:rPr>
          <w:rFonts w:hint="eastAsia" w:ascii="宋体" w:hAnsi="宋体" w:eastAsia="宋体" w:cs="宋体"/>
          <w:color w:val="auto"/>
          <w:highlight w:val="none"/>
        </w:rPr>
        <w:t>.2提出质疑的供应商（以下简称质疑供应商）应当是参与所质疑项目采购活动的供应商。</w:t>
      </w:r>
    </w:p>
    <w:p w14:paraId="1FEB0CBF">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35.3</w:t>
      </w:r>
      <w:r>
        <w:rPr>
          <w:rFonts w:hint="eastAsia" w:ascii="宋体" w:hAnsi="宋体" w:eastAsia="宋体" w:cs="宋体"/>
          <w:color w:val="auto"/>
          <w:highlight w:val="none"/>
        </w:rPr>
        <w:t>潜在供应商已依法获取其可质疑的采购文件的，可以对该文件提出质疑。对采购文件提出质疑的，应当在获取采购文件或者采购文件公告期限届满之日起7个工作日内提出。</w:t>
      </w:r>
    </w:p>
    <w:p w14:paraId="1C3BB385">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35.4</w:t>
      </w:r>
      <w:r>
        <w:rPr>
          <w:rFonts w:hint="eastAsia" w:ascii="宋体" w:hAnsi="宋体" w:eastAsia="宋体" w:cs="宋体"/>
          <w:color w:val="auto"/>
          <w:highlight w:val="none"/>
        </w:rPr>
        <w:t>供应商提出质疑应当提交质疑函和必要的证明材料。质疑函应当包括下列内容：</w:t>
      </w:r>
    </w:p>
    <w:p w14:paraId="25BED590">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1</w:t>
      </w:r>
      <w:r>
        <w:rPr>
          <w:rFonts w:hint="eastAsia" w:ascii="宋体" w:hAnsi="宋体" w:eastAsia="宋体" w:cs="宋体"/>
          <w:color w:val="auto"/>
          <w:highlight w:val="none"/>
        </w:rPr>
        <w:t>）供应商的姓名或者名称、地址、邮编、联系人及联系电话；</w:t>
      </w:r>
    </w:p>
    <w:p w14:paraId="6FB19881">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2</w:t>
      </w:r>
      <w:r>
        <w:rPr>
          <w:rFonts w:hint="eastAsia" w:ascii="宋体" w:hAnsi="宋体" w:eastAsia="宋体" w:cs="宋体"/>
          <w:color w:val="auto"/>
          <w:highlight w:val="none"/>
        </w:rPr>
        <w:t>）质疑项目的名称、</w:t>
      </w:r>
      <w:r>
        <w:rPr>
          <w:rFonts w:hint="eastAsia" w:ascii="宋体" w:hAnsi="宋体" w:eastAsia="宋体" w:cs="宋体"/>
          <w:color w:val="auto"/>
          <w:highlight w:val="none"/>
          <w:lang w:val="en-US"/>
        </w:rPr>
        <w:t>项目编号</w:t>
      </w:r>
      <w:r>
        <w:rPr>
          <w:rFonts w:hint="eastAsia" w:ascii="宋体" w:hAnsi="宋体" w:eastAsia="宋体" w:cs="宋体"/>
          <w:color w:val="auto"/>
          <w:highlight w:val="none"/>
        </w:rPr>
        <w:t>；</w:t>
      </w:r>
    </w:p>
    <w:p w14:paraId="067CE27B">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3</w:t>
      </w:r>
      <w:r>
        <w:rPr>
          <w:rFonts w:hint="eastAsia" w:ascii="宋体" w:hAnsi="宋体" w:eastAsia="宋体" w:cs="宋体"/>
          <w:color w:val="auto"/>
          <w:highlight w:val="none"/>
        </w:rPr>
        <w:t>）具体、明确的质疑事项和与质疑事项相关的请求；</w:t>
      </w:r>
    </w:p>
    <w:p w14:paraId="5A4B4BAF">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4</w:t>
      </w:r>
      <w:r>
        <w:rPr>
          <w:rFonts w:hint="eastAsia" w:ascii="宋体" w:hAnsi="宋体" w:eastAsia="宋体" w:cs="宋体"/>
          <w:color w:val="auto"/>
          <w:highlight w:val="none"/>
        </w:rPr>
        <w:t>）事实依据；</w:t>
      </w:r>
    </w:p>
    <w:p w14:paraId="73577C8B">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5</w:t>
      </w:r>
      <w:r>
        <w:rPr>
          <w:rFonts w:hint="eastAsia" w:ascii="宋体" w:hAnsi="宋体" w:eastAsia="宋体" w:cs="宋体"/>
          <w:color w:val="auto"/>
          <w:highlight w:val="none"/>
        </w:rPr>
        <w:t>）必要的法律依据；</w:t>
      </w:r>
    </w:p>
    <w:p w14:paraId="1F2356CF">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6</w:t>
      </w:r>
      <w:r>
        <w:rPr>
          <w:rFonts w:hint="eastAsia" w:ascii="宋体" w:hAnsi="宋体" w:eastAsia="宋体" w:cs="宋体"/>
          <w:color w:val="auto"/>
          <w:highlight w:val="none"/>
        </w:rPr>
        <w:t>）提出质疑的日期。</w:t>
      </w:r>
    </w:p>
    <w:p w14:paraId="116590E6">
      <w:pPr>
        <w:pStyle w:val="36"/>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供应商为自然人的，应当由本人签字；供应商为法人或者其他组织的，应当由法定代表人、主要负责人，或者其授权代表签字或者盖章，并加盖公章。</w:t>
      </w:r>
    </w:p>
    <w:p w14:paraId="5F998E75">
      <w:pPr>
        <w:pStyle w:val="36"/>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rPr>
        <w:t>5</w:t>
      </w:r>
      <w:r>
        <w:rPr>
          <w:rFonts w:hint="eastAsia" w:ascii="宋体" w:hAnsi="宋体" w:eastAsia="宋体" w:cs="宋体"/>
          <w:color w:val="auto"/>
          <w:highlight w:val="none"/>
        </w:rPr>
        <w:t>.5质疑函不符合上述要求的，采购人或代理机构应书面告知具体事项，质疑人应当按要求进行修改或补充，并在质疑有效期限内提交。</w:t>
      </w:r>
    </w:p>
    <w:p w14:paraId="4D4F0215">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3</w:t>
      </w:r>
      <w:r>
        <w:rPr>
          <w:rFonts w:hint="eastAsia" w:ascii="宋体" w:hAnsi="宋体" w:eastAsia="宋体" w:cs="宋体"/>
          <w:snapToGrid w:val="0"/>
          <w:color w:val="auto"/>
          <w:highlight w:val="none"/>
          <w:lang w:val="en-US"/>
        </w:rPr>
        <w:t>5</w:t>
      </w:r>
      <w:r>
        <w:rPr>
          <w:rFonts w:hint="eastAsia" w:ascii="宋体" w:hAnsi="宋体" w:eastAsia="宋体" w:cs="宋体"/>
          <w:snapToGrid w:val="0"/>
          <w:color w:val="auto"/>
          <w:highlight w:val="none"/>
        </w:rPr>
        <w:t>.</w:t>
      </w:r>
      <w:r>
        <w:rPr>
          <w:rFonts w:hint="eastAsia" w:ascii="宋体" w:hAnsi="宋体" w:eastAsia="宋体" w:cs="宋体"/>
          <w:snapToGrid w:val="0"/>
          <w:color w:val="auto"/>
          <w:highlight w:val="none"/>
          <w:lang w:val="en-US"/>
        </w:rPr>
        <w:t>6</w:t>
      </w:r>
      <w:r>
        <w:rPr>
          <w:rFonts w:hint="eastAsia" w:ascii="宋体" w:hAnsi="宋体" w:eastAsia="宋体" w:cs="宋体"/>
          <w:snapToGrid w:val="0"/>
          <w:color w:val="auto"/>
          <w:highlight w:val="none"/>
        </w:rPr>
        <w:t>投标人进行虚假和恶意</w:t>
      </w:r>
      <w:r>
        <w:rPr>
          <w:rFonts w:hint="eastAsia" w:ascii="宋体" w:hAnsi="宋体" w:eastAsia="宋体" w:cs="宋体"/>
          <w:snapToGrid w:val="0"/>
          <w:color w:val="auto"/>
          <w:highlight w:val="none"/>
          <w:lang w:val="en-US"/>
        </w:rPr>
        <w:t>质疑投诉</w:t>
      </w:r>
      <w:r>
        <w:rPr>
          <w:rFonts w:hint="eastAsia" w:ascii="宋体" w:hAnsi="宋体" w:eastAsia="宋体" w:cs="宋体"/>
          <w:snapToGrid w:val="0"/>
          <w:color w:val="auto"/>
          <w:highlight w:val="none"/>
        </w:rPr>
        <w:t>的，采购代理机构将提请有关部门将其列入不良记录名单，在一至三年内禁止参加政府采购活动，并将处理决定在相关政府采购媒体上公布。</w:t>
      </w:r>
    </w:p>
    <w:p w14:paraId="162A2A10">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35.7</w:t>
      </w:r>
      <w:r>
        <w:rPr>
          <w:rFonts w:hint="eastAsia" w:ascii="宋体" w:hAnsi="宋体" w:eastAsia="宋体" w:cs="宋体"/>
          <w:color w:val="auto"/>
          <w:highlight w:val="none"/>
        </w:rPr>
        <w:t>质疑函</w:t>
      </w:r>
      <w:r>
        <w:rPr>
          <w:rFonts w:hint="eastAsia" w:ascii="宋体" w:hAnsi="宋体" w:eastAsia="宋体" w:cs="宋体"/>
          <w:color w:val="auto"/>
          <w:highlight w:val="none"/>
          <w:lang w:val="en-US"/>
        </w:rPr>
        <w:t>应当使用中文，并采用财政部门制定的范本。</w:t>
      </w:r>
    </w:p>
    <w:p w14:paraId="204F7715">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56" w:name="_Toc21790"/>
      <w:bookmarkStart w:id="357" w:name="_Toc28277"/>
      <w:bookmarkStart w:id="358" w:name="_Toc2311"/>
      <w:bookmarkStart w:id="359" w:name="_Toc13773"/>
      <w:bookmarkStart w:id="360" w:name="_Toc140132801"/>
      <w:bookmarkStart w:id="361" w:name="_Toc163492868"/>
      <w:r>
        <w:rPr>
          <w:rFonts w:hint="eastAsia" w:ascii="宋体" w:hAnsi="宋体" w:eastAsia="宋体" w:cs="宋体"/>
          <w:color w:val="auto"/>
          <w:sz w:val="24"/>
          <w:highlight w:val="none"/>
        </w:rPr>
        <w:t>36.质疑答复</w:t>
      </w:r>
      <w:bookmarkEnd w:id="356"/>
      <w:bookmarkEnd w:id="357"/>
      <w:bookmarkEnd w:id="358"/>
      <w:bookmarkEnd w:id="359"/>
      <w:bookmarkEnd w:id="360"/>
      <w:bookmarkEnd w:id="361"/>
    </w:p>
    <w:p w14:paraId="6B23B26B">
      <w:pPr>
        <w:pStyle w:val="36"/>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rPr>
        <w:t>6</w:t>
      </w:r>
      <w:r>
        <w:rPr>
          <w:rFonts w:hint="eastAsia" w:ascii="宋体" w:hAnsi="宋体" w:eastAsia="宋体" w:cs="宋体"/>
          <w:color w:val="auto"/>
          <w:highlight w:val="none"/>
        </w:rPr>
        <w:t>.1采购人、采购代理机构不得拒收质疑供应商在法定质疑期内发出的质疑函，应当在收到质疑函后7个工作日内作出答复，并以书面形式通知质疑供应商和其他有关供应商。</w:t>
      </w:r>
    </w:p>
    <w:p w14:paraId="552DA55C">
      <w:pPr>
        <w:pStyle w:val="36"/>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36.2供应商对评审过程、中标结果提出质疑的，采购人、采购代理机构可以组织原评标委员会协助答复质疑。</w:t>
      </w:r>
    </w:p>
    <w:p w14:paraId="3728A4B8">
      <w:pPr>
        <w:pStyle w:val="36"/>
        <w:rPr>
          <w:rFonts w:hint="eastAsia" w:ascii="宋体" w:hAnsi="宋体" w:eastAsia="宋体" w:cs="宋体"/>
          <w:color w:val="auto"/>
          <w:highlight w:val="none"/>
        </w:rPr>
      </w:pPr>
      <w:bookmarkStart w:id="362" w:name="_Toc163492869"/>
      <w:bookmarkStart w:id="363" w:name="_Toc140132802"/>
      <w:r>
        <w:rPr>
          <w:rFonts w:hint="eastAsia" w:ascii="宋体" w:hAnsi="宋体" w:eastAsia="宋体" w:cs="宋体"/>
          <w:color w:val="auto"/>
          <w:highlight w:val="none"/>
        </w:rPr>
        <w:t>质疑答复应当包括下列内容：</w:t>
      </w:r>
    </w:p>
    <w:p w14:paraId="283BC7D1">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1</w:t>
      </w:r>
      <w:r>
        <w:rPr>
          <w:rFonts w:hint="eastAsia" w:ascii="宋体" w:hAnsi="宋体" w:eastAsia="宋体" w:cs="宋体"/>
          <w:color w:val="auto"/>
          <w:highlight w:val="none"/>
        </w:rPr>
        <w:t>）质疑供应商的姓名或者名称；</w:t>
      </w:r>
    </w:p>
    <w:p w14:paraId="3E1193A4">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2</w:t>
      </w:r>
      <w:r>
        <w:rPr>
          <w:rFonts w:hint="eastAsia" w:ascii="宋体" w:hAnsi="宋体" w:eastAsia="宋体" w:cs="宋体"/>
          <w:color w:val="auto"/>
          <w:highlight w:val="none"/>
        </w:rPr>
        <w:t>）收到质疑函的日期、质疑项目名称及</w:t>
      </w:r>
      <w:r>
        <w:rPr>
          <w:rFonts w:hint="eastAsia" w:ascii="宋体" w:hAnsi="宋体" w:eastAsia="宋体" w:cs="宋体"/>
          <w:color w:val="auto"/>
          <w:highlight w:val="none"/>
          <w:lang w:val="en-US"/>
        </w:rPr>
        <w:t>项目编号</w:t>
      </w:r>
      <w:r>
        <w:rPr>
          <w:rFonts w:hint="eastAsia" w:ascii="宋体" w:hAnsi="宋体" w:eastAsia="宋体" w:cs="宋体"/>
          <w:color w:val="auto"/>
          <w:highlight w:val="none"/>
        </w:rPr>
        <w:t>；</w:t>
      </w:r>
    </w:p>
    <w:p w14:paraId="12234E7B">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3</w:t>
      </w:r>
      <w:r>
        <w:rPr>
          <w:rFonts w:hint="eastAsia" w:ascii="宋体" w:hAnsi="宋体" w:eastAsia="宋体" w:cs="宋体"/>
          <w:color w:val="auto"/>
          <w:highlight w:val="none"/>
        </w:rPr>
        <w:t>）质疑事项、质疑答复的具体内容、事实依据和法律依据；</w:t>
      </w:r>
    </w:p>
    <w:p w14:paraId="6C9E4355">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4</w:t>
      </w:r>
      <w:r>
        <w:rPr>
          <w:rFonts w:hint="eastAsia" w:ascii="宋体" w:hAnsi="宋体" w:eastAsia="宋体" w:cs="宋体"/>
          <w:color w:val="auto"/>
          <w:highlight w:val="none"/>
        </w:rPr>
        <w:t>）告知质疑供应商依法投诉的权利；</w:t>
      </w:r>
    </w:p>
    <w:p w14:paraId="7DFA5043">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5</w:t>
      </w:r>
      <w:r>
        <w:rPr>
          <w:rFonts w:hint="eastAsia" w:ascii="宋体" w:hAnsi="宋体" w:eastAsia="宋体" w:cs="宋体"/>
          <w:color w:val="auto"/>
          <w:highlight w:val="none"/>
        </w:rPr>
        <w:t>）质疑答复人名称；</w:t>
      </w:r>
    </w:p>
    <w:p w14:paraId="4A9B708F">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6</w:t>
      </w:r>
      <w:r>
        <w:rPr>
          <w:rFonts w:hint="eastAsia" w:ascii="宋体" w:hAnsi="宋体" w:eastAsia="宋体" w:cs="宋体"/>
          <w:color w:val="auto"/>
          <w:highlight w:val="none"/>
        </w:rPr>
        <w:t>）答复质疑的日期。</w:t>
      </w:r>
    </w:p>
    <w:p w14:paraId="25D852B0">
      <w:pPr>
        <w:pStyle w:val="36"/>
        <w:rPr>
          <w:rFonts w:hint="eastAsia" w:ascii="宋体" w:hAnsi="宋体" w:eastAsia="宋体" w:cs="宋体"/>
          <w:color w:val="auto"/>
          <w:highlight w:val="none"/>
        </w:rPr>
      </w:pPr>
      <w:r>
        <w:rPr>
          <w:rFonts w:hint="eastAsia" w:ascii="宋体" w:hAnsi="宋体" w:eastAsia="宋体" w:cs="宋体"/>
          <w:color w:val="auto"/>
          <w:highlight w:val="none"/>
        </w:rPr>
        <w:t>质疑答复的内容不得涉及商业秘密。</w:t>
      </w:r>
    </w:p>
    <w:p w14:paraId="7BF88FE9">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64" w:name="_Toc32007"/>
      <w:bookmarkStart w:id="365" w:name="_Toc32321"/>
      <w:bookmarkStart w:id="366" w:name="_Toc13357"/>
      <w:bookmarkStart w:id="367" w:name="_Toc11920"/>
      <w:r>
        <w:rPr>
          <w:rFonts w:hint="eastAsia" w:ascii="宋体" w:hAnsi="宋体" w:eastAsia="宋体" w:cs="宋体"/>
          <w:color w:val="auto"/>
          <w:sz w:val="24"/>
          <w:highlight w:val="none"/>
        </w:rPr>
        <w:t>37.投诉</w:t>
      </w:r>
      <w:bookmarkEnd w:id="362"/>
      <w:bookmarkEnd w:id="363"/>
      <w:bookmarkEnd w:id="364"/>
      <w:bookmarkEnd w:id="365"/>
      <w:bookmarkEnd w:id="366"/>
      <w:bookmarkEnd w:id="367"/>
    </w:p>
    <w:p w14:paraId="27DD5856">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37.1</w:t>
      </w:r>
      <w:r>
        <w:rPr>
          <w:rFonts w:hint="eastAsia" w:ascii="宋体" w:hAnsi="宋体" w:eastAsia="宋体" w:cs="宋体"/>
          <w:color w:val="auto"/>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color w:val="auto"/>
          <w:highlight w:val="none"/>
          <w:lang w:val="en-US"/>
        </w:rPr>
        <w:t>同级政府采购监督管理部门</w:t>
      </w:r>
      <w:r>
        <w:rPr>
          <w:rFonts w:hint="eastAsia" w:ascii="宋体" w:hAnsi="宋体" w:eastAsia="宋体" w:cs="宋体"/>
          <w:color w:val="auto"/>
          <w:highlight w:val="none"/>
        </w:rPr>
        <w:t>提起投诉。</w:t>
      </w:r>
    </w:p>
    <w:p w14:paraId="3C405D11">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37.2</w:t>
      </w:r>
      <w:r>
        <w:rPr>
          <w:rFonts w:hint="eastAsia" w:ascii="宋体" w:hAnsi="宋体" w:eastAsia="宋体" w:cs="宋体"/>
          <w:color w:val="auto"/>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281E6A43">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1</w:t>
      </w:r>
      <w:r>
        <w:rPr>
          <w:rFonts w:hint="eastAsia" w:ascii="宋体" w:hAnsi="宋体" w:eastAsia="宋体" w:cs="宋体"/>
          <w:color w:val="auto"/>
          <w:highlight w:val="none"/>
        </w:rPr>
        <w:t>）投诉人和被投诉人的姓名或者名称、通讯地址、邮编、联系人及联系电话；</w:t>
      </w:r>
    </w:p>
    <w:p w14:paraId="067DFC03">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2</w:t>
      </w:r>
      <w:r>
        <w:rPr>
          <w:rFonts w:hint="eastAsia" w:ascii="宋体" w:hAnsi="宋体" w:eastAsia="宋体" w:cs="宋体"/>
          <w:color w:val="auto"/>
          <w:highlight w:val="none"/>
        </w:rPr>
        <w:t>）质疑和质疑答复情况说明及相关证明材料；</w:t>
      </w:r>
    </w:p>
    <w:p w14:paraId="0285F888">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3</w:t>
      </w:r>
      <w:r>
        <w:rPr>
          <w:rFonts w:hint="eastAsia" w:ascii="宋体" w:hAnsi="宋体" w:eastAsia="宋体" w:cs="宋体"/>
          <w:color w:val="auto"/>
          <w:highlight w:val="none"/>
        </w:rPr>
        <w:t>）具体、明确的投诉事项和与投诉事项相关的投诉请求；</w:t>
      </w:r>
    </w:p>
    <w:p w14:paraId="46216401">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4</w:t>
      </w:r>
      <w:r>
        <w:rPr>
          <w:rFonts w:hint="eastAsia" w:ascii="宋体" w:hAnsi="宋体" w:eastAsia="宋体" w:cs="宋体"/>
          <w:color w:val="auto"/>
          <w:highlight w:val="none"/>
        </w:rPr>
        <w:t>）事实依据；</w:t>
      </w:r>
    </w:p>
    <w:p w14:paraId="1E60D6BF">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5</w:t>
      </w:r>
      <w:r>
        <w:rPr>
          <w:rFonts w:hint="eastAsia" w:ascii="宋体" w:hAnsi="宋体" w:eastAsia="宋体" w:cs="宋体"/>
          <w:color w:val="auto"/>
          <w:highlight w:val="none"/>
        </w:rPr>
        <w:t>）法律依据；</w:t>
      </w:r>
    </w:p>
    <w:p w14:paraId="74A0CBF1">
      <w:pPr>
        <w:pStyle w:val="36"/>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6</w:t>
      </w:r>
      <w:r>
        <w:rPr>
          <w:rFonts w:hint="eastAsia" w:ascii="宋体" w:hAnsi="宋体" w:eastAsia="宋体" w:cs="宋体"/>
          <w:color w:val="auto"/>
          <w:highlight w:val="none"/>
        </w:rPr>
        <w:t>）提起投诉的日期。</w:t>
      </w:r>
    </w:p>
    <w:p w14:paraId="5D8F39CA">
      <w:pPr>
        <w:pStyle w:val="36"/>
        <w:rPr>
          <w:rFonts w:hint="eastAsia" w:ascii="宋体" w:hAnsi="宋体" w:eastAsia="宋体" w:cs="宋体"/>
          <w:color w:val="auto"/>
          <w:highlight w:val="none"/>
        </w:rPr>
      </w:pPr>
      <w:r>
        <w:rPr>
          <w:rFonts w:hint="eastAsia" w:ascii="宋体" w:hAnsi="宋体" w:eastAsia="宋体" w:cs="宋体"/>
          <w:color w:val="auto"/>
          <w:highlight w:val="none"/>
        </w:rPr>
        <w:t>投诉人为自然人的，应当由本人签字；投诉人为法人或者其他组织的，应当由法定代表人、主要负责人，或者其授权代表签字或者盖章，并加盖公章。</w:t>
      </w:r>
    </w:p>
    <w:p w14:paraId="07D327BB">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37.3</w:t>
      </w:r>
      <w:r>
        <w:rPr>
          <w:rFonts w:hint="eastAsia" w:ascii="宋体" w:hAnsi="宋体" w:eastAsia="宋体" w:cs="宋体"/>
          <w:color w:val="auto"/>
          <w:highlight w:val="none"/>
        </w:rPr>
        <w:t>供应商</w:t>
      </w:r>
      <w:r>
        <w:rPr>
          <w:rFonts w:hint="eastAsia" w:ascii="宋体" w:hAnsi="宋体" w:eastAsia="宋体" w:cs="宋体"/>
          <w:color w:val="auto"/>
          <w:highlight w:val="none"/>
          <w:lang w:val="en-US"/>
        </w:rPr>
        <w:t>质疑、</w:t>
      </w:r>
      <w:r>
        <w:rPr>
          <w:rFonts w:hint="eastAsia" w:ascii="宋体" w:hAnsi="宋体" w:eastAsia="宋体" w:cs="宋体"/>
          <w:color w:val="auto"/>
          <w:highlight w:val="none"/>
        </w:rPr>
        <w:t>投诉</w:t>
      </w:r>
      <w:r>
        <w:rPr>
          <w:rFonts w:hint="eastAsia" w:ascii="宋体" w:hAnsi="宋体" w:eastAsia="宋体" w:cs="宋体"/>
          <w:color w:val="auto"/>
          <w:highlight w:val="none"/>
          <w:lang w:val="en-US"/>
        </w:rPr>
        <w:t>应当有明确的请求和必要的证明材料</w:t>
      </w:r>
      <w:r>
        <w:rPr>
          <w:rFonts w:hint="eastAsia" w:ascii="宋体" w:hAnsi="宋体" w:eastAsia="宋体" w:cs="宋体"/>
          <w:color w:val="auto"/>
          <w:highlight w:val="none"/>
        </w:rPr>
        <w:t>。供应商投诉的事项不得超出</w:t>
      </w:r>
      <w:r>
        <w:rPr>
          <w:rFonts w:hint="eastAsia" w:ascii="宋体" w:hAnsi="宋体" w:eastAsia="宋体" w:cs="宋体"/>
          <w:color w:val="auto"/>
          <w:highlight w:val="none"/>
          <w:lang w:val="en-US"/>
        </w:rPr>
        <w:t>已</w:t>
      </w:r>
      <w:r>
        <w:rPr>
          <w:rFonts w:hint="eastAsia" w:ascii="宋体" w:hAnsi="宋体" w:eastAsia="宋体" w:cs="宋体"/>
          <w:color w:val="auto"/>
          <w:highlight w:val="none"/>
        </w:rPr>
        <w:t>质疑事项的范围，但基于质疑答复内容提出的投诉事项除外。</w:t>
      </w:r>
    </w:p>
    <w:p w14:paraId="108276FF">
      <w:pPr>
        <w:pStyle w:val="36"/>
        <w:rPr>
          <w:rFonts w:hint="eastAsia" w:ascii="宋体" w:hAnsi="宋体" w:eastAsia="宋体" w:cs="宋体"/>
          <w:color w:val="auto"/>
          <w:highlight w:val="none"/>
        </w:rPr>
      </w:pPr>
      <w:r>
        <w:rPr>
          <w:rFonts w:hint="eastAsia" w:ascii="宋体" w:hAnsi="宋体" w:eastAsia="宋体" w:cs="宋体"/>
          <w:snapToGrid w:val="0"/>
          <w:color w:val="auto"/>
          <w:highlight w:val="none"/>
          <w:lang w:val="en-US"/>
        </w:rPr>
        <w:t>37.4</w:t>
      </w:r>
      <w:r>
        <w:rPr>
          <w:rFonts w:hint="eastAsia" w:ascii="宋体" w:hAnsi="宋体" w:eastAsia="宋体" w:cs="宋体"/>
          <w:color w:val="auto"/>
          <w:highlight w:val="none"/>
          <w:lang w:val="en-US"/>
        </w:rPr>
        <w:t>投诉书应当使用中文，并采用财政部门制定的范本。</w:t>
      </w:r>
    </w:p>
    <w:p w14:paraId="00EEA1E4">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368" w:name="_Toc30549"/>
      <w:bookmarkStart w:id="369" w:name="_Toc140132803"/>
      <w:bookmarkStart w:id="370" w:name="_Toc18525"/>
      <w:bookmarkStart w:id="371" w:name="_Toc13943"/>
      <w:bookmarkStart w:id="372" w:name="_Toc155185882"/>
      <w:bookmarkStart w:id="373" w:name="_Toc163492870"/>
      <w:bookmarkStart w:id="374" w:name="_Toc3580"/>
      <w:r>
        <w:rPr>
          <w:rFonts w:hint="eastAsia" w:ascii="宋体" w:hAnsi="宋体" w:eastAsia="宋体" w:cs="宋体"/>
          <w:color w:val="auto"/>
          <w:sz w:val="24"/>
          <w:highlight w:val="none"/>
        </w:rPr>
        <w:t>（十一）采购代理服务费</w:t>
      </w:r>
      <w:bookmarkEnd w:id="368"/>
      <w:bookmarkEnd w:id="369"/>
      <w:bookmarkEnd w:id="370"/>
      <w:bookmarkEnd w:id="371"/>
      <w:bookmarkEnd w:id="372"/>
      <w:bookmarkEnd w:id="373"/>
      <w:bookmarkEnd w:id="374"/>
    </w:p>
    <w:p w14:paraId="34EBC4D1">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75" w:name="_Toc163492871"/>
      <w:bookmarkStart w:id="376" w:name="_Toc6328"/>
      <w:bookmarkStart w:id="377" w:name="_Toc140132804"/>
      <w:bookmarkStart w:id="378" w:name="_Toc17649"/>
      <w:bookmarkStart w:id="379" w:name="_Toc30395"/>
      <w:bookmarkStart w:id="380" w:name="_Toc13299"/>
      <w:r>
        <w:rPr>
          <w:rFonts w:hint="eastAsia" w:ascii="宋体" w:hAnsi="宋体" w:eastAsia="宋体" w:cs="宋体"/>
          <w:color w:val="auto"/>
          <w:sz w:val="24"/>
          <w:highlight w:val="none"/>
        </w:rPr>
        <w:t>38.收取方式和标准</w:t>
      </w:r>
      <w:bookmarkEnd w:id="375"/>
      <w:bookmarkEnd w:id="376"/>
      <w:bookmarkEnd w:id="377"/>
      <w:bookmarkEnd w:id="378"/>
      <w:bookmarkEnd w:id="379"/>
      <w:bookmarkEnd w:id="380"/>
    </w:p>
    <w:p w14:paraId="1EE3E620">
      <w:pPr>
        <w:pStyle w:val="36"/>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8</w:t>
      </w:r>
      <w:r>
        <w:rPr>
          <w:rFonts w:hint="eastAsia" w:ascii="宋体" w:hAnsi="宋体" w:eastAsia="宋体" w:cs="宋体"/>
          <w:color w:val="auto"/>
          <w:highlight w:val="none"/>
        </w:rPr>
        <w:t>.1采购代理机构按“投标人须知前附表”规定的方式和标准收取采购代理服务费。</w:t>
      </w:r>
    </w:p>
    <w:p w14:paraId="781B2A1E">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381" w:name="_Toc8195"/>
      <w:bookmarkStart w:id="382" w:name="_Toc155185883"/>
      <w:bookmarkStart w:id="383" w:name="_Toc21208"/>
      <w:bookmarkStart w:id="384" w:name="_Toc4233"/>
      <w:bookmarkStart w:id="385" w:name="_Toc140132805"/>
      <w:bookmarkStart w:id="386" w:name="_Toc163492872"/>
      <w:bookmarkStart w:id="387" w:name="_Toc12331"/>
      <w:r>
        <w:rPr>
          <w:rFonts w:hint="eastAsia" w:ascii="宋体" w:hAnsi="宋体" w:eastAsia="宋体" w:cs="宋体"/>
          <w:color w:val="auto"/>
          <w:sz w:val="24"/>
          <w:highlight w:val="none"/>
        </w:rPr>
        <w:t>（十二）无效投标和废标</w:t>
      </w:r>
      <w:bookmarkEnd w:id="381"/>
      <w:bookmarkEnd w:id="382"/>
      <w:bookmarkEnd w:id="383"/>
      <w:bookmarkEnd w:id="384"/>
      <w:bookmarkEnd w:id="385"/>
      <w:bookmarkEnd w:id="386"/>
      <w:bookmarkEnd w:id="387"/>
    </w:p>
    <w:p w14:paraId="3782CE35">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88" w:name="_Toc8456"/>
      <w:bookmarkStart w:id="389" w:name="_Toc140132806"/>
      <w:bookmarkStart w:id="390" w:name="_Toc6212"/>
      <w:bookmarkStart w:id="391" w:name="_Toc4746"/>
      <w:bookmarkStart w:id="392" w:name="_Toc163492873"/>
      <w:bookmarkStart w:id="393" w:name="_Toc27690"/>
      <w:r>
        <w:rPr>
          <w:rFonts w:hint="eastAsia" w:ascii="宋体" w:hAnsi="宋体" w:eastAsia="宋体" w:cs="宋体"/>
          <w:color w:val="auto"/>
          <w:sz w:val="24"/>
          <w:highlight w:val="none"/>
        </w:rPr>
        <w:t>39.无效投标</w:t>
      </w:r>
      <w:bookmarkEnd w:id="388"/>
      <w:bookmarkEnd w:id="389"/>
      <w:bookmarkEnd w:id="390"/>
      <w:bookmarkEnd w:id="391"/>
      <w:bookmarkEnd w:id="392"/>
      <w:bookmarkEnd w:id="393"/>
    </w:p>
    <w:p w14:paraId="1C0BE608">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39</w:t>
      </w:r>
      <w:r>
        <w:rPr>
          <w:rFonts w:hint="eastAsia" w:ascii="宋体" w:hAnsi="宋体" w:eastAsia="宋体" w:cs="宋体"/>
          <w:color w:val="auto"/>
          <w:highlight w:val="none"/>
        </w:rPr>
        <w:t>.1投标文件存在“第四章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资格审查”、“第五章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w:t>
      </w:r>
      <w:r>
        <w:rPr>
          <w:rFonts w:hint="eastAsia" w:ascii="宋体" w:hAnsi="宋体" w:eastAsia="宋体" w:cs="宋体"/>
          <w:color w:val="auto"/>
          <w:highlight w:val="none"/>
          <w:lang w:val="en-US"/>
        </w:rPr>
        <w:t>及本招标文件</w:t>
      </w:r>
      <w:r>
        <w:rPr>
          <w:rFonts w:hint="eastAsia" w:ascii="宋体" w:hAnsi="宋体" w:eastAsia="宋体" w:cs="宋体"/>
          <w:color w:val="auto"/>
          <w:highlight w:val="none"/>
        </w:rPr>
        <w:t>规定的投标无效情形的，其</w:t>
      </w:r>
      <w:r>
        <w:rPr>
          <w:rFonts w:hint="eastAsia" w:ascii="宋体" w:hAnsi="宋体" w:eastAsia="宋体" w:cs="宋体"/>
          <w:b/>
          <w:bCs/>
          <w:color w:val="auto"/>
          <w:highlight w:val="none"/>
        </w:rPr>
        <w:t>投标无效</w:t>
      </w:r>
      <w:r>
        <w:rPr>
          <w:rFonts w:hint="eastAsia" w:ascii="宋体" w:hAnsi="宋体" w:eastAsia="宋体" w:cs="宋体"/>
          <w:color w:val="auto"/>
          <w:highlight w:val="none"/>
        </w:rPr>
        <w:t>。</w:t>
      </w:r>
    </w:p>
    <w:p w14:paraId="7C703311">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94" w:name="_Toc31646"/>
      <w:bookmarkStart w:id="395" w:name="_Toc163492874"/>
      <w:bookmarkStart w:id="396" w:name="_Toc31376"/>
      <w:bookmarkStart w:id="397" w:name="_Toc15530"/>
      <w:bookmarkStart w:id="398" w:name="_Toc22537"/>
      <w:bookmarkStart w:id="399" w:name="_Toc140132807"/>
      <w:r>
        <w:rPr>
          <w:rFonts w:hint="eastAsia" w:ascii="宋体" w:hAnsi="宋体" w:eastAsia="宋体" w:cs="宋体"/>
          <w:color w:val="auto"/>
          <w:sz w:val="24"/>
          <w:highlight w:val="none"/>
        </w:rPr>
        <w:t>40.废标</w:t>
      </w:r>
      <w:bookmarkEnd w:id="394"/>
      <w:bookmarkEnd w:id="395"/>
      <w:bookmarkEnd w:id="396"/>
      <w:bookmarkEnd w:id="397"/>
      <w:bookmarkEnd w:id="398"/>
      <w:bookmarkEnd w:id="399"/>
    </w:p>
    <w:p w14:paraId="6704B754">
      <w:pPr>
        <w:pStyle w:val="36"/>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rPr>
        <w:t>0</w:t>
      </w:r>
      <w:r>
        <w:rPr>
          <w:rFonts w:hint="eastAsia" w:ascii="宋体" w:hAnsi="宋体" w:eastAsia="宋体" w:cs="宋体"/>
          <w:color w:val="auto"/>
          <w:highlight w:val="none"/>
        </w:rPr>
        <w:t>.1在招标采购中出现有“第五章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w:t>
      </w:r>
      <w:r>
        <w:rPr>
          <w:rFonts w:hint="eastAsia" w:ascii="宋体" w:hAnsi="宋体" w:eastAsia="宋体" w:cs="宋体"/>
          <w:color w:val="auto"/>
          <w:highlight w:val="none"/>
          <w:lang w:val="en-US"/>
        </w:rPr>
        <w:t>及本招标文件</w:t>
      </w:r>
      <w:r>
        <w:rPr>
          <w:rFonts w:hint="eastAsia" w:ascii="宋体" w:hAnsi="宋体" w:eastAsia="宋体" w:cs="宋体"/>
          <w:color w:val="auto"/>
          <w:highlight w:val="none"/>
        </w:rPr>
        <w:t>规定的废标情形的，应予以</w:t>
      </w:r>
      <w:r>
        <w:rPr>
          <w:rFonts w:hint="eastAsia" w:ascii="宋体" w:hAnsi="宋体" w:eastAsia="宋体" w:cs="宋体"/>
          <w:b/>
          <w:bCs/>
          <w:color w:val="auto"/>
          <w:highlight w:val="none"/>
        </w:rPr>
        <w:t>废标</w:t>
      </w:r>
      <w:r>
        <w:rPr>
          <w:rFonts w:hint="eastAsia" w:ascii="宋体" w:hAnsi="宋体" w:eastAsia="宋体" w:cs="宋体"/>
          <w:color w:val="auto"/>
          <w:highlight w:val="none"/>
        </w:rPr>
        <w:t>。</w:t>
      </w:r>
    </w:p>
    <w:p w14:paraId="638E265A">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400" w:name="_Toc140132766"/>
      <w:bookmarkStart w:id="401" w:name="_Toc163492875"/>
      <w:bookmarkStart w:id="402" w:name="_Toc9595"/>
      <w:bookmarkStart w:id="403" w:name="_Toc18106"/>
      <w:bookmarkStart w:id="404" w:name="_Toc163492877"/>
      <w:bookmarkStart w:id="405" w:name="_Toc6934"/>
      <w:bookmarkStart w:id="406" w:name="_Toc6874"/>
      <w:bookmarkStart w:id="407" w:name="_Toc155185884"/>
      <w:bookmarkStart w:id="408" w:name="_Toc140132808"/>
      <w:r>
        <w:rPr>
          <w:rFonts w:hint="eastAsia" w:ascii="宋体" w:hAnsi="宋体" w:eastAsia="宋体" w:cs="宋体"/>
          <w:b/>
          <w:bCs/>
          <w:color w:val="auto"/>
          <w:kern w:val="2"/>
          <w:sz w:val="24"/>
          <w:szCs w:val="32"/>
          <w:highlight w:val="none"/>
          <w:lang w:val="en-US" w:eastAsia="zh-CN" w:bidi="ar-SA"/>
        </w:rPr>
        <w:t>（十三）落实政府采购政策</w:t>
      </w:r>
      <w:bookmarkEnd w:id="400"/>
      <w:bookmarkEnd w:id="401"/>
      <w:r>
        <w:rPr>
          <w:rFonts w:hint="eastAsia" w:ascii="宋体" w:hAnsi="宋体" w:eastAsia="宋体" w:cs="宋体"/>
          <w:b/>
          <w:bCs/>
          <w:color w:val="auto"/>
          <w:kern w:val="2"/>
          <w:sz w:val="24"/>
          <w:szCs w:val="32"/>
          <w:highlight w:val="none"/>
          <w:lang w:val="en-US" w:eastAsia="zh-CN" w:bidi="ar-SA"/>
        </w:rPr>
        <w:t>（包括但不限于下列具体政策要求）</w:t>
      </w:r>
    </w:p>
    <w:p w14:paraId="2A4E805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409" w:name="_Toc163492876"/>
      <w:r>
        <w:rPr>
          <w:rFonts w:hint="eastAsia" w:ascii="宋体" w:hAnsi="宋体" w:eastAsia="宋体" w:cs="宋体"/>
          <w:b/>
          <w:bCs/>
          <w:color w:val="auto"/>
          <w:kern w:val="2"/>
          <w:sz w:val="24"/>
          <w:szCs w:val="28"/>
          <w:highlight w:val="none"/>
          <w:lang w:val="en-US" w:eastAsia="zh-CN" w:bidi="ar-SA"/>
        </w:rPr>
        <w:t>41.本国产品和进口产品</w:t>
      </w:r>
      <w:bookmarkEnd w:id="409"/>
    </w:p>
    <w:p w14:paraId="7469A82D">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41.1本国产品标准及支持政策</w:t>
      </w:r>
    </w:p>
    <w:p w14:paraId="0B25D6D3">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7D450873">
      <w:pPr>
        <w:pStyle w:val="36"/>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73F7D15D">
      <w:pPr>
        <w:pStyle w:val="36"/>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6CB6B93A">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41.1.4</w:t>
      </w:r>
      <w:r>
        <w:rPr>
          <w:rFonts w:hint="eastAsia" w:eastAsia="宋体"/>
          <w:snapToGrid w:val="0"/>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6C22874">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34495C7D">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医疗器械产品，取得药品监督管理部门授予的准字号医疗器械注册证的，</w:t>
      </w:r>
      <w:r>
        <w:rPr>
          <w:rFonts w:hint="eastAsia"/>
          <w:snapToGrid w:val="0"/>
          <w:color w:val="auto"/>
          <w:sz w:val="24"/>
          <w:highlight w:val="none"/>
          <w:lang w:val="en-US" w:eastAsia="zh-CN"/>
        </w:rPr>
        <w:t>视为符合本国产品标准。</w:t>
      </w:r>
    </w:p>
    <w:p w14:paraId="7433EE8B">
      <w:pPr>
        <w:pStyle w:val="36"/>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73B224E1">
      <w:pPr>
        <w:pStyle w:val="36"/>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cyan"/>
          <w:lang w:val="en-US" w:eastAsia="zh-CN"/>
        </w:rPr>
      </w:pPr>
      <w:r>
        <w:rPr>
          <w:rFonts w:hint="eastAsia"/>
          <w:snapToGrid w:val="0"/>
          <w:color w:val="auto"/>
          <w:sz w:val="24"/>
          <w:highlight w:val="none"/>
          <w:lang w:val="en-US" w:eastAsia="zh-CN"/>
        </w:rPr>
        <w:t>41.1.7</w:t>
      </w:r>
      <w:r>
        <w:rPr>
          <w:rFonts w:hint="eastAsia" w:eastAsia="宋体"/>
          <w:snapToGrid w:val="0"/>
          <w:color w:val="auto"/>
          <w:sz w:val="24"/>
          <w:highlight w:val="none"/>
          <w:lang w:val="en-US" w:eastAsia="zh-CN"/>
        </w:rPr>
        <w:t>采购标的中含有多种产品，供应商为该采购项目或者采购包提供的符合本国产品标准的产品成本之和占该供应商提供的全部产品成本之和的比例达到80%以上时，则依法对该供应商提供的全部产品给予价格评审优惠，即对该供应商提供的全部产品的总报价给予20%的价格扣除，用扣除后的价格参与评审。</w:t>
      </w:r>
    </w:p>
    <w:p w14:paraId="48BDC083">
      <w:pPr>
        <w:pStyle w:val="36"/>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41.2进口产品</w:t>
      </w:r>
    </w:p>
    <w:p w14:paraId="7FE035DA">
      <w:pPr>
        <w:pStyle w:val="36"/>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422E2063">
      <w:pPr>
        <w:pStyle w:val="36"/>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2.2</w:t>
      </w:r>
      <w:r>
        <w:rPr>
          <w:rFonts w:hint="eastAsia" w:eastAsia="宋体"/>
          <w:snapToGrid w:val="0"/>
          <w:color w:val="auto"/>
          <w:sz w:val="24"/>
          <w:highlight w:val="none"/>
          <w:lang w:val="en-US" w:eastAsia="zh-CN"/>
        </w:rPr>
        <w:t xml:space="preserve">进口产品指通过中国海关报关验放进入中国境内且产自关境外的产品，包括已经进入中国境内的进口产品。 </w:t>
      </w:r>
    </w:p>
    <w:p w14:paraId="7A411F8C">
      <w:pPr>
        <w:pStyle w:val="36"/>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2.3</w:t>
      </w:r>
      <w:r>
        <w:rPr>
          <w:rFonts w:hint="eastAsia" w:eastAsia="宋体"/>
          <w:snapToGrid w:val="0"/>
          <w:color w:val="auto"/>
          <w:sz w:val="24"/>
          <w:highlight w:val="none"/>
          <w:lang w:val="en-US" w:eastAsia="zh-CN"/>
        </w:rPr>
        <w:t>若采购需求中写明允许采购进口产品，投标人应保证所投产品可履行合法报通关手续进入中国关境内。</w:t>
      </w:r>
    </w:p>
    <w:p w14:paraId="15AD8EDB">
      <w:pPr>
        <w:pStyle w:val="36"/>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2.4</w:t>
      </w:r>
      <w:r>
        <w:rPr>
          <w:rFonts w:hint="eastAsia" w:eastAsia="宋体"/>
          <w:snapToGrid w:val="0"/>
          <w:color w:val="auto"/>
          <w:sz w:val="24"/>
          <w:highlight w:val="none"/>
          <w:lang w:val="en-US" w:eastAsia="zh-CN"/>
        </w:rPr>
        <w:t>若采购需求中未写明允许采购进口产品，如投标人所投产品为进口产品，其投标将被认定为</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w:t>
      </w:r>
    </w:p>
    <w:p w14:paraId="0A0FBF6C">
      <w:pPr>
        <w:pStyle w:val="5"/>
        <w:keepNext w:val="0"/>
        <w:keepLines w:val="0"/>
        <w:spacing w:before="80" w:after="80" w:line="240" w:lineRule="auto"/>
        <w:ind w:left="420" w:hanging="420"/>
        <w:rPr>
          <w:rFonts w:hint="eastAsia" w:ascii="宋体" w:hAnsi="宋体" w:eastAsia="宋体" w:cs="宋体"/>
          <w:color w:val="auto"/>
          <w:sz w:val="24"/>
          <w:highlight w:val="none"/>
        </w:rPr>
      </w:pPr>
      <w:r>
        <w:rPr>
          <w:rFonts w:hint="eastAsia" w:ascii="宋体" w:hAnsi="宋体" w:eastAsia="宋体" w:cs="宋体"/>
          <w:color w:val="auto"/>
          <w:sz w:val="24"/>
          <w:highlight w:val="none"/>
        </w:rPr>
        <w:t>42.中小企业、监狱企业及残疾人福利性单位</w:t>
      </w:r>
      <w:bookmarkEnd w:id="402"/>
      <w:bookmarkEnd w:id="403"/>
      <w:bookmarkEnd w:id="404"/>
      <w:bookmarkEnd w:id="405"/>
      <w:bookmarkEnd w:id="406"/>
    </w:p>
    <w:p w14:paraId="089E8A68">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42</w:t>
      </w:r>
      <w:r>
        <w:rPr>
          <w:rFonts w:hint="eastAsia" w:ascii="宋体" w:hAnsi="宋体" w:eastAsia="宋体" w:cs="宋体"/>
          <w:snapToGrid w:val="0"/>
          <w:color w:val="auto"/>
          <w:highlight w:val="none"/>
        </w:rPr>
        <w:t>.</w:t>
      </w:r>
      <w:r>
        <w:rPr>
          <w:rFonts w:hint="eastAsia" w:ascii="宋体" w:hAnsi="宋体" w:eastAsia="宋体" w:cs="宋体"/>
          <w:snapToGrid w:val="0"/>
          <w:color w:val="auto"/>
          <w:highlight w:val="none"/>
          <w:lang w:val="en-US"/>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43E3DD2C">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42</w:t>
      </w:r>
      <w:r>
        <w:rPr>
          <w:rFonts w:hint="eastAsia" w:ascii="宋体" w:hAnsi="宋体" w:eastAsia="宋体" w:cs="宋体"/>
          <w:snapToGrid w:val="0"/>
          <w:color w:val="auto"/>
          <w:highlight w:val="none"/>
        </w:rPr>
        <w:t>.</w:t>
      </w:r>
      <w:r>
        <w:rPr>
          <w:rFonts w:hint="eastAsia" w:ascii="宋体" w:hAnsi="宋体" w:eastAsia="宋体" w:cs="宋体"/>
          <w:snapToGrid w:val="0"/>
          <w:color w:val="auto"/>
          <w:highlight w:val="none"/>
          <w:lang w:val="en-US"/>
        </w:rPr>
        <w:t>2</w:t>
      </w:r>
      <w:r>
        <w:rPr>
          <w:rFonts w:hint="eastAsia" w:ascii="宋体" w:hAnsi="宋体" w:eastAsia="宋体" w:cs="宋体"/>
          <w:snapToGrid w:val="0"/>
          <w:color w:val="auto"/>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ascii="宋体" w:hAnsi="宋体" w:eastAsia="宋体" w:cs="宋体"/>
          <w:snapToGrid w:val="0"/>
          <w:color w:val="auto"/>
          <w:highlight w:val="none"/>
          <w:lang w:val="en-US"/>
        </w:rPr>
        <w:t>招标</w:t>
      </w:r>
      <w:r>
        <w:rPr>
          <w:rFonts w:hint="eastAsia" w:ascii="宋体" w:hAnsi="宋体" w:eastAsia="宋体" w:cs="宋体"/>
          <w:snapToGrid w:val="0"/>
          <w:color w:val="auto"/>
          <w:highlight w:val="none"/>
        </w:rPr>
        <w:t>文件规定格式提供“中小企业声明函”</w:t>
      </w:r>
      <w:r>
        <w:rPr>
          <w:rFonts w:hint="eastAsia" w:ascii="宋体" w:hAnsi="宋体" w:eastAsia="宋体" w:cs="宋体"/>
          <w:snapToGrid w:val="0"/>
          <w:color w:val="auto"/>
          <w:highlight w:val="none"/>
          <w:lang w:val="en-US"/>
        </w:rPr>
        <w:t>或“</w:t>
      </w:r>
      <w:r>
        <w:rPr>
          <w:rFonts w:hint="eastAsia" w:ascii="宋体" w:hAnsi="宋体" w:eastAsia="宋体" w:cs="宋体"/>
          <w:snapToGrid w:val="0"/>
          <w:color w:val="auto"/>
          <w:highlight w:val="none"/>
        </w:rPr>
        <w:t>监狱企业证明文件”</w:t>
      </w:r>
      <w:r>
        <w:rPr>
          <w:rFonts w:hint="eastAsia" w:ascii="宋体" w:hAnsi="宋体" w:eastAsia="宋体" w:cs="宋体"/>
          <w:snapToGrid w:val="0"/>
          <w:color w:val="auto"/>
          <w:highlight w:val="none"/>
          <w:lang w:val="en-US"/>
        </w:rPr>
        <w:t>或</w:t>
      </w:r>
      <w:r>
        <w:rPr>
          <w:rFonts w:hint="eastAsia" w:ascii="宋体" w:hAnsi="宋体" w:eastAsia="宋体" w:cs="宋体"/>
          <w:snapToGrid w:val="0"/>
          <w:color w:val="auto"/>
          <w:highlight w:val="none"/>
        </w:rPr>
        <w:t>“残疾人福利性单位声明函”，评审时，</w:t>
      </w:r>
      <w:r>
        <w:rPr>
          <w:rFonts w:hint="eastAsia" w:ascii="宋体" w:hAnsi="宋体" w:eastAsia="宋体" w:cs="宋体"/>
          <w:snapToGrid w:val="0"/>
          <w:color w:val="auto"/>
          <w:highlight w:val="none"/>
          <w:lang w:val="en-US"/>
        </w:rPr>
        <w:t>评标委员会</w:t>
      </w:r>
      <w:r>
        <w:rPr>
          <w:rFonts w:hint="eastAsia" w:ascii="宋体" w:hAnsi="宋体" w:eastAsia="宋体" w:cs="宋体"/>
          <w:snapToGrid w:val="0"/>
          <w:color w:val="auto"/>
          <w:highlight w:val="none"/>
        </w:rPr>
        <w:t>将依据本</w:t>
      </w:r>
      <w:r>
        <w:rPr>
          <w:rFonts w:hint="eastAsia" w:ascii="宋体" w:hAnsi="宋体" w:eastAsia="宋体" w:cs="宋体"/>
          <w:snapToGrid w:val="0"/>
          <w:color w:val="auto"/>
          <w:highlight w:val="none"/>
          <w:lang w:val="en-US"/>
        </w:rPr>
        <w:t>招标</w:t>
      </w:r>
      <w:r>
        <w:rPr>
          <w:rFonts w:hint="eastAsia" w:ascii="宋体" w:hAnsi="宋体" w:eastAsia="宋体" w:cs="宋体"/>
          <w:snapToGrid w:val="0"/>
          <w:color w:val="auto"/>
          <w:highlight w:val="none"/>
        </w:rPr>
        <w:t>文件“</w:t>
      </w:r>
      <w:r>
        <w:rPr>
          <w:rFonts w:hint="eastAsia" w:ascii="宋体" w:hAnsi="宋体" w:eastAsia="宋体" w:cs="宋体"/>
          <w:snapToGrid w:val="0"/>
          <w:color w:val="auto"/>
          <w:highlight w:val="none"/>
          <w:lang w:val="en-US"/>
        </w:rPr>
        <w:t>投标人</w:t>
      </w:r>
      <w:r>
        <w:rPr>
          <w:rFonts w:hint="eastAsia" w:ascii="宋体" w:hAnsi="宋体" w:eastAsia="宋体" w:cs="宋体"/>
          <w:snapToGrid w:val="0"/>
          <w:color w:val="auto"/>
          <w:highlight w:val="none"/>
        </w:rPr>
        <w:t>须知前附表”规定的报价扣除比例，对供应商报价进行价格扣除，用扣除后的价格参与评审；</w:t>
      </w:r>
      <w:r>
        <w:rPr>
          <w:rFonts w:hint="eastAsia" w:ascii="宋体" w:hAnsi="宋体" w:eastAsia="宋体" w:cs="宋体"/>
          <w:snapToGrid w:val="0"/>
          <w:color w:val="auto"/>
          <w:highlight w:val="none"/>
          <w:lang w:val="en-US"/>
        </w:rPr>
        <w:t>招标</w:t>
      </w:r>
      <w:r>
        <w:rPr>
          <w:rFonts w:hint="eastAsia" w:ascii="宋体" w:hAnsi="宋体" w:eastAsia="宋体" w:cs="宋体"/>
          <w:snapToGrid w:val="0"/>
          <w:color w:val="auto"/>
          <w:highlight w:val="none"/>
        </w:rPr>
        <w:t>公告中明确项目专门面向中小企业采购的，“中小企业声明函”为资格要求文件，供应商参与</w:t>
      </w:r>
      <w:r>
        <w:rPr>
          <w:rFonts w:hint="eastAsia" w:ascii="宋体" w:hAnsi="宋体" w:eastAsia="宋体" w:cs="宋体"/>
          <w:snapToGrid w:val="0"/>
          <w:color w:val="auto"/>
          <w:highlight w:val="none"/>
          <w:lang w:val="en-US"/>
        </w:rPr>
        <w:t>投标</w:t>
      </w:r>
      <w:r>
        <w:rPr>
          <w:rFonts w:hint="eastAsia" w:ascii="宋体" w:hAnsi="宋体" w:eastAsia="宋体" w:cs="宋体"/>
          <w:snapToGrid w:val="0"/>
          <w:color w:val="auto"/>
          <w:highlight w:val="none"/>
        </w:rPr>
        <w:t>须按本</w:t>
      </w:r>
      <w:r>
        <w:rPr>
          <w:rFonts w:hint="eastAsia" w:ascii="宋体" w:hAnsi="宋体" w:eastAsia="宋体" w:cs="宋体"/>
          <w:snapToGrid w:val="0"/>
          <w:color w:val="auto"/>
          <w:highlight w:val="none"/>
          <w:lang w:val="en-US"/>
        </w:rPr>
        <w:t>招标</w:t>
      </w:r>
      <w:r>
        <w:rPr>
          <w:rFonts w:hint="eastAsia" w:ascii="宋体" w:hAnsi="宋体" w:eastAsia="宋体" w:cs="宋体"/>
          <w:snapToGrid w:val="0"/>
          <w:color w:val="auto"/>
          <w:highlight w:val="none"/>
        </w:rPr>
        <w:t>文件规定格式提供“中小企业声明函”</w:t>
      </w:r>
      <w:r>
        <w:rPr>
          <w:rFonts w:hint="eastAsia" w:ascii="宋体" w:hAnsi="宋体" w:eastAsia="宋体" w:cs="宋体"/>
          <w:snapToGrid w:val="0"/>
          <w:color w:val="auto"/>
          <w:highlight w:val="none"/>
          <w:lang w:val="en-US"/>
        </w:rPr>
        <w:t>或“</w:t>
      </w:r>
      <w:r>
        <w:rPr>
          <w:rFonts w:hint="eastAsia" w:ascii="宋体" w:hAnsi="宋体" w:eastAsia="宋体" w:cs="宋体"/>
          <w:snapToGrid w:val="0"/>
          <w:color w:val="auto"/>
          <w:highlight w:val="none"/>
        </w:rPr>
        <w:t>监狱企业证明文件”</w:t>
      </w:r>
      <w:r>
        <w:rPr>
          <w:rFonts w:hint="eastAsia" w:ascii="宋体" w:hAnsi="宋体" w:eastAsia="宋体" w:cs="宋体"/>
          <w:snapToGrid w:val="0"/>
          <w:color w:val="auto"/>
          <w:highlight w:val="none"/>
          <w:lang w:val="en-US"/>
        </w:rPr>
        <w:t>或</w:t>
      </w:r>
      <w:r>
        <w:rPr>
          <w:rFonts w:hint="eastAsia" w:ascii="宋体" w:hAnsi="宋体" w:eastAsia="宋体" w:cs="宋体"/>
          <w:snapToGrid w:val="0"/>
          <w:color w:val="auto"/>
          <w:highlight w:val="none"/>
        </w:rPr>
        <w:t>“残疾人福利性单位声明函”等作为资格证明文件。</w:t>
      </w:r>
      <w:r>
        <w:rPr>
          <w:rFonts w:hint="eastAsia" w:ascii="宋体" w:hAnsi="宋体" w:eastAsia="宋体" w:cs="宋体"/>
          <w:snapToGrid w:val="0"/>
          <w:color w:val="auto"/>
          <w:highlight w:val="none"/>
          <w:lang w:val="en-US"/>
        </w:rPr>
        <w:t xml:space="preserve"> </w:t>
      </w:r>
    </w:p>
    <w:p w14:paraId="06279C8C">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42.3 投标人提供的货物、工程或者服务符合下列情形的，享受中小企业扶持政策： </w:t>
      </w:r>
    </w:p>
    <w:p w14:paraId="46BC401E">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（1）在货物采购项目中，货物由中小企业制造，即货物由中小企业生产且使用该中小企业商号或者注册商标； </w:t>
      </w:r>
    </w:p>
    <w:p w14:paraId="04CA72CD">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（2）在工程采购项目中，工程由中小企业承建，即工程施工单位为中小企业； </w:t>
      </w:r>
    </w:p>
    <w:p w14:paraId="52F6B6E7">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（3）在服务采购项目中，服务由中小企业承接，即提供服务的人员为中小企业依照《中华人民共和国劳动合同法》订立劳动合同的从业人员。</w:t>
      </w:r>
    </w:p>
    <w:p w14:paraId="454F6D89">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42.4 在货物采购项目中，投标人提供的货物既有中小企业制造货物，也有大型企业制造货物的，不享受中小企业扶持政策。 </w:t>
      </w:r>
    </w:p>
    <w:p w14:paraId="5659157F">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42.5 以联合体形式参加政府采购活动，联合体各方均为中小企业的，联合体视同中小企业。其中，联合体各方均为小微企业的，联合体视同小微企业。  </w:t>
      </w:r>
    </w:p>
    <w:p w14:paraId="3C664B7D">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749D0169">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4A06726D">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42.7.1 安置的残疾人占本单位在职职工人数的比例不低于25% （含 25%），并且安置的残疾人人数不少于10人（含10人）； </w:t>
      </w:r>
    </w:p>
    <w:p w14:paraId="0DE2B11E">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42.7.2 依法与安置的每位残疾人签订了1年以上（含1年）的劳动合同或服务协议； </w:t>
      </w:r>
    </w:p>
    <w:p w14:paraId="3F7A1F02">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42.7.3 为安置的每位残疾人按月足额缴纳了基本养老保险、基本医疗保险、失业保险、工伤保险和生育保险等社会保险费； </w:t>
      </w:r>
    </w:p>
    <w:p w14:paraId="04568DAD">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42.7.4 通过银行等金融机构向安置的每位残疾人，按月支付了不低于单位所在区县适用的经省级人民政府批准的月最低工资标准的工资； </w:t>
      </w:r>
    </w:p>
    <w:p w14:paraId="20B7362A">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42.7.5 提供本单位制造的货物、承担的工程或者服务（以下简称产品），或者提供其他残疾人福利性单位制造的货物（不包括使用非残疾人福利性单位注册商标的货物）； </w:t>
      </w:r>
    </w:p>
    <w:p w14:paraId="0E498A0D">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42.7.6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 </w:t>
      </w:r>
    </w:p>
    <w:p w14:paraId="5AA89E15">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42.8 本项目是否专门面向中小企业预留采购份额见“第一章 招标公告”。    42.9 采购标的对应的中小企业划分标准所属行业见“投标人须知前附表”。    42.10 小微企业价格评审优惠的政策调整：见“投标人须知前附表”及“第五章 评标方法及标准”。</w:t>
      </w:r>
    </w:p>
    <w:p w14:paraId="4B781732">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10" w:name="_Toc1808"/>
      <w:bookmarkStart w:id="411" w:name="_Toc7407"/>
      <w:bookmarkStart w:id="412" w:name="_Toc163492878"/>
      <w:bookmarkStart w:id="413" w:name="_Toc5822"/>
      <w:bookmarkStart w:id="414" w:name="_Toc9255"/>
      <w:r>
        <w:rPr>
          <w:rFonts w:hint="eastAsia" w:ascii="宋体" w:hAnsi="宋体" w:eastAsia="宋体" w:cs="宋体"/>
          <w:color w:val="auto"/>
          <w:sz w:val="24"/>
          <w:highlight w:val="none"/>
        </w:rPr>
        <w:t>43.政府采购节能产品、环境标志产品</w:t>
      </w:r>
      <w:bookmarkEnd w:id="410"/>
      <w:bookmarkEnd w:id="411"/>
      <w:bookmarkEnd w:id="412"/>
      <w:bookmarkEnd w:id="413"/>
      <w:bookmarkEnd w:id="414"/>
    </w:p>
    <w:p w14:paraId="46EFD069">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2ACCDE93">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4E5D2DCC">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43.3 如本项目采购产品属于实施政府强制采购品目清单范围的节能产品，则投标人所报产品必须获得国家确定的认证机构出具的、处于有效期之内的节能产品认证证书，否则</w:t>
      </w:r>
      <w:r>
        <w:rPr>
          <w:rFonts w:hint="eastAsia" w:ascii="宋体" w:hAnsi="宋体" w:eastAsia="宋体" w:cs="宋体"/>
          <w:b/>
          <w:bCs/>
          <w:snapToGrid w:val="0"/>
          <w:color w:val="auto"/>
          <w:highlight w:val="none"/>
          <w:lang w:val="en-US"/>
        </w:rPr>
        <w:t>投标无效</w:t>
      </w:r>
      <w:r>
        <w:rPr>
          <w:rFonts w:hint="eastAsia" w:ascii="宋体" w:hAnsi="宋体" w:eastAsia="宋体" w:cs="宋体"/>
          <w:snapToGrid w:val="0"/>
          <w:color w:val="auto"/>
          <w:highlight w:val="none"/>
          <w:lang w:val="en-US"/>
        </w:rPr>
        <w:t xml:space="preserve">。 </w:t>
      </w:r>
    </w:p>
    <w:p w14:paraId="68488DBA">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43.4 非政府强制采购的节能产品或环境标志产品，依据品目清单和认证证书实施政府优先采购。优先采购的具体规定见“第五章 评标方法及标准”（如涉及）。</w:t>
      </w:r>
    </w:p>
    <w:p w14:paraId="2E6A9EC0">
      <w:pPr>
        <w:pStyle w:val="36"/>
        <w:rPr>
          <w:rFonts w:hint="eastAsia" w:ascii="宋体" w:hAnsi="宋体" w:eastAsia="宋体" w:cs="宋体"/>
          <w:color w:val="auto"/>
          <w:highlight w:val="none"/>
        </w:rPr>
      </w:pPr>
      <w:r>
        <w:rPr>
          <w:rFonts w:hint="eastAsia" w:ascii="宋体" w:hAnsi="宋体" w:eastAsia="宋体" w:cs="宋体"/>
          <w:snapToGrid w:val="0"/>
          <w:color w:val="auto"/>
          <w:highlight w:val="none"/>
          <w:lang w:val="en-US"/>
        </w:rPr>
        <w:t xml:space="preserve">43.5 </w:t>
      </w:r>
      <w:r>
        <w:rPr>
          <w:rFonts w:hint="eastAsia" w:ascii="宋体" w:hAnsi="宋体" w:eastAsia="宋体" w:cs="宋体"/>
          <w:snapToGrid w:val="0"/>
          <w:color w:val="auto"/>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Pr>
          <w:rFonts w:hint="eastAsia" w:ascii="宋体" w:hAnsi="宋体" w:eastAsia="宋体" w:cs="宋体"/>
          <w:snapToGrid w:val="0"/>
          <w:color w:val="auto"/>
          <w:highlight w:val="none"/>
          <w:lang w:val="en-US"/>
        </w:rPr>
        <w:t>价格评审优惠</w:t>
      </w:r>
      <w:r>
        <w:rPr>
          <w:rFonts w:hint="eastAsia" w:ascii="宋体" w:hAnsi="宋体" w:eastAsia="宋体" w:cs="宋体"/>
          <w:snapToGrid w:val="0"/>
          <w:color w:val="auto"/>
          <w:highlight w:val="none"/>
        </w:rPr>
        <w:t>，未提供认证证书的视为</w:t>
      </w:r>
      <w:r>
        <w:rPr>
          <w:rFonts w:hint="eastAsia" w:ascii="宋体" w:hAnsi="宋体" w:eastAsia="宋体" w:cs="宋体"/>
          <w:b/>
          <w:bCs/>
          <w:snapToGrid w:val="0"/>
          <w:color w:val="auto"/>
          <w:highlight w:val="none"/>
          <w:lang w:val="en-US"/>
        </w:rPr>
        <w:t>投标</w:t>
      </w:r>
      <w:r>
        <w:rPr>
          <w:rFonts w:hint="eastAsia" w:ascii="宋体" w:hAnsi="宋体" w:eastAsia="宋体" w:cs="宋体"/>
          <w:b/>
          <w:bCs/>
          <w:snapToGrid w:val="0"/>
          <w:color w:val="auto"/>
          <w:highlight w:val="none"/>
        </w:rPr>
        <w:t>无效</w:t>
      </w:r>
      <w:r>
        <w:rPr>
          <w:rFonts w:hint="eastAsia" w:ascii="宋体" w:hAnsi="宋体" w:eastAsia="宋体" w:cs="宋体"/>
          <w:snapToGrid w:val="0"/>
          <w:color w:val="auto"/>
          <w:highlight w:val="none"/>
        </w:rPr>
        <w:t>。属于</w:t>
      </w:r>
      <w:r>
        <w:rPr>
          <w:rFonts w:hint="eastAsia" w:ascii="宋体" w:hAnsi="宋体" w:eastAsia="宋体" w:cs="宋体"/>
          <w:snapToGrid w:val="0"/>
          <w:color w:val="auto"/>
          <w:highlight w:val="none"/>
          <w:lang w:val="en-US"/>
        </w:rPr>
        <w:t>优先采购</w:t>
      </w:r>
      <w:r>
        <w:rPr>
          <w:rFonts w:hint="eastAsia" w:ascii="宋体" w:hAnsi="宋体" w:eastAsia="宋体" w:cs="宋体"/>
          <w:snapToGrid w:val="0"/>
          <w:color w:val="auto"/>
          <w:highlight w:val="none"/>
        </w:rPr>
        <w:t>节能产品政府采购品目清单、环境标志产品政府采购品目清单、</w:t>
      </w:r>
      <w:r>
        <w:rPr>
          <w:rFonts w:hint="eastAsia" w:ascii="宋体" w:hAnsi="宋体" w:eastAsia="宋体" w:cs="宋体"/>
          <w:snapToGrid w:val="0"/>
          <w:color w:val="auto"/>
          <w:highlight w:val="none"/>
          <w:lang w:val="en-US"/>
        </w:rPr>
        <w:t>创新产品</w:t>
      </w:r>
      <w:r>
        <w:rPr>
          <w:rFonts w:hint="eastAsia" w:ascii="宋体" w:hAnsi="宋体" w:eastAsia="宋体" w:cs="宋体"/>
          <w:snapToGrid w:val="0"/>
          <w:color w:val="auto"/>
          <w:highlight w:val="none"/>
        </w:rPr>
        <w:t>范围的，按照“</w:t>
      </w:r>
      <w:r>
        <w:rPr>
          <w:rFonts w:hint="eastAsia" w:ascii="宋体" w:hAnsi="宋体" w:eastAsia="宋体" w:cs="宋体"/>
          <w:color w:val="auto"/>
          <w:highlight w:val="none"/>
          <w:lang w:val="en-US"/>
        </w:rPr>
        <w:t>第五章 评标方法及标准</w:t>
      </w:r>
      <w:r>
        <w:rPr>
          <w:rFonts w:hint="eastAsia" w:ascii="宋体" w:hAnsi="宋体" w:eastAsia="宋体" w:cs="宋体"/>
          <w:snapToGrid w:val="0"/>
          <w:color w:val="auto"/>
          <w:highlight w:val="none"/>
        </w:rPr>
        <w:t>”中相关规定</w:t>
      </w:r>
      <w:r>
        <w:rPr>
          <w:rFonts w:hint="eastAsia" w:ascii="宋体" w:hAnsi="宋体" w:eastAsia="宋体" w:cs="宋体"/>
          <w:color w:val="auto"/>
          <w:highlight w:val="none"/>
          <w:lang w:val="en-US"/>
        </w:rPr>
        <w:t>在评审时给予价格评审优惠，具体详见</w:t>
      </w:r>
      <w:r>
        <w:rPr>
          <w:rFonts w:hint="eastAsia" w:ascii="宋体" w:hAnsi="宋体" w:eastAsia="宋体" w:cs="宋体"/>
          <w:snapToGrid w:val="0"/>
          <w:color w:val="auto"/>
          <w:highlight w:val="none"/>
          <w:lang w:val="en-US"/>
        </w:rPr>
        <w:t>“投标人须知前附表”及</w:t>
      </w:r>
      <w:r>
        <w:rPr>
          <w:rFonts w:hint="eastAsia" w:ascii="宋体" w:hAnsi="宋体" w:eastAsia="宋体" w:cs="宋体"/>
          <w:color w:val="auto"/>
          <w:highlight w:val="none"/>
          <w:lang w:val="en-US"/>
        </w:rPr>
        <w:t>“第五章 评标方法及标准”</w:t>
      </w:r>
      <w:r>
        <w:rPr>
          <w:rFonts w:hint="eastAsia" w:ascii="宋体" w:hAnsi="宋体" w:eastAsia="宋体" w:cs="宋体"/>
          <w:color w:val="auto"/>
          <w:highlight w:val="none"/>
        </w:rPr>
        <w:t>。</w:t>
      </w:r>
    </w:p>
    <w:p w14:paraId="5D1E92AB">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15" w:name="_Toc14967"/>
      <w:bookmarkStart w:id="416" w:name="_Toc18587"/>
      <w:bookmarkStart w:id="417" w:name="_Toc27639"/>
      <w:bookmarkStart w:id="418" w:name="_Toc27051"/>
      <w:bookmarkStart w:id="419" w:name="_Toc163492879"/>
      <w:r>
        <w:rPr>
          <w:rFonts w:hint="eastAsia" w:ascii="宋体" w:hAnsi="宋体" w:eastAsia="宋体" w:cs="宋体"/>
          <w:color w:val="auto"/>
          <w:sz w:val="24"/>
          <w:highlight w:val="none"/>
        </w:rPr>
        <w:t>44.正版软件</w:t>
      </w:r>
      <w:bookmarkEnd w:id="415"/>
      <w:bookmarkEnd w:id="416"/>
      <w:bookmarkEnd w:id="417"/>
      <w:bookmarkEnd w:id="418"/>
      <w:r>
        <w:rPr>
          <w:rFonts w:hint="eastAsia" w:ascii="宋体" w:hAnsi="宋体" w:eastAsia="宋体" w:cs="宋体"/>
          <w:color w:val="auto"/>
          <w:sz w:val="24"/>
          <w:highlight w:val="none"/>
        </w:rPr>
        <w:t xml:space="preserve">  </w:t>
      </w:r>
    </w:p>
    <w:p w14:paraId="441E744F">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44.1 依据《财政部 国家发展改革委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宋体" w:hAnsi="宋体" w:eastAsia="宋体" w:cs="宋体"/>
          <w:b/>
          <w:bCs/>
          <w:snapToGrid w:val="0"/>
          <w:color w:val="auto"/>
          <w:highlight w:val="none"/>
          <w:lang w:val="en-US"/>
        </w:rPr>
        <w:t>投标无效</w:t>
      </w:r>
      <w:r>
        <w:rPr>
          <w:rFonts w:hint="eastAsia" w:ascii="宋体" w:hAnsi="宋体" w:eastAsia="宋体" w:cs="宋体"/>
          <w:snapToGrid w:val="0"/>
          <w:color w:val="auto"/>
          <w:highlight w:val="none"/>
          <w:lang w:val="en-US"/>
        </w:rPr>
        <w:t xml:space="preserve">。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5842B994">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656DFEAC">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20" w:name="_Toc5754"/>
      <w:bookmarkStart w:id="421" w:name="_Toc9349"/>
      <w:bookmarkStart w:id="422" w:name="_Toc23823"/>
      <w:bookmarkStart w:id="423" w:name="_Toc18124"/>
      <w:r>
        <w:rPr>
          <w:rFonts w:hint="eastAsia" w:ascii="宋体" w:hAnsi="宋体" w:eastAsia="宋体" w:cs="宋体"/>
          <w:color w:val="auto"/>
          <w:sz w:val="24"/>
          <w:highlight w:val="none"/>
        </w:rPr>
        <w:t>45.网络安全专用产品</w:t>
      </w:r>
      <w:bookmarkEnd w:id="420"/>
      <w:bookmarkEnd w:id="421"/>
      <w:bookmarkEnd w:id="422"/>
      <w:bookmarkEnd w:id="423"/>
      <w:r>
        <w:rPr>
          <w:rFonts w:hint="eastAsia" w:ascii="宋体" w:hAnsi="宋体" w:eastAsia="宋体" w:cs="宋体"/>
          <w:color w:val="auto"/>
          <w:sz w:val="24"/>
          <w:highlight w:val="none"/>
        </w:rPr>
        <w:t xml:space="preserve">   </w:t>
      </w:r>
    </w:p>
    <w:p w14:paraId="0AF40763">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4EA68AB5">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2E29A82F">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24" w:name="_Toc30425"/>
      <w:bookmarkStart w:id="425" w:name="_Toc26826"/>
      <w:bookmarkStart w:id="426" w:name="_Toc4141"/>
      <w:bookmarkStart w:id="427" w:name="_Toc30358"/>
      <w:r>
        <w:rPr>
          <w:rFonts w:hint="eastAsia" w:ascii="宋体" w:hAnsi="宋体" w:eastAsia="宋体" w:cs="宋体"/>
          <w:color w:val="auto"/>
          <w:sz w:val="24"/>
          <w:highlight w:val="none"/>
        </w:rPr>
        <w:t>46.采购需求标准</w:t>
      </w:r>
      <w:bookmarkEnd w:id="424"/>
      <w:bookmarkEnd w:id="425"/>
      <w:bookmarkEnd w:id="426"/>
      <w:bookmarkEnd w:id="427"/>
      <w:r>
        <w:rPr>
          <w:rFonts w:hint="eastAsia" w:ascii="宋体" w:hAnsi="宋体" w:eastAsia="宋体" w:cs="宋体"/>
          <w:color w:val="auto"/>
          <w:sz w:val="24"/>
          <w:highlight w:val="none"/>
        </w:rPr>
        <w:t xml:space="preserve">   </w:t>
      </w:r>
    </w:p>
    <w:p w14:paraId="6EC60F27">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46.1 商品包装、快递包装政府采购需求标准（试行） </w:t>
      </w:r>
    </w:p>
    <w:p w14:paraId="1956C045">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68745002">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46.2 绿色数据中心政府采购需求标准（试行） </w:t>
      </w:r>
    </w:p>
    <w:p w14:paraId="2072EED5">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054BF2AC">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46.3台式计算机政府采购需求标准</w:t>
      </w:r>
    </w:p>
    <w:p w14:paraId="6DFCC55C">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4797C9CD">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46.4便携式计算机政府采购需求标准</w:t>
      </w:r>
    </w:p>
    <w:p w14:paraId="547D8678">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69E212B6">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46.5一体式计算机政府采购需求标准</w:t>
      </w:r>
    </w:p>
    <w:p w14:paraId="309CA2F8">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203B86D9">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46.6工作站政府采购需求标准</w:t>
      </w:r>
    </w:p>
    <w:p w14:paraId="2C98A876">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2D89DBA0">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46.7通用服务器政府采购需求标准</w:t>
      </w:r>
    </w:p>
    <w:p w14:paraId="1A70073D">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120FF795">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46.8操作系统政府采购需求标准</w:t>
      </w:r>
    </w:p>
    <w:p w14:paraId="4F4E8BC4">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07EB2BBB">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46.9数据库政府采购需求标准</w:t>
      </w:r>
    </w:p>
    <w:p w14:paraId="0B7C7E2A">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2CC45418">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46.10物业管理服务政府采购需求标准（办公场所类）（试行）</w:t>
      </w:r>
    </w:p>
    <w:p w14:paraId="0B810AE8">
      <w:pPr>
        <w:pStyle w:val="36"/>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bookmarkEnd w:id="407"/>
    <w:bookmarkEnd w:id="408"/>
    <w:bookmarkEnd w:id="419"/>
    <w:p w14:paraId="5FD0B72E">
      <w:pPr>
        <w:pStyle w:val="4"/>
        <w:keepNext w:val="0"/>
        <w:keepLines w:val="0"/>
        <w:spacing w:before="100" w:after="100" w:line="240" w:lineRule="auto"/>
        <w:ind w:left="420" w:hanging="420"/>
        <w:rPr>
          <w:rFonts w:hint="eastAsia" w:ascii="宋体" w:hAnsi="宋体" w:eastAsia="宋体" w:cs="宋体"/>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eastAsia="zh-CN"/>
        </w:rPr>
        <w:t>四</w:t>
      </w:r>
      <w:r>
        <w:rPr>
          <w:rFonts w:hint="eastAsia" w:ascii="宋体" w:hAnsi="宋体" w:eastAsia="宋体" w:cs="宋体"/>
          <w:color w:val="auto"/>
          <w:sz w:val="24"/>
          <w:highlight w:val="none"/>
        </w:rPr>
        <w:t>）其他</w:t>
      </w:r>
    </w:p>
    <w:p w14:paraId="79E2BB9C">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28" w:name="_Toc15832"/>
      <w:bookmarkStart w:id="429" w:name="_Toc4822"/>
      <w:bookmarkStart w:id="430" w:name="_Toc163492882"/>
      <w:bookmarkStart w:id="431" w:name="_Toc7838"/>
      <w:bookmarkStart w:id="432" w:name="_Toc25907"/>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.需要补充的其他内容</w:t>
      </w:r>
      <w:bookmarkEnd w:id="428"/>
      <w:bookmarkEnd w:id="429"/>
      <w:bookmarkEnd w:id="430"/>
      <w:bookmarkEnd w:id="431"/>
      <w:bookmarkEnd w:id="432"/>
    </w:p>
    <w:p w14:paraId="4CAF389E">
      <w:pPr>
        <w:pStyle w:val="36"/>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.1需要补充的其他内容：见投标人须知前附表。</w:t>
      </w:r>
    </w:p>
    <w:p w14:paraId="599590D7">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33" w:name="_Toc4492"/>
      <w:bookmarkStart w:id="434" w:name="_Toc155185886"/>
      <w:bookmarkStart w:id="435" w:name="_Toc163492883"/>
      <w:bookmarkStart w:id="436" w:name="_Toc16633"/>
      <w:bookmarkStart w:id="437" w:name="_Toc140132810"/>
      <w:bookmarkStart w:id="438" w:name="_Toc5942"/>
      <w:bookmarkStart w:id="439" w:name="_Toc5587"/>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.适用法律</w:t>
      </w:r>
      <w:bookmarkEnd w:id="433"/>
      <w:bookmarkEnd w:id="434"/>
      <w:bookmarkEnd w:id="435"/>
      <w:bookmarkEnd w:id="436"/>
      <w:bookmarkEnd w:id="437"/>
      <w:bookmarkEnd w:id="438"/>
      <w:bookmarkEnd w:id="439"/>
    </w:p>
    <w:p w14:paraId="7154179A">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w:t>
      </w:r>
      <w:r>
        <w:rPr>
          <w:rFonts w:hint="eastAsia" w:ascii="宋体" w:hAnsi="宋体" w:eastAsia="宋体" w:cs="宋体"/>
          <w:snapToGrid w:val="0"/>
          <w:color w:val="auto"/>
          <w:highlight w:val="none"/>
          <w:lang w:val="en-US" w:eastAsia="zh-CN"/>
        </w:rPr>
        <w:t>8</w:t>
      </w:r>
      <w:r>
        <w:rPr>
          <w:rFonts w:hint="eastAsia" w:ascii="宋体" w:hAnsi="宋体" w:eastAsia="宋体" w:cs="宋体"/>
          <w:snapToGrid w:val="0"/>
          <w:color w:val="auto"/>
          <w:highlight w:val="none"/>
        </w:rPr>
        <w:t>.1采购人、采购代理机构及投标人的一切采购活动均适用《中华人民共和国政府采购法》、《中华人民共和国政府采购法实施条例》、《政府采购货物和服务招标投标管理办法》（财政部令第87号）及相关法律法规。</w:t>
      </w:r>
    </w:p>
    <w:p w14:paraId="0CFF5D55">
      <w:pPr>
        <w:pStyle w:val="36"/>
        <w:rPr>
          <w:rFonts w:hint="eastAsia" w:ascii="宋体" w:hAnsi="宋体" w:eastAsia="宋体" w:cs="宋体"/>
          <w:color w:val="auto"/>
          <w:highlight w:val="none"/>
        </w:rPr>
      </w:pPr>
      <w:r>
        <w:rPr>
          <w:rFonts w:hint="eastAsia" w:ascii="宋体" w:hAnsi="宋体" w:eastAsia="宋体" w:cs="宋体"/>
          <w:snapToGrid w:val="0"/>
          <w:color w:val="auto"/>
          <w:highlight w:val="none"/>
          <w:lang w:val="en-US"/>
        </w:rPr>
        <w:t>4</w:t>
      </w:r>
      <w:r>
        <w:rPr>
          <w:rFonts w:hint="eastAsia" w:ascii="宋体" w:hAnsi="宋体" w:eastAsia="宋体" w:cs="宋体"/>
          <w:snapToGrid w:val="0"/>
          <w:color w:val="auto"/>
          <w:highlight w:val="none"/>
          <w:lang w:val="en-US" w:eastAsia="zh-CN"/>
        </w:rPr>
        <w:t>8</w:t>
      </w:r>
      <w:r>
        <w:rPr>
          <w:rFonts w:hint="eastAsia" w:ascii="宋体" w:hAnsi="宋体" w:eastAsia="宋体" w:cs="宋体"/>
          <w:snapToGrid w:val="0"/>
          <w:color w:val="auto"/>
          <w:highlight w:val="none"/>
        </w:rPr>
        <w:t>.2政府采购合同的履行、违约责任和解决争议的方法等适用《中华人民共和国民法典》。</w:t>
      </w:r>
    </w:p>
    <w:p w14:paraId="11FFCD0C">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40" w:name="_Toc18236"/>
      <w:bookmarkStart w:id="441" w:name="_Toc26968"/>
      <w:bookmarkStart w:id="442" w:name="_Toc155185887"/>
      <w:bookmarkStart w:id="443" w:name="_Toc163492884"/>
      <w:bookmarkStart w:id="444" w:name="_Toc12709"/>
      <w:bookmarkStart w:id="445" w:name="_Toc26457"/>
      <w:r>
        <w:rPr>
          <w:rFonts w:hint="eastAsia" w:ascii="宋体" w:hAnsi="宋体" w:eastAsia="宋体" w:cs="宋体"/>
          <w:color w:val="auto"/>
          <w:sz w:val="24"/>
          <w:highlight w:val="none"/>
          <w:lang w:val="en-US" w:eastAsia="zh-CN"/>
        </w:rPr>
        <w:t>49</w:t>
      </w:r>
      <w:r>
        <w:rPr>
          <w:rFonts w:hint="eastAsia" w:ascii="宋体" w:hAnsi="宋体" w:eastAsia="宋体" w:cs="宋体"/>
          <w:color w:val="auto"/>
          <w:sz w:val="24"/>
          <w:highlight w:val="none"/>
        </w:rPr>
        <w:t>.解释权</w:t>
      </w:r>
      <w:bookmarkEnd w:id="440"/>
      <w:bookmarkEnd w:id="441"/>
      <w:bookmarkEnd w:id="442"/>
      <w:bookmarkEnd w:id="443"/>
      <w:bookmarkEnd w:id="444"/>
      <w:bookmarkEnd w:id="445"/>
    </w:p>
    <w:p w14:paraId="49C3A9AF">
      <w:pPr>
        <w:pStyle w:val="36"/>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eastAsia="zh-CN"/>
        </w:rPr>
        <w:t>49</w:t>
      </w:r>
      <w:r>
        <w:rPr>
          <w:rFonts w:hint="eastAsia" w:ascii="宋体" w:hAnsi="宋体" w:eastAsia="宋体" w:cs="宋体"/>
          <w:snapToGrid w:val="0"/>
          <w:color w:val="auto"/>
          <w:highlight w:val="none"/>
        </w:rPr>
        <w:t>.1本招标文件最终解释权归采购人或采购代理机构所有。</w:t>
      </w:r>
    </w:p>
    <w:p w14:paraId="5F9B3F75">
      <w:pPr>
        <w:pStyle w:val="36"/>
        <w:rPr>
          <w:rFonts w:hint="eastAsia" w:ascii="宋体" w:hAnsi="宋体" w:eastAsia="宋体" w:cs="宋体"/>
          <w:snapToGrid w:val="0"/>
          <w:color w:val="auto"/>
          <w:highlight w:val="none"/>
        </w:rPr>
      </w:pPr>
    </w:p>
    <w:p w14:paraId="1272E211">
      <w:pPr>
        <w:pStyle w:val="36"/>
        <w:rPr>
          <w:rFonts w:hint="eastAsia" w:ascii="宋体" w:hAnsi="宋体" w:eastAsia="宋体" w:cs="宋体"/>
          <w:snapToGrid w:val="0"/>
          <w:color w:val="auto"/>
          <w:highlight w:val="none"/>
        </w:rPr>
      </w:pPr>
    </w:p>
    <w:p w14:paraId="2351DBB6">
      <w:pPr>
        <w:pStyle w:val="36"/>
        <w:rPr>
          <w:rFonts w:hint="eastAsia" w:ascii="宋体" w:hAnsi="宋体" w:eastAsia="宋体" w:cs="宋体"/>
          <w:snapToGrid w:val="0"/>
          <w:color w:val="auto"/>
          <w:highlight w:val="none"/>
        </w:rPr>
      </w:pPr>
    </w:p>
    <w:p w14:paraId="012A5CE6">
      <w:pPr>
        <w:pStyle w:val="36"/>
        <w:rPr>
          <w:rFonts w:hint="eastAsia" w:ascii="宋体" w:hAnsi="宋体" w:eastAsia="宋体" w:cs="宋体"/>
          <w:snapToGrid w:val="0"/>
          <w:color w:val="auto"/>
          <w:highlight w:val="none"/>
        </w:rPr>
      </w:pPr>
    </w:p>
    <w:p w14:paraId="2AE7A434">
      <w:pPr>
        <w:pStyle w:val="36"/>
        <w:rPr>
          <w:rFonts w:hint="eastAsia" w:ascii="宋体" w:hAnsi="宋体" w:eastAsia="宋体" w:cs="宋体"/>
          <w:snapToGrid w:val="0"/>
          <w:color w:val="auto"/>
          <w:highlight w:val="none"/>
        </w:rPr>
      </w:pPr>
    </w:p>
    <w:p w14:paraId="52D0C4DD">
      <w:pPr>
        <w:pStyle w:val="36"/>
        <w:rPr>
          <w:rFonts w:hint="eastAsia" w:ascii="宋体" w:hAnsi="宋体" w:eastAsia="宋体" w:cs="宋体"/>
          <w:snapToGrid w:val="0"/>
          <w:color w:val="auto"/>
          <w:highlight w:val="none"/>
        </w:rPr>
      </w:pPr>
    </w:p>
    <w:p w14:paraId="0A06150A">
      <w:pPr>
        <w:pStyle w:val="36"/>
        <w:rPr>
          <w:rFonts w:hint="eastAsia" w:ascii="宋体" w:hAnsi="宋体" w:eastAsia="宋体" w:cs="宋体"/>
          <w:snapToGrid w:val="0"/>
          <w:color w:val="auto"/>
          <w:highlight w:val="none"/>
        </w:rPr>
      </w:pPr>
    </w:p>
    <w:p w14:paraId="64166BAD">
      <w:pPr>
        <w:pStyle w:val="36"/>
        <w:rPr>
          <w:rFonts w:hint="eastAsia" w:ascii="宋体" w:hAnsi="宋体" w:eastAsia="宋体" w:cs="宋体"/>
          <w:snapToGrid w:val="0"/>
          <w:color w:val="auto"/>
          <w:highlight w:val="none"/>
        </w:rPr>
      </w:pPr>
    </w:p>
    <w:p w14:paraId="75F6BC30">
      <w:pPr>
        <w:pStyle w:val="36"/>
        <w:rPr>
          <w:rFonts w:hint="eastAsia" w:ascii="宋体" w:hAnsi="宋体" w:eastAsia="宋体" w:cs="宋体"/>
          <w:snapToGrid w:val="0"/>
          <w:color w:val="auto"/>
          <w:highlight w:val="none"/>
        </w:rPr>
      </w:pPr>
    </w:p>
    <w:p w14:paraId="1FEC8CBC">
      <w:pPr>
        <w:pStyle w:val="36"/>
        <w:rPr>
          <w:rFonts w:hint="eastAsia" w:ascii="宋体" w:hAnsi="宋体" w:eastAsia="宋体" w:cs="宋体"/>
          <w:snapToGrid w:val="0"/>
          <w:color w:val="auto"/>
          <w:highlight w:val="none"/>
        </w:rPr>
      </w:pPr>
    </w:p>
    <w:p w14:paraId="4D194783">
      <w:pPr>
        <w:pStyle w:val="36"/>
        <w:rPr>
          <w:rFonts w:hint="eastAsia" w:ascii="宋体" w:hAnsi="宋体" w:eastAsia="宋体" w:cs="宋体"/>
          <w:snapToGrid w:val="0"/>
          <w:color w:val="auto"/>
          <w:highlight w:val="none"/>
        </w:rPr>
      </w:pPr>
    </w:p>
    <w:p w14:paraId="2E5E4EAC">
      <w:pPr>
        <w:pStyle w:val="36"/>
        <w:rPr>
          <w:rFonts w:hint="eastAsia" w:ascii="宋体" w:hAnsi="宋体" w:eastAsia="宋体" w:cs="宋体"/>
          <w:snapToGrid w:val="0"/>
          <w:color w:val="auto"/>
          <w:highlight w:val="none"/>
        </w:rPr>
      </w:pPr>
    </w:p>
    <w:p w14:paraId="77D6A57B">
      <w:pPr>
        <w:pStyle w:val="36"/>
        <w:rPr>
          <w:rFonts w:hint="eastAsia" w:ascii="宋体" w:hAnsi="宋体" w:eastAsia="宋体" w:cs="宋体"/>
          <w:snapToGrid w:val="0"/>
          <w:color w:val="auto"/>
          <w:highlight w:val="none"/>
        </w:rPr>
      </w:pPr>
    </w:p>
    <w:p w14:paraId="7B5A5F6E">
      <w:pPr>
        <w:pStyle w:val="36"/>
        <w:rPr>
          <w:rFonts w:hint="eastAsia" w:ascii="宋体" w:hAnsi="宋体" w:eastAsia="宋体" w:cs="宋体"/>
          <w:snapToGrid w:val="0"/>
          <w:color w:val="auto"/>
          <w:highlight w:val="none"/>
        </w:rPr>
      </w:pPr>
    </w:p>
    <w:p w14:paraId="131DD9C7">
      <w:pPr>
        <w:pStyle w:val="36"/>
        <w:rPr>
          <w:rFonts w:hint="eastAsia" w:ascii="宋体" w:hAnsi="宋体" w:eastAsia="宋体" w:cs="宋体"/>
          <w:snapToGrid w:val="0"/>
          <w:color w:val="auto"/>
          <w:highlight w:val="none"/>
        </w:rPr>
      </w:pPr>
    </w:p>
    <w:p w14:paraId="57CD5C4F">
      <w:pPr>
        <w:pStyle w:val="36"/>
        <w:rPr>
          <w:rFonts w:hint="eastAsia" w:ascii="宋体" w:hAnsi="宋体" w:eastAsia="宋体" w:cs="宋体"/>
          <w:snapToGrid w:val="0"/>
          <w:color w:val="auto"/>
          <w:highlight w:val="none"/>
        </w:rPr>
      </w:pPr>
    </w:p>
    <w:p w14:paraId="6FA819C9">
      <w:pPr>
        <w:pStyle w:val="36"/>
        <w:rPr>
          <w:rFonts w:hint="eastAsia" w:ascii="宋体" w:hAnsi="宋体" w:eastAsia="宋体" w:cs="宋体"/>
          <w:snapToGrid w:val="0"/>
          <w:color w:val="auto"/>
          <w:highlight w:val="none"/>
        </w:rPr>
      </w:pPr>
    </w:p>
    <w:p w14:paraId="4DB0F16D">
      <w:pPr>
        <w:pStyle w:val="36"/>
        <w:rPr>
          <w:rFonts w:hint="eastAsia" w:ascii="宋体" w:hAnsi="宋体" w:eastAsia="宋体" w:cs="宋体"/>
          <w:snapToGrid w:val="0"/>
          <w:color w:val="auto"/>
          <w:highlight w:val="none"/>
        </w:rPr>
      </w:pPr>
    </w:p>
    <w:p w14:paraId="7BEA1E10">
      <w:pPr>
        <w:pStyle w:val="36"/>
        <w:rPr>
          <w:rFonts w:hint="eastAsia" w:ascii="宋体" w:hAnsi="宋体" w:eastAsia="宋体" w:cs="宋体"/>
          <w:snapToGrid w:val="0"/>
          <w:color w:val="auto"/>
          <w:highlight w:val="none"/>
        </w:rPr>
      </w:pPr>
    </w:p>
    <w:p w14:paraId="628A3642">
      <w:pPr>
        <w:pStyle w:val="36"/>
        <w:rPr>
          <w:rFonts w:hint="eastAsia" w:ascii="宋体" w:hAnsi="宋体" w:eastAsia="宋体" w:cs="宋体"/>
          <w:snapToGrid w:val="0"/>
          <w:color w:val="auto"/>
          <w:highlight w:val="none"/>
        </w:rPr>
      </w:pPr>
    </w:p>
    <w:p w14:paraId="11CC8A2E">
      <w:pPr>
        <w:pStyle w:val="36"/>
        <w:rPr>
          <w:rFonts w:hint="eastAsia" w:ascii="宋体" w:hAnsi="宋体" w:eastAsia="宋体" w:cs="宋体"/>
          <w:snapToGrid w:val="0"/>
          <w:color w:val="auto"/>
          <w:highlight w:val="none"/>
        </w:rPr>
      </w:pPr>
    </w:p>
    <w:p w14:paraId="3A36AFFE">
      <w:pPr>
        <w:pStyle w:val="36"/>
        <w:rPr>
          <w:rFonts w:hint="eastAsia" w:ascii="宋体" w:hAnsi="宋体" w:eastAsia="宋体" w:cs="宋体"/>
          <w:snapToGrid w:val="0"/>
          <w:color w:val="auto"/>
          <w:highlight w:val="none"/>
        </w:rPr>
      </w:pPr>
    </w:p>
    <w:p w14:paraId="02F2D070">
      <w:pPr>
        <w:pStyle w:val="2"/>
        <w:spacing w:before="220" w:after="220" w:line="480" w:lineRule="auto"/>
        <w:ind w:left="420" w:hanging="420"/>
        <w:jc w:val="center"/>
        <w:rPr>
          <w:rFonts w:hint="eastAsia" w:ascii="宋体" w:hAnsi="宋体" w:eastAsia="宋体" w:cs="宋体"/>
          <w:bCs/>
          <w:color w:val="auto"/>
          <w:sz w:val="36"/>
          <w:szCs w:val="36"/>
          <w:highlight w:val="none"/>
        </w:rPr>
      </w:pPr>
      <w:bookmarkStart w:id="446" w:name="_Toc155185888"/>
      <w:bookmarkStart w:id="447" w:name="_Toc18413"/>
      <w:bookmarkStart w:id="448" w:name="_Toc11277"/>
      <w:r>
        <w:rPr>
          <w:rFonts w:hint="eastAsia" w:ascii="宋体" w:hAnsi="宋体" w:eastAsia="宋体" w:cs="宋体"/>
          <w:bCs/>
          <w:color w:val="auto"/>
          <w:sz w:val="36"/>
          <w:szCs w:val="36"/>
          <w:highlight w:val="none"/>
        </w:rPr>
        <w:t>第三章 采购需求</w:t>
      </w:r>
      <w:bookmarkEnd w:id="446"/>
      <w:bookmarkEnd w:id="447"/>
      <w:bookmarkEnd w:id="448"/>
    </w:p>
    <w:p w14:paraId="769993CA">
      <w:pPr>
        <w:pStyle w:val="3"/>
        <w:spacing w:before="0" w:after="0" w:line="360" w:lineRule="auto"/>
        <w:rPr>
          <w:rFonts w:hint="eastAsia" w:ascii="宋体" w:hAnsi="宋体" w:eastAsia="宋体" w:cs="宋体"/>
          <w:color w:val="auto"/>
          <w:sz w:val="28"/>
          <w:szCs w:val="28"/>
          <w:highlight w:val="none"/>
        </w:rPr>
      </w:pPr>
      <w:bookmarkStart w:id="449" w:name="_Toc2251"/>
      <w:bookmarkStart w:id="450" w:name="_Toc155185889"/>
      <w:bookmarkStart w:id="451" w:name="_Toc140132812"/>
      <w:r>
        <w:rPr>
          <w:rFonts w:hint="eastAsia" w:ascii="宋体" w:hAnsi="宋体" w:eastAsia="宋体" w:cs="宋体"/>
          <w:color w:val="auto"/>
          <w:sz w:val="28"/>
          <w:szCs w:val="28"/>
          <w:highlight w:val="none"/>
        </w:rPr>
        <w:t>一、采购</w:t>
      </w:r>
      <w:bookmarkEnd w:id="449"/>
      <w:r>
        <w:rPr>
          <w:rFonts w:hint="eastAsia" w:ascii="宋体" w:hAnsi="宋体" w:cs="宋体"/>
          <w:color w:val="auto"/>
          <w:sz w:val="28"/>
          <w:szCs w:val="28"/>
          <w:highlight w:val="none"/>
          <w:lang w:val="en-US" w:eastAsia="zh-CN"/>
        </w:rPr>
        <w:t>清单</w:t>
      </w:r>
      <w:r>
        <w:rPr>
          <w:rFonts w:hint="eastAsia" w:ascii="宋体" w:hAnsi="宋体" w:eastAsia="宋体" w:cs="宋体"/>
          <w:color w:val="auto"/>
          <w:sz w:val="28"/>
          <w:szCs w:val="28"/>
          <w:highlight w:val="none"/>
        </w:rPr>
        <w:t xml:space="preserve"> </w:t>
      </w:r>
    </w:p>
    <w:tbl>
      <w:tblPr>
        <w:tblStyle w:val="22"/>
        <w:tblW w:w="89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0"/>
        <w:gridCol w:w="3185"/>
        <w:gridCol w:w="1451"/>
        <w:gridCol w:w="1044"/>
        <w:gridCol w:w="2158"/>
      </w:tblGrid>
      <w:tr w14:paraId="2DB9C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1160" w:type="dxa"/>
            <w:tcBorders>
              <w:top w:val="single" w:color="000000" w:sz="4" w:space="0"/>
              <w:left w:val="single" w:color="000000" w:sz="4" w:space="0"/>
              <w:bottom w:val="single" w:color="000000" w:sz="4" w:space="0"/>
              <w:right w:val="single" w:color="000000" w:sz="4" w:space="0"/>
            </w:tcBorders>
            <w:noWrap w:val="0"/>
            <w:vAlign w:val="center"/>
          </w:tcPr>
          <w:p w14:paraId="1E8424C4">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3C1FE442">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bCs/>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标的名称</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34DFE518">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79408BAC">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数量</w:t>
            </w:r>
          </w:p>
        </w:tc>
        <w:tc>
          <w:tcPr>
            <w:tcW w:w="2158" w:type="dxa"/>
            <w:tcBorders>
              <w:top w:val="single" w:color="000000" w:sz="4" w:space="0"/>
              <w:left w:val="single" w:color="000000" w:sz="4" w:space="0"/>
              <w:bottom w:val="single" w:color="000000" w:sz="4" w:space="0"/>
              <w:right w:val="single" w:color="000000" w:sz="4" w:space="0"/>
            </w:tcBorders>
            <w:noWrap/>
            <w:vAlign w:val="center"/>
          </w:tcPr>
          <w:p w14:paraId="75B0335E">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国产/进口</w:t>
            </w:r>
          </w:p>
        </w:tc>
      </w:tr>
      <w:tr w14:paraId="52831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160" w:type="dxa"/>
            <w:tcBorders>
              <w:top w:val="single" w:color="000000" w:sz="4" w:space="0"/>
              <w:left w:val="single" w:color="000000" w:sz="4" w:space="0"/>
              <w:bottom w:val="single" w:color="000000" w:sz="4" w:space="0"/>
              <w:right w:val="single" w:color="000000" w:sz="4" w:space="0"/>
            </w:tcBorders>
            <w:noWrap/>
            <w:vAlign w:val="center"/>
          </w:tcPr>
          <w:p w14:paraId="7D9ACA91">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0D4B97E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减重步态</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5A718C0F">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00B1085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ign w:val="center"/>
          </w:tcPr>
          <w:p w14:paraId="558C69B3">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国产</w:t>
            </w:r>
          </w:p>
        </w:tc>
      </w:tr>
      <w:tr w14:paraId="4FBF2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160" w:type="dxa"/>
            <w:tcBorders>
              <w:top w:val="single" w:color="000000" w:sz="4" w:space="0"/>
              <w:left w:val="single" w:color="000000" w:sz="4" w:space="0"/>
              <w:bottom w:val="single" w:color="000000" w:sz="4" w:space="0"/>
              <w:right w:val="single" w:color="000000" w:sz="4" w:space="0"/>
            </w:tcBorders>
            <w:noWrap/>
            <w:vAlign w:val="center"/>
          </w:tcPr>
          <w:p w14:paraId="4BABA5E2">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607A399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低频电刺激仪</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27EE7804">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25A8B5A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2158" w:type="dxa"/>
            <w:tcBorders>
              <w:top w:val="single" w:color="000000" w:sz="4" w:space="0"/>
              <w:left w:val="single" w:color="000000" w:sz="4" w:space="0"/>
              <w:bottom w:val="single" w:color="000000" w:sz="4" w:space="0"/>
              <w:right w:val="single" w:color="000000" w:sz="4" w:space="0"/>
            </w:tcBorders>
            <w:noWrap/>
            <w:vAlign w:val="center"/>
          </w:tcPr>
          <w:p w14:paraId="4C8A39F0">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国产</w:t>
            </w:r>
          </w:p>
        </w:tc>
      </w:tr>
      <w:tr w14:paraId="63CA3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1160" w:type="dxa"/>
            <w:tcBorders>
              <w:top w:val="single" w:color="000000" w:sz="4" w:space="0"/>
              <w:left w:val="single" w:color="000000" w:sz="4" w:space="0"/>
              <w:bottom w:val="single" w:color="000000" w:sz="4" w:space="0"/>
              <w:right w:val="single" w:color="000000" w:sz="4" w:space="0"/>
            </w:tcBorders>
            <w:noWrap/>
            <w:vAlign w:val="center"/>
          </w:tcPr>
          <w:p w14:paraId="1A349241">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36F92049">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电动起立床</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0E5192F3">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13A3E402">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2158" w:type="dxa"/>
            <w:tcBorders>
              <w:top w:val="single" w:color="000000" w:sz="4" w:space="0"/>
              <w:left w:val="single" w:color="000000" w:sz="4" w:space="0"/>
              <w:bottom w:val="single" w:color="000000" w:sz="4" w:space="0"/>
              <w:right w:val="single" w:color="000000" w:sz="4" w:space="0"/>
            </w:tcBorders>
            <w:noWrap/>
            <w:vAlign w:val="center"/>
          </w:tcPr>
          <w:p w14:paraId="1CEE5A92">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国产</w:t>
            </w:r>
          </w:p>
        </w:tc>
      </w:tr>
      <w:tr w14:paraId="62319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160" w:type="dxa"/>
            <w:tcBorders>
              <w:top w:val="single" w:color="000000" w:sz="4" w:space="0"/>
              <w:left w:val="single" w:color="000000" w:sz="4" w:space="0"/>
              <w:bottom w:val="single" w:color="000000" w:sz="4" w:space="0"/>
              <w:right w:val="single" w:color="000000" w:sz="4" w:space="0"/>
            </w:tcBorders>
            <w:noWrap/>
            <w:vAlign w:val="center"/>
          </w:tcPr>
          <w:p w14:paraId="5FC89D78">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4</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280BBF48">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电子生物反馈仪</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41833338">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57A811A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ign w:val="center"/>
          </w:tcPr>
          <w:p w14:paraId="4A9D832B">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国产</w:t>
            </w:r>
          </w:p>
        </w:tc>
      </w:tr>
      <w:tr w14:paraId="1F734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160" w:type="dxa"/>
            <w:tcBorders>
              <w:top w:val="single" w:color="000000" w:sz="4" w:space="0"/>
              <w:left w:val="single" w:color="000000" w:sz="4" w:space="0"/>
              <w:bottom w:val="single" w:color="000000" w:sz="4" w:space="0"/>
              <w:right w:val="single" w:color="000000" w:sz="4" w:space="0"/>
            </w:tcBorders>
            <w:noWrap/>
            <w:vAlign w:val="center"/>
          </w:tcPr>
          <w:p w14:paraId="584BE99E">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5</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2CEEE92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脉诊仪</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162E090E">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29802DBA">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43</w:t>
            </w:r>
          </w:p>
        </w:tc>
        <w:tc>
          <w:tcPr>
            <w:tcW w:w="2158" w:type="dxa"/>
            <w:tcBorders>
              <w:top w:val="single" w:color="000000" w:sz="4" w:space="0"/>
              <w:left w:val="single" w:color="000000" w:sz="4" w:space="0"/>
              <w:bottom w:val="single" w:color="000000" w:sz="4" w:space="0"/>
              <w:right w:val="single" w:color="000000" w:sz="4" w:space="0"/>
            </w:tcBorders>
            <w:noWrap/>
            <w:vAlign w:val="center"/>
          </w:tcPr>
          <w:p w14:paraId="090CC8CB">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国产</w:t>
            </w:r>
          </w:p>
        </w:tc>
      </w:tr>
      <w:tr w14:paraId="2A258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160" w:type="dxa"/>
            <w:tcBorders>
              <w:top w:val="single" w:color="000000" w:sz="4" w:space="0"/>
              <w:left w:val="single" w:color="000000" w:sz="4" w:space="0"/>
              <w:bottom w:val="single" w:color="000000" w:sz="4" w:space="0"/>
              <w:right w:val="single" w:color="000000" w:sz="4" w:space="0"/>
            </w:tcBorders>
            <w:noWrap/>
            <w:vAlign w:val="center"/>
          </w:tcPr>
          <w:p w14:paraId="3E61376F">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6</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0D6BB47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中药熏蒸治疗机</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1140AC04">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7AE3364F">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2158" w:type="dxa"/>
            <w:tcBorders>
              <w:top w:val="single" w:color="000000" w:sz="4" w:space="0"/>
              <w:left w:val="single" w:color="000000" w:sz="4" w:space="0"/>
              <w:bottom w:val="single" w:color="000000" w:sz="4" w:space="0"/>
              <w:right w:val="single" w:color="000000" w:sz="4" w:space="0"/>
            </w:tcBorders>
            <w:noWrap/>
            <w:vAlign w:val="center"/>
          </w:tcPr>
          <w:p w14:paraId="4816D853">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国产</w:t>
            </w:r>
          </w:p>
        </w:tc>
      </w:tr>
      <w:tr w14:paraId="0EE2D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1160" w:type="dxa"/>
            <w:tcBorders>
              <w:top w:val="single" w:color="000000" w:sz="4" w:space="0"/>
              <w:left w:val="single" w:color="000000" w:sz="4" w:space="0"/>
              <w:bottom w:val="single" w:color="000000" w:sz="4" w:space="0"/>
              <w:right w:val="single" w:color="000000" w:sz="4" w:space="0"/>
            </w:tcBorders>
            <w:noWrap/>
            <w:vAlign w:val="center"/>
          </w:tcPr>
          <w:p w14:paraId="5193B48D">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7</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50C08896">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中医四诊智能诊断系统</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54C98A33">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109584B2">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2158" w:type="dxa"/>
            <w:tcBorders>
              <w:top w:val="single" w:color="000000" w:sz="4" w:space="0"/>
              <w:left w:val="single" w:color="000000" w:sz="4" w:space="0"/>
              <w:bottom w:val="single" w:color="000000" w:sz="4" w:space="0"/>
              <w:right w:val="single" w:color="000000" w:sz="4" w:space="0"/>
            </w:tcBorders>
            <w:noWrap/>
            <w:vAlign w:val="center"/>
          </w:tcPr>
          <w:p w14:paraId="3E95D4D6">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国产</w:t>
            </w:r>
          </w:p>
        </w:tc>
      </w:tr>
      <w:tr w14:paraId="2B3EE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160" w:type="dxa"/>
            <w:tcBorders>
              <w:top w:val="single" w:color="000000" w:sz="4" w:space="0"/>
              <w:left w:val="single" w:color="000000" w:sz="4" w:space="0"/>
              <w:bottom w:val="single" w:color="000000" w:sz="4" w:space="0"/>
              <w:right w:val="single" w:color="000000" w:sz="4" w:space="0"/>
            </w:tcBorders>
            <w:noWrap/>
            <w:vAlign w:val="center"/>
          </w:tcPr>
          <w:p w14:paraId="645F7619">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8</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4EF89882">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心电图</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0D1915DF">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096D488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40</w:t>
            </w:r>
          </w:p>
        </w:tc>
        <w:tc>
          <w:tcPr>
            <w:tcW w:w="2158" w:type="dxa"/>
            <w:tcBorders>
              <w:top w:val="single" w:color="000000" w:sz="4" w:space="0"/>
              <w:left w:val="single" w:color="000000" w:sz="4" w:space="0"/>
              <w:bottom w:val="single" w:color="000000" w:sz="4" w:space="0"/>
              <w:right w:val="single" w:color="000000" w:sz="4" w:space="0"/>
            </w:tcBorders>
            <w:noWrap/>
            <w:vAlign w:val="center"/>
          </w:tcPr>
          <w:p w14:paraId="5E2321CD">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国产</w:t>
            </w:r>
          </w:p>
        </w:tc>
      </w:tr>
      <w:tr w14:paraId="6A80B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1160" w:type="dxa"/>
            <w:tcBorders>
              <w:top w:val="single" w:color="000000" w:sz="4" w:space="0"/>
              <w:left w:val="single" w:color="000000" w:sz="4" w:space="0"/>
              <w:bottom w:val="single" w:color="000000" w:sz="4" w:space="0"/>
              <w:right w:val="single" w:color="000000" w:sz="4" w:space="0"/>
            </w:tcBorders>
            <w:noWrap/>
            <w:vAlign w:val="center"/>
          </w:tcPr>
          <w:p w14:paraId="42FF418D">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9</w:t>
            </w:r>
          </w:p>
        </w:tc>
        <w:tc>
          <w:tcPr>
            <w:tcW w:w="3185" w:type="dxa"/>
            <w:tcBorders>
              <w:top w:val="single" w:color="000000" w:sz="4" w:space="0"/>
              <w:left w:val="single" w:color="000000" w:sz="4" w:space="0"/>
              <w:bottom w:val="single" w:color="000000" w:sz="4" w:space="0"/>
              <w:right w:val="single" w:color="000000" w:sz="4" w:space="0"/>
            </w:tcBorders>
            <w:noWrap w:val="0"/>
            <w:vAlign w:val="center"/>
          </w:tcPr>
          <w:p w14:paraId="42EF0049">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中医适宜技术教学管理机</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5F26261F">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套</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5A4C4D5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noWrap/>
            <w:vAlign w:val="center"/>
          </w:tcPr>
          <w:p w14:paraId="2D2CAF93">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国产</w:t>
            </w:r>
          </w:p>
        </w:tc>
      </w:tr>
      <w:tr w14:paraId="0D598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8998" w:type="dxa"/>
            <w:gridSpan w:val="5"/>
            <w:tcBorders>
              <w:top w:val="single" w:color="000000" w:sz="4" w:space="0"/>
              <w:left w:val="single" w:color="000000" w:sz="4" w:space="0"/>
              <w:bottom w:val="single" w:color="000000" w:sz="4" w:space="0"/>
              <w:right w:val="single" w:color="000000" w:sz="4" w:space="0"/>
            </w:tcBorders>
            <w:noWrap/>
            <w:vAlign w:val="center"/>
          </w:tcPr>
          <w:p w14:paraId="32A06486">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bookmarkStart w:id="452" w:name="_Toc17598"/>
            <w:r>
              <w:rPr>
                <w:rFonts w:hint="eastAsia" w:ascii="宋体" w:hAnsi="宋体" w:eastAsia="宋体" w:cs="宋体"/>
                <w:b/>
                <w:bCs/>
                <w:i w:val="0"/>
                <w:iCs w:val="0"/>
                <w:color w:val="auto"/>
                <w:kern w:val="0"/>
                <w:sz w:val="24"/>
                <w:szCs w:val="24"/>
                <w:u w:val="none"/>
                <w:lang w:val="en-US" w:eastAsia="zh-CN" w:bidi="ar"/>
              </w:rPr>
              <w:t>最高投标限价总价：6077955.58</w:t>
            </w:r>
            <w:r>
              <w:rPr>
                <w:rFonts w:hint="eastAsia" w:cs="宋体"/>
                <w:b/>
                <w:bCs/>
                <w:i w:val="0"/>
                <w:iCs w:val="0"/>
                <w:color w:val="auto"/>
                <w:kern w:val="0"/>
                <w:sz w:val="24"/>
                <w:szCs w:val="24"/>
                <w:u w:val="none"/>
                <w:lang w:val="en-US" w:eastAsia="zh-CN" w:bidi="ar"/>
              </w:rPr>
              <w:t>元</w:t>
            </w:r>
          </w:p>
        </w:tc>
      </w:tr>
    </w:tbl>
    <w:p w14:paraId="318A3C49">
      <w:pPr>
        <w:pStyle w:val="3"/>
        <w:spacing w:before="0" w:after="0"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二、商务要求</w:t>
      </w:r>
      <w:bookmarkEnd w:id="452"/>
      <w:r>
        <w:rPr>
          <w:rFonts w:hint="eastAsia" w:ascii="宋体" w:hAnsi="宋体" w:eastAsia="宋体" w:cs="宋体"/>
          <w:color w:val="auto"/>
          <w:sz w:val="28"/>
          <w:szCs w:val="28"/>
          <w:highlight w:val="none"/>
        </w:rPr>
        <w:t xml:space="preserve"> </w:t>
      </w:r>
    </w:p>
    <w:p w14:paraId="3DCA5051">
      <w:pPr>
        <w:pStyle w:val="36"/>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★1.</w:t>
      </w:r>
      <w:r>
        <w:rPr>
          <w:rFonts w:hint="eastAsia" w:cs="宋体"/>
          <w:b w:val="0"/>
          <w:bCs w:val="0"/>
          <w:color w:val="auto"/>
          <w:sz w:val="24"/>
          <w:szCs w:val="24"/>
          <w:highlight w:val="none"/>
          <w:lang w:val="en-US" w:eastAsia="zh-CN"/>
        </w:rPr>
        <w:t>交付时间</w:t>
      </w:r>
      <w:r>
        <w:rPr>
          <w:rFonts w:hint="default" w:cs="宋体"/>
          <w:b w:val="0"/>
          <w:bCs w:val="0"/>
          <w:color w:val="auto"/>
          <w:sz w:val="24"/>
          <w:szCs w:val="24"/>
          <w:highlight w:val="none"/>
          <w:lang w:val="en-US" w:eastAsia="zh-CN"/>
        </w:rPr>
        <w:t>：</w:t>
      </w:r>
      <w:r>
        <w:rPr>
          <w:rFonts w:hint="eastAsia" w:cs="宋体"/>
          <w:snapToGrid w:val="0"/>
          <w:color w:val="auto"/>
          <w:szCs w:val="24"/>
          <w:highlight w:val="none"/>
          <w:lang w:val="en-US" w:eastAsia="zh-CN"/>
        </w:rPr>
        <w:t>合同签订后90天内完成设备供货、安装、调试及培训。</w:t>
      </w:r>
    </w:p>
    <w:p w14:paraId="0A2DAF27">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2</w:t>
      </w:r>
      <w:r>
        <w:rPr>
          <w:rFonts w:hint="default" w:cs="宋体"/>
          <w:b w:val="0"/>
          <w:bCs w:val="0"/>
          <w:color w:val="auto"/>
          <w:sz w:val="24"/>
          <w:szCs w:val="24"/>
          <w:highlight w:val="none"/>
          <w:lang w:val="en-US" w:eastAsia="zh-CN"/>
        </w:rPr>
        <w:t>.交货地点：</w:t>
      </w:r>
      <w:r>
        <w:rPr>
          <w:rFonts w:hint="eastAsia" w:ascii="宋体" w:hAnsi="宋体" w:eastAsia="宋体" w:cs="宋体"/>
          <w:color w:val="auto"/>
          <w:spacing w:val="0"/>
          <w:kern w:val="2"/>
          <w:position w:val="0"/>
          <w:sz w:val="24"/>
          <w:szCs w:val="24"/>
          <w:highlight w:val="none"/>
          <w:u w:val="none"/>
          <w:lang w:val="en-US" w:eastAsia="zh-CN" w:bidi="ar-SA"/>
        </w:rPr>
        <w:t>按采购人指定地点交货、验收。</w:t>
      </w:r>
    </w:p>
    <w:p w14:paraId="530A9EE0">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default" w:ascii="宋体" w:hAnsi="宋体" w:eastAsia="宋体"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3</w:t>
      </w:r>
      <w:r>
        <w:rPr>
          <w:rFonts w:hint="default" w:cs="宋体"/>
          <w:b w:val="0"/>
          <w:bCs w:val="0"/>
          <w:color w:val="auto"/>
          <w:sz w:val="24"/>
          <w:szCs w:val="24"/>
          <w:highlight w:val="none"/>
          <w:lang w:val="en-US" w:eastAsia="zh-CN"/>
        </w:rPr>
        <w:t>.付款方式：</w:t>
      </w:r>
      <w:r>
        <w:rPr>
          <w:rFonts w:hint="eastAsia" w:ascii="宋体" w:hAnsi="宋体" w:eastAsia="宋体" w:cs="宋体"/>
          <w:b w:val="0"/>
          <w:bCs w:val="0"/>
          <w:color w:val="auto"/>
          <w:sz w:val="24"/>
          <w:szCs w:val="24"/>
          <w:highlight w:val="none"/>
          <w:lang w:val="en-US" w:eastAsia="zh-CN"/>
        </w:rPr>
        <w:t>合同签订后支付合同价款的30%，</w:t>
      </w:r>
      <w:r>
        <w:rPr>
          <w:rFonts w:hint="default" w:ascii="宋体" w:hAnsi="宋体" w:eastAsia="宋体" w:cs="宋体"/>
          <w:b w:val="0"/>
          <w:bCs w:val="0"/>
          <w:color w:val="auto"/>
          <w:sz w:val="24"/>
          <w:szCs w:val="24"/>
          <w:highlight w:val="none"/>
          <w:lang w:val="en-US" w:eastAsia="zh-CN"/>
        </w:rPr>
        <w:t>安装、验收合格支付合同总金额的</w:t>
      </w:r>
      <w:r>
        <w:rPr>
          <w:rFonts w:hint="eastAsia" w:ascii="宋体" w:hAnsi="宋体" w:eastAsia="宋体" w:cs="宋体"/>
          <w:b w:val="0"/>
          <w:bCs w:val="0"/>
          <w:color w:val="auto"/>
          <w:sz w:val="24"/>
          <w:szCs w:val="24"/>
          <w:highlight w:val="none"/>
          <w:lang w:val="en-US" w:eastAsia="zh-CN"/>
        </w:rPr>
        <w:t>5</w:t>
      </w:r>
      <w:r>
        <w:rPr>
          <w:rFonts w:hint="default" w:ascii="宋体" w:hAnsi="宋体" w:eastAsia="宋体" w:cs="宋体"/>
          <w:b w:val="0"/>
          <w:bCs w:val="0"/>
          <w:color w:val="auto"/>
          <w:sz w:val="24"/>
          <w:szCs w:val="24"/>
          <w:highlight w:val="none"/>
          <w:lang w:val="en-US" w:eastAsia="zh-CN"/>
        </w:rPr>
        <w:t>0%，合同全部内容履约完成，无任何质量问题后支付合同金额的剩余</w:t>
      </w:r>
      <w:r>
        <w:rPr>
          <w:rFonts w:hint="eastAsia" w:ascii="宋体" w:hAnsi="宋体" w:eastAsia="宋体" w:cs="宋体"/>
          <w:b w:val="0"/>
          <w:bCs w:val="0"/>
          <w:color w:val="auto"/>
          <w:sz w:val="24"/>
          <w:szCs w:val="24"/>
          <w:highlight w:val="none"/>
          <w:lang w:val="en-US" w:eastAsia="zh-CN"/>
        </w:rPr>
        <w:t>2</w:t>
      </w:r>
      <w:r>
        <w:rPr>
          <w:rFonts w:hint="default" w:ascii="宋体" w:hAnsi="宋体" w:eastAsia="宋体" w:cs="宋体"/>
          <w:b w:val="0"/>
          <w:bCs w:val="0"/>
          <w:color w:val="auto"/>
          <w:sz w:val="24"/>
          <w:szCs w:val="24"/>
          <w:highlight w:val="none"/>
          <w:lang w:val="en-US" w:eastAsia="zh-CN"/>
        </w:rPr>
        <w:t>0%。</w:t>
      </w:r>
    </w:p>
    <w:p w14:paraId="79256F56">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4</w:t>
      </w:r>
      <w:r>
        <w:rPr>
          <w:rFonts w:hint="default" w:cs="宋体"/>
          <w:b w:val="0"/>
          <w:bCs w:val="0"/>
          <w:color w:val="auto"/>
          <w:sz w:val="24"/>
          <w:szCs w:val="24"/>
          <w:highlight w:val="none"/>
          <w:lang w:val="en-US" w:eastAsia="zh-CN"/>
        </w:rPr>
        <w:t>.质保期：</w:t>
      </w:r>
      <w:r>
        <w:rPr>
          <w:rFonts w:hint="eastAsia" w:cs="宋体"/>
          <w:b w:val="0"/>
          <w:bCs w:val="0"/>
          <w:color w:val="auto"/>
          <w:sz w:val="24"/>
          <w:szCs w:val="24"/>
          <w:highlight w:val="none"/>
          <w:lang w:val="en-US" w:eastAsia="zh-CN"/>
        </w:rPr>
        <w:t>3年</w:t>
      </w:r>
    </w:p>
    <w:p w14:paraId="44BF1CA1">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5.产品注册（备案）要求：产品须具备医疗器械注册证或备案证明，须提供所投产品（配件）注册证或整机注册证或备案证明；（根据所投内容提供）</w:t>
      </w:r>
    </w:p>
    <w:p w14:paraId="6BFC0869">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6.售后服务要求</w:t>
      </w:r>
    </w:p>
    <w:p w14:paraId="6F10E6C6">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eastAsia"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6.1 投标人应对所提供的货物提供不少于36个月的免费原厂维修保养服务，免费质保期内，供应商不得使用第三方维保代替原厂质保，须保证能够提供原厂级别的维保服务，包括但不限于:原厂正品备件供应、原厂软件升级服务、原厂级故障诊断技术支持。（需提供承诺函并加盖公章，格式自拟。）</w:t>
      </w:r>
    </w:p>
    <w:p w14:paraId="2EDA9F98">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6.2 开机率≥98%，仪器故障要求12小时内应答，24小时形成解决方案。</w:t>
      </w:r>
    </w:p>
    <w:p w14:paraId="5DE84348">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6.3 提供全国免费电话。</w:t>
      </w:r>
    </w:p>
    <w:p w14:paraId="0D300323">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7.其他要求：</w:t>
      </w:r>
    </w:p>
    <w:p w14:paraId="357160CB">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7.1</w:t>
      </w:r>
      <w:r>
        <w:rPr>
          <w:rFonts w:hint="eastAsia" w:ascii="宋体" w:hAnsi="宋体" w:eastAsia="宋体" w:cs="宋体"/>
          <w:b w:val="0"/>
          <w:bCs w:val="0"/>
          <w:color w:val="auto"/>
          <w:sz w:val="24"/>
          <w:szCs w:val="24"/>
          <w:highlight w:val="none"/>
          <w:lang w:val="en-US" w:eastAsia="zh-CN"/>
        </w:rPr>
        <w:t>当年生产机器，生产日期与到货日期不得超过半年。</w:t>
      </w:r>
    </w:p>
    <w:p w14:paraId="34E2A534">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default"/>
          <w:color w:val="auto"/>
          <w:highlight w:val="none"/>
          <w:lang w:val="en-US" w:eastAsia="zh-CN"/>
        </w:rPr>
      </w:pPr>
      <w:r>
        <w:rPr>
          <w:rFonts w:hint="eastAsia" w:ascii="宋体" w:hAnsi="宋体" w:cs="宋体"/>
          <w:b w:val="0"/>
          <w:bCs w:val="0"/>
          <w:color w:val="auto"/>
          <w:sz w:val="24"/>
          <w:szCs w:val="24"/>
          <w:highlight w:val="none"/>
          <w:lang w:val="en-US" w:eastAsia="zh-CN"/>
        </w:rPr>
        <w:t>7.2所有设备的接口费，均由中标单位承担。</w:t>
      </w:r>
    </w:p>
    <w:p w14:paraId="388220AA">
      <w:pPr>
        <w:pStyle w:val="3"/>
        <w:spacing w:before="0" w:after="0"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三、技术要求 </w:t>
      </w:r>
    </w:p>
    <w:tbl>
      <w:tblPr>
        <w:tblStyle w:val="22"/>
        <w:tblW w:w="91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3"/>
        <w:gridCol w:w="730"/>
        <w:gridCol w:w="6777"/>
        <w:gridCol w:w="500"/>
        <w:gridCol w:w="534"/>
      </w:tblGrid>
      <w:tr w14:paraId="4EF47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14:paraId="0BD1685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942E02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设备名称</w:t>
            </w:r>
          </w:p>
        </w:tc>
        <w:tc>
          <w:tcPr>
            <w:tcW w:w="6777" w:type="dxa"/>
            <w:tcBorders>
              <w:top w:val="single" w:color="000000" w:sz="4" w:space="0"/>
              <w:left w:val="single" w:color="000000" w:sz="4" w:space="0"/>
              <w:bottom w:val="single" w:color="000000" w:sz="4" w:space="0"/>
              <w:right w:val="single" w:color="000000" w:sz="4" w:space="0"/>
            </w:tcBorders>
            <w:noWrap w:val="0"/>
            <w:vAlign w:val="center"/>
          </w:tcPr>
          <w:p w14:paraId="0BDBF86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技术参数</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1416111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14:paraId="5A87909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数量</w:t>
            </w:r>
          </w:p>
        </w:tc>
      </w:tr>
      <w:tr w14:paraId="6D10A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03" w:type="dxa"/>
            <w:tcBorders>
              <w:top w:val="single" w:color="000000" w:sz="4" w:space="0"/>
              <w:left w:val="single" w:color="000000" w:sz="4" w:space="0"/>
              <w:bottom w:val="single" w:color="000000" w:sz="4" w:space="0"/>
              <w:right w:val="single" w:color="000000" w:sz="4" w:space="0"/>
            </w:tcBorders>
            <w:noWrap/>
            <w:vAlign w:val="center"/>
          </w:tcPr>
          <w:p w14:paraId="021D784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E30551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减重步态</w:t>
            </w:r>
          </w:p>
        </w:tc>
        <w:tc>
          <w:tcPr>
            <w:tcW w:w="6777" w:type="dxa"/>
            <w:tcBorders>
              <w:top w:val="single" w:color="000000" w:sz="4" w:space="0"/>
              <w:left w:val="single" w:color="000000" w:sz="4" w:space="0"/>
              <w:bottom w:val="single" w:color="000000" w:sz="4" w:space="0"/>
              <w:right w:val="single" w:color="000000" w:sz="4" w:space="0"/>
            </w:tcBorders>
            <w:noWrap w:val="0"/>
            <w:vAlign w:val="center"/>
          </w:tcPr>
          <w:p w14:paraId="7C7F81BB">
            <w:pPr>
              <w:pageBreakBefore w:val="0"/>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设备名称：</w:t>
            </w:r>
            <w:r>
              <w:rPr>
                <w:rFonts w:hint="eastAsia" w:ascii="宋体" w:hAnsi="宋体" w:eastAsia="宋体" w:cs="宋体"/>
                <w:color w:val="auto"/>
                <w:sz w:val="24"/>
                <w:szCs w:val="24"/>
                <w:highlight w:val="none"/>
              </w:rPr>
              <w:t>减重步态</w:t>
            </w:r>
          </w:p>
          <w:p w14:paraId="5DA6888B">
            <w:pPr>
              <w:pageBreakBefore w:val="0"/>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数量：1台</w:t>
            </w:r>
          </w:p>
          <w:p w14:paraId="4001A343">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适用范围</w:t>
            </w:r>
            <w:r>
              <w:rPr>
                <w:rFonts w:hint="eastAsia" w:ascii="宋体" w:hAnsi="宋体" w:eastAsia="宋体" w:cs="宋体"/>
                <w:color w:val="auto"/>
                <w:sz w:val="24"/>
                <w:szCs w:val="24"/>
                <w:highlight w:val="none"/>
                <w:lang w:eastAsia="zh-CN"/>
              </w:rPr>
              <w:t>：</w:t>
            </w:r>
          </w:p>
          <w:p w14:paraId="65CC81DD">
            <w:pPr>
              <w:pageBreakBefore w:val="0"/>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适用于步行能力障碍患者的辅助训练。</w:t>
            </w:r>
          </w:p>
          <w:p w14:paraId="6E9E1970">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14:paraId="67B2B11F">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2、输入功率：</w:t>
            </w:r>
            <w:r>
              <w:rPr>
                <w:rFonts w:hint="eastAsia" w:ascii="宋体" w:hAnsi="宋体" w:eastAsia="宋体" w:cs="宋体"/>
                <w:color w:val="auto"/>
                <w:sz w:val="24"/>
                <w:szCs w:val="24"/>
                <w:highlight w:val="none"/>
                <w:lang w:val="en-US" w:eastAsia="zh-CN"/>
              </w:rPr>
              <w:t>约</w:t>
            </w:r>
            <w:r>
              <w:rPr>
                <w:rFonts w:hint="eastAsia" w:ascii="宋体" w:hAnsi="宋体" w:eastAsia="宋体" w:cs="宋体"/>
                <w:color w:val="auto"/>
                <w:sz w:val="24"/>
                <w:szCs w:val="24"/>
                <w:highlight w:val="none"/>
              </w:rPr>
              <w:t>50VA</w:t>
            </w:r>
            <w:r>
              <w:rPr>
                <w:rFonts w:hint="eastAsia" w:cs="宋体"/>
                <w:color w:val="auto"/>
                <w:sz w:val="24"/>
                <w:szCs w:val="24"/>
                <w:highlight w:val="none"/>
                <w:lang w:eastAsia="zh-CN"/>
              </w:rPr>
              <w:t>。</w:t>
            </w:r>
          </w:p>
          <w:p w14:paraId="1E1648FA">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3、规格(mm)</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：1260×1150×2130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eastAsia="zh-CN"/>
              </w:rPr>
              <w:t>。</w:t>
            </w:r>
          </w:p>
          <w:p w14:paraId="312120DC">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4、净重：</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kg</w:t>
            </w:r>
            <w:r>
              <w:rPr>
                <w:rFonts w:hint="eastAsia" w:cs="宋体"/>
                <w:color w:val="auto"/>
                <w:sz w:val="24"/>
                <w:szCs w:val="24"/>
                <w:highlight w:val="none"/>
                <w:lang w:eastAsia="zh-CN"/>
              </w:rPr>
              <w:t>。</w:t>
            </w:r>
          </w:p>
          <w:p w14:paraId="07EF1998">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5、控制方式：电动控制</w:t>
            </w:r>
            <w:r>
              <w:rPr>
                <w:rFonts w:hint="eastAsia" w:cs="宋体"/>
                <w:color w:val="auto"/>
                <w:sz w:val="24"/>
                <w:szCs w:val="24"/>
                <w:highlight w:val="none"/>
                <w:lang w:eastAsia="zh-CN"/>
              </w:rPr>
              <w:t>。</w:t>
            </w:r>
          </w:p>
          <w:p w14:paraId="426CDA92">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6、立柱升降调节范围（mm）：0～300</w:t>
            </w:r>
            <w:r>
              <w:rPr>
                <w:rFonts w:hint="eastAsia" w:cs="宋体"/>
                <w:color w:val="auto"/>
                <w:sz w:val="24"/>
                <w:szCs w:val="24"/>
                <w:highlight w:val="none"/>
                <w:lang w:eastAsia="zh-CN"/>
              </w:rPr>
              <w:t>。</w:t>
            </w:r>
          </w:p>
          <w:p w14:paraId="4C4E0725">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7、扶手高度调节范围(mm)：0～330</w:t>
            </w:r>
            <w:r>
              <w:rPr>
                <w:rFonts w:hint="eastAsia" w:cs="宋体"/>
                <w:color w:val="auto"/>
                <w:sz w:val="24"/>
                <w:szCs w:val="24"/>
                <w:highlight w:val="none"/>
                <w:lang w:eastAsia="zh-CN"/>
              </w:rPr>
              <w:t>。</w:t>
            </w:r>
          </w:p>
          <w:p w14:paraId="339BF853">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8、减重力量显示范围：0～990N</w:t>
            </w:r>
            <w:r>
              <w:rPr>
                <w:rFonts w:hint="eastAsia" w:cs="宋体"/>
                <w:color w:val="auto"/>
                <w:sz w:val="24"/>
                <w:szCs w:val="24"/>
                <w:highlight w:val="none"/>
                <w:lang w:eastAsia="zh-CN"/>
              </w:rPr>
              <w:t>。</w:t>
            </w:r>
          </w:p>
          <w:p w14:paraId="07C2AE14">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9、电动点控操作吊带</w:t>
            </w:r>
            <w:r>
              <w:rPr>
                <w:rFonts w:hint="eastAsia" w:ascii="宋体" w:hAnsi="宋体" w:eastAsia="宋体" w:cs="宋体"/>
                <w:color w:val="auto"/>
                <w:sz w:val="24"/>
                <w:szCs w:val="24"/>
                <w:highlight w:val="none"/>
                <w:lang w:val="en-US" w:eastAsia="zh-CN"/>
              </w:rPr>
              <w:t>升降</w:t>
            </w:r>
            <w:r>
              <w:rPr>
                <w:rFonts w:hint="eastAsia" w:ascii="宋体" w:hAnsi="宋体" w:eastAsia="宋体" w:cs="宋体"/>
                <w:color w:val="auto"/>
                <w:sz w:val="24"/>
                <w:szCs w:val="24"/>
                <w:highlight w:val="none"/>
              </w:rPr>
              <w:t>范围</w:t>
            </w:r>
            <w:r>
              <w:rPr>
                <w:rFonts w:hint="eastAsia" w:cs="宋体"/>
                <w:color w:val="auto"/>
                <w:sz w:val="24"/>
                <w:szCs w:val="24"/>
                <w:highlight w:val="none"/>
                <w:lang w:eastAsia="zh-CN"/>
              </w:rPr>
              <w:t>。</w:t>
            </w:r>
          </w:p>
          <w:p w14:paraId="64C9C2FA">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10、UPS</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根据院方需求配置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00F64082">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rPr>
              <w:t>保持身体平衡或支撑身体的海绵扶手。</w:t>
            </w:r>
          </w:p>
          <w:p w14:paraId="456CEBE6">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12、立柱升降可调节；进行步态训练；随着下肢承重及步行能力增强，可同步调整升降立柱的高度支持自身体重进行步态训练。</w:t>
            </w:r>
          </w:p>
          <w:p w14:paraId="58490499">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rPr>
              <w:t>带刹</w:t>
            </w:r>
            <w:r>
              <w:rPr>
                <w:rFonts w:hint="eastAsia" w:ascii="宋体" w:hAnsi="宋体" w:eastAsia="宋体" w:cs="宋体"/>
                <w:color w:val="auto"/>
                <w:sz w:val="24"/>
                <w:szCs w:val="24"/>
                <w:highlight w:val="none"/>
                <w:lang w:val="en-US" w:eastAsia="zh-CN"/>
              </w:rPr>
              <w:t>车</w:t>
            </w:r>
            <w:r>
              <w:rPr>
                <w:rFonts w:hint="eastAsia" w:ascii="宋体" w:hAnsi="宋体" w:eastAsia="宋体" w:cs="宋体"/>
                <w:color w:val="auto"/>
                <w:sz w:val="24"/>
                <w:szCs w:val="24"/>
                <w:highlight w:val="none"/>
              </w:rPr>
              <w:t>橡胶脚轮。</w:t>
            </w:r>
          </w:p>
          <w:p w14:paraId="07B6A58E">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rPr>
              <w:t>指示灯显示负重重量。</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10EAD09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14:paraId="6E72906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078AC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03" w:type="dxa"/>
            <w:tcBorders>
              <w:top w:val="single" w:color="000000" w:sz="4" w:space="0"/>
              <w:left w:val="single" w:color="000000" w:sz="4" w:space="0"/>
              <w:bottom w:val="single" w:color="000000" w:sz="4" w:space="0"/>
              <w:right w:val="single" w:color="000000" w:sz="4" w:space="0"/>
            </w:tcBorders>
            <w:noWrap/>
            <w:vAlign w:val="center"/>
          </w:tcPr>
          <w:p w14:paraId="388EC98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0A6358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低频电刺激仪</w:t>
            </w:r>
          </w:p>
        </w:tc>
        <w:tc>
          <w:tcPr>
            <w:tcW w:w="6777" w:type="dxa"/>
            <w:tcBorders>
              <w:top w:val="single" w:color="000000" w:sz="4" w:space="0"/>
              <w:left w:val="single" w:color="000000" w:sz="4" w:space="0"/>
              <w:bottom w:val="single" w:color="000000" w:sz="4" w:space="0"/>
              <w:right w:val="single" w:color="000000" w:sz="4" w:space="0"/>
            </w:tcBorders>
            <w:noWrap w:val="0"/>
            <w:vAlign w:val="center"/>
          </w:tcPr>
          <w:p w14:paraId="4FC6B446">
            <w:pPr>
              <w:pageBreakBefore w:val="0"/>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设备名称：</w:t>
            </w:r>
            <w:r>
              <w:rPr>
                <w:rFonts w:hint="eastAsia" w:ascii="宋体" w:hAnsi="宋体" w:eastAsia="宋体" w:cs="宋体"/>
                <w:color w:val="auto"/>
                <w:sz w:val="24"/>
                <w:szCs w:val="24"/>
                <w:highlight w:val="none"/>
              </w:rPr>
              <w:t>低频电刺激仪</w:t>
            </w:r>
          </w:p>
          <w:p w14:paraId="2D43BC80">
            <w:pPr>
              <w:pageBreakBefore w:val="0"/>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数量：2台</w:t>
            </w:r>
          </w:p>
          <w:p w14:paraId="117558B8">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适用范围</w:t>
            </w:r>
            <w:r>
              <w:rPr>
                <w:rFonts w:hint="eastAsia" w:ascii="宋体" w:hAnsi="宋体" w:eastAsia="宋体" w:cs="宋体"/>
                <w:color w:val="auto"/>
                <w:sz w:val="24"/>
                <w:szCs w:val="24"/>
                <w:highlight w:val="none"/>
                <w:lang w:eastAsia="zh-CN"/>
              </w:rPr>
              <w:t>：</w:t>
            </w:r>
          </w:p>
          <w:p w14:paraId="34849802">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用于脑血管病导致的偏瘫、脊髓损伤、周围神经损伤的辅助治疗。</w:t>
            </w:r>
          </w:p>
          <w:p w14:paraId="39C9E374">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14:paraId="08AEFA75">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1、输入功率：300VA</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±20VA</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753C8644">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2、外形尺寸（长宽高）：520×450×1000mm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031EB203">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12英寸液晶触摸屏。</w:t>
            </w:r>
          </w:p>
          <w:p w14:paraId="315EED85">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4、输出通道：</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通道脉冲输出（每个通道分两路输出）。</w:t>
            </w:r>
          </w:p>
          <w:p w14:paraId="1D96B91C">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5、输出波形：双向不对称方波。</w:t>
            </w:r>
          </w:p>
          <w:p w14:paraId="6B217809">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6、单个脉冲能量：</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300mJ。</w:t>
            </w:r>
          </w:p>
          <w:p w14:paraId="397375A3">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7、输出脉冲频率范围：0Hz～300Hz可调。</w:t>
            </w:r>
          </w:p>
          <w:p w14:paraId="3312D1CA">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8、输出脉冲宽度：0.1～10ms。</w:t>
            </w:r>
          </w:p>
          <w:p w14:paraId="55DE503C">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9、500Ω的负载电阻下，幅值</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50V。</w:t>
            </w:r>
          </w:p>
          <w:p w14:paraId="74D91031">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10、治疗时间：0～99min可调，治疗时间结束</w:t>
            </w: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rPr>
              <w:t>提示声，并停止输出。</w:t>
            </w:r>
          </w:p>
          <w:p w14:paraId="66E95937">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11、吸附负压范围：0～-40kPa可调。</w:t>
            </w:r>
          </w:p>
          <w:p w14:paraId="5CBC9D6D">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12、输出模式：</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6个自动程序、</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5个部位模式、</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3个固定频率模式。</w:t>
            </w:r>
          </w:p>
          <w:p w14:paraId="177DB348">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13、储水盒具有液位检测报警功能。</w:t>
            </w:r>
          </w:p>
          <w:p w14:paraId="6FF6647E">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rPr>
              <w:t>14、具有吸附海绵预加热功能。</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779E7D2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14:paraId="243A0CA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r>
      <w:tr w14:paraId="08288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03" w:type="dxa"/>
            <w:tcBorders>
              <w:top w:val="single" w:color="000000" w:sz="4" w:space="0"/>
              <w:left w:val="single" w:color="000000" w:sz="4" w:space="0"/>
              <w:bottom w:val="single" w:color="000000" w:sz="4" w:space="0"/>
              <w:right w:val="single" w:color="000000" w:sz="4" w:space="0"/>
            </w:tcBorders>
            <w:noWrap/>
            <w:vAlign w:val="center"/>
          </w:tcPr>
          <w:p w14:paraId="259CD64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3</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28C2E9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电动起立床</w:t>
            </w:r>
          </w:p>
        </w:tc>
        <w:tc>
          <w:tcPr>
            <w:tcW w:w="6777" w:type="dxa"/>
            <w:tcBorders>
              <w:top w:val="single" w:color="000000" w:sz="4" w:space="0"/>
              <w:left w:val="single" w:color="000000" w:sz="4" w:space="0"/>
              <w:bottom w:val="single" w:color="000000" w:sz="4" w:space="0"/>
              <w:right w:val="single" w:color="000000" w:sz="4" w:space="0"/>
            </w:tcBorders>
            <w:noWrap w:val="0"/>
            <w:vAlign w:val="center"/>
          </w:tcPr>
          <w:p w14:paraId="5E5AB1A4">
            <w:pPr>
              <w:pageBreakBefore w:val="0"/>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设备名称：</w:t>
            </w:r>
            <w:r>
              <w:rPr>
                <w:rFonts w:hint="eastAsia" w:ascii="宋体" w:hAnsi="宋体" w:eastAsia="宋体" w:cs="宋体"/>
                <w:color w:val="auto"/>
                <w:sz w:val="24"/>
                <w:szCs w:val="24"/>
                <w:highlight w:val="none"/>
              </w:rPr>
              <w:t>电动起立床</w:t>
            </w:r>
          </w:p>
          <w:p w14:paraId="2C64E689">
            <w:pPr>
              <w:pageBreakBefore w:val="0"/>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数量：2台</w:t>
            </w:r>
          </w:p>
          <w:p w14:paraId="2A926F8B">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适用范围</w:t>
            </w:r>
            <w:r>
              <w:rPr>
                <w:rFonts w:hint="eastAsia" w:ascii="宋体" w:hAnsi="宋体" w:eastAsia="宋体" w:cs="宋体"/>
                <w:color w:val="auto"/>
                <w:sz w:val="24"/>
                <w:szCs w:val="24"/>
                <w:highlight w:val="none"/>
                <w:lang w:eastAsia="zh-CN"/>
              </w:rPr>
              <w:t>：</w:t>
            </w:r>
          </w:p>
          <w:p w14:paraId="77BD5D61">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i w:val="0"/>
                <w:iCs w:val="0"/>
                <w:color w:val="000000"/>
                <w:sz w:val="20"/>
                <w:szCs w:val="20"/>
                <w:u w:val="none"/>
              </w:rPr>
              <w:t>▲</w:t>
            </w:r>
            <w:r>
              <w:rPr>
                <w:rFonts w:hint="eastAsia" w:ascii="宋体" w:hAnsi="宋体" w:eastAsia="宋体" w:cs="宋体"/>
                <w:color w:val="auto"/>
                <w:sz w:val="24"/>
                <w:szCs w:val="24"/>
                <w:highlight w:val="none"/>
              </w:rPr>
              <w:t>适用于脑外伤、脑卒中等引起的下肢功能障碍患者康复站立辅助训练。</w:t>
            </w:r>
          </w:p>
          <w:p w14:paraId="08B3E096">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14:paraId="72D07A8B">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2、额定功率：2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0VA</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±10VA</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4716623">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3、安全载荷：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1700N。</w:t>
            </w:r>
          </w:p>
          <w:p w14:paraId="1EDF4706">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4、外形尺寸（长宽高）：2120×980×960mm，±50mm。</w:t>
            </w:r>
          </w:p>
          <w:p w14:paraId="78725B96">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脚踏板尺寸（长宽）：451×358mm，±20mm。</w:t>
            </w:r>
          </w:p>
          <w:p w14:paraId="664CDDA7">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5、床体升降行程：530～790mm连续可调。</w:t>
            </w:r>
          </w:p>
          <w:p w14:paraId="3FEA55AE">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6、背部起落连续可调：0°～70°。</w:t>
            </w:r>
          </w:p>
          <w:p w14:paraId="1B5BBCFF">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7、腿部屈伸连续可调：0°～28°。</w:t>
            </w:r>
          </w:p>
          <w:p w14:paraId="66A8DE54">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8、床体纵向后倾角度：0°～12°连续可调。</w:t>
            </w:r>
          </w:p>
          <w:p w14:paraId="29550F2D">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9、直立角度：0°～75°连续可调。</w:t>
            </w:r>
          </w:p>
          <w:p w14:paraId="3AAF8594">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10、电动推杆推力</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10000N。</w:t>
            </w:r>
          </w:p>
          <w:p w14:paraId="4DAADFFC">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11、负载速度：上升负载速度</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5mm/s，下降负载速度</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6/s。</w:t>
            </w:r>
          </w:p>
          <w:p w14:paraId="40FDBCF5">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rPr>
              <w:t>电动推杆。</w:t>
            </w:r>
          </w:p>
          <w:p w14:paraId="7600EB08">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可</w:t>
            </w:r>
            <w:r>
              <w:rPr>
                <w:rFonts w:hint="eastAsia" w:ascii="宋体" w:hAnsi="宋体" w:eastAsia="宋体" w:cs="宋体"/>
                <w:color w:val="auto"/>
                <w:sz w:val="24"/>
                <w:szCs w:val="24"/>
                <w:highlight w:val="none"/>
                <w:lang w:val="en-US" w:eastAsia="zh-CN"/>
              </w:rPr>
              <w:t>做</w:t>
            </w:r>
            <w:r>
              <w:rPr>
                <w:rFonts w:hint="eastAsia" w:ascii="宋体" w:hAnsi="宋体" w:eastAsia="宋体" w:cs="宋体"/>
                <w:color w:val="auto"/>
                <w:sz w:val="24"/>
                <w:szCs w:val="24"/>
                <w:highlight w:val="none"/>
              </w:rPr>
              <w:t>病床，也可用于下肢功能障碍辅助训练。</w:t>
            </w:r>
          </w:p>
          <w:p w14:paraId="333BC4CC">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15、配足底踏板。</w:t>
            </w:r>
          </w:p>
          <w:p w14:paraId="669FFECF">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16、配四角静音轮。</w:t>
            </w:r>
          </w:p>
          <w:p w14:paraId="57CE36EC">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17、床体两侧配有可折叠护栏。</w:t>
            </w:r>
          </w:p>
          <w:p w14:paraId="3CE1F41E">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18、电机数量</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5个。</w:t>
            </w:r>
          </w:p>
          <w:p w14:paraId="6385BBF0">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19、手柄实时显示床身角度并具有语音反馈功能。</w:t>
            </w:r>
          </w:p>
          <w:p w14:paraId="344F7620">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rPr>
              <w:t>20、具备一键垂头仰卧位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直立位、背膝联动位</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6214AD0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14:paraId="43CA16D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r>
      <w:tr w14:paraId="2B5CA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03" w:type="dxa"/>
            <w:tcBorders>
              <w:top w:val="single" w:color="000000" w:sz="4" w:space="0"/>
              <w:left w:val="single" w:color="000000" w:sz="4" w:space="0"/>
              <w:bottom w:val="single" w:color="000000" w:sz="4" w:space="0"/>
              <w:right w:val="single" w:color="000000" w:sz="4" w:space="0"/>
            </w:tcBorders>
            <w:noWrap/>
            <w:vAlign w:val="center"/>
          </w:tcPr>
          <w:p w14:paraId="2A042D8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4</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4DA060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电子生物反馈仪</w:t>
            </w:r>
          </w:p>
        </w:tc>
        <w:tc>
          <w:tcPr>
            <w:tcW w:w="6777" w:type="dxa"/>
            <w:tcBorders>
              <w:top w:val="single" w:color="000000" w:sz="4" w:space="0"/>
              <w:left w:val="single" w:color="000000" w:sz="4" w:space="0"/>
              <w:bottom w:val="single" w:color="000000" w:sz="4" w:space="0"/>
              <w:right w:val="single" w:color="000000" w:sz="4" w:space="0"/>
            </w:tcBorders>
            <w:noWrap w:val="0"/>
            <w:vAlign w:val="center"/>
          </w:tcPr>
          <w:p w14:paraId="00BD98B7">
            <w:pPr>
              <w:pageBreakBefore w:val="0"/>
              <w:kinsoku/>
              <w:wordWrap/>
              <w:overflowPunct/>
              <w:topLinePunct w:val="0"/>
              <w:autoSpaceDE/>
              <w:autoSpaceDN/>
              <w:bidi w:val="0"/>
              <w:adjustRightInd w:val="0"/>
              <w:snapToGrid w:val="0"/>
              <w:spacing w:line="24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设备名称：</w:t>
            </w:r>
            <w:r>
              <w:rPr>
                <w:rFonts w:hint="eastAsia" w:ascii="宋体" w:hAnsi="宋体" w:eastAsia="宋体" w:cs="宋体"/>
                <w:color w:val="auto"/>
                <w:sz w:val="24"/>
                <w:szCs w:val="24"/>
                <w:highlight w:val="none"/>
              </w:rPr>
              <w:t>电子生物反馈治疗仪</w:t>
            </w:r>
          </w:p>
          <w:p w14:paraId="106915F0">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数量：1台</w:t>
            </w:r>
          </w:p>
          <w:p w14:paraId="0CE71212">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适用范围</w:t>
            </w:r>
            <w:r>
              <w:rPr>
                <w:rFonts w:hint="eastAsia" w:ascii="宋体" w:hAnsi="宋体" w:eastAsia="宋体" w:cs="宋体"/>
                <w:color w:val="auto"/>
                <w:sz w:val="24"/>
                <w:szCs w:val="24"/>
                <w:highlight w:val="none"/>
                <w:lang w:eastAsia="zh-CN"/>
              </w:rPr>
              <w:t>：</w:t>
            </w:r>
          </w:p>
          <w:p w14:paraId="67CC90BD">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对患者的体表肌电信号进行采集、分析和生物反馈训练，对患者的肌肉施加电刺激来恢复患者的肌肉功能障碍。</w:t>
            </w:r>
          </w:p>
          <w:p w14:paraId="0E0DF180">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14:paraId="4553E9E5">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2、通道：</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4路独立通道，均具备采集和刺激功能，可同时治疗</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4个患者。</w:t>
            </w:r>
          </w:p>
          <w:p w14:paraId="7D0C969C">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10英寸液晶触摸屏，</w:t>
            </w: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rPr>
              <w:t>外置电流调节旋钮。</w:t>
            </w:r>
          </w:p>
          <w:p w14:paraId="3E48F300">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4、输出波形：双向对称波。</w:t>
            </w:r>
          </w:p>
          <w:p w14:paraId="7404C3E0">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5、反馈阈值：10～1000μV。</w:t>
            </w:r>
          </w:p>
          <w:p w14:paraId="1150B57D">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6、分辨率(测量灵敏度)：≤2μV。</w:t>
            </w:r>
          </w:p>
          <w:p w14:paraId="4EE326BB">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7、通频带20Hz～500Hz(-3dB)。</w:t>
            </w:r>
          </w:p>
          <w:p w14:paraId="699BC5C4">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8、AD采样率：≥819</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Hz，AD采样位数：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16位。</w:t>
            </w:r>
          </w:p>
          <w:p w14:paraId="62D9D578">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9、系统噪声：≤1μV。</w:t>
            </w:r>
          </w:p>
          <w:p w14:paraId="335825A5">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10、差模输入阻抗：</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5MΩ。</w:t>
            </w:r>
          </w:p>
          <w:p w14:paraId="6C34D520">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11、共模抑制比：</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100dB。</w:t>
            </w:r>
          </w:p>
          <w:p w14:paraId="2F409FA6">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12、频率：0.5Hz、1Hz～999Hz</w:t>
            </w:r>
            <w:r>
              <w:rPr>
                <w:rFonts w:hint="eastAsia" w:ascii="宋体" w:hAnsi="宋体" w:eastAsia="宋体" w:cs="宋体"/>
                <w:color w:val="auto"/>
                <w:sz w:val="24"/>
                <w:szCs w:val="24"/>
                <w:highlight w:val="none"/>
                <w:lang w:val="en-US" w:eastAsia="zh-CN"/>
              </w:rPr>
              <w:t>可调</w:t>
            </w:r>
            <w:r>
              <w:rPr>
                <w:rFonts w:hint="eastAsia" w:ascii="宋体" w:hAnsi="宋体" w:eastAsia="宋体" w:cs="宋体"/>
                <w:color w:val="auto"/>
                <w:sz w:val="24"/>
                <w:szCs w:val="24"/>
                <w:highlight w:val="none"/>
              </w:rPr>
              <w:t>。</w:t>
            </w:r>
          </w:p>
          <w:p w14:paraId="53829784">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13、脉宽：20μs～1000μs可调。</w:t>
            </w:r>
          </w:p>
          <w:p w14:paraId="1B1BF0D8">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14、输出强度：1mA～100mA可调。</w:t>
            </w:r>
          </w:p>
          <w:p w14:paraId="03BCC229">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15、输出波升、波降时间：0s～10s可调。</w:t>
            </w:r>
          </w:p>
          <w:p w14:paraId="1346BE54">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16、输出刺激时间：1s～20s可调。输出休息时间：0s～20s可调。</w:t>
            </w:r>
          </w:p>
          <w:p w14:paraId="22C6FCF2">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17、具备表面肌电评估功能，包括静息肌张力、主动收缩的肌力测试，包括最大值、最小值、平均值指标</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，可以量化评定肢体主要运动肌肉的肌力肌张力状态。</w:t>
            </w:r>
          </w:p>
          <w:p w14:paraId="329C4995">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18、具备神经肌肉电刺激功能，。</w:t>
            </w:r>
          </w:p>
          <w:p w14:paraId="507C5016">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19、具备肌电触发电刺激功能，可采集并量化表面肌电信号。</w:t>
            </w:r>
          </w:p>
          <w:p w14:paraId="783FC823">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20、具有对侧控制型功能电刺激功能：以健侧肌电信号控制患侧进行对称性运动，提供双侧的皮质驱动,重塑中枢。</w:t>
            </w:r>
          </w:p>
          <w:p w14:paraId="2D37A9BB">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21、具备表面肌电评估、神经肌肉电刺激、肌电触发电刺激、镜像刺激、多媒体训练</w:t>
            </w:r>
            <w:r>
              <w:rPr>
                <w:rFonts w:hint="eastAsia" w:ascii="宋体" w:hAnsi="宋体" w:eastAsia="宋体" w:cs="宋体"/>
                <w:color w:val="auto"/>
                <w:sz w:val="24"/>
                <w:szCs w:val="24"/>
                <w:highlight w:val="none"/>
                <w:lang w:val="en-US" w:eastAsia="zh-CN"/>
              </w:rPr>
              <w:t>等多</w:t>
            </w:r>
            <w:r>
              <w:rPr>
                <w:rFonts w:hint="eastAsia" w:ascii="宋体" w:hAnsi="宋体" w:eastAsia="宋体" w:cs="宋体"/>
                <w:color w:val="auto"/>
                <w:sz w:val="24"/>
                <w:szCs w:val="24"/>
                <w:highlight w:val="none"/>
              </w:rPr>
              <w:t>种工作模式。</w:t>
            </w:r>
          </w:p>
          <w:p w14:paraId="353B079F">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22、治疗处方：</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种治疗方案、</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2种多媒体训练游戏。</w:t>
            </w:r>
          </w:p>
          <w:p w14:paraId="79CF9833">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23、可自定义临床方案刺激时间、休息时间、波升时间、波降时间、刺激频率、脉宽</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w:t>
            </w:r>
          </w:p>
          <w:p w14:paraId="3AEF4EDE">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24、神经肌肉电刺激方案可实现多人，多通道，多方案。</w:t>
            </w:r>
          </w:p>
          <w:p w14:paraId="33ED0ECE">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25、评估和训练过程具有语音提示。</w:t>
            </w:r>
          </w:p>
          <w:p w14:paraId="207BA618">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26、多媒体生物反馈式神经功能重建治疗技术，可以进行肌力、协调、耐力、放松、精准生物反馈训练。</w:t>
            </w:r>
          </w:p>
          <w:p w14:paraId="18775945">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27、程序具有病历管理功能。</w:t>
            </w:r>
          </w:p>
          <w:p w14:paraId="7FEEA629">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28、具备电极脱落检测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报警</w:t>
            </w:r>
            <w:r>
              <w:rPr>
                <w:rFonts w:hint="eastAsia" w:ascii="宋体" w:hAnsi="宋体" w:eastAsia="宋体" w:cs="宋体"/>
                <w:color w:val="auto"/>
                <w:sz w:val="24"/>
                <w:szCs w:val="24"/>
                <w:highlight w:val="none"/>
              </w:rPr>
              <w:t>功能。</w:t>
            </w:r>
          </w:p>
          <w:p w14:paraId="1D3CD356">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lang w:val="en-US" w:eastAsia="zh-CN"/>
              </w:rPr>
              <w:t>具备交、直流</w:t>
            </w:r>
            <w:r>
              <w:rPr>
                <w:rFonts w:hint="eastAsia" w:ascii="宋体" w:hAnsi="宋体" w:eastAsia="宋体" w:cs="宋体"/>
                <w:color w:val="auto"/>
                <w:sz w:val="24"/>
                <w:szCs w:val="24"/>
                <w:highlight w:val="none"/>
              </w:rPr>
              <w:t>两种方式。</w:t>
            </w:r>
          </w:p>
          <w:p w14:paraId="18E341C6">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rPr>
              <w:t>30、主机具有开路报警和低电量报警提示功能。</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25DDD39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14:paraId="5759143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3FFA1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03" w:type="dxa"/>
            <w:tcBorders>
              <w:top w:val="single" w:color="000000" w:sz="4" w:space="0"/>
              <w:left w:val="single" w:color="000000" w:sz="4" w:space="0"/>
              <w:bottom w:val="single" w:color="000000" w:sz="4" w:space="0"/>
              <w:right w:val="single" w:color="000000" w:sz="4" w:space="0"/>
            </w:tcBorders>
            <w:noWrap/>
            <w:vAlign w:val="center"/>
          </w:tcPr>
          <w:p w14:paraId="647818D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5</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3FD5A6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脉诊仪</w:t>
            </w:r>
          </w:p>
        </w:tc>
        <w:tc>
          <w:tcPr>
            <w:tcW w:w="6777" w:type="dxa"/>
            <w:tcBorders>
              <w:top w:val="single" w:color="000000" w:sz="4" w:space="0"/>
              <w:left w:val="single" w:color="000000" w:sz="4" w:space="0"/>
              <w:bottom w:val="single" w:color="000000" w:sz="4" w:space="0"/>
              <w:right w:val="single" w:color="000000" w:sz="4" w:space="0"/>
            </w:tcBorders>
            <w:noWrap w:val="0"/>
            <w:vAlign w:val="center"/>
          </w:tcPr>
          <w:p w14:paraId="45DFB77D">
            <w:pPr>
              <w:pageBreakBefore w:val="0"/>
              <w:kinsoku/>
              <w:wordWrap/>
              <w:overflowPunct/>
              <w:topLinePunct w:val="0"/>
              <w:autoSpaceDE/>
              <w:autoSpaceDN/>
              <w:bidi w:val="0"/>
              <w:adjustRightInd w:val="0"/>
              <w:snapToGrid w:val="0"/>
              <w:spacing w:line="24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设备名称：</w:t>
            </w:r>
            <w:r>
              <w:rPr>
                <w:rFonts w:hint="eastAsia" w:ascii="宋体" w:hAnsi="宋体" w:eastAsia="宋体" w:cs="宋体"/>
                <w:color w:val="auto"/>
                <w:sz w:val="24"/>
                <w:szCs w:val="24"/>
                <w:highlight w:val="none"/>
              </w:rPr>
              <w:t>脉诊仪</w:t>
            </w:r>
          </w:p>
          <w:p w14:paraId="3CDD8807">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数量：43台</w:t>
            </w:r>
          </w:p>
          <w:p w14:paraId="0BA7717F">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14:paraId="7026935D">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1.最大外加力学量</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45kPa。</w:t>
            </w:r>
          </w:p>
          <w:p w14:paraId="7AE5436B">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2.可设定外加力学量。</w:t>
            </w:r>
          </w:p>
          <w:p w14:paraId="5EA87FF1">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3.脉压显示值允许误差</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±5%。</w:t>
            </w:r>
          </w:p>
          <w:p w14:paraId="1DA147D5">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4.腕带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传感器</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体式结构。</w:t>
            </w:r>
          </w:p>
          <w:p w14:paraId="65BE135C">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5.可在任意状态下解除传感器与患者之间的接。</w:t>
            </w:r>
          </w:p>
          <w:p w14:paraId="4EA827C5">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6.传感器效表面与脉管垂直尺寸20 mm-30 mm。</w:t>
            </w:r>
          </w:p>
          <w:p w14:paraId="5F126148">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7.工作噪声≤50dB(A)。</w:t>
            </w:r>
          </w:p>
          <w:p w14:paraId="6D47F3BD">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8.传感器具有过载保护功能，脉象采集传感器触力面可承受：≥5kg过载。</w:t>
            </w:r>
          </w:p>
          <w:p w14:paraId="7151EEA4">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9.单个腕带配</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3组传感器，可同时获取寸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尺部脉图。</w:t>
            </w:r>
          </w:p>
          <w:p w14:paraId="43AC85E5">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10.脉诊模块可在报告中输出脉象要素分析结果，⾄少包含脉位偏差分析图、脉率偏差分析图、脉形要素分析图</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w:t>
            </w:r>
          </w:p>
          <w:p w14:paraId="5B816A8A">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11.可根据左右手寸关尺的脉象要素特征结果，自动给出整体脉象特征结论。</w:t>
            </w:r>
          </w:p>
          <w:p w14:paraId="413189AD">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12.脉诊模块可在报告中输出脉象参数量化表，应包含脉率、节律、脉⼒、紧张度、流利度</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，提供脉象可量化数据。</w:t>
            </w:r>
          </w:p>
          <w:p w14:paraId="0270623C">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13.脉象参数量化表各参数参考范围</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标识。</w:t>
            </w:r>
          </w:p>
          <w:p w14:paraId="37B9D1FE">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14.可通过问诊模块人机交互信息，软件自动分析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通过图</w:t>
            </w:r>
            <w:r>
              <w:rPr>
                <w:rFonts w:hint="eastAsia" w:ascii="宋体" w:hAnsi="宋体" w:eastAsia="宋体" w:cs="宋体"/>
                <w:color w:val="auto"/>
                <w:sz w:val="24"/>
                <w:szCs w:val="24"/>
                <w:highlight w:val="none"/>
                <w:lang w:val="en-US" w:eastAsia="zh-CN"/>
              </w:rPr>
              <w:t>表</w:t>
            </w:r>
            <w:r>
              <w:rPr>
                <w:rFonts w:hint="eastAsia" w:ascii="宋体" w:hAnsi="宋体" w:eastAsia="宋体" w:cs="宋体"/>
                <w:color w:val="auto"/>
                <w:sz w:val="24"/>
                <w:szCs w:val="24"/>
                <w:highlight w:val="none"/>
              </w:rPr>
              <w:t>方式展示体质得分。</w:t>
            </w:r>
          </w:p>
          <w:p w14:paraId="0E9C77FC">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15.可结合体质类型，解读相关体质特征，包括：成因解读，常见症状，性格倾向以及易发病症。</w:t>
            </w:r>
          </w:p>
          <w:p w14:paraId="5984409E">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16.提供体质养生方案：包含季节调理、膳食养生、运动调理以及相对应的呼吸方法和意念活动。</w:t>
            </w:r>
          </w:p>
          <w:p w14:paraId="1BB4DF81">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17.舌、面、脉、问各采集步骤可选择跳过。</w:t>
            </w:r>
          </w:p>
          <w:p w14:paraId="65F0B962">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18提供脏腑辨识结果分析。</w:t>
            </w:r>
          </w:p>
          <w:p w14:paraId="0F0EF322">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表</w:t>
            </w:r>
            <w:r>
              <w:rPr>
                <w:rFonts w:hint="eastAsia" w:ascii="宋体" w:hAnsi="宋体" w:eastAsia="宋体" w:cs="宋体"/>
                <w:color w:val="auto"/>
                <w:sz w:val="24"/>
                <w:szCs w:val="24"/>
                <w:highlight w:val="none"/>
              </w:rPr>
              <w:t>方式显示经络的寒热虚实状态。</w:t>
            </w:r>
          </w:p>
          <w:p w14:paraId="1A30C3DF">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rPr>
              <w:t>20.可自动输出中医经络辨识结果及调养原则。</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5CFEC5A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14:paraId="61F58BE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43</w:t>
            </w:r>
          </w:p>
        </w:tc>
      </w:tr>
      <w:tr w14:paraId="44370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03" w:type="dxa"/>
            <w:tcBorders>
              <w:top w:val="single" w:color="000000" w:sz="4" w:space="0"/>
              <w:left w:val="single" w:color="000000" w:sz="4" w:space="0"/>
              <w:bottom w:val="single" w:color="000000" w:sz="4" w:space="0"/>
              <w:right w:val="single" w:color="000000" w:sz="4" w:space="0"/>
            </w:tcBorders>
            <w:noWrap/>
            <w:vAlign w:val="center"/>
          </w:tcPr>
          <w:p w14:paraId="03A2E57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6</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18EE57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中药熏蒸治疗机</w:t>
            </w:r>
          </w:p>
        </w:tc>
        <w:tc>
          <w:tcPr>
            <w:tcW w:w="6777" w:type="dxa"/>
            <w:tcBorders>
              <w:top w:val="single" w:color="000000" w:sz="4" w:space="0"/>
              <w:left w:val="single" w:color="000000" w:sz="4" w:space="0"/>
              <w:bottom w:val="single" w:color="000000" w:sz="4" w:space="0"/>
              <w:right w:val="single" w:color="000000" w:sz="4" w:space="0"/>
            </w:tcBorders>
            <w:noWrap w:val="0"/>
            <w:vAlign w:val="center"/>
          </w:tcPr>
          <w:p w14:paraId="6667D4AB">
            <w:pPr>
              <w:pStyle w:val="2"/>
              <w:keepNext/>
              <w:keepLines/>
              <w:pageBreakBefore w:val="0"/>
              <w:widowControl w:val="0"/>
              <w:kinsoku/>
              <w:wordWrap/>
              <w:overflowPunct/>
              <w:topLinePunct w:val="0"/>
              <w:autoSpaceDE/>
              <w:autoSpaceDN/>
              <w:bidi w:val="0"/>
              <w:adjustRightInd w:val="0"/>
              <w:snapToGrid w:val="0"/>
              <w:spacing w:before="0" w:after="0" w:line="24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设备名称：中药熏蒸治疗机</w:t>
            </w:r>
          </w:p>
          <w:p w14:paraId="40B727D5">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数量：10台</w:t>
            </w:r>
          </w:p>
          <w:p w14:paraId="1A000421">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适用范围：适用于局部熏蒸。</w:t>
            </w:r>
          </w:p>
          <w:p w14:paraId="27CD9CB0">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技术参数</w:t>
            </w:r>
          </w:p>
          <w:p w14:paraId="65560CBD">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1、双锅双控双喷头，双路独立控制，可以同时治疗两个病人。</w:t>
            </w:r>
          </w:p>
          <w:p w14:paraId="1DA4CCCE">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2、输入功率：≥2200W。</w:t>
            </w:r>
          </w:p>
          <w:p w14:paraId="6F82859C">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3、≥7英寸液晶触摸屏。</w:t>
            </w:r>
          </w:p>
          <w:p w14:paraId="366E726E">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4、外形尺寸（长宽高）：780×640×1250mm（±20）。</w:t>
            </w:r>
          </w:p>
          <w:p w14:paraId="1AAA080E">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5、操作台距地面高度：≥950mm。</w:t>
            </w:r>
          </w:p>
          <w:p w14:paraId="6674B2D1">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6、预加热时间：≤15min。</w:t>
            </w:r>
          </w:p>
          <w:p w14:paraId="3B0E948F">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7、功率调节：≥5档。</w:t>
            </w:r>
          </w:p>
          <w:p w14:paraId="77DAF59A">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8、喷头水平旋转360°，上下旋转≥110°，横向调节≥110°。</w:t>
            </w:r>
          </w:p>
          <w:p w14:paraId="59E1285A">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9、治疗时间：1～99min可调；治疗结束有提示音，加热装置自动断电。</w:t>
            </w:r>
          </w:p>
          <w:p w14:paraId="6069DD7B">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10、预热温度：70～99℃可调。</w:t>
            </w:r>
          </w:p>
          <w:p w14:paraId="5D3A07D8">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11、≥3通道散热。</w:t>
            </w:r>
          </w:p>
          <w:p w14:paraId="39A1C1A4">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12、加液容量：≥6L。</w:t>
            </w:r>
          </w:p>
          <w:p w14:paraId="5F8B11AA">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13、具备自动控制废液排。</w:t>
            </w:r>
          </w:p>
          <w:p w14:paraId="068E85BA">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14、具有自动漏电保护、自动防干烧、水位监测功能。</w:t>
            </w:r>
          </w:p>
          <w:p w14:paraId="7F47DEBB">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15、红外测温技术，熏蒸过程实时监测皮肤表面温度。</w:t>
            </w:r>
          </w:p>
          <w:p w14:paraId="6F9C61AD">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16、加热锅保护装置：报警阀、旋转锁盖钮、泄压窗、双卡钳、防堵过滤罩等。</w:t>
            </w:r>
          </w:p>
          <w:p w14:paraId="5D7B4D78">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17、泄压≥3段调节。</w:t>
            </w:r>
          </w:p>
          <w:p w14:paraId="26DAF3AC">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18、具备吸水装置。</w:t>
            </w:r>
          </w:p>
          <w:p w14:paraId="50F3E5ED">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19、配蒸汽凝结水回收盒。</w:t>
            </w:r>
          </w:p>
          <w:p w14:paraId="71A25862">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20、具有工作状态提示、多重故障自检、错误代码显示等多种功能。</w:t>
            </w:r>
          </w:p>
          <w:p w14:paraId="2D5DE51D">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21、具有双重超温保护功能。</w:t>
            </w:r>
          </w:p>
          <w:p w14:paraId="70EF7853">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lang w:val="en-US" w:eastAsia="zh-CN"/>
              </w:rPr>
              <w:t>22、采用304材质的50目滤气装置。</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781BEBC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14:paraId="026837A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r>
      <w:tr w14:paraId="02543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03" w:type="dxa"/>
            <w:tcBorders>
              <w:top w:val="single" w:color="000000" w:sz="4" w:space="0"/>
              <w:left w:val="single" w:color="000000" w:sz="4" w:space="0"/>
              <w:bottom w:val="single" w:color="000000" w:sz="4" w:space="0"/>
              <w:right w:val="single" w:color="000000" w:sz="4" w:space="0"/>
            </w:tcBorders>
            <w:noWrap/>
            <w:vAlign w:val="center"/>
          </w:tcPr>
          <w:p w14:paraId="3C362C4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7</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5017DD6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中医四诊智能诊断系统</w:t>
            </w:r>
          </w:p>
        </w:tc>
        <w:tc>
          <w:tcPr>
            <w:tcW w:w="6777" w:type="dxa"/>
            <w:tcBorders>
              <w:top w:val="single" w:color="000000" w:sz="4" w:space="0"/>
              <w:left w:val="single" w:color="000000" w:sz="4" w:space="0"/>
              <w:bottom w:val="single" w:color="000000" w:sz="4" w:space="0"/>
              <w:right w:val="single" w:color="000000" w:sz="4" w:space="0"/>
            </w:tcBorders>
            <w:noWrap w:val="0"/>
            <w:vAlign w:val="center"/>
          </w:tcPr>
          <w:p w14:paraId="796CBDB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设备名称：</w:t>
            </w:r>
            <w:r>
              <w:rPr>
                <w:rFonts w:hint="eastAsia" w:ascii="宋体" w:hAnsi="宋体" w:eastAsia="宋体" w:cs="宋体"/>
                <w:color w:val="auto"/>
                <w:sz w:val="24"/>
                <w:szCs w:val="24"/>
                <w:highlight w:val="none"/>
              </w:rPr>
              <w:t>中医四诊智能诊断系统</w:t>
            </w:r>
          </w:p>
          <w:p w14:paraId="7CAF69F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数量：9台</w:t>
            </w:r>
          </w:p>
          <w:p w14:paraId="24C46FD2">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一、功能</w:t>
            </w:r>
          </w:p>
          <w:p w14:paraId="24CE1367">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1、由主机、台车、软件、采集器</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附件组成</w:t>
            </w:r>
            <w:r>
              <w:rPr>
                <w:rFonts w:hint="eastAsia" w:cs="宋体"/>
                <w:color w:val="auto"/>
                <w:sz w:val="24"/>
                <w:szCs w:val="24"/>
                <w:highlight w:val="none"/>
                <w:lang w:val="en-US" w:eastAsia="zh-CN"/>
              </w:rPr>
              <w:t>.</w:t>
            </w:r>
          </w:p>
          <w:p w14:paraId="70053EA4">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2、体质辨识问诊量表及判定标准符合中华中医药学会标准ZYYXH/T 157--2009《中医体质分类与判定》要求</w:t>
            </w:r>
            <w:r>
              <w:rPr>
                <w:rFonts w:hint="eastAsia" w:cs="宋体"/>
                <w:color w:val="auto"/>
                <w:sz w:val="24"/>
                <w:szCs w:val="24"/>
                <w:highlight w:val="none"/>
                <w:lang w:val="en-US" w:eastAsia="zh-CN"/>
              </w:rPr>
              <w:t>。</w:t>
            </w:r>
          </w:p>
          <w:p w14:paraId="23BB4F33">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3、可针对不同场景选择体质辨识问诊量表</w:t>
            </w:r>
            <w:r>
              <w:rPr>
                <w:rFonts w:hint="eastAsia" w:cs="宋体"/>
                <w:color w:val="auto"/>
                <w:sz w:val="24"/>
                <w:szCs w:val="24"/>
                <w:highlight w:val="none"/>
                <w:lang w:eastAsia="zh-CN"/>
              </w:rPr>
              <w:t>。</w:t>
            </w:r>
          </w:p>
          <w:p w14:paraId="585E2EC6">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4、可根据体质检测结果，给出易发疾病倾向，并提供相应养生调养方案</w:t>
            </w:r>
            <w:r>
              <w:rPr>
                <w:rFonts w:hint="eastAsia" w:cs="宋体"/>
                <w:color w:val="auto"/>
                <w:sz w:val="24"/>
                <w:szCs w:val="24"/>
                <w:highlight w:val="none"/>
                <w:lang w:eastAsia="zh-CN"/>
              </w:rPr>
              <w:t>。</w:t>
            </w:r>
          </w:p>
          <w:p w14:paraId="42B0BC32">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5、能开展个体化中医养生干预服务，并给出合理的养生调养指导和经典处方建议</w:t>
            </w:r>
            <w:r>
              <w:rPr>
                <w:rFonts w:hint="eastAsia" w:cs="宋体"/>
                <w:color w:val="auto"/>
                <w:sz w:val="24"/>
                <w:szCs w:val="24"/>
                <w:highlight w:val="none"/>
                <w:lang w:eastAsia="zh-CN"/>
              </w:rPr>
              <w:t>。</w:t>
            </w:r>
          </w:p>
          <w:p w14:paraId="79D3D415">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6、个体化方案包含饮食调理、经穴养生、运动调理、食疗食谱等</w:t>
            </w:r>
            <w:r>
              <w:rPr>
                <w:rFonts w:hint="eastAsia" w:cs="宋体"/>
                <w:color w:val="auto"/>
                <w:sz w:val="24"/>
                <w:szCs w:val="24"/>
                <w:highlight w:val="none"/>
                <w:lang w:eastAsia="zh-CN"/>
              </w:rPr>
              <w:t>。</w:t>
            </w:r>
          </w:p>
          <w:p w14:paraId="5C41529A">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二、脉诊单元</w:t>
            </w:r>
          </w:p>
          <w:p w14:paraId="484041F0">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1、具有气动无极梯度加压模式。传感器与腕带磁吸式连接。 </w:t>
            </w:r>
          </w:p>
          <w:p w14:paraId="16D82463">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2、脉图采集界面实时显示静压值</w:t>
            </w:r>
            <w:r>
              <w:rPr>
                <w:rFonts w:hint="eastAsia" w:cs="宋体"/>
                <w:color w:val="auto"/>
                <w:sz w:val="24"/>
                <w:szCs w:val="24"/>
                <w:highlight w:val="none"/>
                <w:lang w:eastAsia="zh-CN"/>
              </w:rPr>
              <w:t>。</w:t>
            </w:r>
          </w:p>
          <w:p w14:paraId="738C127C">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3、采样精度：≥24位</w:t>
            </w:r>
            <w:r>
              <w:rPr>
                <w:rFonts w:hint="eastAsia" w:cs="宋体"/>
                <w:color w:val="auto"/>
                <w:sz w:val="24"/>
                <w:szCs w:val="24"/>
                <w:highlight w:val="none"/>
                <w:lang w:eastAsia="zh-CN"/>
              </w:rPr>
              <w:t>。</w:t>
            </w:r>
          </w:p>
          <w:p w14:paraId="0BB0C468">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4、传感器模块灵敏度≥3.6mV/g</w:t>
            </w:r>
            <w:r>
              <w:rPr>
                <w:rFonts w:hint="eastAsia" w:cs="宋体"/>
                <w:color w:val="auto"/>
                <w:sz w:val="24"/>
                <w:szCs w:val="24"/>
                <w:highlight w:val="none"/>
                <w:lang w:eastAsia="zh-CN"/>
              </w:rPr>
              <w:t>。</w:t>
            </w:r>
          </w:p>
          <w:p w14:paraId="3E7FC398">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rPr>
              <w:t>快速泄压，</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12s内泄放到2.5kPa以下，电源中断情况下仍满足</w:t>
            </w:r>
            <w:r>
              <w:rPr>
                <w:rFonts w:hint="eastAsia" w:cs="宋体"/>
                <w:color w:val="auto"/>
                <w:sz w:val="24"/>
                <w:szCs w:val="24"/>
                <w:highlight w:val="none"/>
                <w:lang w:eastAsia="zh-CN"/>
              </w:rPr>
              <w:t>。</w:t>
            </w:r>
          </w:p>
          <w:p w14:paraId="5BA8D0F6">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6、压力稳定性：压力控制模块在0至70kPa范围内，压力稳定后的1min内，压力无变化</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172832DB">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7、腕带与传感器分体式结构，可在任意状态下解除传感器与患者之间的接触</w:t>
            </w:r>
            <w:r>
              <w:rPr>
                <w:rFonts w:hint="eastAsia" w:cs="宋体"/>
                <w:color w:val="auto"/>
                <w:sz w:val="24"/>
                <w:szCs w:val="24"/>
                <w:highlight w:val="none"/>
                <w:lang w:eastAsia="zh-CN"/>
              </w:rPr>
              <w:t>。</w:t>
            </w:r>
          </w:p>
          <w:p w14:paraId="47AFD295">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三、舌诊单元</w:t>
            </w:r>
          </w:p>
          <w:p w14:paraId="12596130">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1、LED球面无影光源</w:t>
            </w:r>
            <w:r>
              <w:rPr>
                <w:rFonts w:hint="eastAsia" w:cs="宋体"/>
                <w:color w:val="auto"/>
                <w:sz w:val="24"/>
                <w:szCs w:val="24"/>
                <w:highlight w:val="none"/>
                <w:lang w:eastAsia="zh-CN"/>
              </w:rPr>
              <w:t>。</w:t>
            </w:r>
          </w:p>
          <w:p w14:paraId="7C1ADF43">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2、光源模块显色指数≥95</w:t>
            </w:r>
            <w:r>
              <w:rPr>
                <w:rFonts w:hint="eastAsia" w:cs="宋体"/>
                <w:color w:val="auto"/>
                <w:sz w:val="24"/>
                <w:szCs w:val="24"/>
                <w:highlight w:val="none"/>
                <w:lang w:eastAsia="zh-CN"/>
              </w:rPr>
              <w:t>。</w:t>
            </w:r>
          </w:p>
          <w:p w14:paraId="5B0C15BF">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3、色温范围 5000k～5800k</w:t>
            </w:r>
            <w:r>
              <w:rPr>
                <w:rFonts w:hint="eastAsia" w:cs="宋体"/>
                <w:color w:val="auto"/>
                <w:sz w:val="24"/>
                <w:szCs w:val="24"/>
                <w:highlight w:val="none"/>
                <w:lang w:eastAsia="zh-CN"/>
              </w:rPr>
              <w:t>。</w:t>
            </w:r>
          </w:p>
          <w:p w14:paraId="0238A99F">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5、成像分辨率≥3lp/mm，像素</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800万</w:t>
            </w:r>
            <w:r>
              <w:rPr>
                <w:rFonts w:hint="eastAsia" w:cs="宋体"/>
                <w:color w:val="auto"/>
                <w:sz w:val="24"/>
                <w:szCs w:val="24"/>
                <w:highlight w:val="none"/>
                <w:lang w:eastAsia="zh-CN"/>
              </w:rPr>
              <w:t>。</w:t>
            </w:r>
          </w:p>
          <w:p w14:paraId="1E0B275F">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7、色彩还原度：成像装置对色彩准确还色差小于</w:t>
            </w:r>
            <w:r>
              <w:rPr>
                <w:rFonts w:hint="eastAsia" w:cs="宋体"/>
                <w:color w:val="auto"/>
                <w:sz w:val="24"/>
                <w:szCs w:val="24"/>
                <w:highlight w:val="none"/>
                <w:lang w:val="en-US" w:eastAsia="zh-CN"/>
              </w:rPr>
              <w:t>20.</w:t>
            </w:r>
            <w:r>
              <w:rPr>
                <w:rFonts w:hint="eastAsia" w:cs="宋体"/>
                <w:color w:val="auto"/>
                <w:sz w:val="24"/>
                <w:szCs w:val="24"/>
                <w:highlight w:val="none"/>
                <w:lang w:eastAsia="zh-CN"/>
              </w:rPr>
              <w:t>。</w:t>
            </w:r>
          </w:p>
          <w:p w14:paraId="112DE4D3">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000000"/>
                <w:sz w:val="20"/>
                <w:szCs w:val="20"/>
                <w:u w:val="none"/>
              </w:rPr>
              <w:t>▲</w:t>
            </w:r>
            <w:r>
              <w:rPr>
                <w:rFonts w:hint="eastAsia" w:ascii="宋体" w:hAnsi="宋体" w:eastAsia="宋体" w:cs="宋体"/>
                <w:color w:val="auto"/>
                <w:sz w:val="24"/>
                <w:szCs w:val="24"/>
                <w:highlight w:val="none"/>
              </w:rPr>
              <w:t>8、舌面象采集箱具有紫外消毒功能</w:t>
            </w:r>
            <w:r>
              <w:rPr>
                <w:rFonts w:hint="eastAsia" w:cs="宋体"/>
                <w:color w:val="auto"/>
                <w:sz w:val="24"/>
                <w:szCs w:val="24"/>
                <w:highlight w:val="none"/>
                <w:lang w:eastAsia="zh-CN"/>
              </w:rPr>
              <w:t>。</w:t>
            </w:r>
          </w:p>
          <w:p w14:paraId="6403D7B6">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000000"/>
                <w:sz w:val="20"/>
                <w:szCs w:val="20"/>
                <w:u w:val="none"/>
              </w:rPr>
              <w:t>▲</w:t>
            </w:r>
            <w:r>
              <w:rPr>
                <w:rFonts w:hint="eastAsia" w:ascii="宋体" w:hAnsi="宋体" w:eastAsia="宋体" w:cs="宋体"/>
                <w:color w:val="auto"/>
                <w:sz w:val="24"/>
                <w:szCs w:val="24"/>
                <w:highlight w:val="none"/>
              </w:rPr>
              <w:t>9、舌面象采集箱具有吸入式通风功能</w:t>
            </w:r>
            <w:r>
              <w:rPr>
                <w:rFonts w:hint="eastAsia" w:cs="宋体"/>
                <w:color w:val="auto"/>
                <w:sz w:val="24"/>
                <w:szCs w:val="24"/>
                <w:highlight w:val="none"/>
                <w:lang w:eastAsia="zh-CN"/>
              </w:rPr>
              <w:t>。</w:t>
            </w:r>
          </w:p>
          <w:p w14:paraId="7C759CCD">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四、信息功能</w:t>
            </w:r>
          </w:p>
          <w:p w14:paraId="06F0EB7D">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1、数据管理功能，可对体质结果数据进行统计分析并以图</w:t>
            </w:r>
            <w:r>
              <w:rPr>
                <w:rFonts w:hint="eastAsia" w:ascii="宋体" w:hAnsi="宋体" w:eastAsia="宋体" w:cs="宋体"/>
                <w:color w:val="auto"/>
                <w:sz w:val="24"/>
                <w:szCs w:val="24"/>
                <w:highlight w:val="none"/>
                <w:lang w:val="en-US" w:eastAsia="zh-CN"/>
              </w:rPr>
              <w:t>表</w:t>
            </w:r>
            <w:r>
              <w:rPr>
                <w:rFonts w:hint="eastAsia" w:ascii="宋体" w:hAnsi="宋体" w:eastAsia="宋体" w:cs="宋体"/>
                <w:color w:val="auto"/>
                <w:sz w:val="24"/>
                <w:szCs w:val="24"/>
                <w:highlight w:val="none"/>
              </w:rPr>
              <w:t>显示</w:t>
            </w:r>
            <w:r>
              <w:rPr>
                <w:rFonts w:hint="eastAsia" w:cs="宋体"/>
                <w:color w:val="auto"/>
                <w:sz w:val="24"/>
                <w:szCs w:val="24"/>
                <w:highlight w:val="none"/>
                <w:lang w:eastAsia="zh-CN"/>
              </w:rPr>
              <w:t>。</w:t>
            </w:r>
          </w:p>
          <w:p w14:paraId="5D757F5B">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2、具有中医治未病大数据挖掘与健康管理系统软件</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3、具备经典处方模块，包括饮片及中成药；具备中医医用经典处方系统</w:t>
            </w:r>
            <w:r>
              <w:rPr>
                <w:rFonts w:hint="eastAsia" w:cs="宋体"/>
                <w:color w:val="auto"/>
                <w:sz w:val="24"/>
                <w:szCs w:val="24"/>
                <w:highlight w:val="none"/>
                <w:lang w:eastAsia="zh-CN"/>
              </w:rPr>
              <w:t>。</w:t>
            </w:r>
          </w:p>
          <w:p w14:paraId="62044657">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4、具备儿童中医体质辨识健康管理系统软件；可针对0-6岁儿童进行体质辨识</w:t>
            </w:r>
            <w:r>
              <w:rPr>
                <w:rFonts w:hint="eastAsia" w:cs="宋体"/>
                <w:color w:val="auto"/>
                <w:sz w:val="24"/>
                <w:szCs w:val="24"/>
                <w:highlight w:val="none"/>
                <w:lang w:eastAsia="zh-CN"/>
              </w:rPr>
              <w:t>。</w:t>
            </w:r>
          </w:p>
          <w:p w14:paraId="10954A43">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5、具备老年人中医体质辨识健康管理系统软件；可针对65岁以上老年人进行体质辨识</w:t>
            </w:r>
            <w:r>
              <w:rPr>
                <w:rFonts w:hint="eastAsia" w:cs="宋体"/>
                <w:color w:val="auto"/>
                <w:sz w:val="24"/>
                <w:szCs w:val="24"/>
                <w:highlight w:val="none"/>
                <w:lang w:eastAsia="zh-CN"/>
              </w:rPr>
              <w:t>。</w:t>
            </w:r>
          </w:p>
          <w:p w14:paraId="0C405A2E">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6、具备孕产妇中医体质辨识健康管理系统软件；可针对孕产妇进行体质辨识</w:t>
            </w:r>
            <w:r>
              <w:rPr>
                <w:rFonts w:hint="eastAsia" w:cs="宋体"/>
                <w:color w:val="auto"/>
                <w:sz w:val="24"/>
                <w:szCs w:val="24"/>
                <w:highlight w:val="none"/>
                <w:lang w:eastAsia="zh-CN"/>
              </w:rPr>
              <w:t>。</w:t>
            </w:r>
          </w:p>
          <w:p w14:paraId="7280AD2C">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电脑部分 </w:t>
            </w:r>
          </w:p>
          <w:p w14:paraId="48C2B79D">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一体机电脑 Windows系统 1 台 </w:t>
            </w:r>
            <w:r>
              <w:rPr>
                <w:rFonts w:hint="eastAsia" w:cs="宋体"/>
                <w:color w:val="auto"/>
                <w:sz w:val="24"/>
                <w:szCs w:val="24"/>
                <w:highlight w:val="none"/>
                <w:lang w:eastAsia="zh-CN"/>
              </w:rPr>
              <w:t>。</w:t>
            </w:r>
          </w:p>
          <w:p w14:paraId="341E6252">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工作台车  1 台 </w:t>
            </w:r>
            <w:r>
              <w:rPr>
                <w:rFonts w:hint="eastAsia" w:cs="宋体"/>
                <w:color w:val="auto"/>
                <w:sz w:val="24"/>
                <w:szCs w:val="24"/>
                <w:highlight w:val="none"/>
                <w:lang w:eastAsia="zh-CN"/>
              </w:rPr>
              <w:t>。</w:t>
            </w:r>
          </w:p>
          <w:p w14:paraId="5AECF6F8">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扫码器  1 台 </w:t>
            </w:r>
            <w:r>
              <w:rPr>
                <w:rFonts w:hint="eastAsia" w:cs="宋体"/>
                <w:color w:val="auto"/>
                <w:sz w:val="24"/>
                <w:szCs w:val="24"/>
                <w:highlight w:val="none"/>
                <w:lang w:eastAsia="zh-CN"/>
              </w:rPr>
              <w:t>。</w:t>
            </w:r>
          </w:p>
          <w:p w14:paraId="1A56DC28">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rPr>
              <w:t>6</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键鼠 无线套装 1 套</w:t>
            </w:r>
            <w:r>
              <w:rPr>
                <w:rFonts w:hint="eastAsia" w:cs="宋体"/>
                <w:color w:val="auto"/>
                <w:sz w:val="24"/>
                <w:szCs w:val="24"/>
                <w:highlight w:val="none"/>
                <w:lang w:eastAsia="zh-CN"/>
              </w:rPr>
              <w:t>。</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72BBC0E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14:paraId="75F5D77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r>
      <w:tr w14:paraId="04E2B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03" w:type="dxa"/>
            <w:tcBorders>
              <w:top w:val="single" w:color="000000" w:sz="4" w:space="0"/>
              <w:left w:val="single" w:color="000000" w:sz="4" w:space="0"/>
              <w:bottom w:val="single" w:color="000000" w:sz="4" w:space="0"/>
              <w:right w:val="single" w:color="000000" w:sz="4" w:space="0"/>
            </w:tcBorders>
            <w:noWrap/>
            <w:vAlign w:val="center"/>
          </w:tcPr>
          <w:p w14:paraId="7AF9BBF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8</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68E4377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心电图</w:t>
            </w:r>
          </w:p>
        </w:tc>
        <w:tc>
          <w:tcPr>
            <w:tcW w:w="6777" w:type="dxa"/>
            <w:tcBorders>
              <w:top w:val="single" w:color="000000" w:sz="4" w:space="0"/>
              <w:left w:val="single" w:color="000000" w:sz="4" w:space="0"/>
              <w:bottom w:val="single" w:color="000000" w:sz="4" w:space="0"/>
              <w:right w:val="single" w:color="000000" w:sz="4" w:space="0"/>
            </w:tcBorders>
            <w:noWrap w:val="0"/>
            <w:vAlign w:val="center"/>
          </w:tcPr>
          <w:p w14:paraId="6F5DFA42">
            <w:pPr>
              <w:pageBreakBefore w:val="0"/>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设备名称：心电图机</w:t>
            </w:r>
          </w:p>
          <w:p w14:paraId="7460E0F6">
            <w:pPr>
              <w:pageBreakBefore w:val="0"/>
              <w:kinsoku/>
              <w:wordWrap/>
              <w:overflowPunct/>
              <w:topLinePunct w:val="0"/>
              <w:autoSpaceDE/>
              <w:autoSpaceDN/>
              <w:bidi w:val="0"/>
              <w:adjustRightInd w:val="0"/>
              <w:snapToGrid w:val="0"/>
              <w:spacing w:line="240" w:lineRule="auto"/>
              <w:ind w:firstLine="0" w:firstLineChars="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数量：40台</w:t>
            </w:r>
          </w:p>
          <w:p w14:paraId="27EF296C">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一、工作条件</w:t>
            </w:r>
          </w:p>
          <w:p w14:paraId="4BFB4ECC">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 电源插头符合中国标准</w:t>
            </w:r>
            <w:r>
              <w:rPr>
                <w:rFonts w:hint="eastAsia" w:cs="宋体"/>
                <w:color w:val="auto"/>
                <w:sz w:val="24"/>
                <w:szCs w:val="24"/>
                <w:highlight w:val="none"/>
                <w:lang w:eastAsia="zh-CN"/>
              </w:rPr>
              <w:t>。</w:t>
            </w:r>
          </w:p>
          <w:p w14:paraId="569D6824">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1.3 内置可充电锂电池，连续工作时间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 小时连续记录</w:t>
            </w:r>
            <w:r>
              <w:rPr>
                <w:rFonts w:hint="eastAsia" w:cs="宋体"/>
                <w:color w:val="auto"/>
                <w:sz w:val="24"/>
                <w:szCs w:val="24"/>
                <w:highlight w:val="none"/>
                <w:lang w:eastAsia="zh-CN"/>
              </w:rPr>
              <w:t>。</w:t>
            </w:r>
          </w:p>
          <w:p w14:paraId="11910589">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val="en-US" w:eastAsia="zh-CN"/>
              </w:rPr>
              <w:t>技术参数</w:t>
            </w:r>
          </w:p>
          <w:p w14:paraId="3623A5E9">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 频率响应:0.01Hz ~ 500HZ</w:t>
            </w:r>
            <w:r>
              <w:rPr>
                <w:rFonts w:hint="eastAsia" w:cs="宋体"/>
                <w:color w:val="auto"/>
                <w:sz w:val="24"/>
                <w:szCs w:val="24"/>
                <w:highlight w:val="none"/>
                <w:lang w:eastAsia="zh-CN"/>
              </w:rPr>
              <w:t>。</w:t>
            </w:r>
          </w:p>
          <w:p w14:paraId="162D692C">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 采样率: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64 kHz</w:t>
            </w:r>
            <w:r>
              <w:rPr>
                <w:rFonts w:hint="eastAsia" w:cs="宋体"/>
                <w:color w:val="auto"/>
                <w:sz w:val="24"/>
                <w:szCs w:val="24"/>
                <w:highlight w:val="none"/>
                <w:lang w:eastAsia="zh-CN"/>
              </w:rPr>
              <w:t>。</w:t>
            </w:r>
          </w:p>
          <w:p w14:paraId="6C761DDD">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2.3 起搏器采样率: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kHz</w:t>
            </w:r>
            <w:r>
              <w:rPr>
                <w:rFonts w:hint="eastAsia" w:cs="宋体"/>
                <w:color w:val="auto"/>
                <w:sz w:val="24"/>
                <w:szCs w:val="24"/>
                <w:highlight w:val="none"/>
                <w:lang w:eastAsia="zh-CN"/>
              </w:rPr>
              <w:t>。</w:t>
            </w:r>
          </w:p>
          <w:p w14:paraId="6D608C50">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2.4 输入阻抗:≥100M2(10Hz)</w:t>
            </w:r>
            <w:r>
              <w:rPr>
                <w:rFonts w:hint="eastAsia" w:cs="宋体"/>
                <w:color w:val="auto"/>
                <w:sz w:val="24"/>
                <w:szCs w:val="24"/>
                <w:highlight w:val="none"/>
                <w:lang w:eastAsia="zh-CN"/>
              </w:rPr>
              <w:t>。</w:t>
            </w:r>
          </w:p>
          <w:p w14:paraId="41005D85">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2.5定标电压:1mV±1%</w:t>
            </w:r>
            <w:r>
              <w:rPr>
                <w:rFonts w:hint="eastAsia" w:cs="宋体"/>
                <w:color w:val="auto"/>
                <w:sz w:val="24"/>
                <w:szCs w:val="24"/>
                <w:highlight w:val="none"/>
                <w:lang w:eastAsia="zh-CN"/>
              </w:rPr>
              <w:t>。</w:t>
            </w:r>
          </w:p>
          <w:p w14:paraId="143B8462">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2.6 耐极化电压:≥±900mV(±5%)</w:t>
            </w:r>
            <w:r>
              <w:rPr>
                <w:rFonts w:hint="eastAsia" w:cs="宋体"/>
                <w:color w:val="auto"/>
                <w:sz w:val="24"/>
                <w:szCs w:val="24"/>
                <w:highlight w:val="none"/>
                <w:lang w:eastAsia="zh-CN"/>
              </w:rPr>
              <w:t>。</w:t>
            </w:r>
          </w:p>
          <w:p w14:paraId="768577FE">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2.7 内部噪声:≤12.5uVp-p</w:t>
            </w:r>
            <w:r>
              <w:rPr>
                <w:rFonts w:hint="eastAsia" w:cs="宋体"/>
                <w:color w:val="auto"/>
                <w:sz w:val="24"/>
                <w:szCs w:val="24"/>
                <w:highlight w:val="none"/>
                <w:lang w:eastAsia="zh-CN"/>
              </w:rPr>
              <w:t>。</w:t>
            </w:r>
          </w:p>
          <w:p w14:paraId="41A945A9">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2.8 共模抑制比:≥140dB</w:t>
            </w:r>
            <w:r>
              <w:rPr>
                <w:rFonts w:hint="eastAsia" w:cs="宋体"/>
                <w:color w:val="auto"/>
                <w:sz w:val="24"/>
                <w:szCs w:val="24"/>
                <w:highlight w:val="none"/>
                <w:lang w:eastAsia="zh-CN"/>
              </w:rPr>
              <w:t>。</w:t>
            </w:r>
          </w:p>
          <w:p w14:paraId="01D89A92">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2.9 灵敏度选择:1.25、2.5、5、10、20、10/5、20/10、自动</w:t>
            </w:r>
            <w:r>
              <w:rPr>
                <w:rFonts w:hint="eastAsia" w:cs="宋体"/>
                <w:color w:val="auto"/>
                <w:sz w:val="24"/>
                <w:szCs w:val="24"/>
                <w:highlight w:val="none"/>
                <w:lang w:eastAsia="zh-CN"/>
              </w:rPr>
              <w:t>。</w:t>
            </w:r>
          </w:p>
          <w:p w14:paraId="43B518BE">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2.10 除颤防护:</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承受5000V(360J)除颤放电，无数据丢失和损坏</w:t>
            </w:r>
            <w:r>
              <w:rPr>
                <w:rFonts w:hint="eastAsia" w:cs="宋体"/>
                <w:color w:val="auto"/>
                <w:sz w:val="24"/>
                <w:szCs w:val="24"/>
                <w:highlight w:val="none"/>
                <w:lang w:eastAsia="zh-CN"/>
              </w:rPr>
              <w:t>。</w:t>
            </w:r>
          </w:p>
          <w:p w14:paraId="5E87E787">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三、显示器</w:t>
            </w:r>
          </w:p>
          <w:p w14:paraId="7399E93D">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3.1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12英寸彩色液晶屏，分辨率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1280*800</w:t>
            </w:r>
            <w:r>
              <w:rPr>
                <w:rFonts w:hint="eastAsia" w:cs="宋体"/>
                <w:color w:val="auto"/>
                <w:sz w:val="24"/>
                <w:szCs w:val="24"/>
                <w:highlight w:val="none"/>
                <w:lang w:eastAsia="zh-CN"/>
              </w:rPr>
              <w:t>。</w:t>
            </w:r>
          </w:p>
          <w:p w14:paraId="192FFDA6">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3.2 支持多点触控</w:t>
            </w:r>
            <w:r>
              <w:rPr>
                <w:rFonts w:hint="eastAsia" w:cs="宋体"/>
                <w:color w:val="auto"/>
                <w:sz w:val="24"/>
                <w:szCs w:val="24"/>
                <w:highlight w:val="none"/>
                <w:lang w:eastAsia="zh-CN"/>
              </w:rPr>
              <w:t>。</w:t>
            </w:r>
          </w:p>
          <w:p w14:paraId="5FD53C02">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3.3 支持屏幕背景网格显示</w:t>
            </w:r>
            <w:r>
              <w:rPr>
                <w:rFonts w:hint="eastAsia" w:cs="宋体"/>
                <w:color w:val="auto"/>
                <w:sz w:val="24"/>
                <w:szCs w:val="24"/>
                <w:highlight w:val="none"/>
                <w:lang w:eastAsia="zh-CN"/>
              </w:rPr>
              <w:t>。</w:t>
            </w:r>
          </w:p>
          <w:p w14:paraId="34FF430A">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3.4 支持同屏显示10秒12导同步心电波形</w:t>
            </w:r>
            <w:r>
              <w:rPr>
                <w:rFonts w:hint="eastAsia" w:cs="宋体"/>
                <w:color w:val="auto"/>
                <w:sz w:val="24"/>
                <w:szCs w:val="24"/>
                <w:highlight w:val="none"/>
                <w:lang w:eastAsia="zh-CN"/>
              </w:rPr>
              <w:t>。</w:t>
            </w:r>
          </w:p>
          <w:p w14:paraId="295A9F25">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四、存储器:</w:t>
            </w:r>
          </w:p>
          <w:p w14:paraId="1C79D390">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4.1 内置存储器支持存储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1200 份心电图报告</w:t>
            </w:r>
            <w:r>
              <w:rPr>
                <w:rFonts w:hint="eastAsia" w:cs="宋体"/>
                <w:color w:val="auto"/>
                <w:sz w:val="24"/>
                <w:szCs w:val="24"/>
                <w:highlight w:val="none"/>
                <w:lang w:eastAsia="zh-CN"/>
              </w:rPr>
              <w:t>。</w:t>
            </w:r>
          </w:p>
          <w:p w14:paraId="2065A813">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4.2 支持外接U盘扩展存储空间</w:t>
            </w:r>
            <w:r>
              <w:rPr>
                <w:rFonts w:hint="eastAsia" w:cs="宋体"/>
                <w:color w:val="auto"/>
                <w:sz w:val="24"/>
                <w:szCs w:val="24"/>
                <w:highlight w:val="none"/>
                <w:lang w:eastAsia="zh-CN"/>
              </w:rPr>
              <w:t>。</w:t>
            </w:r>
          </w:p>
          <w:p w14:paraId="4DB1307F">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五、打印机</w:t>
            </w:r>
          </w:p>
          <w:p w14:paraId="28211413">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5.1 内置热敏打印机，能打印于A4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US letter</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热敏纸</w:t>
            </w:r>
            <w:r>
              <w:rPr>
                <w:rFonts w:hint="eastAsia" w:cs="宋体"/>
                <w:color w:val="auto"/>
                <w:sz w:val="24"/>
                <w:szCs w:val="24"/>
                <w:highlight w:val="none"/>
                <w:lang w:eastAsia="zh-CN"/>
              </w:rPr>
              <w:t>。</w:t>
            </w:r>
          </w:p>
          <w:p w14:paraId="13873776">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5.2 走纸速度:5mm/s、12.5mm/s、25mm/s、50mm/s</w:t>
            </w:r>
            <w:r>
              <w:rPr>
                <w:rFonts w:hint="eastAsia" w:cs="宋体"/>
                <w:color w:val="auto"/>
                <w:sz w:val="24"/>
                <w:szCs w:val="24"/>
                <w:highlight w:val="none"/>
                <w:lang w:eastAsia="zh-CN"/>
              </w:rPr>
              <w:t>。</w:t>
            </w:r>
          </w:p>
          <w:p w14:paraId="4BA93C67">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5.3 打印分辨率:垂直分辨率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8点/mm，水平分辨率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240点/mm(25mm/s)</w:t>
            </w:r>
            <w:r>
              <w:rPr>
                <w:rFonts w:hint="eastAsia" w:cs="宋体"/>
                <w:color w:val="auto"/>
                <w:sz w:val="24"/>
                <w:szCs w:val="24"/>
                <w:highlight w:val="none"/>
                <w:lang w:eastAsia="zh-CN"/>
              </w:rPr>
              <w:t>。</w:t>
            </w:r>
          </w:p>
          <w:p w14:paraId="412C6CBE">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六、软件功能</w:t>
            </w:r>
          </w:p>
          <w:p w14:paraId="07B157A4">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6.1 具有信号质量检测功能，对于信号干扰、接触不良或导联脱落的导联做出提示</w:t>
            </w:r>
            <w:r>
              <w:rPr>
                <w:rFonts w:hint="eastAsia" w:cs="宋体"/>
                <w:color w:val="auto"/>
                <w:sz w:val="24"/>
                <w:szCs w:val="24"/>
                <w:highlight w:val="none"/>
                <w:lang w:eastAsia="zh-CN"/>
              </w:rPr>
              <w:t>。</w:t>
            </w:r>
          </w:p>
          <w:p w14:paraId="4DE02280">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6.2 具有起搏检测功能，起搏标记在显示屏上单独区域显示</w:t>
            </w:r>
            <w:r>
              <w:rPr>
                <w:rFonts w:hint="eastAsia" w:cs="宋体"/>
                <w:color w:val="auto"/>
                <w:sz w:val="24"/>
                <w:szCs w:val="24"/>
                <w:highlight w:val="none"/>
                <w:lang w:eastAsia="zh-CN"/>
              </w:rPr>
              <w:t>。</w:t>
            </w:r>
          </w:p>
          <w:p w14:paraId="0B3673A6">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6.3 支持一维码/二维码条码扫描仪</w:t>
            </w:r>
            <w:r>
              <w:rPr>
                <w:rFonts w:hint="eastAsia" w:cs="宋体"/>
                <w:color w:val="auto"/>
                <w:sz w:val="24"/>
                <w:szCs w:val="24"/>
                <w:highlight w:val="none"/>
                <w:lang w:eastAsia="zh-CN"/>
              </w:rPr>
              <w:t>。</w:t>
            </w:r>
          </w:p>
          <w:p w14:paraId="2284B35E">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6.4 具有预约下载功能</w:t>
            </w:r>
            <w:r>
              <w:rPr>
                <w:rFonts w:hint="eastAsia" w:cs="宋体"/>
                <w:color w:val="auto"/>
                <w:sz w:val="24"/>
                <w:szCs w:val="24"/>
                <w:highlight w:val="none"/>
                <w:lang w:eastAsia="zh-CN"/>
              </w:rPr>
              <w:t>。</w:t>
            </w:r>
          </w:p>
          <w:p w14:paraId="2CE453D2">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6.5 具有关机延迟功能</w:t>
            </w:r>
            <w:r>
              <w:rPr>
                <w:rFonts w:hint="eastAsia" w:cs="宋体"/>
                <w:color w:val="auto"/>
                <w:sz w:val="24"/>
                <w:szCs w:val="24"/>
                <w:highlight w:val="none"/>
                <w:lang w:eastAsia="zh-CN"/>
              </w:rPr>
              <w:t>。</w:t>
            </w:r>
          </w:p>
          <w:p w14:paraId="68860EF2">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七、数据传输</w:t>
            </w:r>
          </w:p>
          <w:p w14:paraId="279530FA">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7.1 </w:t>
            </w: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rPr>
              <w:t>:USB接口，网络接口</w:t>
            </w:r>
            <w:r>
              <w:rPr>
                <w:rFonts w:hint="eastAsia" w:ascii="宋体" w:hAnsi="宋体" w:eastAsia="宋体" w:cs="宋体"/>
                <w:color w:val="auto"/>
                <w:sz w:val="24"/>
                <w:szCs w:val="24"/>
                <w:highlight w:val="none"/>
                <w:lang w:val="en-US" w:eastAsia="zh-CN"/>
              </w:rPr>
              <w:t>等</w:t>
            </w:r>
            <w:r>
              <w:rPr>
                <w:rFonts w:hint="eastAsia" w:cs="宋体"/>
                <w:color w:val="auto"/>
                <w:sz w:val="24"/>
                <w:szCs w:val="24"/>
                <w:highlight w:val="none"/>
                <w:lang w:val="en-US" w:eastAsia="zh-CN"/>
              </w:rPr>
              <w:t>。</w:t>
            </w:r>
          </w:p>
          <w:p w14:paraId="2CC290B3">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7.2 标配WIFI模块，支持2.4G/5G双频</w:t>
            </w:r>
            <w:r>
              <w:rPr>
                <w:rFonts w:hint="eastAsia" w:cs="宋体"/>
                <w:color w:val="auto"/>
                <w:sz w:val="24"/>
                <w:szCs w:val="24"/>
                <w:highlight w:val="none"/>
                <w:lang w:eastAsia="zh-CN"/>
              </w:rPr>
              <w:t>。</w:t>
            </w:r>
          </w:p>
          <w:p w14:paraId="44ADC8C9">
            <w:pPr>
              <w:pageBreakBefore w:val="0"/>
              <w:kinsoku/>
              <w:wordWrap/>
              <w:overflowPunct/>
              <w:topLinePunct w:val="0"/>
              <w:autoSpaceDE/>
              <w:autoSpaceDN/>
              <w:bidi w:val="0"/>
              <w:adjustRightInd w:val="0"/>
              <w:snapToGrid w:val="0"/>
              <w:spacing w:line="240" w:lineRule="auto"/>
              <w:ind w:firstLine="0" w:firstLineChars="0"/>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rPr>
              <w:t>7.3 支持HL7/DICOM/FTP</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标准协议，满足医院联网需求</w:t>
            </w:r>
            <w:r>
              <w:rPr>
                <w:rFonts w:hint="eastAsia" w:cs="宋体"/>
                <w:color w:val="auto"/>
                <w:sz w:val="24"/>
                <w:szCs w:val="24"/>
                <w:highlight w:val="none"/>
                <w:lang w:eastAsia="zh-CN"/>
              </w:rPr>
              <w:t>。</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5016ABC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14:paraId="4DC1DDA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40</w:t>
            </w:r>
          </w:p>
        </w:tc>
      </w:tr>
      <w:tr w14:paraId="32183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03" w:type="dxa"/>
            <w:tcBorders>
              <w:top w:val="single" w:color="000000" w:sz="4" w:space="0"/>
              <w:left w:val="single" w:color="000000" w:sz="4" w:space="0"/>
              <w:bottom w:val="single" w:color="000000" w:sz="4" w:space="0"/>
              <w:right w:val="single" w:color="000000" w:sz="4" w:space="0"/>
            </w:tcBorders>
            <w:noWrap/>
            <w:vAlign w:val="center"/>
          </w:tcPr>
          <w:p w14:paraId="589C787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9</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A58971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中医适宜技术教学管理机</w:t>
            </w:r>
          </w:p>
        </w:tc>
        <w:tc>
          <w:tcPr>
            <w:tcW w:w="6777" w:type="dxa"/>
            <w:tcBorders>
              <w:top w:val="single" w:color="000000" w:sz="4" w:space="0"/>
              <w:left w:val="single" w:color="000000" w:sz="4" w:space="0"/>
              <w:bottom w:val="single" w:color="000000" w:sz="4" w:space="0"/>
              <w:right w:val="single" w:color="000000" w:sz="4" w:space="0"/>
            </w:tcBorders>
            <w:noWrap w:val="0"/>
            <w:vAlign w:val="center"/>
          </w:tcPr>
          <w:p w14:paraId="54354F7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设备名称：</w:t>
            </w:r>
            <w:r>
              <w:rPr>
                <w:rFonts w:hint="eastAsia" w:ascii="宋体" w:hAnsi="宋体" w:eastAsia="宋体" w:cs="宋体"/>
                <w:b/>
                <w:bCs/>
                <w:color w:val="auto"/>
                <w:sz w:val="24"/>
                <w:szCs w:val="24"/>
                <w:highlight w:val="none"/>
              </w:rPr>
              <w:t>中医适宜技术教学管理系统-教师机（</w:t>
            </w:r>
            <w:r>
              <w:rPr>
                <w:rFonts w:hint="eastAsia" w:ascii="宋体" w:hAnsi="宋体" w:eastAsia="宋体" w:cs="宋体"/>
                <w:b/>
                <w:bCs/>
                <w:color w:val="auto"/>
                <w:sz w:val="24"/>
                <w:szCs w:val="24"/>
                <w:highlight w:val="none"/>
                <w:lang w:eastAsia="zh-CN"/>
              </w:rPr>
              <w:t>含</w:t>
            </w:r>
            <w:r>
              <w:rPr>
                <w:rFonts w:hint="eastAsia" w:ascii="宋体" w:hAnsi="宋体" w:eastAsia="宋体" w:cs="宋体"/>
                <w:b/>
                <w:bCs/>
                <w:color w:val="auto"/>
                <w:sz w:val="24"/>
                <w:szCs w:val="24"/>
                <w:highlight w:val="none"/>
              </w:rPr>
              <w:t>软件）</w:t>
            </w:r>
          </w:p>
          <w:p w14:paraId="1EB51B12">
            <w:pPr>
              <w:pStyle w:val="3"/>
              <w:pageBreakBefore w:val="0"/>
              <w:kinsoku/>
              <w:wordWrap/>
              <w:overflowPunct/>
              <w:topLinePunct w:val="0"/>
              <w:autoSpaceDE/>
              <w:autoSpaceDN/>
              <w:bidi w:val="0"/>
              <w:adjustRightInd w:val="0"/>
              <w:snapToGrid w:val="0"/>
              <w:spacing w:before="0" w:after="0"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数量：1套</w:t>
            </w:r>
          </w:p>
          <w:p w14:paraId="313D903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一、概述</w:t>
            </w:r>
          </w:p>
          <w:p w14:paraId="7108CF8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以中医诊断学、中医内科学、针灸学、推拿学等教材为理论基础，以疾病知识讲解、典型病例学习、适宜技术学习为主要内容，包含处方、针刺、艾灸等多种适宜技术。</w:t>
            </w:r>
          </w:p>
          <w:p w14:paraId="7DE02CB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二、产品硬件参数</w:t>
            </w:r>
          </w:p>
          <w:p w14:paraId="34C32F1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1.外观要求：操作平台搭配静音轮台车设计。</w:t>
            </w:r>
          </w:p>
          <w:p w14:paraId="3D3FC17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2.主机要求：内存：</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32G；硬盘：</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256G固态+1T。</w:t>
            </w:r>
          </w:p>
          <w:p w14:paraId="2E7876D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3.显示器：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32寸触摸显示屏。</w:t>
            </w:r>
          </w:p>
          <w:p w14:paraId="61F2775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三、功能参数</w:t>
            </w:r>
          </w:p>
          <w:p w14:paraId="124B50F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包含适宜技术、虚拟展厅、设置三个单元，且三个单元在一个程序中操作。适宜技术单元包括基础知识、自由练习、试卷考核、病例实训</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模块。</w:t>
            </w:r>
          </w:p>
          <w:p w14:paraId="0196EE2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（一）适宜技术</w:t>
            </w:r>
          </w:p>
          <w:p w14:paraId="19EF101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1.适宜技术-基础知识：</w:t>
            </w:r>
          </w:p>
          <w:p w14:paraId="724AAA0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000000"/>
                <w:sz w:val="20"/>
                <w:szCs w:val="20"/>
                <w:u w:val="none"/>
              </w:rPr>
              <w:t>▲</w:t>
            </w:r>
            <w:r>
              <w:rPr>
                <w:rFonts w:hint="eastAsia" w:ascii="宋体" w:hAnsi="宋体" w:eastAsia="宋体" w:cs="宋体"/>
                <w:color w:val="auto"/>
                <w:sz w:val="24"/>
                <w:szCs w:val="24"/>
                <w:highlight w:val="none"/>
              </w:rPr>
              <w:t>1)包含中医内科、妇科、儿科、五官科、外科等5个科别的，不少于60个疾病的基础知识讲解。</w:t>
            </w:r>
          </w:p>
          <w:p w14:paraId="6F7EFA1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2)疾病可支持查看科别、疾病类别、中医病名及西医病名等基础内容，及疾病概述、诊断要点、病因病机、类症鉴别、推荐检查、证型分型、治疗方案等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7类内容。</w:t>
            </w:r>
          </w:p>
          <w:p w14:paraId="403C6B4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3)疾病的治疗方案中包含文字、图片等多种格式中的部分格式内容。</w:t>
            </w:r>
          </w:p>
          <w:p w14:paraId="1582E7C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4)应包含针刺、推拿、刮痧、拔罐、灸类、敷熨熏浴、地域特色技术及其他分类等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8种大类，</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128种适宜技术的知识讲解（针刺类，推拿类，刮痧类，拔罐类，灸类，敷熨熏浴，地域特色技术含藏医、蒙医、傣医、壮医、瑶医等）。</w:t>
            </w:r>
          </w:p>
          <w:p w14:paraId="4B4C55F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5)支持查看适宜技术的基本介绍、操作、疾病治疗、注意事项等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4类内容；部分适宜技术的操作中包含操作演示视频，</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20个。</w:t>
            </w:r>
          </w:p>
          <w:p w14:paraId="3364E3E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6)包含15个中医科别</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38个的典型病案，支持教师机上传病案。</w:t>
            </w:r>
          </w:p>
          <w:p w14:paraId="4D429AE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2.适宜技术-自由练习：</w:t>
            </w:r>
          </w:p>
          <w:p w14:paraId="4F307F7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1)包括理论练习和操作练习两部分，并且自动记录试题练习和操作练习的进度。</w:t>
            </w:r>
          </w:p>
          <w:p w14:paraId="21E6562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2)理论练习为随机试题练习，不限定试题类型。</w:t>
            </w:r>
          </w:p>
          <w:p w14:paraId="0AAA003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3)支持从处方、毫针针刺、耳针、皮肤针、三棱针、头针、温和灸、雀啄灸、拔罐、走罐、刮痧、推拿等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30种试题类型中，选择一种或多种试题进行随机试题训练。</w:t>
            </w:r>
          </w:p>
          <w:p w14:paraId="69E89E5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4)试题训练提交之后，可查看答案及试题解析，同时可显示当前试题作答数量和答对情况。</w:t>
            </w:r>
          </w:p>
          <w:p w14:paraId="2983433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5)支持从毫针针刺、刮痧、拔罐、灸法、穴位贴敷中选择操作练习内容，单个手法操作练习数量</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3600种，开始练习之后，即可在软件上进行练习；部分内容支持在选配的硬件设备上进行操作练习。</w:t>
            </w:r>
          </w:p>
          <w:p w14:paraId="3C1A489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6)应支持通过不适部位及症状进行疾病方案练习训练，通过点击左侧虚拟小人可选择部位与症状，含男性、女性两个虚拟人体，可根据针刺、刮痧、拔罐、灸法、穴位贴敷查看不同类别的治疗方案，方案种类</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0种。方案介绍包括方案内容与考核内容</w:t>
            </w:r>
            <w:r>
              <w:rPr>
                <w:rFonts w:hint="eastAsia" w:cs="宋体"/>
                <w:color w:val="auto"/>
                <w:sz w:val="24"/>
                <w:szCs w:val="24"/>
                <w:highlight w:val="none"/>
                <w:lang w:eastAsia="zh-CN"/>
              </w:rPr>
              <w:t>。</w:t>
            </w:r>
          </w:p>
          <w:p w14:paraId="7920EC2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7)应支持以列表的方式进行方案筛选查看，筛选包括部位与症状，筛选支持多选。</w:t>
            </w:r>
          </w:p>
          <w:p w14:paraId="64D0B89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8)训练开始时，可进器具、体位、物品选择练习，系统会给出正确的答案以供参考。 </w:t>
            </w:r>
          </w:p>
          <w:p w14:paraId="324BDD2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9)在进行毫针针刺练习时，支持查看实时操作数据（针刺深度、针刺角度、旋转情况），辅助学生进行手法操作的练习。</w:t>
            </w:r>
          </w:p>
          <w:p w14:paraId="4CED289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10)支持在选配的仿真模型上进行走罐、刮痧及取穴的模拟操作训练。</w:t>
            </w:r>
          </w:p>
          <w:p w14:paraId="4C8670E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11)智能视觉识别，记录在选配的模型上进行的操作路径等内容，进行多维度、数据化的判断，并分析出操作是否正确。</w:t>
            </w:r>
          </w:p>
          <w:p w14:paraId="015557C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12)应支持在虚拟人身上进行虚拟艾灸训练，训练隔物灸、悬灸的相关技能。</w:t>
            </w:r>
          </w:p>
          <w:p w14:paraId="39080DC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13)操作练习时，支持对模型进行体位切换、一键穿衣。</w:t>
            </w:r>
          </w:p>
          <w:p w14:paraId="72EFE20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3.适宜技术-试卷考核：</w:t>
            </w:r>
          </w:p>
          <w:p w14:paraId="0D2789E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1)支持自定义组卷、随机组卷、试卷预览、下发考试等功能。</w:t>
            </w:r>
          </w:p>
          <w:p w14:paraId="6276202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2)当局域网内存在有同系列软件时，教师机可选择试卷向学生机下发试卷开始考核。</w:t>
            </w:r>
          </w:p>
          <w:p w14:paraId="1B9489D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3)支持教师用户查看不同试卷、不同班级的成绩及错题汇总。</w:t>
            </w:r>
          </w:p>
          <w:p w14:paraId="4A3543C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4.适宜技术-病例训练：</w:t>
            </w:r>
          </w:p>
          <w:p w14:paraId="7D5A18E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1)内置</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48个可用于训练、考核的病例，至少包括内科、妇科、外科、眼科、耳鼻喉科等科别。</w:t>
            </w:r>
          </w:p>
          <w:p w14:paraId="6B42B41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2)支持病例考核功能，当局域网内存在有同系列软件时，教师机可选择向学生机下发病例开始考核。</w:t>
            </w:r>
          </w:p>
          <w:p w14:paraId="65C087B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3)教师用户可查看或编辑患者的姓名、性别、年龄等基本信息，病例的主诉、诊查过程，病例的中医疾病诊断、中医证型诊断、西医诊断等诊断信息，病例的治则治法、治疗方案等内容。</w:t>
            </w:r>
          </w:p>
          <w:p w14:paraId="629DBAD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4)病例训练或考核的方式包括治疗方案的选择、治疗方案的编辑、治疗方案的判断、已有处方的审核、操作考核</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方式，不同的病例会有不同的训练或考核方式。</w:t>
            </w:r>
          </w:p>
          <w:p w14:paraId="1F0562D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5)治疗方案内置了包含处方、针刺、刮痧、拔罐、穴位贴敷、隔盐灸、温和灸、回旋灸、皮肤针</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9大类，</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27个治疗方案。</w:t>
            </w:r>
          </w:p>
          <w:p w14:paraId="799B292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6)支持教师自行选择及编辑病例的正确治疗方案。</w:t>
            </w:r>
          </w:p>
          <w:p w14:paraId="15DC657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7)支持教师选定治疗处方之后，对病例的治疗处方进行组成、剂量、煎煮法的调整，以训练学生审方、验方的能力。</w:t>
            </w:r>
          </w:p>
          <w:p w14:paraId="47E0BA1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8)支持教师选定“操作考核”考核方式及治疗方案之后，编辑每个治疗方案的考核内容，以训练学生的实际操作能力。</w:t>
            </w:r>
          </w:p>
          <w:p w14:paraId="71B93EC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9)模拟考核功能：教师机在编辑病例的过程中，支持对5种考核方式（治疗方案的选择、治疗方案的编辑、治疗方案的判断、已有处方的审核、操作考核）进行模拟考核。</w:t>
            </w:r>
          </w:p>
          <w:p w14:paraId="3EB2D20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10)可支持在选配的仿真模型上进行走罐、刮痧及取穴的模拟考核，并实现操作的分析判断功能。</w:t>
            </w:r>
          </w:p>
          <w:p w14:paraId="4EB2EA6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11)可使用选配模型的智能视觉识别，记录在实际模型上进行的操作路径等内容，进行多维度、数据化的判断，并分析出操作是否正确。</w:t>
            </w:r>
          </w:p>
          <w:p w14:paraId="1284A61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12)可支持在选配的针刺智能识别训练装置上通过识别针刺深度、针刺角度、旋转情况，实现手法操作考核。</w:t>
            </w:r>
          </w:p>
          <w:p w14:paraId="6874661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13)模拟考核结束、提交之后，即可查看考核的得分。支持教师查看不同班级、不同病例的历史训练记录和考核记录，查看成绩、错题汇总等内容。</w:t>
            </w:r>
          </w:p>
          <w:p w14:paraId="6B25317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（二）虚拟展厅单元</w:t>
            </w:r>
          </w:p>
          <w:p w14:paraId="215D4C0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1)展示内容包含针具、拔罐、刮痧等类型器具，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48个三维虚拟适宜技术操作器具。</w:t>
            </w:r>
          </w:p>
          <w:p w14:paraId="28B09FB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2)三维虚拟器具均可选中，选中之后，支持任意角度旋转，查看详情介绍等内容。</w:t>
            </w:r>
          </w:p>
          <w:p w14:paraId="56162C6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 设置单元</w:t>
            </w:r>
          </w:p>
          <w:p w14:paraId="7943430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1)包含教师、学生两种权限账户管理，支持进行用户的增、删、改、查等操作。</w:t>
            </w:r>
          </w:p>
          <w:p w14:paraId="213951B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2)支持进行单选、多选、判断、填空等多类试题的管理，也支持自行编写、导入试题。</w:t>
            </w:r>
          </w:p>
          <w:p w14:paraId="00C2DA9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3)支持用户自行添加治疗方案，增加范围含处方、针刺、艾灸、刮痧、拔罐等。</w:t>
            </w:r>
          </w:p>
          <w:p w14:paraId="4DE7A53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4)应支持用户自行编辑治疗方案，可上传图片或视频等多媒体资源。</w:t>
            </w:r>
          </w:p>
          <w:p w14:paraId="40850DA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（四）监控功能要求</w:t>
            </w:r>
          </w:p>
          <w:p w14:paraId="10BA33A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1.应支持共享功能，当局域网内存在有同系列软件时，支持教师机共享当前界面。</w:t>
            </w:r>
          </w:p>
          <w:p w14:paraId="68E3410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2.当局域网内存在同系列软件时，教师机可选择学生机实时查看该学生机当前的屏幕画面，并也支持放大、还原学生机的监控画面。 </w:t>
            </w:r>
          </w:p>
          <w:p w14:paraId="583FA4A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（一）硬件参数</w:t>
            </w:r>
          </w:p>
          <w:p w14:paraId="22BFF09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示教推车</w:t>
            </w:r>
          </w:p>
          <w:p w14:paraId="4DF0CFE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1、一体化移动教学推车集拍摄万向臂、实训主机支架、相机托架、扶手、托板、机柜箱体、移动底座及万向轮于一体</w:t>
            </w:r>
            <w:r>
              <w:rPr>
                <w:rFonts w:hint="eastAsia" w:cs="宋体"/>
                <w:color w:val="auto"/>
                <w:sz w:val="24"/>
                <w:szCs w:val="24"/>
                <w:highlight w:val="none"/>
                <w:lang w:eastAsia="zh-CN"/>
              </w:rPr>
              <w:t>。</w:t>
            </w:r>
          </w:p>
          <w:p w14:paraId="6B9052E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2、实训主机固定架可以承受10kg, 可进行俯仰30度、左右90度的摆动</w:t>
            </w:r>
            <w:r>
              <w:rPr>
                <w:rFonts w:hint="eastAsia" w:cs="宋体"/>
                <w:color w:val="auto"/>
                <w:sz w:val="24"/>
                <w:szCs w:val="24"/>
                <w:highlight w:val="none"/>
                <w:lang w:eastAsia="zh-CN"/>
              </w:rPr>
              <w:t>。</w:t>
            </w:r>
          </w:p>
          <w:p w14:paraId="54DD492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3、台面把手一体化，台面及把手为金属材质无缝一体成型</w:t>
            </w:r>
            <w:r>
              <w:rPr>
                <w:rFonts w:hint="eastAsia" w:cs="宋体"/>
                <w:color w:val="auto"/>
                <w:sz w:val="24"/>
                <w:szCs w:val="24"/>
                <w:highlight w:val="none"/>
                <w:lang w:eastAsia="zh-CN"/>
              </w:rPr>
              <w:t>。</w:t>
            </w:r>
          </w:p>
          <w:p w14:paraId="1E25716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cs="宋体"/>
                <w:color w:val="auto"/>
                <w:sz w:val="24"/>
                <w:szCs w:val="24"/>
                <w:highlight w:val="none"/>
                <w:lang w:eastAsia="zh-CN"/>
              </w:rPr>
            </w:pPr>
            <w:r>
              <w:rPr>
                <w:rFonts w:hint="eastAsia" w:ascii="宋体" w:hAnsi="宋体" w:eastAsia="宋体" w:cs="宋体"/>
                <w:color w:val="auto"/>
                <w:sz w:val="24"/>
                <w:szCs w:val="24"/>
                <w:highlight w:val="none"/>
              </w:rPr>
              <w:t>4、立柱使用高强度的铝合金,内部中空设计，可隐藏走线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整车身高度</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1.6米</w:t>
            </w:r>
            <w:r>
              <w:rPr>
                <w:rFonts w:hint="eastAsia" w:cs="宋体"/>
                <w:color w:val="auto"/>
                <w:sz w:val="24"/>
                <w:szCs w:val="24"/>
                <w:highlight w:val="none"/>
                <w:lang w:eastAsia="zh-CN"/>
              </w:rPr>
              <w:t>。</w:t>
            </w:r>
          </w:p>
          <w:p w14:paraId="1B67B78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5、车体底座采用防缠绕静音万向医疗轮4组，带刹车功能</w:t>
            </w:r>
            <w:r>
              <w:rPr>
                <w:rFonts w:hint="eastAsia" w:cs="宋体"/>
                <w:color w:val="auto"/>
                <w:sz w:val="24"/>
                <w:szCs w:val="24"/>
                <w:highlight w:val="none"/>
                <w:lang w:eastAsia="zh-CN"/>
              </w:rPr>
              <w:t>。</w:t>
            </w:r>
          </w:p>
          <w:p w14:paraId="630FA93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6、标配箱体高</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450mm*宽400mm* 深350mm正负50mm；侧面检修门；背部多点散热孔设计</w:t>
            </w:r>
            <w:r>
              <w:rPr>
                <w:rFonts w:hint="eastAsia" w:cs="宋体"/>
                <w:color w:val="auto"/>
                <w:sz w:val="24"/>
                <w:szCs w:val="24"/>
                <w:highlight w:val="none"/>
                <w:lang w:eastAsia="zh-CN"/>
              </w:rPr>
              <w:t>。</w:t>
            </w:r>
          </w:p>
          <w:p w14:paraId="2B36BBC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7、底盘：内部高强度金属结构底座框架支撑，增加底部配重。</w:t>
            </w:r>
          </w:p>
          <w:p w14:paraId="32AE391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万向臂*1</w:t>
            </w:r>
            <w:r>
              <w:rPr>
                <w:rFonts w:hint="eastAsia" w:cs="宋体"/>
                <w:color w:val="auto"/>
                <w:sz w:val="24"/>
                <w:szCs w:val="24"/>
                <w:highlight w:val="none"/>
                <w:lang w:eastAsia="zh-CN"/>
              </w:rPr>
              <w:t>。</w:t>
            </w:r>
          </w:p>
          <w:p w14:paraId="4502F58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cs="宋体"/>
                <w:color w:val="auto"/>
                <w:sz w:val="24"/>
                <w:szCs w:val="24"/>
                <w:highlight w:val="none"/>
                <w:lang w:eastAsia="zh-CN"/>
              </w:rPr>
            </w:pPr>
            <w:r>
              <w:rPr>
                <w:rFonts w:hint="eastAsia" w:ascii="宋体" w:hAnsi="宋体" w:eastAsia="宋体" w:cs="宋体"/>
                <w:color w:val="auto"/>
                <w:sz w:val="24"/>
                <w:szCs w:val="24"/>
                <w:highlight w:val="none"/>
              </w:rPr>
              <w:t>1、多功能万向臂，转臂可折叠收缩，可自行穿线，连接线缆隐藏在转臂内部</w:t>
            </w:r>
            <w:r>
              <w:rPr>
                <w:rFonts w:hint="eastAsia" w:cs="宋体"/>
                <w:color w:val="auto"/>
                <w:sz w:val="24"/>
                <w:szCs w:val="24"/>
                <w:highlight w:val="none"/>
                <w:lang w:eastAsia="zh-CN"/>
              </w:rPr>
              <w:t>。</w:t>
            </w:r>
          </w:p>
          <w:p w14:paraId="254D7B6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2、可水平 360 度旋转，二节转臂垂直45度调节，可多方位旋转调节。万向臂水平展开尺寸</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1米，承重范围：0.5-2KG</w:t>
            </w:r>
            <w:r>
              <w:rPr>
                <w:rFonts w:hint="eastAsia" w:cs="宋体"/>
                <w:color w:val="auto"/>
                <w:sz w:val="24"/>
                <w:szCs w:val="24"/>
                <w:highlight w:val="none"/>
                <w:lang w:eastAsia="zh-CN"/>
              </w:rPr>
              <w:t>。</w:t>
            </w:r>
          </w:p>
          <w:p w14:paraId="2776686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3、万向臂支持多种高清摄像机的安装，相机托架适用于多种场景的相机变换与安装</w:t>
            </w:r>
            <w:r>
              <w:rPr>
                <w:rFonts w:hint="eastAsia" w:cs="宋体"/>
                <w:color w:val="auto"/>
                <w:sz w:val="24"/>
                <w:szCs w:val="24"/>
                <w:highlight w:val="none"/>
                <w:lang w:eastAsia="zh-CN"/>
              </w:rPr>
              <w:t>。</w:t>
            </w:r>
          </w:p>
          <w:p w14:paraId="532F28C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特写摄像机*1</w:t>
            </w:r>
          </w:p>
          <w:p w14:paraId="4A4EF7C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1、图像传感器1/2.8英寸高品质HD CMOS传感器，有效像素16：9  210万有效象素</w:t>
            </w:r>
            <w:r>
              <w:rPr>
                <w:rFonts w:hint="eastAsia" w:cs="宋体"/>
                <w:color w:val="auto"/>
                <w:sz w:val="24"/>
                <w:szCs w:val="24"/>
                <w:highlight w:val="none"/>
                <w:lang w:eastAsia="zh-CN"/>
              </w:rPr>
              <w:t>。</w:t>
            </w:r>
          </w:p>
          <w:p w14:paraId="4F5BF2E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2、视频格式:1080P60/50/30/25/59.94/29.97 、</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rPr>
              <w:t>20P60/50/59.94/29.97</w:t>
            </w:r>
            <w:r>
              <w:rPr>
                <w:rFonts w:hint="eastAsia" w:cs="宋体"/>
                <w:color w:val="auto"/>
                <w:sz w:val="24"/>
                <w:szCs w:val="24"/>
                <w:highlight w:val="none"/>
                <w:lang w:eastAsia="zh-CN"/>
              </w:rPr>
              <w:t>。</w:t>
            </w:r>
          </w:p>
          <w:p w14:paraId="6A38307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3、光学变倍：20倍，12倍数字变倍</w:t>
            </w:r>
            <w:r>
              <w:rPr>
                <w:rFonts w:hint="eastAsia" w:cs="宋体"/>
                <w:color w:val="auto"/>
                <w:sz w:val="24"/>
                <w:szCs w:val="24"/>
                <w:highlight w:val="none"/>
                <w:lang w:val="en-US" w:eastAsia="zh-CN"/>
              </w:rPr>
              <w:t>。</w:t>
            </w:r>
          </w:p>
          <w:p w14:paraId="1F00010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4、镜头参数：F1.6～F3.5,f=5.5~110mm</w:t>
            </w:r>
            <w:r>
              <w:rPr>
                <w:rFonts w:hint="eastAsia" w:cs="宋体"/>
                <w:color w:val="auto"/>
                <w:sz w:val="24"/>
                <w:szCs w:val="24"/>
                <w:highlight w:val="none"/>
                <w:lang w:eastAsia="zh-CN"/>
              </w:rPr>
              <w:t>。</w:t>
            </w:r>
          </w:p>
          <w:p w14:paraId="02A26E0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5、水平视角：58°(广角端)～2.9°(远端)</w:t>
            </w:r>
            <w:r>
              <w:rPr>
                <w:rFonts w:hint="eastAsia" w:cs="宋体"/>
                <w:color w:val="auto"/>
                <w:sz w:val="24"/>
                <w:szCs w:val="24"/>
                <w:highlight w:val="none"/>
                <w:lang w:eastAsia="zh-CN"/>
              </w:rPr>
              <w:t>。</w:t>
            </w:r>
          </w:p>
          <w:p w14:paraId="6E28C2E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6、视频接口：USB3.0+HDMI+IP+SDI</w:t>
            </w:r>
            <w:r>
              <w:rPr>
                <w:rFonts w:hint="eastAsia" w:cs="宋体"/>
                <w:color w:val="auto"/>
                <w:sz w:val="24"/>
                <w:szCs w:val="24"/>
                <w:highlight w:val="none"/>
                <w:lang w:eastAsia="zh-CN"/>
              </w:rPr>
              <w:t>。</w:t>
            </w:r>
          </w:p>
          <w:p w14:paraId="4B935A7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7、信噪比：&gt; 52dB</w:t>
            </w:r>
            <w:r>
              <w:rPr>
                <w:rFonts w:hint="eastAsia" w:cs="宋体"/>
                <w:color w:val="auto"/>
                <w:sz w:val="24"/>
                <w:szCs w:val="24"/>
                <w:highlight w:val="none"/>
                <w:lang w:eastAsia="zh-CN"/>
              </w:rPr>
              <w:t>。</w:t>
            </w:r>
          </w:p>
          <w:p w14:paraId="566625A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8、最低照度：0.1 lux</w:t>
            </w:r>
            <w:r>
              <w:rPr>
                <w:rFonts w:hint="eastAsia" w:cs="宋体"/>
                <w:color w:val="auto"/>
                <w:sz w:val="24"/>
                <w:szCs w:val="24"/>
                <w:highlight w:val="none"/>
                <w:lang w:eastAsia="zh-CN"/>
              </w:rPr>
              <w:t>。</w:t>
            </w:r>
          </w:p>
          <w:p w14:paraId="6450CB0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9、增益:  自动/手动</w:t>
            </w:r>
            <w:r>
              <w:rPr>
                <w:rFonts w:hint="eastAsia" w:cs="宋体"/>
                <w:color w:val="auto"/>
                <w:sz w:val="24"/>
                <w:szCs w:val="24"/>
                <w:highlight w:val="none"/>
                <w:lang w:eastAsia="zh-CN"/>
              </w:rPr>
              <w:t>。</w:t>
            </w:r>
          </w:p>
          <w:p w14:paraId="4E800CE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10、白平衡: 自动/室内/室外/一键式/手动</w:t>
            </w:r>
            <w:r>
              <w:rPr>
                <w:rFonts w:hint="eastAsia" w:cs="宋体"/>
                <w:color w:val="auto"/>
                <w:sz w:val="24"/>
                <w:szCs w:val="24"/>
                <w:highlight w:val="none"/>
                <w:lang w:eastAsia="zh-CN"/>
              </w:rPr>
              <w:t>。</w:t>
            </w:r>
          </w:p>
          <w:p w14:paraId="1D56FD7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cs="宋体"/>
                <w:color w:val="auto"/>
                <w:sz w:val="24"/>
                <w:szCs w:val="24"/>
                <w:highlight w:val="none"/>
                <w:lang w:eastAsia="zh-CN"/>
              </w:rPr>
            </w:pPr>
            <w:r>
              <w:rPr>
                <w:rFonts w:hint="eastAsia" w:ascii="宋体" w:hAnsi="宋体" w:eastAsia="宋体" w:cs="宋体"/>
                <w:color w:val="auto"/>
                <w:sz w:val="24"/>
                <w:szCs w:val="24"/>
                <w:highlight w:val="none"/>
              </w:rPr>
              <w:t xml:space="preserve">11、图像翻转：有 </w:t>
            </w:r>
            <w:r>
              <w:rPr>
                <w:rFonts w:hint="eastAsia" w:cs="宋体"/>
                <w:color w:val="auto"/>
                <w:sz w:val="24"/>
                <w:szCs w:val="24"/>
                <w:highlight w:val="none"/>
                <w:lang w:eastAsia="zh-CN"/>
              </w:rPr>
              <w:t>。</w:t>
            </w:r>
          </w:p>
          <w:p w14:paraId="34A45B3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12、预置位： 256个</w:t>
            </w:r>
            <w:r>
              <w:rPr>
                <w:rFonts w:hint="eastAsia" w:cs="宋体"/>
                <w:color w:val="auto"/>
                <w:sz w:val="24"/>
                <w:szCs w:val="24"/>
                <w:highlight w:val="none"/>
                <w:lang w:eastAsia="zh-CN"/>
              </w:rPr>
              <w:t>。</w:t>
            </w:r>
          </w:p>
          <w:p w14:paraId="3EE8A2D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13、噪声抑制功能 (3D NR)：有 </w:t>
            </w:r>
            <w:r>
              <w:rPr>
                <w:rFonts w:hint="eastAsia" w:cs="宋体"/>
                <w:color w:val="auto"/>
                <w:sz w:val="24"/>
                <w:szCs w:val="24"/>
                <w:highlight w:val="none"/>
                <w:lang w:eastAsia="zh-CN"/>
              </w:rPr>
              <w:t>。</w:t>
            </w:r>
          </w:p>
          <w:p w14:paraId="66C2B5E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14聚焦方式：自动/手动</w:t>
            </w:r>
            <w:r>
              <w:rPr>
                <w:rFonts w:hint="eastAsia" w:cs="宋体"/>
                <w:color w:val="auto"/>
                <w:sz w:val="24"/>
                <w:szCs w:val="24"/>
                <w:highlight w:val="none"/>
                <w:lang w:eastAsia="zh-CN"/>
              </w:rPr>
              <w:t>。</w:t>
            </w:r>
          </w:p>
          <w:p w14:paraId="34366F91">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0" w:firstLineChars="0"/>
              <w:jc w:val="left"/>
              <w:textAlignment w:val="auto"/>
              <w:rPr>
                <w:rFonts w:hint="eastAsia" w:cs="宋体"/>
                <w:color w:val="auto"/>
                <w:sz w:val="24"/>
                <w:szCs w:val="24"/>
                <w:highlight w:val="none"/>
                <w:lang w:eastAsia="zh-CN"/>
              </w:rPr>
            </w:pPr>
            <w:r>
              <w:rPr>
                <w:rFonts w:hint="eastAsia" w:ascii="宋体" w:hAnsi="宋体" w:eastAsia="宋体" w:cs="宋体"/>
                <w:color w:val="auto"/>
                <w:sz w:val="24"/>
                <w:szCs w:val="24"/>
                <w:highlight w:val="none"/>
              </w:rPr>
              <w:t>机身按键功能：菜单调用，变焦，聚焦等</w:t>
            </w:r>
            <w:r>
              <w:rPr>
                <w:rFonts w:hint="eastAsia" w:cs="宋体"/>
                <w:color w:val="auto"/>
                <w:sz w:val="24"/>
                <w:szCs w:val="24"/>
                <w:highlight w:val="none"/>
                <w:lang w:eastAsia="zh-CN"/>
              </w:rPr>
              <w:t>。</w:t>
            </w:r>
          </w:p>
          <w:p w14:paraId="68644A96">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16、视频编码：MPEG/YUY2/H.264。</w:t>
            </w:r>
          </w:p>
          <w:p w14:paraId="7BEADB2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触控主机</w:t>
            </w:r>
          </w:p>
          <w:p w14:paraId="56D48DE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21英寸触摸屏，</w:t>
            </w:r>
            <w:r>
              <w:rPr>
                <w:rFonts w:hint="eastAsia" w:ascii="宋体" w:hAnsi="宋体" w:eastAsia="宋体" w:cs="宋体"/>
                <w:color w:val="auto"/>
                <w:sz w:val="24"/>
                <w:szCs w:val="24"/>
                <w:highlight w:val="none"/>
                <w:lang w:val="en-US" w:eastAsia="zh-CN"/>
              </w:rPr>
              <w:t>多</w:t>
            </w:r>
            <w:r>
              <w:rPr>
                <w:rFonts w:hint="eastAsia" w:ascii="宋体" w:hAnsi="宋体" w:eastAsia="宋体" w:cs="宋体"/>
                <w:color w:val="auto"/>
                <w:sz w:val="24"/>
                <w:szCs w:val="24"/>
                <w:highlight w:val="none"/>
              </w:rPr>
              <w:t>触控电容屏 高清分辨率1920*1080/宽高比16:9/对比度3000:1，响应时间5ms，亮度250cd/m²，可视角度H:178V:178</w:t>
            </w:r>
            <w:r>
              <w:rPr>
                <w:rFonts w:hint="eastAsia" w:cs="宋体"/>
                <w:color w:val="auto"/>
                <w:sz w:val="24"/>
                <w:szCs w:val="24"/>
                <w:highlight w:val="none"/>
                <w:lang w:eastAsia="zh-CN"/>
              </w:rPr>
              <w:t>。</w:t>
            </w:r>
          </w:p>
          <w:p w14:paraId="521ACCA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2、配置：CPU： ≥I5，硬盘存储容量：≥256G，内存条：≥8G*2双通道。</w:t>
            </w:r>
          </w:p>
          <w:p w14:paraId="013060D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电池</w:t>
            </w:r>
          </w:p>
          <w:p w14:paraId="5E5078A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1、容量：≥45AH</w:t>
            </w:r>
            <w:r>
              <w:rPr>
                <w:rFonts w:hint="eastAsia" w:cs="宋体"/>
                <w:color w:val="auto"/>
                <w:sz w:val="24"/>
                <w:szCs w:val="24"/>
                <w:highlight w:val="none"/>
                <w:lang w:eastAsia="zh-CN"/>
              </w:rPr>
              <w:t>。</w:t>
            </w:r>
          </w:p>
          <w:p w14:paraId="72CA58A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2、外壳材质：不锈钢外壳，防锈防腐蚀</w:t>
            </w:r>
            <w:r>
              <w:rPr>
                <w:rFonts w:hint="eastAsia" w:cs="宋体"/>
                <w:color w:val="auto"/>
                <w:sz w:val="24"/>
                <w:szCs w:val="24"/>
                <w:highlight w:val="none"/>
                <w:lang w:eastAsia="zh-CN"/>
              </w:rPr>
              <w:t>。</w:t>
            </w:r>
          </w:p>
          <w:p w14:paraId="611D44D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5、电量显示功能：彩色；具有实时电流、电压、电池温度、剩余电量百分比显示，显示屏</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3英寸；要求实际所显示电量百分比准确，不接受根据电压测算方案的电量表；（提供厂家产品截图）</w:t>
            </w:r>
            <w:r>
              <w:rPr>
                <w:rFonts w:hint="eastAsia" w:cs="宋体"/>
                <w:color w:val="auto"/>
                <w:sz w:val="24"/>
                <w:szCs w:val="24"/>
                <w:highlight w:val="none"/>
                <w:lang w:eastAsia="zh-CN"/>
              </w:rPr>
              <w:t>。</w:t>
            </w:r>
          </w:p>
          <w:p w14:paraId="02CA335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6、充电器：具有充满电自动停止充电功能，最大充电电流</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9A</w:t>
            </w:r>
            <w:r>
              <w:rPr>
                <w:rFonts w:hint="eastAsia" w:cs="宋体"/>
                <w:color w:val="auto"/>
                <w:sz w:val="24"/>
                <w:szCs w:val="24"/>
                <w:highlight w:val="none"/>
                <w:lang w:eastAsia="zh-CN"/>
              </w:rPr>
              <w:t>。</w:t>
            </w:r>
          </w:p>
          <w:p w14:paraId="7E9CED6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7、具有管理功能，支持有对电量、电压、电流、温度的常规查看，支持对电池工作做保护设置，需要有对电流、电压、电池组均衡的保护功能，且需要看到电池充电循环的次数。(提供厂家软件截图）</w:t>
            </w:r>
            <w:r>
              <w:rPr>
                <w:rFonts w:hint="eastAsia" w:cs="宋体"/>
                <w:color w:val="auto"/>
                <w:sz w:val="24"/>
                <w:szCs w:val="24"/>
                <w:highlight w:val="none"/>
                <w:lang w:eastAsia="zh-CN"/>
              </w:rPr>
              <w:t>。</w:t>
            </w:r>
          </w:p>
          <w:p w14:paraId="5F5DEAC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无线路由器</w:t>
            </w:r>
          </w:p>
          <w:p w14:paraId="0CF1999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1、1个WAN口，1个LAN口</w:t>
            </w:r>
            <w:r>
              <w:rPr>
                <w:rFonts w:hint="eastAsia" w:cs="宋体"/>
                <w:color w:val="auto"/>
                <w:sz w:val="24"/>
                <w:szCs w:val="24"/>
                <w:highlight w:val="none"/>
                <w:lang w:eastAsia="zh-CN"/>
              </w:rPr>
              <w:t>。</w:t>
            </w:r>
          </w:p>
          <w:p w14:paraId="2B73750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2、支持WIFI2.4和5.8无线</w:t>
            </w:r>
            <w:r>
              <w:rPr>
                <w:rFonts w:hint="eastAsia" w:cs="宋体"/>
                <w:color w:val="auto"/>
                <w:sz w:val="24"/>
                <w:szCs w:val="24"/>
                <w:highlight w:val="none"/>
                <w:lang w:eastAsia="zh-CN"/>
              </w:rPr>
              <w:t>。</w:t>
            </w:r>
          </w:p>
          <w:p w14:paraId="2B46989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3、支持无线桥接。</w:t>
            </w:r>
          </w:p>
          <w:p w14:paraId="74947E5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（二）软件参数</w:t>
            </w:r>
          </w:p>
          <w:p w14:paraId="21E5376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1、系统符合标准 IP 协议，采用通用以太网网络传输音视频信号，采用 C/S 架构，图形化软件界面设计</w:t>
            </w:r>
            <w:r>
              <w:rPr>
                <w:rFonts w:hint="eastAsia" w:cs="宋体"/>
                <w:color w:val="auto"/>
                <w:sz w:val="24"/>
                <w:szCs w:val="24"/>
                <w:highlight w:val="none"/>
                <w:lang w:eastAsia="zh-CN"/>
              </w:rPr>
              <w:t>。</w:t>
            </w:r>
          </w:p>
          <w:p w14:paraId="1BFB303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2、接收端收看实训实操画面不需要打开浏览器或登录，也不需要借助第三方的软件或硬件投屏或图传设备。只须点击“投屏”按钮，每个大屏就能被动收看实时画面；（提供厂家软件截图）</w:t>
            </w:r>
            <w:r>
              <w:rPr>
                <w:rFonts w:hint="eastAsia" w:cs="宋体"/>
                <w:color w:val="auto"/>
                <w:sz w:val="24"/>
                <w:szCs w:val="24"/>
                <w:highlight w:val="none"/>
                <w:lang w:eastAsia="zh-CN"/>
              </w:rPr>
              <w:t>。</w:t>
            </w:r>
          </w:p>
          <w:p w14:paraId="52BEFF7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3、视频同步画面分辨率可调，至少须支持1920*1080，向下1280*720，可调码流1M-50M，可调帧率10--60帧/S</w:t>
            </w:r>
            <w:r>
              <w:rPr>
                <w:rFonts w:hint="eastAsia" w:cs="宋体"/>
                <w:color w:val="auto"/>
                <w:sz w:val="24"/>
                <w:szCs w:val="24"/>
                <w:highlight w:val="none"/>
                <w:lang w:eastAsia="zh-CN"/>
              </w:rPr>
              <w:t>。</w:t>
            </w:r>
          </w:p>
          <w:p w14:paraId="26B7C8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4、须提供多通道信号源和资源展示，包含采集卡、媒体文件、网络串流、网络摄像机、远程桌面、本地桌面、手机投屏（含Andriod、IOS、Windows）等展示；（提供厂家软件截图）</w:t>
            </w:r>
            <w:r>
              <w:rPr>
                <w:rFonts w:hint="eastAsia" w:cs="宋体"/>
                <w:color w:val="auto"/>
                <w:sz w:val="24"/>
                <w:szCs w:val="24"/>
                <w:highlight w:val="none"/>
                <w:lang w:eastAsia="zh-CN"/>
              </w:rPr>
              <w:t>。</w:t>
            </w:r>
          </w:p>
          <w:p w14:paraId="5AB45D8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5、通过单击摄像机通道画面，可以控制云台转动、变倍</w:t>
            </w:r>
            <w:r>
              <w:rPr>
                <w:rFonts w:hint="eastAsia" w:cs="宋体"/>
                <w:color w:val="auto"/>
                <w:sz w:val="24"/>
                <w:szCs w:val="24"/>
                <w:highlight w:val="none"/>
                <w:lang w:eastAsia="zh-CN"/>
              </w:rPr>
              <w:t>。</w:t>
            </w:r>
          </w:p>
          <w:p w14:paraId="6B74A49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000000"/>
                <w:sz w:val="20"/>
                <w:szCs w:val="20"/>
                <w:u w:val="none"/>
              </w:rPr>
              <w:t>▲</w:t>
            </w:r>
            <w:r>
              <w:rPr>
                <w:rFonts w:hint="eastAsia" w:ascii="宋体" w:hAnsi="宋体" w:eastAsia="宋体" w:cs="宋体"/>
                <w:color w:val="auto"/>
                <w:sz w:val="24"/>
                <w:szCs w:val="24"/>
                <w:highlight w:val="none"/>
              </w:rPr>
              <w:t>6、示教端完成录制视频后，软件支持通过二维码分享录媒体文件功能，小组或学生即可扫描二维码进行扫码带走，可把实训媒体文件通过二维码分享给学生（提供厂家软件截图）</w:t>
            </w:r>
            <w:r>
              <w:rPr>
                <w:rFonts w:hint="eastAsia" w:cs="宋体"/>
                <w:color w:val="auto"/>
                <w:sz w:val="24"/>
                <w:szCs w:val="24"/>
                <w:highlight w:val="none"/>
                <w:lang w:eastAsia="zh-CN"/>
              </w:rPr>
              <w:t>。</w:t>
            </w:r>
          </w:p>
          <w:p w14:paraId="6CFFDC8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7、选定的多台终端通过以太网（包含有线网络、无线网络）一键画面强制投屏，且需支持大于8路终端直播；</w:t>
            </w:r>
          </w:p>
          <w:p w14:paraId="4FF8899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8、视频录制时，支持本地桌面、远程桌面、小组摄像机和本地摄像机在同一个布局中呈现；（提供厂家软件截图）</w:t>
            </w:r>
            <w:r>
              <w:rPr>
                <w:rFonts w:hint="eastAsia" w:cs="宋体"/>
                <w:color w:val="auto"/>
                <w:sz w:val="24"/>
                <w:szCs w:val="24"/>
                <w:highlight w:val="none"/>
                <w:lang w:eastAsia="zh-CN"/>
              </w:rPr>
              <w:t>。</w:t>
            </w:r>
          </w:p>
          <w:p w14:paraId="159F8A6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9、支持局域网的终端通过开源播放器输入流地址看直播</w:t>
            </w:r>
            <w:r>
              <w:rPr>
                <w:rFonts w:hint="eastAsia" w:cs="宋体"/>
                <w:color w:val="auto"/>
                <w:sz w:val="24"/>
                <w:szCs w:val="24"/>
                <w:highlight w:val="none"/>
                <w:lang w:eastAsia="zh-CN"/>
              </w:rPr>
              <w:t>。</w:t>
            </w:r>
          </w:p>
          <w:p w14:paraId="70921D0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10、支持推流到直播平台</w:t>
            </w:r>
            <w:r>
              <w:rPr>
                <w:rFonts w:hint="eastAsia" w:cs="宋体"/>
                <w:color w:val="auto"/>
                <w:sz w:val="24"/>
                <w:szCs w:val="24"/>
                <w:highlight w:val="none"/>
                <w:lang w:eastAsia="zh-CN"/>
              </w:rPr>
              <w:t>。</w:t>
            </w:r>
          </w:p>
          <w:p w14:paraId="70569D0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11、另配置：常规针刺头部、臀部、手臂模型1套、多功能中医技能训练及考核模型1套、针刺训练盒10个</w:t>
            </w:r>
            <w:r>
              <w:rPr>
                <w:rFonts w:hint="eastAsia" w:cs="宋体"/>
                <w:color w:val="auto"/>
                <w:sz w:val="24"/>
                <w:szCs w:val="24"/>
                <w:highlight w:val="none"/>
                <w:lang w:eastAsia="zh-CN"/>
              </w:rPr>
              <w:t>。</w:t>
            </w:r>
          </w:p>
          <w:p w14:paraId="55EF0FD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多功能中医技能训练及考核模型</w:t>
            </w:r>
          </w:p>
          <w:p w14:paraId="1A54533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1.产品硬件包含：智能定位操作台、视觉识别摄像头、多功能背部操作仿真模型。</w:t>
            </w:r>
          </w:p>
          <w:p w14:paraId="2FC172B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2.智能定位操作台支持电动升降；桌面应具有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8个视觉识别标记点位。</w:t>
            </w:r>
          </w:p>
          <w:p w14:paraId="114E332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3.视觉识别摄像头深度分辨率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1024×768。</w:t>
            </w:r>
          </w:p>
          <w:p w14:paraId="79946B5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4.多功能背部操作仿真模型：尺寸为87</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mm×370mm×14</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mm（L×W×H）±2mm</w:t>
            </w:r>
            <w:r>
              <w:rPr>
                <w:rFonts w:hint="eastAsia" w:cs="宋体"/>
                <w:color w:val="auto"/>
                <w:sz w:val="24"/>
                <w:szCs w:val="24"/>
                <w:highlight w:val="none"/>
                <w:lang w:eastAsia="zh-CN"/>
              </w:rPr>
              <w:t>。</w:t>
            </w:r>
          </w:p>
          <w:p w14:paraId="2A95D86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由头部至臀裂处，模型具有和真人相近的背部肌肉造型，模型具有完整头部外形；模拟皮肤柔软有弹性，触感真实，皮肤表面可捏起，采用新型耐火、耐高温复合材料制成，可进行真实的拔罐、艾灸操作，高温不会损伤模型</w:t>
            </w:r>
            <w:r>
              <w:rPr>
                <w:rFonts w:hint="eastAsia" w:cs="宋体"/>
                <w:color w:val="auto"/>
                <w:sz w:val="24"/>
                <w:szCs w:val="24"/>
                <w:highlight w:val="none"/>
                <w:lang w:eastAsia="zh-CN"/>
              </w:rPr>
              <w:t>。</w:t>
            </w:r>
          </w:p>
          <w:p w14:paraId="0ACC3A7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5.模型应具有真实的背部骨性标志，可触及肩胛骨、第7颈椎、各胸椎、腰椎的棘突等骨性标志。</w:t>
            </w:r>
          </w:p>
          <w:p w14:paraId="70D8D4D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6.应支持进行操作练习，从刮痧、走罐、穴位定位中选择操作练习内容，开始练习之后，即可在软件上进行练习。</w:t>
            </w:r>
          </w:p>
          <w:p w14:paraId="3409E41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7.应支持在仿真模型上进行走罐、刮痧及取穴的模拟考核，并实现操作的分析判断功能。</w:t>
            </w:r>
          </w:p>
          <w:p w14:paraId="612CB2D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应支持使用智能视觉识别，记录在实际模型上进行的操作路径等内容，在中医适宜技术智慧实训教学系统上进行多维度、数据化的判断，并分析出操作是否正确。具有随机考核功能，可以对学生的技能操作进行逐项打分。</w:t>
            </w:r>
          </w:p>
          <w:p w14:paraId="5FE8C2F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p>
          <w:p w14:paraId="242C0A9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中医适宜技术教学管理系统-学生机（</w:t>
            </w:r>
            <w:r>
              <w:rPr>
                <w:rFonts w:hint="eastAsia" w:ascii="宋体" w:hAnsi="宋体" w:eastAsia="宋体" w:cs="宋体"/>
                <w:b/>
                <w:bCs/>
                <w:color w:val="auto"/>
                <w:sz w:val="24"/>
                <w:szCs w:val="24"/>
                <w:highlight w:val="none"/>
                <w:lang w:eastAsia="zh-CN"/>
              </w:rPr>
              <w:t>含</w:t>
            </w:r>
            <w:r>
              <w:rPr>
                <w:rFonts w:hint="eastAsia" w:ascii="宋体" w:hAnsi="宋体" w:eastAsia="宋体" w:cs="宋体"/>
                <w:b/>
                <w:bCs/>
                <w:color w:val="auto"/>
                <w:sz w:val="24"/>
                <w:szCs w:val="24"/>
                <w:highlight w:val="none"/>
              </w:rPr>
              <w:t>软件）</w:t>
            </w:r>
          </w:p>
          <w:p w14:paraId="419CD90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1、产品概述</w:t>
            </w:r>
          </w:p>
          <w:p w14:paraId="28E59A1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中医诊断学、中医内科学、针灸学、推拿学等教材为理论基础，以疾病知识讲解、典型病例学习、适宜技术学习为主要内容，包含处方、针刺、艾灸等多种适宜技术，是一款集理论知识串讲、典型病例教学、适宜技术操作教学为一体的教学产品。具有随机考核功能，可以对学生的技能操作进行逐项打分。</w:t>
            </w:r>
          </w:p>
          <w:p w14:paraId="0005258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2、产品功能参数</w:t>
            </w:r>
          </w:p>
          <w:p w14:paraId="6B9CED1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包含适宜技术、虚拟展厅两个单元，且两个单元应在一个程序中操作。</w:t>
            </w:r>
          </w:p>
          <w:p w14:paraId="2BCFC17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3.1适宜技术单元应包括基础知识、自由练习、考核、病例训练</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模块。</w:t>
            </w:r>
          </w:p>
          <w:p w14:paraId="79F69EC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3.1.1基础知识模块</w:t>
            </w:r>
          </w:p>
          <w:p w14:paraId="118F5A8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1)包含中医内科、妇科、儿科、五官科、外科等5个科别的，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60个疾病的基础知识讲解。</w:t>
            </w:r>
          </w:p>
          <w:p w14:paraId="4B0B10C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2)疾病可支持查看科别、疾病类别、中医病名及西医病名等基础内容，及疾病概述、诊断要点、病因病机、类症鉴别、推荐检查、证型分型、治疗方案等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7类内容。</w:t>
            </w:r>
          </w:p>
          <w:p w14:paraId="20464E8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3)疾病的治疗方案中包含文字、图片等多种格式中的部分格式内容。</w:t>
            </w:r>
          </w:p>
          <w:p w14:paraId="467481F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4)适宜技术包含针刺、推拿、刮痧、拔罐、灸类、敷熨熏浴、地域特色技术及其他分类等8种大类，</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128种适宜技术的知识讲解（针刺类，推拿类，刮痧类，拔罐类，灸类，敷熨熏浴，地域特色技术含藏医、蒙医、傣医、壮医、瑶医等）。</w:t>
            </w:r>
          </w:p>
          <w:p w14:paraId="1D32F4C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5)支持查看适宜技术的基本介绍、操作、疾病治疗、注意事项等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于4类内容；部分适宜技术的操作中包含操作演示视频，</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21个。</w:t>
            </w:r>
          </w:p>
          <w:p w14:paraId="56E774E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6)典型病案包含15个中医科别共</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38个的典型病案，，供学生查看、学习。</w:t>
            </w:r>
          </w:p>
          <w:p w14:paraId="675E9A8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3.1.2自由练习模块</w:t>
            </w:r>
          </w:p>
          <w:p w14:paraId="3977461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1)包括理论练习和操作练习两部分，并且自动记录试题练习和操作练习的进度。</w:t>
            </w:r>
          </w:p>
          <w:p w14:paraId="43C5F5D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2)理论练习为随机试题练习，不限定试题类型。</w:t>
            </w:r>
          </w:p>
          <w:p w14:paraId="4FF8424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3)支持从处方、毫针针刺、耳针、皮肤针、三棱针、头针、温和灸、雀啄灸、拔罐、走罐、刮痧、推拿等不少于30种试题类型中，选择一种或多种试题进行随机试题训练。</w:t>
            </w:r>
          </w:p>
          <w:p w14:paraId="55511CC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4)试题训练提交之后，可查看答案及试题解析，同时可显示当前试题作答数量和答对情况。</w:t>
            </w:r>
          </w:p>
          <w:p w14:paraId="097AF82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5)支持从毫针针刺、刮痧、拔罐、灸法、穴位贴敷中选择操作练习内容，单个手法操作练习数量</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3600种，开始练习之后，即可在软件上进行练习；部分内容支持在选配的硬件设备上进行操作练习。</w:t>
            </w:r>
          </w:p>
          <w:p w14:paraId="6933D13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6)支持通过不适部位及症状进行疾病方案练习训练，通过点击左侧虚拟小人可选择部位与症状，含男性、女性两个虚拟人体,可根据针刺、刮痧、拔罐、灸法、穴位贴敷查看不同类别的治疗方案，方案种类</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0种。方案介绍包括方案内容与考核内容，</w:t>
            </w:r>
          </w:p>
          <w:p w14:paraId="63914AF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7)支持以列表的方式进行方案筛选查看，筛选包括部位与症状，筛选支持多选。</w:t>
            </w:r>
          </w:p>
          <w:p w14:paraId="62FB6DC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8)训练开始时，可进器具、体位、物品选择练习，系统会给出正确的答案以供参考。 </w:t>
            </w:r>
          </w:p>
          <w:p w14:paraId="27864C5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9)在进行毫针针刺练习时，支持查看实时操作数据（针刺深度、针刺角度、旋转情况），辅助学生进行手法操作的练习。</w:t>
            </w:r>
          </w:p>
          <w:p w14:paraId="57F629C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10)支持在选配的仿真模型上进行走罐、刮痧及取穴的模拟操作训练。</w:t>
            </w:r>
          </w:p>
          <w:p w14:paraId="66B8CAA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11)使用智能视觉识别，记录在选配的模型上进行的操作路径等内容，进行多维度、数据化的判断，并分析出操作是否正确。</w:t>
            </w:r>
          </w:p>
          <w:p w14:paraId="3B4C4DE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12)支持在虚拟人身上进行虚拟艾灸训练，训练隔物灸、悬灸的相关技能。</w:t>
            </w:r>
          </w:p>
          <w:p w14:paraId="7DC3CC0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13)操作练习时，支持对模型进行体位切换、透视功能、一键穿衣。</w:t>
            </w:r>
          </w:p>
          <w:p w14:paraId="47B1E31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3.1.3考核模块</w:t>
            </w:r>
          </w:p>
          <w:p w14:paraId="29429A4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1)支持学生自行进行模拟考试、错题训练，训练结束、提交之后，支持查看成绩、正确答案等内容。</w:t>
            </w:r>
          </w:p>
          <w:p w14:paraId="51AD47F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2)当局域网内存在有同系列软件时，支持学生机接收教师机下发的试卷并强制进入试卷考试界面；答卷结束、提交之后，支持学生查看成绩、正确答案等内容。</w:t>
            </w:r>
          </w:p>
          <w:p w14:paraId="0218362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3)应支持学生用户查看不同试卷、不同类型的成绩及错题汇总。</w:t>
            </w:r>
          </w:p>
          <w:p w14:paraId="7DF2BF6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3.1.4病例训练模块</w:t>
            </w:r>
          </w:p>
          <w:p w14:paraId="37AC438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1)内置</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48个可用于训练、考核的病例，至少包括内科、妇科、外科等科别。</w:t>
            </w:r>
          </w:p>
          <w:p w14:paraId="6D38A98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2)应支持病例考核功能，当局域网内存在有同系列软件时，学生机可接收教师机下发的病例并直接进入病例考核。</w:t>
            </w:r>
          </w:p>
          <w:p w14:paraId="17C96A9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3)学生用户可查看患者的姓名、性别、年龄等基本信息，病例的主诉、诊查过程，病例的中医疾病诊断、中医证型诊断等诊断信息，病例的治则治法等内容，对治疗方案进行作答。</w:t>
            </w:r>
          </w:p>
          <w:p w14:paraId="01CA95F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4)病例训练或考核的方式包括治疗方案的选择、治疗方案的编辑、治疗方案的判断、已有处方的审核、操作考核</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方式，不同的病例会有不同的训练或考核方式。</w:t>
            </w:r>
          </w:p>
          <w:p w14:paraId="125F578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5)治疗方案内置了包含处方、针刺、刮痧、拔罐、穴位贴敷、隔盐灸、温和灸、回旋灸、皮肤针9大类，</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27个治疗方案。</w:t>
            </w:r>
          </w:p>
          <w:p w14:paraId="508B40A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6)支持学生自行选择病例的正确治疗方案，提交之后即可查看得分及正确答案。</w:t>
            </w:r>
          </w:p>
          <w:p w14:paraId="5D27127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7)支持学生从已有处方中选择当前处方错误的内容，选择完成之后，提交即可查看得分及正确答案。</w:t>
            </w:r>
          </w:p>
          <w:p w14:paraId="6278493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8)支持在选配的仿真模型上进行走罐、刮痧及取穴的模拟考核，并实现操作的分析判断功能。</w:t>
            </w:r>
          </w:p>
          <w:p w14:paraId="4D71FAF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9)可使用选配模型的智能视觉识别，记录在实际模型上进行的操作路径等内容，进行多维度、数据化的判断，并分析出操作是否正确。</w:t>
            </w:r>
          </w:p>
          <w:p w14:paraId="3144F2E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10)支持在选配的针刺智能识别训练装置上通过识别针刺深度、针刺角度、旋转情况，实现手法操作考核。</w:t>
            </w:r>
          </w:p>
          <w:p w14:paraId="34E753E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11)训练或考核结束、提交之后，即可查看考核的得分。支持学生查看个人不同病例的历史训练记录和考核记录，查看成绩、错题等内容。</w:t>
            </w:r>
          </w:p>
          <w:p w14:paraId="44AE54F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3.2虚拟展厅单元</w:t>
            </w:r>
          </w:p>
          <w:p w14:paraId="2C67290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1)展示内容包含针刺、拔罐、刮痧三类器具，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48个三维虚拟适宜技术操作器具。</w:t>
            </w:r>
          </w:p>
          <w:p w14:paraId="08826C2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2)三维虚拟器具均可选中，选中之后，支持任意角度旋转，查看详情介绍等内容。</w:t>
            </w:r>
          </w:p>
          <w:p w14:paraId="2CD6315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硬件配置：</w:t>
            </w:r>
          </w:p>
          <w:p w14:paraId="66B9061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主机配置：内存：</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32G；</w:t>
            </w:r>
          </w:p>
          <w:p w14:paraId="56EE0B8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硬盘：</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256G+1T。</w:t>
            </w:r>
          </w:p>
          <w:p w14:paraId="5D7527D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针刺训练模块</w:t>
            </w:r>
          </w:p>
          <w:p w14:paraId="42967D7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1.硬件包含针刺智能识别训练装置（内置针刺盒与4个穿刺针）、硅胶类仿真ß皮肤，数据识别摄像头。</w:t>
            </w:r>
          </w:p>
          <w:p w14:paraId="54DBEAD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2.装置尺寸320mm×220mm×260mm（L×W×H）±2mm。</w:t>
            </w:r>
          </w:p>
          <w:p w14:paraId="6ACA6AD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3.进行针刺训练的区域为硅胶类仿真ß皮肤，区域面积140mm×70mm（L×W），深度不低于65mm。</w:t>
            </w:r>
          </w:p>
          <w:p w14:paraId="36FB759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4.数据识别摄像头，识别分辨率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1280x1024、识别最大帧率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213FPS，摄像头自带补光灯。</w:t>
            </w:r>
          </w:p>
          <w:p w14:paraId="17801CE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000000"/>
                <w:sz w:val="20"/>
                <w:szCs w:val="20"/>
                <w:u w:val="none"/>
              </w:rPr>
              <w:t>▲</w:t>
            </w:r>
            <w:r>
              <w:rPr>
                <w:rFonts w:hint="eastAsia" w:ascii="宋体" w:hAnsi="宋体" w:eastAsia="宋体" w:cs="宋体"/>
                <w:color w:val="auto"/>
                <w:sz w:val="24"/>
                <w:szCs w:val="24"/>
                <w:highlight w:val="none"/>
              </w:rPr>
              <w:t>5.可通过视频识别的方式识别针刺姿态与软件实现联动。在进行毫针针刺练习时，支持查看实时操作数据，辅助学生进行手法操作的练习。具有随机考核功能，可以对学生的技能操作进行逐项打分。</w:t>
            </w:r>
          </w:p>
          <w:p w14:paraId="3ED6807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p>
          <w:p w14:paraId="2BF20C1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中医适宜技术教学管理系统-学生机（软件）</w:t>
            </w:r>
          </w:p>
          <w:p w14:paraId="4C10DE2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1、产品概述</w:t>
            </w:r>
          </w:p>
          <w:p w14:paraId="22CA794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医适宜技术智慧实训教学系统，以中医诊断学、中医内科学、针灸学、推拿学等教材为理论基础，以疾病知识讲解、典型病例学习、适宜技术学习为主要内容，包含处方、针刺、艾灸等多种适宜技术，是一款集理论知识串讲、典型病例教学、适宜技术操作教学为一体的教学产品。具有随机考核功能，可以对学生的技能操作进行逐项打分。</w:t>
            </w:r>
          </w:p>
          <w:p w14:paraId="66B90C6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2、产品功能参数</w:t>
            </w:r>
          </w:p>
          <w:p w14:paraId="6770123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包含适宜技术、虚拟展厅两个单元，且两个单元应在一个程序中操作。</w:t>
            </w:r>
          </w:p>
          <w:p w14:paraId="0F73013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3.1适宜技术单元应包括基础知识、自由练习、考核、病例训练四个模块。</w:t>
            </w:r>
          </w:p>
          <w:p w14:paraId="4ECCBFD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3.1.1基础知识模块</w:t>
            </w:r>
          </w:p>
          <w:p w14:paraId="5F1FBEE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1)包含中医内科、妇科、儿科、五官科、外科等科别的，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60个疾病的基础知识讲解。</w:t>
            </w:r>
          </w:p>
          <w:p w14:paraId="7B6B12C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2)疾病可支持查看科别、疾病类别、中医病名及西医病名等基础内容，及疾病概述、诊断要点、病因病机、类症鉴别、推荐检查、证型分型、治疗方案等内容。</w:t>
            </w:r>
          </w:p>
          <w:p w14:paraId="4C5D308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3)疾病的治疗方案中包含文字、图片等多种格式中的部分格式内容。</w:t>
            </w:r>
          </w:p>
          <w:p w14:paraId="65B52EF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4)适宜技术包含针刺、推拿、刮痧、拔罐、灸类、敷熨熏浴、地域特色技术及其他分类等8种大类，</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128种适宜技术的知识讲解（针刺，推拿类，刮痧类，拔罐类，灸类，敷熨熏浴，地域特色技术含藏医、蒙医、傣医、壮医、瑶医等）。</w:t>
            </w:r>
          </w:p>
          <w:p w14:paraId="2DF34A3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5)支持查看适宜技术的基本介绍、操作、疾病治疗、注意事项等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4类内容；部分适宜技术的操作中包含操作演示视频，</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21个。</w:t>
            </w:r>
          </w:p>
          <w:p w14:paraId="2346BE6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6)典型病案包含15个中医科别共</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38个的典型病案，，供学生查看、学习。</w:t>
            </w:r>
          </w:p>
          <w:p w14:paraId="4FBC848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3.1.2自由练习模块</w:t>
            </w:r>
          </w:p>
          <w:p w14:paraId="5455246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1)包括理论练习和操作练习两部分，并且自动记录试题练习和操作练习的进度。</w:t>
            </w:r>
          </w:p>
          <w:p w14:paraId="4301271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2)理论练习为随机试题练习，不限定试题类型。</w:t>
            </w:r>
          </w:p>
          <w:p w14:paraId="519232E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3)支持从处方、毫针针刺、耳针、皮肤针、三棱针、头针、温和灸、雀啄灸、拔罐、走罐、刮痧、推拿等不少于30种试题类型中，选择一种或多种试题进行随机试题训练。</w:t>
            </w:r>
          </w:p>
          <w:p w14:paraId="7CC7F3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4)试题训练提交之后，可查看答案及试题解析，同时可显示当前试题作答数量和答对情况。</w:t>
            </w:r>
          </w:p>
          <w:p w14:paraId="36337B1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5)支持从毫针针刺、刮痧、拔罐、灸法、穴位贴敷中选择操作练习内容，单个手法操作练习数量</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3600种，开始练习之后，即可在软件上进行练习；部分内容支持在选配的硬件设备上进行操作练习。</w:t>
            </w:r>
          </w:p>
          <w:p w14:paraId="3670ED4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6)应支持通过不适部位及症状进行疾病方案练习训练，通过点击左侧虚拟小人可选择部位与症状，含男性、女性两个虚拟人体,可根据针刺、刮痧、拔罐、灸法、穴位贴敷查看不同类别的治疗方案，方案种类</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0种。方案介绍包括方案内容与考核内容，</w:t>
            </w:r>
          </w:p>
          <w:p w14:paraId="051AF1E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7)支持以列表的方式进行方案筛选查看，筛选包括部位与症状，筛选支持多选。</w:t>
            </w:r>
          </w:p>
          <w:p w14:paraId="2CA2A1E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8)训练开始时，可进器具、体位、物品选择练习，系统会给出正确的答案以供参考。 </w:t>
            </w:r>
          </w:p>
          <w:p w14:paraId="61E4B90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9)在进行毫针针刺练习时，支持查看实时操作数据（针刺深度、针刺角度、旋转情况），辅助学生进行手法操作的练习。</w:t>
            </w:r>
          </w:p>
          <w:p w14:paraId="1E1D5BA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10)支持在选配的仿真模型上进行走罐、刮痧及取穴的模拟操作训练。</w:t>
            </w:r>
          </w:p>
          <w:p w14:paraId="1534034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11)智能视觉识别，记录在选配的模型上进行的操作路径等内容，进行多维度、数据化的判断，并分析出操作是否正确。</w:t>
            </w:r>
          </w:p>
          <w:p w14:paraId="79D1864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12)应支持在虚拟人身上进行虚拟艾灸训练，训练隔物灸、悬灸的相关技能。</w:t>
            </w:r>
          </w:p>
          <w:p w14:paraId="45C7776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13)操作练习时，支持对模型进行体位切换、透视功能、一键穿衣。</w:t>
            </w:r>
          </w:p>
          <w:p w14:paraId="1272173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3.1.3考核模块</w:t>
            </w:r>
          </w:p>
          <w:p w14:paraId="05F9638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1)应支持学生自行进行模拟考试、错题训练，训练结束、提交之后，支持查看成绩、正确答案等内容。</w:t>
            </w:r>
          </w:p>
          <w:p w14:paraId="1F725BD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2)当局域网内存在有同系列软件时，支持学生机接收教师机下发的试卷并强制进入试卷考试界面；答卷结束、提交之后，支持学生查看成绩、正确答案等内容。</w:t>
            </w:r>
          </w:p>
          <w:p w14:paraId="0AE644A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3)应支持学生用户查看不同试卷、不同类型的成绩及错题汇总。</w:t>
            </w:r>
          </w:p>
          <w:p w14:paraId="4DDD9BF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3.1.4病例训练模块</w:t>
            </w:r>
          </w:p>
          <w:p w14:paraId="26D312C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1)内置</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48个可用于训练、考核的病例，至少包括内科、妇科、外科等科别。</w:t>
            </w:r>
          </w:p>
          <w:p w14:paraId="64026D1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2)支持病例考核功能，当局域网内存在有同系列软件时，学生机可接收教师机下发的病例并直接进入病例考核。</w:t>
            </w:r>
          </w:p>
          <w:p w14:paraId="2800F9D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3)学生用户可查看患者的姓名、性别、年龄等基本信息，病例的主诉、诊查过程，病例的中医疾病诊断、中医证型诊断等诊断信息，病例的治则治法等内容，对治疗方案进行作答。</w:t>
            </w:r>
          </w:p>
          <w:p w14:paraId="03CB3CE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4)病例训练或考核的方式包括治疗方案的选择、治疗方案的编辑、治疗方案的判断、已有处方的审核、操作考核</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方式，不同的病例会有不同的训练或考核方式。</w:t>
            </w:r>
          </w:p>
          <w:p w14:paraId="35A044A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5)治疗方案内置了包含处方、针刺、刮痧、拔罐、穴位贴敷、隔盐灸、温和灸、回旋灸、皮肤针9大类，</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27个治疗方案。</w:t>
            </w:r>
          </w:p>
          <w:p w14:paraId="5079B61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6)支持学生自行选择病例的正确治疗方案，提交之后即可查看得分及正确答案。</w:t>
            </w:r>
          </w:p>
          <w:p w14:paraId="7B11872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7)支持学生从已有处方中选择当前处方错误的内容，选择完成之后，提交即可查看得分及正确答案。</w:t>
            </w:r>
          </w:p>
          <w:p w14:paraId="67DE1BC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8)支持在选配的仿真模型上进行走罐、刮痧及取穴的模拟考核，并实现操作的分析判断功能。</w:t>
            </w:r>
          </w:p>
          <w:p w14:paraId="293107D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9)可使用选配模型的智能视觉识别，记录在实际模型上进行的操作路径等内容，进行多维度、数据化的判断，并分析出操作是否正确。</w:t>
            </w:r>
          </w:p>
          <w:p w14:paraId="6C372EC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10)支持在选配的针刺智能识别训练装置上通过识别针刺深度、针刺角度、旋转情况，实现手法操作考核。</w:t>
            </w:r>
          </w:p>
          <w:p w14:paraId="409DDBD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11)训练或考核结束、提交之后，即可查看考核的得分。支持学生查看个人不同病例的历史训练记录和考核记录，查看成绩、错题等内容。</w:t>
            </w:r>
          </w:p>
          <w:p w14:paraId="00010EE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3.2虚拟展厅单元</w:t>
            </w:r>
          </w:p>
          <w:p w14:paraId="7F3097A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1)展示内容包含针刺、拔罐、刮痧三类器具，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48个三维虚拟适宜技术操作器具。</w:t>
            </w:r>
          </w:p>
          <w:p w14:paraId="58FE373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2)三维虚拟器具均可选中，选中之后，支持任意角度旋转，查看详情介绍等内容。</w:t>
            </w:r>
          </w:p>
          <w:p w14:paraId="61B14FF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硬件配置：</w:t>
            </w:r>
          </w:p>
          <w:p w14:paraId="4E8C81D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主机配置：内存：</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32G；</w:t>
            </w:r>
          </w:p>
          <w:p w14:paraId="21F1F97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硬盘：</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256G+1T。</w:t>
            </w:r>
          </w:p>
          <w:p w14:paraId="1DFC3F6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针灸头部训练模型、针灸臀头部部训练模型、针刺训练手臂模型</w:t>
            </w:r>
          </w:p>
          <w:p w14:paraId="770D9E2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1.产品硬件应包含：智能定位操作台、视觉识别摄像头、多功能针灸仿真模型。</w:t>
            </w:r>
          </w:p>
          <w:p w14:paraId="28F76EA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2.智能定位操作台支持电动升降；桌面应具有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8个视觉识别标记点位。</w:t>
            </w:r>
          </w:p>
          <w:p w14:paraId="3C34341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3.视觉识别摄像头深度分辨率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1024×768。</w:t>
            </w:r>
          </w:p>
          <w:p w14:paraId="3810D08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000000"/>
                <w:sz w:val="20"/>
                <w:szCs w:val="20"/>
                <w:u w:val="none"/>
              </w:rPr>
              <w:t>▲</w:t>
            </w:r>
            <w:r>
              <w:rPr>
                <w:rFonts w:hint="eastAsia" w:ascii="宋体" w:hAnsi="宋体" w:eastAsia="宋体" w:cs="宋体"/>
                <w:color w:val="auto"/>
                <w:sz w:val="24"/>
                <w:szCs w:val="24"/>
                <w:highlight w:val="none"/>
              </w:rPr>
              <w:t>4.多功能针灸仿真模型含针灸头部模型、针灸臀部模型、针灸手臂模型，模拟成年男性的体型，具有与人体相同的皮肤手感；穴位标记常见光下不可见，使用配备的专用光源的照射下可显现。可进行多种针刺方法的训练，针刺手感真实；</w:t>
            </w:r>
          </w:p>
          <w:p w14:paraId="361308B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5.针灸头部训练模型：头围</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55cm；模型上标记有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20个常用穴位，如百会，四神聪，太阳，风池，头维，率谷，翳风，颊车，下关，地仓，四白，睛明，攒竹，鱼腰，耳门，听宫，听会，水沟，头临泣，印堂；</w:t>
            </w:r>
          </w:p>
          <w:p w14:paraId="74B95C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6.针灸臀部训练模型：臀围</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98cm；模型上标记有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20个常用穴位，如环跳、长强、会阳、神阙、关元、气海、天枢、归来、大横、承扶、居髎、维道、五枢、带脉、腰阳关、大肠俞、小肠俞、膀胱俞、秩边、次髎；</w:t>
            </w:r>
          </w:p>
          <w:p w14:paraId="52514A8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7.针灸手臂训练模型：模拟成人手臂外观，解剖结构准确，手臂外皮采用高仿真性材质制作，有皮肤纹理，触之柔软，手感真实；解剖结构包括尺骨、桡骨、尺骨鹰嘴等；可进行</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40个上肢常用穴（如合谷、曲池、列缺及上肢五腧穴等穴位）的定位、针刺示教、练习及考核；</w:t>
            </w:r>
          </w:p>
          <w:p w14:paraId="021DE63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8.可在中医适宜技术智慧实训教学系统上进行多维度、数据化的判断，并分析出操作是否正确。具有随机考核功能，可以对学生的技能操作进行逐项打分。</w:t>
            </w:r>
          </w:p>
          <w:p w14:paraId="36B4593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微波治疗仪</w:t>
            </w:r>
            <w:r>
              <w:rPr>
                <w:rFonts w:hint="eastAsia" w:ascii="宋体" w:hAnsi="宋体" w:eastAsia="宋体" w:cs="宋体"/>
                <w:b/>
                <w:bCs/>
                <w:color w:val="auto"/>
                <w:sz w:val="24"/>
                <w:szCs w:val="24"/>
                <w:highlight w:val="none"/>
                <w:lang w:val="en-US" w:eastAsia="zh-CN"/>
              </w:rPr>
              <w:t>2台</w:t>
            </w:r>
          </w:p>
          <w:p w14:paraId="0031093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技术参数：</w:t>
            </w:r>
          </w:p>
          <w:p w14:paraId="04C3D87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1、工作频率：2450MHz。 </w:t>
            </w:r>
          </w:p>
          <w:p w14:paraId="1DC1AF2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2、具有两套独立的微波输出系统及控制系统，双微波输出通道，均可单独进行设置与操作，机器铭牌标定使用期限</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8年。</w:t>
            </w:r>
          </w:p>
          <w:p w14:paraId="3544632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3、微波输出：双路输出，可双路同时运行或单路运行（可两人同时治疗也可单独1人治疗），。</w:t>
            </w:r>
          </w:p>
          <w:p w14:paraId="158081A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4、配三维照射器，避免常规治疗方式下出现无法达到有效照射部位的治疗死角情况。 </w:t>
            </w:r>
          </w:p>
          <w:p w14:paraId="18EA22A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5、输出功率：理疗0-99W）*2，连续可调。</w:t>
            </w:r>
          </w:p>
          <w:p w14:paraId="543C84D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6、时间设置：（0～30分）*2，连续可调</w:t>
            </w:r>
          </w:p>
          <w:p w14:paraId="78D53A1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7、控制方式：触摸启动或自动复位，运行倒计时为0后，返回到设定功率、时间状态。启动、运行结束，蜂鸣提示报警。</w:t>
            </w:r>
          </w:p>
          <w:p w14:paraId="3E8C3AE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8、显示方式：LED数码双显示。</w:t>
            </w:r>
          </w:p>
          <w:p w14:paraId="6D631A7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9、配置</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eastAsia="zh-CN"/>
              </w:rPr>
              <w:t>圆形照射器￠150mm、马鞍形照射器390mm*140mm*100mm、全金属支架2套。</w:t>
            </w:r>
          </w:p>
          <w:p w14:paraId="64A847F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10、具有功率自适应功能、故障代码显示功能。</w:t>
            </w:r>
          </w:p>
          <w:p w14:paraId="2499235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11、具有自动保护装置。</w:t>
            </w:r>
          </w:p>
          <w:p w14:paraId="5CEB5DE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12、适用范围：适用于妇科、皮肤科、口腔科、耳鼻咽喉科、肛肠、康复理疗科、泌尿外科等表浅部位疾病及部分炎症的治疗。</w:t>
            </w:r>
          </w:p>
          <w:p w14:paraId="0128326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lang w:eastAsia="zh-CN"/>
              </w:rPr>
              <w:t>13、主机采用一体化推车机柜。</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14:paraId="6DF461F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14:paraId="7874C29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bl>
    <w:p w14:paraId="1B825B54">
      <w:pPr>
        <w:pStyle w:val="36"/>
        <w:ind w:firstLine="0"/>
        <w:rPr>
          <w:rFonts w:hint="eastAsia" w:ascii="宋体" w:hAnsi="宋体" w:eastAsia="宋体" w:cs="宋体"/>
          <w:b/>
          <w:bCs/>
          <w:snapToGrid w:val="0"/>
          <w:color w:val="auto"/>
          <w:szCs w:val="24"/>
          <w:highlight w:val="none"/>
          <w:lang w:val="en-US"/>
        </w:rPr>
      </w:pPr>
      <w:r>
        <w:rPr>
          <w:rFonts w:hint="eastAsia" w:ascii="宋体" w:hAnsi="宋体" w:eastAsia="宋体" w:cs="宋体"/>
          <w:b/>
          <w:bCs/>
          <w:snapToGrid w:val="0"/>
          <w:color w:val="auto"/>
          <w:szCs w:val="24"/>
          <w:highlight w:val="none"/>
          <w:lang w:val="en-US" w:eastAsia="zh-CN"/>
        </w:rPr>
        <w:t>四、</w:t>
      </w:r>
      <w:r>
        <w:rPr>
          <w:rFonts w:hint="eastAsia" w:ascii="宋体" w:hAnsi="宋体" w:eastAsia="宋体" w:cs="宋体"/>
          <w:b/>
          <w:bCs/>
          <w:snapToGrid w:val="0"/>
          <w:color w:val="auto"/>
          <w:szCs w:val="24"/>
          <w:highlight w:val="none"/>
          <w:lang w:val="en-US"/>
        </w:rPr>
        <w:t>其他要求：</w:t>
      </w:r>
    </w:p>
    <w:p w14:paraId="05A1D7FD">
      <w:pPr>
        <w:pStyle w:val="36"/>
        <w:rPr>
          <w:rFonts w:hint="eastAsia" w:ascii="宋体" w:hAnsi="宋体" w:eastAsia="宋体" w:cs="宋体"/>
          <w:snapToGrid w:val="0"/>
          <w:color w:val="auto"/>
          <w:szCs w:val="24"/>
          <w:highlight w:val="none"/>
          <w:lang w:val="en-US"/>
        </w:rPr>
      </w:pPr>
      <w:r>
        <w:rPr>
          <w:rFonts w:hint="eastAsia" w:cs="宋体"/>
          <w:snapToGrid w:val="0"/>
          <w:color w:val="auto"/>
          <w:szCs w:val="24"/>
          <w:highlight w:val="none"/>
          <w:lang w:val="en-US" w:eastAsia="zh-CN"/>
        </w:rPr>
        <w:t>（</w:t>
      </w:r>
      <w:r>
        <w:rPr>
          <w:rFonts w:hint="eastAsia" w:ascii="宋体" w:hAnsi="宋体" w:eastAsia="宋体" w:cs="宋体"/>
          <w:snapToGrid w:val="0"/>
          <w:color w:val="auto"/>
          <w:szCs w:val="24"/>
          <w:highlight w:val="none"/>
          <w:lang w:val="en-US"/>
        </w:rPr>
        <w:t>1</w:t>
      </w:r>
      <w:r>
        <w:rPr>
          <w:rFonts w:hint="eastAsia" w:cs="宋体"/>
          <w:snapToGrid w:val="0"/>
          <w:color w:val="auto"/>
          <w:szCs w:val="24"/>
          <w:highlight w:val="none"/>
          <w:lang w:val="en-US" w:eastAsia="zh-CN"/>
        </w:rPr>
        <w:t>）</w:t>
      </w:r>
      <w:r>
        <w:rPr>
          <w:rFonts w:hint="eastAsia" w:ascii="宋体" w:hAnsi="宋体" w:eastAsia="宋体" w:cs="宋体"/>
          <w:snapToGrid w:val="0"/>
          <w:color w:val="auto"/>
          <w:szCs w:val="24"/>
          <w:highlight w:val="none"/>
          <w:lang w:val="en-US"/>
        </w:rPr>
        <w:t>技术参数中有具体数值参数要求的及有具体功能要求的，必须提供技术参数或功能实现的相关证明材料，相关证明材料包含但不限于提供响应产品彩页或检验检测报告或功能截图或证书或厂家使用说明书或技术白皮书等证明材料；未提供证明材料或无法证明满足参数要求的，视为不响应该条技术参数。</w:t>
      </w:r>
    </w:p>
    <w:p w14:paraId="4C4BACCD">
      <w:pPr>
        <w:pStyle w:val="36"/>
        <w:rPr>
          <w:rFonts w:hint="eastAsia" w:ascii="宋体" w:hAnsi="宋体" w:eastAsia="宋体" w:cs="宋体"/>
          <w:snapToGrid w:val="0"/>
          <w:color w:val="auto"/>
          <w:szCs w:val="24"/>
          <w:highlight w:val="none"/>
          <w:lang w:val="en-US"/>
        </w:rPr>
      </w:pPr>
      <w:r>
        <w:rPr>
          <w:rFonts w:hint="eastAsia" w:ascii="宋体" w:hAnsi="宋体" w:eastAsia="宋体" w:cs="宋体"/>
          <w:snapToGrid w:val="0"/>
          <w:color w:val="auto"/>
          <w:szCs w:val="24"/>
          <w:highlight w:val="none"/>
          <w:lang w:val="en-US"/>
        </w:rPr>
        <w:t>（</w:t>
      </w:r>
      <w:r>
        <w:rPr>
          <w:rFonts w:hint="eastAsia" w:cs="宋体"/>
          <w:snapToGrid w:val="0"/>
          <w:color w:val="auto"/>
          <w:szCs w:val="24"/>
          <w:highlight w:val="none"/>
          <w:lang w:val="en-US" w:eastAsia="zh-CN"/>
        </w:rPr>
        <w:t>2</w:t>
      </w:r>
      <w:r>
        <w:rPr>
          <w:rFonts w:hint="eastAsia" w:ascii="宋体" w:hAnsi="宋体" w:eastAsia="宋体" w:cs="宋体"/>
          <w:snapToGrid w:val="0"/>
          <w:color w:val="auto"/>
          <w:szCs w:val="24"/>
          <w:highlight w:val="none"/>
          <w:lang w:val="en-US"/>
        </w:rPr>
        <w:t>）</w:t>
      </w:r>
      <w:r>
        <w:rPr>
          <w:rFonts w:hint="eastAsia" w:ascii="宋体" w:hAnsi="宋体" w:eastAsia="宋体" w:cs="宋体"/>
          <w:color w:val="auto"/>
          <w:szCs w:val="24"/>
          <w:highlight w:val="none"/>
        </w:rPr>
        <w:t>供应商须对本采购文件技术参数要求进行点对点应答,根据技术参数进行逐条逐项答复、说明和解释,在技术参数偏离表中标注产品实际参数值及在《投标文件》中的页码，</w:t>
      </w:r>
      <w:r>
        <w:rPr>
          <w:rFonts w:hint="eastAsia" w:cs="宋体"/>
          <w:color w:val="auto"/>
          <w:szCs w:val="24"/>
          <w:highlight w:val="none"/>
          <w:lang w:val="en-US" w:eastAsia="zh-CN"/>
        </w:rPr>
        <w:t>建议</w:t>
      </w:r>
      <w:r>
        <w:rPr>
          <w:rFonts w:hint="eastAsia" w:ascii="宋体" w:hAnsi="宋体" w:eastAsia="宋体" w:cs="宋体"/>
          <w:color w:val="auto"/>
          <w:szCs w:val="24"/>
          <w:highlight w:val="none"/>
        </w:rPr>
        <w:t>在证明材料中重点标出具体参数值，因未标注导致无法有效核对的，评标委员会有权要求澄清或不予认定该条参数响应有效。</w:t>
      </w:r>
    </w:p>
    <w:p w14:paraId="407938C8">
      <w:pPr>
        <w:pStyle w:val="36"/>
        <w:ind w:firstLineChars="200"/>
        <w:rPr>
          <w:rFonts w:hint="eastAsia" w:ascii="宋体" w:hAnsi="宋体" w:eastAsia="宋体" w:cs="宋体"/>
          <w:snapToGrid w:val="0"/>
          <w:color w:val="auto"/>
          <w:szCs w:val="24"/>
          <w:highlight w:val="none"/>
          <w:lang w:val="en-US"/>
        </w:rPr>
      </w:pPr>
      <w:r>
        <w:rPr>
          <w:rFonts w:hint="eastAsia" w:ascii="宋体" w:hAnsi="宋体" w:eastAsia="宋体" w:cs="宋体"/>
          <w:snapToGrid w:val="0"/>
          <w:color w:val="auto"/>
          <w:szCs w:val="24"/>
          <w:highlight w:val="none"/>
          <w:lang w:val="en-US"/>
        </w:rPr>
        <w:t>供应商在技术参数偏离表中标注产品实际参数，照搬照抄采购文件参数、不注明实际参数者视为未响应。</w:t>
      </w:r>
    </w:p>
    <w:p w14:paraId="61B6A52D">
      <w:pPr>
        <w:pStyle w:val="36"/>
        <w:ind w:firstLineChars="200"/>
        <w:rPr>
          <w:rFonts w:hint="eastAsia" w:ascii="宋体" w:hAnsi="宋体" w:eastAsia="宋体" w:cs="宋体"/>
          <w:snapToGrid w:val="0"/>
          <w:color w:val="auto"/>
          <w:szCs w:val="24"/>
          <w:highlight w:val="none"/>
          <w:lang w:val="en-US"/>
        </w:rPr>
      </w:pPr>
      <w:r>
        <w:rPr>
          <w:rFonts w:hint="eastAsia" w:ascii="宋体" w:hAnsi="宋体" w:eastAsia="宋体" w:cs="宋体"/>
          <w:snapToGrid w:val="0"/>
          <w:color w:val="auto"/>
          <w:szCs w:val="24"/>
          <w:highlight w:val="none"/>
          <w:lang w:val="en-US"/>
        </w:rPr>
        <w:t>（</w:t>
      </w:r>
      <w:r>
        <w:rPr>
          <w:rFonts w:hint="eastAsia" w:cs="宋体"/>
          <w:snapToGrid w:val="0"/>
          <w:color w:val="auto"/>
          <w:szCs w:val="24"/>
          <w:highlight w:val="none"/>
          <w:lang w:val="en-US" w:eastAsia="zh-CN"/>
        </w:rPr>
        <w:t>3</w:t>
      </w:r>
      <w:r>
        <w:rPr>
          <w:rFonts w:hint="eastAsia" w:ascii="宋体" w:hAnsi="宋体" w:eastAsia="宋体" w:cs="宋体"/>
          <w:snapToGrid w:val="0"/>
          <w:color w:val="auto"/>
          <w:szCs w:val="24"/>
          <w:highlight w:val="none"/>
          <w:lang w:val="en-US"/>
        </w:rPr>
        <w:t>）本项目为“交钥匙项目”各项购买货物及其运送、安装、调试、保险和相关服务等的费用及所需缴纳的所有价格、税、费等均应包含在单台设备的报价中不得单列。</w:t>
      </w:r>
    </w:p>
    <w:p w14:paraId="2069F90A">
      <w:pPr>
        <w:pStyle w:val="36"/>
        <w:rPr>
          <w:rFonts w:hint="eastAsia" w:ascii="宋体" w:hAnsi="宋体" w:eastAsia="宋体" w:cs="宋体"/>
          <w:snapToGrid w:val="0"/>
          <w:color w:val="auto"/>
          <w:szCs w:val="24"/>
          <w:highlight w:val="none"/>
          <w:lang w:val="en-US"/>
        </w:rPr>
      </w:pPr>
      <w:r>
        <w:rPr>
          <w:rFonts w:hint="eastAsia" w:ascii="宋体" w:hAnsi="宋体" w:eastAsia="宋体" w:cs="宋体"/>
          <w:snapToGrid w:val="0"/>
          <w:color w:val="auto"/>
          <w:szCs w:val="24"/>
          <w:highlight w:val="none"/>
          <w:lang w:val="en-US"/>
        </w:rPr>
        <w:t>（</w:t>
      </w:r>
      <w:r>
        <w:rPr>
          <w:rFonts w:hint="eastAsia" w:ascii="宋体" w:hAnsi="宋体" w:eastAsia="宋体" w:cs="宋体"/>
          <w:snapToGrid w:val="0"/>
          <w:color w:val="auto"/>
          <w:szCs w:val="24"/>
          <w:highlight w:val="none"/>
          <w:lang w:val="en-US" w:eastAsia="zh-CN"/>
        </w:rPr>
        <w:t>4</w:t>
      </w:r>
      <w:r>
        <w:rPr>
          <w:rFonts w:hint="eastAsia" w:ascii="宋体" w:hAnsi="宋体" w:eastAsia="宋体" w:cs="宋体"/>
          <w:snapToGrid w:val="0"/>
          <w:color w:val="auto"/>
          <w:szCs w:val="24"/>
          <w:highlight w:val="none"/>
          <w:lang w:val="en-US"/>
        </w:rPr>
        <w:t>）如对本招标文件有任何疑问或要求澄清，请按本招标文件的规定提出，否则视同理解和接受。</w:t>
      </w:r>
    </w:p>
    <w:p w14:paraId="1878555E">
      <w:pPr>
        <w:pStyle w:val="36"/>
        <w:rPr>
          <w:rFonts w:hint="eastAsia" w:ascii="宋体" w:hAnsi="宋体" w:eastAsia="宋体" w:cs="宋体"/>
          <w:snapToGrid w:val="0"/>
          <w:color w:val="auto"/>
          <w:szCs w:val="24"/>
          <w:highlight w:val="none"/>
          <w:lang w:val="en-US"/>
        </w:rPr>
      </w:pPr>
      <w:r>
        <w:rPr>
          <w:rFonts w:hint="eastAsia" w:ascii="宋体" w:hAnsi="宋体" w:eastAsia="宋体" w:cs="宋体"/>
          <w:snapToGrid w:val="0"/>
          <w:color w:val="auto"/>
          <w:szCs w:val="24"/>
          <w:highlight w:val="none"/>
          <w:lang w:val="en-US"/>
        </w:rPr>
        <w:t>（</w:t>
      </w:r>
      <w:r>
        <w:rPr>
          <w:rFonts w:hint="eastAsia" w:ascii="宋体" w:hAnsi="宋体" w:eastAsia="宋体" w:cs="宋体"/>
          <w:snapToGrid w:val="0"/>
          <w:color w:val="auto"/>
          <w:szCs w:val="24"/>
          <w:highlight w:val="none"/>
          <w:lang w:val="en-US" w:eastAsia="zh-CN"/>
        </w:rPr>
        <w:t>5</w:t>
      </w:r>
      <w:r>
        <w:rPr>
          <w:rFonts w:hint="eastAsia" w:ascii="宋体" w:hAnsi="宋体" w:eastAsia="宋体" w:cs="宋体"/>
          <w:snapToGrid w:val="0"/>
          <w:color w:val="auto"/>
          <w:szCs w:val="24"/>
          <w:highlight w:val="none"/>
          <w:lang w:val="en-US"/>
        </w:rPr>
        <w:t>）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14:paraId="4EC23C68">
      <w:pPr>
        <w:pStyle w:val="36"/>
        <w:rPr>
          <w:rFonts w:hint="eastAsia" w:ascii="宋体" w:hAnsi="宋体" w:eastAsia="宋体" w:cs="宋体"/>
          <w:snapToGrid w:val="0"/>
          <w:color w:val="auto"/>
          <w:szCs w:val="24"/>
          <w:highlight w:val="none"/>
          <w:lang w:val="en-US"/>
        </w:rPr>
      </w:pPr>
      <w:r>
        <w:rPr>
          <w:rFonts w:hint="eastAsia" w:ascii="宋体" w:hAnsi="宋体" w:eastAsia="宋体" w:cs="宋体"/>
          <w:snapToGrid w:val="0"/>
          <w:color w:val="auto"/>
          <w:szCs w:val="24"/>
          <w:highlight w:val="none"/>
          <w:lang w:val="en-US"/>
        </w:rPr>
        <w:t>（</w:t>
      </w:r>
      <w:r>
        <w:rPr>
          <w:rFonts w:hint="eastAsia" w:ascii="宋体" w:hAnsi="宋体" w:eastAsia="宋体" w:cs="宋体"/>
          <w:snapToGrid w:val="0"/>
          <w:color w:val="auto"/>
          <w:szCs w:val="24"/>
          <w:highlight w:val="none"/>
          <w:lang w:val="en-US" w:eastAsia="zh-CN"/>
        </w:rPr>
        <w:t>6</w:t>
      </w:r>
      <w:r>
        <w:rPr>
          <w:rFonts w:hint="eastAsia" w:ascii="宋体" w:hAnsi="宋体" w:eastAsia="宋体" w:cs="宋体"/>
          <w:snapToGrid w:val="0"/>
          <w:color w:val="auto"/>
          <w:szCs w:val="24"/>
          <w:highlight w:val="none"/>
          <w:lang w:val="en-US"/>
        </w:rPr>
        <w:t>）投标人如欲在项目实施过程中采用自有知识成果，须在投标文件中声明，并提供相关知识产权证明文件。使用该知识成果后，投标人须提供开发接口和开发手册等技术文档。</w:t>
      </w:r>
    </w:p>
    <w:p w14:paraId="3AFE54D3">
      <w:pPr>
        <w:rPr>
          <w:rFonts w:hint="eastAsia" w:ascii="宋体" w:hAnsi="宋体" w:eastAsia="宋体" w:cs="宋体"/>
          <w:b/>
          <w:bCs/>
          <w:color w:val="auto"/>
          <w:spacing w:val="-1"/>
          <w:szCs w:val="24"/>
          <w:highlight w:val="none"/>
        </w:rPr>
      </w:pPr>
    </w:p>
    <w:p w14:paraId="4BFF96B7">
      <w:pPr>
        <w:rPr>
          <w:rFonts w:hint="eastAsia" w:ascii="宋体" w:hAnsi="宋体" w:eastAsia="宋体" w:cs="宋体"/>
          <w:b/>
          <w:bCs/>
          <w:color w:val="auto"/>
          <w:spacing w:val="-1"/>
          <w:szCs w:val="24"/>
          <w:highlight w:val="none"/>
        </w:rPr>
      </w:pPr>
    </w:p>
    <w:p w14:paraId="2FEE53B5">
      <w:pPr>
        <w:rPr>
          <w:rFonts w:hint="eastAsia" w:ascii="宋体" w:hAnsi="宋体" w:eastAsia="宋体" w:cs="宋体"/>
          <w:b/>
          <w:bCs/>
          <w:color w:val="auto"/>
          <w:spacing w:val="-1"/>
          <w:szCs w:val="24"/>
          <w:highlight w:val="none"/>
        </w:rPr>
      </w:pPr>
    </w:p>
    <w:p w14:paraId="22702FEB">
      <w:pPr>
        <w:rPr>
          <w:rFonts w:hint="eastAsia" w:ascii="宋体" w:hAnsi="宋体" w:eastAsia="宋体" w:cs="宋体"/>
          <w:b/>
          <w:bCs/>
          <w:color w:val="auto"/>
          <w:spacing w:val="-1"/>
          <w:szCs w:val="24"/>
          <w:highlight w:val="none"/>
        </w:rPr>
      </w:pPr>
    </w:p>
    <w:p w14:paraId="019571F7">
      <w:pPr>
        <w:rPr>
          <w:rFonts w:hint="eastAsia" w:ascii="宋体" w:hAnsi="宋体" w:eastAsia="宋体" w:cs="宋体"/>
          <w:b/>
          <w:bCs/>
          <w:color w:val="auto"/>
          <w:spacing w:val="-1"/>
          <w:szCs w:val="24"/>
          <w:highlight w:val="none"/>
        </w:rPr>
      </w:pPr>
    </w:p>
    <w:p w14:paraId="6FF48DBE">
      <w:pPr>
        <w:rPr>
          <w:rFonts w:hint="eastAsia" w:ascii="宋体" w:hAnsi="宋体" w:eastAsia="宋体" w:cs="宋体"/>
          <w:b/>
          <w:bCs/>
          <w:color w:val="auto"/>
          <w:spacing w:val="-1"/>
          <w:szCs w:val="24"/>
          <w:highlight w:val="none"/>
        </w:rPr>
      </w:pPr>
    </w:p>
    <w:p w14:paraId="7E12F369">
      <w:pPr>
        <w:rPr>
          <w:rFonts w:hint="eastAsia" w:ascii="宋体" w:hAnsi="宋体" w:eastAsia="宋体" w:cs="宋体"/>
          <w:b/>
          <w:bCs/>
          <w:color w:val="auto"/>
          <w:spacing w:val="-1"/>
          <w:szCs w:val="24"/>
          <w:highlight w:val="none"/>
        </w:rPr>
      </w:pPr>
    </w:p>
    <w:p w14:paraId="77A79A62">
      <w:pPr>
        <w:rPr>
          <w:rFonts w:hint="eastAsia" w:ascii="宋体" w:hAnsi="宋体" w:eastAsia="宋体" w:cs="宋体"/>
          <w:b/>
          <w:bCs/>
          <w:color w:val="auto"/>
          <w:spacing w:val="-1"/>
          <w:szCs w:val="24"/>
          <w:highlight w:val="none"/>
        </w:rPr>
      </w:pPr>
    </w:p>
    <w:p w14:paraId="2BFA59C3">
      <w:pPr>
        <w:rPr>
          <w:rFonts w:hint="eastAsia" w:ascii="宋体" w:hAnsi="宋体" w:eastAsia="宋体" w:cs="宋体"/>
          <w:b/>
          <w:bCs/>
          <w:color w:val="auto"/>
          <w:spacing w:val="-1"/>
          <w:szCs w:val="24"/>
          <w:highlight w:val="none"/>
        </w:rPr>
      </w:pPr>
    </w:p>
    <w:p w14:paraId="6266128F">
      <w:pPr>
        <w:rPr>
          <w:rFonts w:hint="eastAsia" w:ascii="宋体" w:hAnsi="宋体" w:eastAsia="宋体" w:cs="宋体"/>
          <w:b/>
          <w:bCs/>
          <w:color w:val="auto"/>
          <w:spacing w:val="-1"/>
          <w:szCs w:val="24"/>
          <w:highlight w:val="none"/>
        </w:rPr>
      </w:pPr>
    </w:p>
    <w:p w14:paraId="3448E3F8">
      <w:pPr>
        <w:rPr>
          <w:rFonts w:hint="eastAsia" w:ascii="宋体" w:hAnsi="宋体" w:eastAsia="宋体" w:cs="宋体"/>
          <w:b/>
          <w:bCs/>
          <w:color w:val="auto"/>
          <w:spacing w:val="-1"/>
          <w:szCs w:val="24"/>
          <w:highlight w:val="none"/>
        </w:rPr>
      </w:pPr>
    </w:p>
    <w:p w14:paraId="1CEAD7A1">
      <w:pPr>
        <w:rPr>
          <w:rFonts w:hint="eastAsia" w:ascii="宋体" w:hAnsi="宋体" w:eastAsia="宋体" w:cs="宋体"/>
          <w:b/>
          <w:bCs/>
          <w:color w:val="auto"/>
          <w:spacing w:val="-1"/>
          <w:szCs w:val="24"/>
          <w:highlight w:val="none"/>
        </w:rPr>
      </w:pPr>
    </w:p>
    <w:p w14:paraId="18159D37">
      <w:pPr>
        <w:rPr>
          <w:rFonts w:hint="eastAsia" w:ascii="宋体" w:hAnsi="宋体" w:eastAsia="宋体" w:cs="宋体"/>
          <w:b/>
          <w:bCs/>
          <w:color w:val="auto"/>
          <w:spacing w:val="-1"/>
          <w:szCs w:val="24"/>
          <w:highlight w:val="none"/>
        </w:rPr>
      </w:pPr>
    </w:p>
    <w:p w14:paraId="21C02779">
      <w:pPr>
        <w:rPr>
          <w:rFonts w:hint="eastAsia" w:ascii="宋体" w:hAnsi="宋体" w:eastAsia="宋体" w:cs="宋体"/>
          <w:b/>
          <w:bCs/>
          <w:color w:val="auto"/>
          <w:spacing w:val="-1"/>
          <w:szCs w:val="24"/>
          <w:highlight w:val="none"/>
        </w:rPr>
      </w:pPr>
    </w:p>
    <w:p w14:paraId="73B5D052">
      <w:pPr>
        <w:rPr>
          <w:rFonts w:hint="eastAsia" w:ascii="宋体" w:hAnsi="宋体" w:eastAsia="宋体" w:cs="宋体"/>
          <w:b/>
          <w:bCs/>
          <w:color w:val="auto"/>
          <w:spacing w:val="-1"/>
          <w:szCs w:val="24"/>
          <w:highlight w:val="none"/>
        </w:rPr>
      </w:pPr>
    </w:p>
    <w:p w14:paraId="4B8CEB10">
      <w:pPr>
        <w:rPr>
          <w:rFonts w:hint="eastAsia" w:ascii="宋体" w:hAnsi="宋体" w:eastAsia="宋体" w:cs="宋体"/>
          <w:b/>
          <w:bCs/>
          <w:color w:val="auto"/>
          <w:spacing w:val="-1"/>
          <w:szCs w:val="24"/>
          <w:highlight w:val="none"/>
        </w:rPr>
      </w:pPr>
    </w:p>
    <w:p w14:paraId="0F059966">
      <w:pPr>
        <w:rPr>
          <w:rFonts w:hint="eastAsia" w:ascii="宋体" w:hAnsi="宋体" w:eastAsia="宋体" w:cs="宋体"/>
          <w:b/>
          <w:bCs/>
          <w:color w:val="auto"/>
          <w:spacing w:val="-1"/>
          <w:szCs w:val="24"/>
          <w:highlight w:val="none"/>
        </w:rPr>
      </w:pPr>
    </w:p>
    <w:p w14:paraId="75474EF4">
      <w:pPr>
        <w:rPr>
          <w:rFonts w:hint="eastAsia" w:ascii="宋体" w:hAnsi="宋体" w:eastAsia="宋体" w:cs="宋体"/>
          <w:b/>
          <w:bCs/>
          <w:color w:val="auto"/>
          <w:spacing w:val="-1"/>
          <w:szCs w:val="24"/>
          <w:highlight w:val="none"/>
        </w:rPr>
      </w:pPr>
    </w:p>
    <w:p w14:paraId="20BC8DFD">
      <w:pPr>
        <w:rPr>
          <w:rFonts w:hint="eastAsia" w:ascii="宋体" w:hAnsi="宋体" w:eastAsia="宋体" w:cs="宋体"/>
          <w:b/>
          <w:bCs/>
          <w:color w:val="auto"/>
          <w:spacing w:val="-1"/>
          <w:szCs w:val="24"/>
          <w:highlight w:val="none"/>
        </w:rPr>
      </w:pPr>
    </w:p>
    <w:p w14:paraId="2D0FC49F">
      <w:pPr>
        <w:rPr>
          <w:rFonts w:hint="eastAsia" w:ascii="宋体" w:hAnsi="宋体" w:eastAsia="宋体" w:cs="宋体"/>
          <w:b/>
          <w:bCs/>
          <w:color w:val="auto"/>
          <w:spacing w:val="-1"/>
          <w:szCs w:val="24"/>
          <w:highlight w:val="none"/>
        </w:rPr>
      </w:pPr>
    </w:p>
    <w:p w14:paraId="6C6EC063">
      <w:pPr>
        <w:rPr>
          <w:rFonts w:hint="eastAsia" w:ascii="宋体" w:hAnsi="宋体" w:eastAsia="宋体" w:cs="宋体"/>
          <w:b/>
          <w:bCs/>
          <w:color w:val="auto"/>
          <w:spacing w:val="-1"/>
          <w:szCs w:val="24"/>
          <w:highlight w:val="none"/>
        </w:rPr>
      </w:pPr>
    </w:p>
    <w:p w14:paraId="25C9DBF3">
      <w:pPr>
        <w:rPr>
          <w:rFonts w:hint="eastAsia" w:ascii="宋体" w:hAnsi="宋体" w:eastAsia="宋体" w:cs="宋体"/>
          <w:b/>
          <w:bCs/>
          <w:color w:val="auto"/>
          <w:spacing w:val="-1"/>
          <w:szCs w:val="24"/>
          <w:highlight w:val="none"/>
        </w:rPr>
      </w:pPr>
    </w:p>
    <w:p w14:paraId="10B38C51">
      <w:pPr>
        <w:rPr>
          <w:rFonts w:hint="eastAsia" w:ascii="宋体" w:hAnsi="宋体" w:eastAsia="宋体" w:cs="宋体"/>
          <w:b/>
          <w:bCs/>
          <w:color w:val="auto"/>
          <w:spacing w:val="-1"/>
          <w:szCs w:val="24"/>
          <w:highlight w:val="none"/>
        </w:rPr>
      </w:pPr>
    </w:p>
    <w:bookmarkEnd w:id="450"/>
    <w:bookmarkEnd w:id="451"/>
    <w:p w14:paraId="6CAF21DA">
      <w:pPr>
        <w:pStyle w:val="2"/>
        <w:spacing w:before="100" w:after="100" w:line="480" w:lineRule="auto"/>
        <w:ind w:left="420" w:hanging="420"/>
        <w:jc w:val="center"/>
        <w:rPr>
          <w:rFonts w:hint="eastAsia" w:ascii="宋体" w:hAnsi="宋体" w:eastAsia="宋体" w:cs="宋体"/>
          <w:bCs/>
          <w:color w:val="auto"/>
          <w:sz w:val="36"/>
          <w:szCs w:val="36"/>
          <w:highlight w:val="none"/>
        </w:rPr>
      </w:pPr>
      <w:bookmarkStart w:id="453" w:name="_Toc16160"/>
      <w:bookmarkStart w:id="454" w:name="_Toc155185895"/>
      <w:bookmarkStart w:id="455" w:name="_Toc29841"/>
      <w:r>
        <w:rPr>
          <w:rFonts w:hint="eastAsia" w:ascii="宋体" w:hAnsi="宋体" w:eastAsia="宋体" w:cs="宋体"/>
          <w:bCs/>
          <w:color w:val="auto"/>
          <w:sz w:val="36"/>
          <w:szCs w:val="36"/>
          <w:highlight w:val="none"/>
        </w:rPr>
        <w:t>第四章 资格审查</w:t>
      </w:r>
      <w:bookmarkEnd w:id="453"/>
      <w:bookmarkEnd w:id="454"/>
      <w:bookmarkEnd w:id="455"/>
    </w:p>
    <w:p w14:paraId="3788DB67">
      <w:pPr>
        <w:pStyle w:val="3"/>
        <w:spacing w:before="60" w:after="60" w:line="240" w:lineRule="auto"/>
        <w:ind w:left="420" w:hanging="420"/>
        <w:rPr>
          <w:rFonts w:hint="eastAsia" w:ascii="宋体" w:hAnsi="宋体" w:eastAsia="宋体" w:cs="宋体"/>
          <w:color w:val="auto"/>
          <w:sz w:val="28"/>
          <w:szCs w:val="28"/>
          <w:highlight w:val="none"/>
          <w:lang w:val="zh-CN"/>
        </w:rPr>
      </w:pPr>
      <w:bookmarkStart w:id="456" w:name="_Toc16612"/>
      <w:r>
        <w:rPr>
          <w:rFonts w:hint="eastAsia" w:ascii="宋体" w:hAnsi="宋体" w:eastAsia="宋体" w:cs="宋体"/>
          <w:color w:val="auto"/>
          <w:sz w:val="28"/>
          <w:szCs w:val="28"/>
          <w:highlight w:val="none"/>
        </w:rPr>
        <w:t>一、资格审查程序</w:t>
      </w:r>
      <w:bookmarkEnd w:id="456"/>
      <w:r>
        <w:rPr>
          <w:rFonts w:hint="eastAsia" w:ascii="宋体" w:hAnsi="宋体" w:eastAsia="宋体" w:cs="宋体"/>
          <w:color w:val="auto"/>
          <w:sz w:val="28"/>
          <w:szCs w:val="28"/>
          <w:highlight w:val="none"/>
        </w:rPr>
        <w:t xml:space="preserve"> </w:t>
      </w:r>
    </w:p>
    <w:p w14:paraId="38F0AFCA">
      <w:pPr>
        <w:pStyle w:val="36"/>
        <w:spacing w:line="240" w:lineRule="auto"/>
        <w:ind w:firstLine="482"/>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 xml:space="preserve">1 开标结束后，采购人或采购代理机构将根据《资格审查要求》中的规定，对投标人进行资格审查，并形成资格审查结果。 </w:t>
      </w:r>
    </w:p>
    <w:p w14:paraId="549943DF">
      <w:pPr>
        <w:pStyle w:val="36"/>
        <w:spacing w:line="240" w:lineRule="auto"/>
        <w:ind w:firstLine="482"/>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 投标人《资格证明文件》有任何一项不符合《资格审查要求》的，资格审查不合格，其</w:t>
      </w:r>
      <w:r>
        <w:rPr>
          <w:rFonts w:hint="eastAsia" w:ascii="宋体" w:hAnsi="宋体" w:eastAsia="宋体" w:cs="宋体"/>
          <w:b/>
          <w:bCs/>
          <w:color w:val="auto"/>
          <w:szCs w:val="24"/>
          <w:highlight w:val="none"/>
          <w:lang w:val="en-US"/>
        </w:rPr>
        <w:t>投标无效</w:t>
      </w:r>
      <w:r>
        <w:rPr>
          <w:rFonts w:hint="eastAsia" w:ascii="宋体" w:hAnsi="宋体" w:eastAsia="宋体" w:cs="宋体"/>
          <w:color w:val="auto"/>
          <w:szCs w:val="24"/>
          <w:highlight w:val="none"/>
          <w:lang w:val="en-US"/>
        </w:rPr>
        <w:t xml:space="preserve">。 </w:t>
      </w:r>
    </w:p>
    <w:p w14:paraId="7E936874">
      <w:pPr>
        <w:pStyle w:val="36"/>
        <w:spacing w:line="240" w:lineRule="auto"/>
        <w:ind w:firstLine="482"/>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 xml:space="preserve">3 资格审查合格的投标人不足 3 家的，不进行评标。 </w:t>
      </w:r>
    </w:p>
    <w:p w14:paraId="6051CA5D">
      <w:pPr>
        <w:pStyle w:val="3"/>
        <w:spacing w:before="60" w:after="60" w:line="240" w:lineRule="auto"/>
        <w:ind w:left="420" w:hanging="420"/>
        <w:rPr>
          <w:rFonts w:hint="eastAsia" w:ascii="宋体" w:hAnsi="宋体" w:eastAsia="宋体" w:cs="宋体"/>
          <w:color w:val="auto"/>
          <w:sz w:val="28"/>
          <w:szCs w:val="28"/>
          <w:highlight w:val="none"/>
        </w:rPr>
      </w:pPr>
      <w:bookmarkStart w:id="457" w:name="_Toc2211"/>
      <w:r>
        <w:rPr>
          <w:rFonts w:hint="eastAsia" w:ascii="宋体" w:hAnsi="宋体" w:eastAsia="宋体" w:cs="宋体"/>
          <w:color w:val="auto"/>
          <w:sz w:val="28"/>
          <w:szCs w:val="28"/>
          <w:highlight w:val="none"/>
        </w:rPr>
        <w:t>二、资格审查要求</w:t>
      </w:r>
      <w:bookmarkEnd w:id="457"/>
      <w:r>
        <w:rPr>
          <w:rFonts w:hint="eastAsia" w:ascii="宋体" w:hAnsi="宋体" w:eastAsia="宋体" w:cs="宋体"/>
          <w:color w:val="auto"/>
          <w:sz w:val="28"/>
          <w:szCs w:val="28"/>
          <w:highlight w:val="none"/>
        </w:rPr>
        <w:t xml:space="preserve"> </w:t>
      </w:r>
    </w:p>
    <w:tbl>
      <w:tblPr>
        <w:tblStyle w:val="22"/>
        <w:tblW w:w="49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457"/>
        <w:gridCol w:w="2045"/>
        <w:gridCol w:w="4260"/>
        <w:gridCol w:w="1716"/>
      </w:tblGrid>
      <w:tr w14:paraId="290F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94" w:hRule="atLeast"/>
          <w:jc w:val="center"/>
        </w:trPr>
        <w:tc>
          <w:tcPr>
            <w:tcW w:w="267" w:type="pct"/>
            <w:shd w:val="clear" w:color="auto" w:fill="D8D8D8"/>
            <w:noWrap w:val="0"/>
            <w:vAlign w:val="center"/>
          </w:tcPr>
          <w:p w14:paraId="409D4A41">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序号</w:t>
            </w:r>
          </w:p>
        </w:tc>
        <w:tc>
          <w:tcPr>
            <w:tcW w:w="1207" w:type="pct"/>
            <w:shd w:val="clear" w:color="auto" w:fill="D8D8D8"/>
            <w:noWrap w:val="0"/>
            <w:vAlign w:val="center"/>
          </w:tcPr>
          <w:p w14:paraId="12C96A8E">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审查因素</w:t>
            </w:r>
          </w:p>
        </w:tc>
        <w:tc>
          <w:tcPr>
            <w:tcW w:w="2512" w:type="pct"/>
            <w:shd w:val="clear" w:color="auto" w:fill="D8D8D8"/>
            <w:noWrap w:val="0"/>
            <w:vAlign w:val="center"/>
          </w:tcPr>
          <w:p w14:paraId="4CA365B8">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审查内容</w:t>
            </w:r>
          </w:p>
        </w:tc>
        <w:tc>
          <w:tcPr>
            <w:tcW w:w="1012" w:type="pct"/>
            <w:shd w:val="clear" w:color="auto" w:fill="D8D8D8"/>
            <w:noWrap w:val="0"/>
            <w:vAlign w:val="center"/>
          </w:tcPr>
          <w:p w14:paraId="2230BADF">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格式要求</w:t>
            </w:r>
          </w:p>
        </w:tc>
      </w:tr>
      <w:tr w14:paraId="7B36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73" w:hRule="atLeast"/>
          <w:jc w:val="center"/>
        </w:trPr>
        <w:tc>
          <w:tcPr>
            <w:tcW w:w="267" w:type="pct"/>
            <w:shd w:val="clear" w:color="auto" w:fill="FFFFFF"/>
            <w:noWrap w:val="0"/>
            <w:vAlign w:val="center"/>
          </w:tcPr>
          <w:p w14:paraId="42151F2A">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1</w:t>
            </w:r>
          </w:p>
        </w:tc>
        <w:tc>
          <w:tcPr>
            <w:tcW w:w="1207" w:type="pct"/>
            <w:shd w:val="clear" w:color="auto" w:fill="FFFFFF"/>
            <w:noWrap w:val="0"/>
            <w:vAlign w:val="center"/>
          </w:tcPr>
          <w:p w14:paraId="00C31762">
            <w:pPr>
              <w:pStyle w:val="67"/>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i w:val="0"/>
                <w:iCs w:val="0"/>
                <w:color w:val="auto"/>
                <w:sz w:val="24"/>
                <w:szCs w:val="24"/>
                <w:highlight w:val="none"/>
                <w:lang w:val="en-US" w:eastAsia="zh-CN"/>
              </w:rPr>
            </w:pPr>
            <w:r>
              <w:rPr>
                <w:rStyle w:val="30"/>
                <w:rFonts w:hint="eastAsia" w:ascii="宋体" w:hAnsi="宋体" w:eastAsia="宋体" w:cs="宋体"/>
                <w:b w:val="0"/>
                <w:bCs/>
                <w:i w:val="0"/>
                <w:caps w:val="0"/>
                <w:color w:val="auto"/>
                <w:spacing w:val="0"/>
                <w:w w:val="100"/>
                <w:position w:val="0"/>
                <w:sz w:val="24"/>
                <w:szCs w:val="24"/>
                <w:highlight w:val="none"/>
                <w:lang w:bidi="ar-SA"/>
              </w:rPr>
              <w:t>营业执照具有独立承担民事责任的能力</w:t>
            </w:r>
          </w:p>
        </w:tc>
        <w:tc>
          <w:tcPr>
            <w:tcW w:w="2512" w:type="pct"/>
            <w:shd w:val="clear" w:color="auto" w:fill="FFFFFF"/>
            <w:noWrap w:val="0"/>
            <w:vAlign w:val="center"/>
          </w:tcPr>
          <w:p w14:paraId="1E5CB69C">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val="0"/>
                <w:bCs/>
                <w:color w:val="auto"/>
                <w:spacing w:val="0"/>
                <w:position w:val="0"/>
                <w:sz w:val="24"/>
                <w:szCs w:val="24"/>
                <w:highlight w:val="none"/>
                <w:u w:val="none" w:color="auto"/>
              </w:rPr>
              <w:t>具有独立承担民事责任的能力</w:t>
            </w:r>
            <w:r>
              <w:rPr>
                <w:rFonts w:hint="eastAsia" w:ascii="宋体" w:hAnsi="宋体" w:eastAsia="宋体" w:cs="宋体"/>
                <w:b w:val="0"/>
                <w:bCs/>
                <w:color w:val="auto"/>
                <w:spacing w:val="0"/>
                <w:position w:val="0"/>
                <w:sz w:val="24"/>
                <w:szCs w:val="24"/>
                <w:highlight w:val="none"/>
                <w:u w:val="none" w:color="auto"/>
                <w:lang w:eastAsia="zh-CN"/>
              </w:rPr>
              <w:t>，</w:t>
            </w:r>
            <w:r>
              <w:rPr>
                <w:rFonts w:hint="eastAsia" w:ascii="宋体" w:hAnsi="宋体" w:eastAsia="宋体" w:cs="宋体"/>
                <w:b w:val="0"/>
                <w:bCs/>
                <w:color w:val="auto"/>
                <w:spacing w:val="0"/>
                <w:position w:val="0"/>
                <w:sz w:val="24"/>
                <w:szCs w:val="24"/>
                <w:highlight w:val="none"/>
                <w:u w:val="none" w:color="auto"/>
              </w:rPr>
              <w:t>须提供相关证明材料</w:t>
            </w:r>
            <w:r>
              <w:rPr>
                <w:rFonts w:hint="eastAsia" w:ascii="宋体" w:hAnsi="宋体" w:eastAsia="宋体" w:cs="宋体"/>
                <w:b w:val="0"/>
                <w:bCs/>
                <w:color w:val="auto"/>
                <w:spacing w:val="0"/>
                <w:position w:val="0"/>
                <w:sz w:val="24"/>
                <w:szCs w:val="24"/>
                <w:highlight w:val="none"/>
                <w:u w:val="none" w:color="auto"/>
                <w:lang w:eastAsia="zh-CN"/>
              </w:rPr>
              <w:t>，</w:t>
            </w:r>
            <w:r>
              <w:rPr>
                <w:rFonts w:hint="eastAsia" w:ascii="宋体" w:hAnsi="宋体" w:eastAsia="宋体" w:cs="宋体"/>
                <w:b w:val="0"/>
                <w:bCs/>
                <w:color w:val="auto"/>
                <w:spacing w:val="0"/>
                <w:position w:val="0"/>
                <w:sz w:val="24"/>
                <w:szCs w:val="24"/>
                <w:highlight w:val="none"/>
                <w:u w:val="none" w:color="auto"/>
                <w:lang w:val="en-US" w:eastAsia="zh-CN"/>
              </w:rPr>
              <w:t>详见投标文件格式。</w:t>
            </w:r>
          </w:p>
        </w:tc>
        <w:tc>
          <w:tcPr>
            <w:tcW w:w="1012" w:type="pct"/>
            <w:shd w:val="clear" w:color="auto" w:fill="FFFFFF"/>
            <w:noWrap w:val="0"/>
            <w:vAlign w:val="center"/>
          </w:tcPr>
          <w:p w14:paraId="5D7E71D4">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rPr>
              <w:t>提供证明文件的电子件或电子证照</w:t>
            </w:r>
          </w:p>
        </w:tc>
      </w:tr>
      <w:tr w14:paraId="1814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36" w:hRule="atLeast"/>
          <w:jc w:val="center"/>
        </w:trPr>
        <w:tc>
          <w:tcPr>
            <w:tcW w:w="267" w:type="pct"/>
            <w:shd w:val="clear" w:color="auto" w:fill="FFFFFF"/>
            <w:noWrap w:val="0"/>
            <w:vAlign w:val="center"/>
          </w:tcPr>
          <w:p w14:paraId="7E080CEE">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2</w:t>
            </w:r>
          </w:p>
        </w:tc>
        <w:tc>
          <w:tcPr>
            <w:tcW w:w="1207" w:type="pct"/>
            <w:shd w:val="clear" w:color="auto" w:fill="FFFFFF"/>
            <w:noWrap w:val="0"/>
            <w:vAlign w:val="center"/>
          </w:tcPr>
          <w:p w14:paraId="74F421BE">
            <w:pPr>
              <w:pStyle w:val="67"/>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i w:val="0"/>
                <w:iCs w:val="0"/>
                <w:color w:val="auto"/>
                <w:sz w:val="24"/>
                <w:szCs w:val="24"/>
                <w:highlight w:val="none"/>
                <w:lang w:val="en-US" w:eastAsia="zh-CN"/>
              </w:rPr>
            </w:pPr>
            <w:r>
              <w:rPr>
                <w:rStyle w:val="30"/>
                <w:rFonts w:hint="eastAsia" w:ascii="宋体" w:hAnsi="宋体" w:eastAsia="宋体" w:cs="宋体"/>
                <w:b w:val="0"/>
                <w:bCs/>
                <w:i w:val="0"/>
                <w:caps w:val="0"/>
                <w:color w:val="auto"/>
                <w:spacing w:val="0"/>
                <w:w w:val="100"/>
                <w:position w:val="0"/>
                <w:sz w:val="24"/>
                <w:szCs w:val="24"/>
                <w:highlight w:val="none"/>
                <w:lang w:bidi="ar-SA"/>
              </w:rPr>
              <w:t>具有良好的商业信誉和健全的财务会计制度</w:t>
            </w:r>
          </w:p>
        </w:tc>
        <w:tc>
          <w:tcPr>
            <w:tcW w:w="2512" w:type="pct"/>
            <w:shd w:val="clear" w:color="auto" w:fill="FFFFFF"/>
            <w:noWrap w:val="0"/>
            <w:vAlign w:val="center"/>
          </w:tcPr>
          <w:p w14:paraId="50C91351">
            <w:pPr>
              <w:pStyle w:val="67"/>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240" w:lineRule="auto"/>
              <w:ind w:firstLine="0" w:firstLineChars="0"/>
              <w:jc w:val="both"/>
              <w:textAlignment w:val="baseline"/>
              <w:rPr>
                <w:rFonts w:hint="eastAsia" w:ascii="宋体" w:hAnsi="宋体" w:eastAsia="宋体" w:cs="宋体"/>
                <w:i w:val="0"/>
                <w:iCs w:val="0"/>
                <w:color w:val="auto"/>
                <w:spacing w:val="-6"/>
                <w:sz w:val="24"/>
                <w:szCs w:val="24"/>
                <w:highlight w:val="none"/>
                <w:lang w:val="en-US" w:eastAsia="zh-CN"/>
              </w:rPr>
            </w:pPr>
            <w:r>
              <w:rPr>
                <w:rStyle w:val="30"/>
                <w:rFonts w:hint="eastAsia" w:ascii="宋体" w:hAnsi="宋体" w:eastAsia="宋体" w:cs="宋体"/>
                <w:b w:val="0"/>
                <w:bCs/>
                <w:i w:val="0"/>
                <w:caps w:val="0"/>
                <w:color w:val="auto"/>
                <w:spacing w:val="0"/>
                <w:w w:val="100"/>
                <w:position w:val="0"/>
                <w:sz w:val="24"/>
                <w:szCs w:val="24"/>
                <w:highlight w:val="none"/>
                <w:lang w:bidi="ar-SA"/>
              </w:rPr>
              <w:t>须提供近两年度（任意一年）经审计的财务审计报告（报告中须包括资产负债表、利润表、现金流量表等）</w:t>
            </w:r>
            <w:r>
              <w:rPr>
                <w:rStyle w:val="30"/>
                <w:rFonts w:hint="eastAsia" w:ascii="宋体" w:hAnsi="宋体" w:eastAsia="宋体" w:cs="宋体"/>
                <w:b w:val="0"/>
                <w:bCs/>
                <w:i w:val="0"/>
                <w:caps w:val="0"/>
                <w:color w:val="auto"/>
                <w:spacing w:val="0"/>
                <w:w w:val="100"/>
                <w:position w:val="0"/>
                <w:sz w:val="24"/>
                <w:szCs w:val="24"/>
                <w:highlight w:val="none"/>
                <w:lang w:val="en-US" w:eastAsia="zh-CN" w:bidi="ar-SA"/>
              </w:rPr>
              <w:t>或</w:t>
            </w:r>
            <w:r>
              <w:rPr>
                <w:rStyle w:val="30"/>
                <w:rFonts w:hint="eastAsia" w:ascii="宋体" w:hAnsi="宋体" w:eastAsia="宋体" w:cs="宋体"/>
                <w:b w:val="0"/>
                <w:bCs/>
                <w:i w:val="0"/>
                <w:caps w:val="0"/>
                <w:color w:val="auto"/>
                <w:spacing w:val="0"/>
                <w:w w:val="100"/>
                <w:position w:val="0"/>
                <w:sz w:val="24"/>
                <w:szCs w:val="24"/>
                <w:highlight w:val="none"/>
                <w:lang w:bidi="ar-SA"/>
              </w:rPr>
              <w:t>银行在开标日期前三个月内开具的资信证明</w:t>
            </w:r>
            <w:r>
              <w:rPr>
                <w:rStyle w:val="30"/>
                <w:rFonts w:hint="eastAsia" w:ascii="宋体" w:hAnsi="宋体" w:eastAsia="宋体" w:cs="宋体"/>
                <w:b w:val="0"/>
                <w:bCs/>
                <w:i w:val="0"/>
                <w:caps w:val="0"/>
                <w:color w:val="auto"/>
                <w:spacing w:val="0"/>
                <w:w w:val="100"/>
                <w:position w:val="0"/>
                <w:sz w:val="24"/>
                <w:szCs w:val="24"/>
                <w:highlight w:val="none"/>
                <w:lang w:eastAsia="zh-CN" w:bidi="ar-SA"/>
              </w:rPr>
              <w:t>。</w:t>
            </w:r>
          </w:p>
        </w:tc>
        <w:tc>
          <w:tcPr>
            <w:tcW w:w="1012" w:type="pct"/>
            <w:shd w:val="clear" w:color="auto" w:fill="FFFFFF"/>
            <w:noWrap w:val="0"/>
            <w:vAlign w:val="center"/>
          </w:tcPr>
          <w:p w14:paraId="118AA384">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t>格式见第</w:t>
            </w:r>
            <w:r>
              <w:rPr>
                <w:rFonts w:hint="eastAsia" w:cs="宋体"/>
                <w:i w:val="0"/>
                <w:iCs w:val="0"/>
                <w:color w:val="auto"/>
                <w:kern w:val="0"/>
                <w:sz w:val="24"/>
                <w:szCs w:val="24"/>
                <w:highlight w:val="none"/>
                <w:lang w:val="en-US" w:eastAsia="zh-CN"/>
              </w:rPr>
              <w:t>七</w:t>
            </w:r>
            <w:r>
              <w:rPr>
                <w:rFonts w:hint="eastAsia" w:ascii="宋体" w:hAnsi="宋体" w:eastAsia="宋体" w:cs="宋体"/>
                <w:i w:val="0"/>
                <w:iCs w:val="0"/>
                <w:color w:val="auto"/>
                <w:kern w:val="0"/>
                <w:sz w:val="24"/>
                <w:szCs w:val="24"/>
                <w:highlight w:val="none"/>
                <w:lang w:val="en-US" w:eastAsia="zh-CN"/>
              </w:rPr>
              <w:t>章投标文件格式</w:t>
            </w:r>
          </w:p>
        </w:tc>
      </w:tr>
      <w:tr w14:paraId="1053B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73" w:hRule="atLeast"/>
          <w:jc w:val="center"/>
        </w:trPr>
        <w:tc>
          <w:tcPr>
            <w:tcW w:w="267" w:type="pct"/>
            <w:shd w:val="clear" w:color="auto" w:fill="FFFFFF"/>
            <w:noWrap w:val="0"/>
            <w:vAlign w:val="center"/>
          </w:tcPr>
          <w:p w14:paraId="7C873483">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3</w:t>
            </w:r>
          </w:p>
        </w:tc>
        <w:tc>
          <w:tcPr>
            <w:tcW w:w="1207" w:type="pct"/>
            <w:shd w:val="clear" w:color="auto" w:fill="FFFFFF"/>
            <w:noWrap w:val="0"/>
            <w:vAlign w:val="center"/>
          </w:tcPr>
          <w:p w14:paraId="18E33915">
            <w:pPr>
              <w:pStyle w:val="67"/>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i w:val="0"/>
                <w:iCs w:val="0"/>
                <w:color w:val="auto"/>
                <w:sz w:val="24"/>
                <w:szCs w:val="24"/>
                <w:highlight w:val="none"/>
                <w:lang w:val="en-US" w:eastAsia="zh-CN"/>
              </w:rPr>
            </w:pPr>
            <w:r>
              <w:rPr>
                <w:rStyle w:val="30"/>
                <w:rFonts w:hint="eastAsia" w:ascii="宋体" w:hAnsi="宋体" w:eastAsia="宋体" w:cs="宋体"/>
                <w:b w:val="0"/>
                <w:bCs/>
                <w:i w:val="0"/>
                <w:caps w:val="0"/>
                <w:color w:val="auto"/>
                <w:spacing w:val="0"/>
                <w:w w:val="100"/>
                <w:position w:val="0"/>
                <w:sz w:val="24"/>
                <w:szCs w:val="24"/>
                <w:highlight w:val="none"/>
                <w:lang w:bidi="ar-SA"/>
              </w:rPr>
              <w:t>具有履行合同所必需的设备和专业技术能力</w:t>
            </w:r>
          </w:p>
        </w:tc>
        <w:tc>
          <w:tcPr>
            <w:tcW w:w="2512" w:type="pct"/>
            <w:shd w:val="clear" w:color="auto" w:fill="FFFFFF"/>
            <w:noWrap w:val="0"/>
            <w:vAlign w:val="center"/>
          </w:tcPr>
          <w:p w14:paraId="46615840">
            <w:pPr>
              <w:pStyle w:val="67"/>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240" w:lineRule="auto"/>
              <w:ind w:firstLine="0" w:firstLineChars="0"/>
              <w:jc w:val="both"/>
              <w:textAlignment w:val="baseline"/>
              <w:rPr>
                <w:rFonts w:hint="eastAsia" w:ascii="宋体" w:hAnsi="宋体" w:eastAsia="宋体" w:cs="宋体"/>
                <w:i w:val="0"/>
                <w:iCs w:val="0"/>
                <w:color w:val="auto"/>
                <w:sz w:val="24"/>
                <w:szCs w:val="24"/>
                <w:highlight w:val="none"/>
                <w:lang w:val="en-US" w:eastAsia="zh-CN"/>
              </w:rPr>
            </w:pPr>
            <w:r>
              <w:rPr>
                <w:rStyle w:val="30"/>
                <w:rFonts w:hint="eastAsia" w:ascii="宋体" w:hAnsi="宋体" w:eastAsia="宋体" w:cs="宋体"/>
                <w:b w:val="0"/>
                <w:bCs/>
                <w:i w:val="0"/>
                <w:caps w:val="0"/>
                <w:color w:val="auto"/>
                <w:spacing w:val="0"/>
                <w:w w:val="100"/>
                <w:position w:val="0"/>
                <w:sz w:val="24"/>
                <w:szCs w:val="24"/>
                <w:highlight w:val="none"/>
                <w:lang w:bidi="ar-SA"/>
              </w:rPr>
              <w:t>具备履行合同所必需的设备和专业技术能力的书面声明</w:t>
            </w:r>
          </w:p>
        </w:tc>
        <w:tc>
          <w:tcPr>
            <w:tcW w:w="1012" w:type="pct"/>
            <w:shd w:val="clear" w:color="auto" w:fill="FFFFFF"/>
            <w:noWrap w:val="0"/>
            <w:vAlign w:val="center"/>
          </w:tcPr>
          <w:p w14:paraId="7DCD24EB">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t>格式见第</w:t>
            </w:r>
            <w:r>
              <w:rPr>
                <w:rFonts w:hint="eastAsia" w:cs="宋体"/>
                <w:i w:val="0"/>
                <w:iCs w:val="0"/>
                <w:color w:val="auto"/>
                <w:kern w:val="0"/>
                <w:sz w:val="24"/>
                <w:szCs w:val="24"/>
                <w:highlight w:val="none"/>
                <w:lang w:val="en-US" w:eastAsia="zh-CN"/>
              </w:rPr>
              <w:t>七</w:t>
            </w:r>
            <w:r>
              <w:rPr>
                <w:rFonts w:hint="eastAsia" w:ascii="宋体" w:hAnsi="宋体" w:eastAsia="宋体" w:cs="宋体"/>
                <w:i w:val="0"/>
                <w:iCs w:val="0"/>
                <w:color w:val="auto"/>
                <w:kern w:val="0"/>
                <w:sz w:val="24"/>
                <w:szCs w:val="24"/>
                <w:highlight w:val="none"/>
                <w:lang w:val="en-US" w:eastAsia="zh-CN"/>
              </w:rPr>
              <w:t>章投标文件格式</w:t>
            </w:r>
          </w:p>
        </w:tc>
      </w:tr>
      <w:tr w14:paraId="6670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36" w:hRule="atLeast"/>
          <w:jc w:val="center"/>
        </w:trPr>
        <w:tc>
          <w:tcPr>
            <w:tcW w:w="267" w:type="pct"/>
            <w:shd w:val="clear" w:color="auto" w:fill="FFFFFF"/>
            <w:noWrap w:val="0"/>
            <w:vAlign w:val="center"/>
          </w:tcPr>
          <w:p w14:paraId="707AD651">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4</w:t>
            </w:r>
          </w:p>
        </w:tc>
        <w:tc>
          <w:tcPr>
            <w:tcW w:w="1207" w:type="pct"/>
            <w:shd w:val="clear" w:color="auto" w:fill="FFFFFF"/>
            <w:noWrap w:val="0"/>
            <w:vAlign w:val="center"/>
          </w:tcPr>
          <w:p w14:paraId="2B2D1031">
            <w:pPr>
              <w:pStyle w:val="67"/>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i w:val="0"/>
                <w:iCs w:val="0"/>
                <w:color w:val="auto"/>
                <w:sz w:val="24"/>
                <w:szCs w:val="24"/>
                <w:highlight w:val="none"/>
                <w:lang w:val="en-US" w:eastAsia="zh-CN"/>
              </w:rPr>
            </w:pPr>
            <w:r>
              <w:rPr>
                <w:rStyle w:val="30"/>
                <w:rFonts w:hint="eastAsia" w:ascii="宋体" w:hAnsi="宋体" w:eastAsia="宋体" w:cs="宋体"/>
                <w:b w:val="0"/>
                <w:bCs/>
                <w:i w:val="0"/>
                <w:caps w:val="0"/>
                <w:color w:val="auto"/>
                <w:spacing w:val="0"/>
                <w:w w:val="100"/>
                <w:position w:val="0"/>
                <w:sz w:val="24"/>
                <w:szCs w:val="24"/>
                <w:highlight w:val="none"/>
                <w:lang w:bidi="ar-SA"/>
              </w:rPr>
              <w:t>有依法缴纳税收和社会保障资金的良好记录</w:t>
            </w:r>
          </w:p>
        </w:tc>
        <w:tc>
          <w:tcPr>
            <w:tcW w:w="2512" w:type="pct"/>
            <w:shd w:val="clear" w:color="auto" w:fill="FFFFFF"/>
            <w:noWrap w:val="0"/>
            <w:vAlign w:val="center"/>
          </w:tcPr>
          <w:p w14:paraId="7C38FEE3">
            <w:pPr>
              <w:pStyle w:val="67"/>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240" w:lineRule="auto"/>
              <w:ind w:firstLine="0" w:firstLineChars="0"/>
              <w:jc w:val="both"/>
              <w:textAlignment w:val="baseline"/>
              <w:rPr>
                <w:rFonts w:hint="eastAsia" w:ascii="宋体" w:hAnsi="宋体" w:eastAsia="宋体" w:cs="宋体"/>
                <w:i w:val="0"/>
                <w:iCs w:val="0"/>
                <w:color w:val="auto"/>
                <w:sz w:val="24"/>
                <w:szCs w:val="24"/>
                <w:highlight w:val="none"/>
                <w:lang w:val="en-US" w:eastAsia="zh-CN"/>
              </w:rPr>
            </w:pPr>
            <w:r>
              <w:rPr>
                <w:rStyle w:val="30"/>
                <w:rFonts w:hint="eastAsia" w:ascii="宋体" w:hAnsi="宋体" w:eastAsia="宋体" w:cs="宋体"/>
                <w:b w:val="0"/>
                <w:bCs/>
                <w:i w:val="0"/>
                <w:caps w:val="0"/>
                <w:color w:val="auto"/>
                <w:spacing w:val="0"/>
                <w:w w:val="100"/>
                <w:position w:val="0"/>
                <w:sz w:val="24"/>
                <w:szCs w:val="24"/>
                <w:highlight w:val="none"/>
                <w:lang w:val="en-US" w:eastAsia="zh-CN" w:bidi="ar-SA"/>
              </w:rPr>
              <w:t>依法缴纳税收和社会保障资金的证明材料，须提供开标前六个月内任意一个月的依法缴税和缴纳社会保险的证明材料</w:t>
            </w:r>
            <w:r>
              <w:rPr>
                <w:rStyle w:val="30"/>
                <w:rFonts w:hint="eastAsia" w:ascii="宋体" w:hAnsi="宋体" w:eastAsia="宋体" w:cs="宋体"/>
                <w:b w:val="0"/>
                <w:bCs/>
                <w:i w:val="0"/>
                <w:caps w:val="0"/>
                <w:color w:val="auto"/>
                <w:spacing w:val="0"/>
                <w:w w:val="100"/>
                <w:position w:val="0"/>
                <w:sz w:val="24"/>
                <w:szCs w:val="24"/>
                <w:highlight w:val="none"/>
                <w:lang w:bidi="ar-SA"/>
              </w:rPr>
              <w:t>（依法免税的应提供相应文件说明）</w:t>
            </w:r>
            <w:r>
              <w:rPr>
                <w:rStyle w:val="30"/>
                <w:rFonts w:hint="eastAsia" w:ascii="宋体" w:hAnsi="宋体" w:eastAsia="宋体" w:cs="宋体"/>
                <w:b w:val="0"/>
                <w:bCs/>
                <w:i w:val="0"/>
                <w:caps w:val="0"/>
                <w:color w:val="auto"/>
                <w:spacing w:val="0"/>
                <w:w w:val="100"/>
                <w:position w:val="0"/>
                <w:sz w:val="24"/>
                <w:szCs w:val="24"/>
                <w:highlight w:val="none"/>
                <w:lang w:eastAsia="zh-CN" w:bidi="ar-SA"/>
              </w:rPr>
              <w:t>。</w:t>
            </w:r>
          </w:p>
        </w:tc>
        <w:tc>
          <w:tcPr>
            <w:tcW w:w="1012" w:type="pct"/>
            <w:shd w:val="clear" w:color="auto" w:fill="FFFFFF"/>
            <w:noWrap w:val="0"/>
            <w:vAlign w:val="center"/>
          </w:tcPr>
          <w:p w14:paraId="34BAF51E">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t>格式见第</w:t>
            </w:r>
            <w:r>
              <w:rPr>
                <w:rFonts w:hint="eastAsia" w:cs="宋体"/>
                <w:i w:val="0"/>
                <w:iCs w:val="0"/>
                <w:color w:val="auto"/>
                <w:kern w:val="0"/>
                <w:sz w:val="24"/>
                <w:szCs w:val="24"/>
                <w:highlight w:val="none"/>
                <w:lang w:val="en-US" w:eastAsia="zh-CN"/>
              </w:rPr>
              <w:t>七</w:t>
            </w:r>
            <w:r>
              <w:rPr>
                <w:rFonts w:hint="eastAsia" w:ascii="宋体" w:hAnsi="宋体" w:eastAsia="宋体" w:cs="宋体"/>
                <w:i w:val="0"/>
                <w:iCs w:val="0"/>
                <w:color w:val="auto"/>
                <w:kern w:val="0"/>
                <w:sz w:val="24"/>
                <w:szCs w:val="24"/>
                <w:highlight w:val="none"/>
                <w:lang w:val="en-US" w:eastAsia="zh-CN"/>
              </w:rPr>
              <w:t>章投标文件格式</w:t>
            </w:r>
          </w:p>
        </w:tc>
      </w:tr>
      <w:tr w14:paraId="48DE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89" w:hRule="atLeast"/>
          <w:jc w:val="center"/>
        </w:trPr>
        <w:tc>
          <w:tcPr>
            <w:tcW w:w="267" w:type="pct"/>
            <w:shd w:val="clear" w:color="auto" w:fill="FFFFFF"/>
            <w:noWrap w:val="0"/>
            <w:vAlign w:val="center"/>
          </w:tcPr>
          <w:p w14:paraId="70600929">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5</w:t>
            </w:r>
          </w:p>
        </w:tc>
        <w:tc>
          <w:tcPr>
            <w:tcW w:w="1207" w:type="pct"/>
            <w:shd w:val="clear" w:color="auto" w:fill="FFFFFF"/>
            <w:noWrap w:val="0"/>
            <w:vAlign w:val="center"/>
          </w:tcPr>
          <w:p w14:paraId="6AE2915A">
            <w:pPr>
              <w:pStyle w:val="67"/>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i w:val="0"/>
                <w:iCs w:val="0"/>
                <w:color w:val="auto"/>
                <w:sz w:val="24"/>
                <w:szCs w:val="24"/>
                <w:highlight w:val="none"/>
                <w:lang w:val="en-US" w:eastAsia="zh-CN"/>
              </w:rPr>
            </w:pPr>
            <w:r>
              <w:rPr>
                <w:rStyle w:val="30"/>
                <w:rFonts w:hint="eastAsia" w:ascii="宋体" w:hAnsi="宋体" w:eastAsia="宋体" w:cs="宋体"/>
                <w:b w:val="0"/>
                <w:bCs/>
                <w:i w:val="0"/>
                <w:caps w:val="0"/>
                <w:color w:val="auto"/>
                <w:spacing w:val="0"/>
                <w:w w:val="100"/>
                <w:position w:val="0"/>
                <w:sz w:val="24"/>
                <w:szCs w:val="24"/>
                <w:highlight w:val="none"/>
                <w:lang w:bidi="ar-SA"/>
              </w:rPr>
              <w:t>参加政府采购活动前三年内，在经营活动中没有重大违法记录</w:t>
            </w:r>
          </w:p>
        </w:tc>
        <w:tc>
          <w:tcPr>
            <w:tcW w:w="2512" w:type="pct"/>
            <w:shd w:val="clear" w:color="auto" w:fill="FFFFFF"/>
            <w:noWrap w:val="0"/>
            <w:vAlign w:val="center"/>
          </w:tcPr>
          <w:p w14:paraId="54014B66">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val="0"/>
                <w:bCs/>
                <w:color w:val="auto"/>
                <w:spacing w:val="0"/>
                <w:position w:val="0"/>
                <w:sz w:val="24"/>
                <w:szCs w:val="24"/>
                <w:highlight w:val="none"/>
                <w:u w:val="none" w:color="auto"/>
                <w:lang w:val="zh-CN"/>
              </w:rPr>
              <w:t>参加政府采购活动近3年内，在经营活动中没有重大违法记录，</w:t>
            </w:r>
            <w:r>
              <w:rPr>
                <w:rFonts w:hint="eastAsia" w:ascii="宋体" w:hAnsi="宋体" w:eastAsia="宋体" w:cs="宋体"/>
                <w:b w:val="0"/>
                <w:bCs/>
                <w:color w:val="auto"/>
                <w:spacing w:val="0"/>
                <w:position w:val="0"/>
                <w:sz w:val="24"/>
                <w:szCs w:val="24"/>
                <w:highlight w:val="none"/>
                <w:u w:val="none" w:color="auto"/>
                <w:lang w:val="zh-CN" w:eastAsia="zh-CN"/>
              </w:rPr>
              <w:t>须提供书面声明</w:t>
            </w:r>
            <w:r>
              <w:rPr>
                <w:rFonts w:hint="eastAsia" w:ascii="宋体" w:hAnsi="宋体" w:eastAsia="宋体" w:cs="宋体"/>
                <w:b w:val="0"/>
                <w:bCs/>
                <w:color w:val="auto"/>
                <w:spacing w:val="0"/>
                <w:position w:val="0"/>
                <w:sz w:val="24"/>
                <w:szCs w:val="24"/>
                <w:highlight w:val="none"/>
                <w:u w:val="none" w:color="auto"/>
                <w:lang w:eastAsia="zh-CN"/>
              </w:rPr>
              <w:t>，</w:t>
            </w:r>
            <w:r>
              <w:rPr>
                <w:rFonts w:hint="eastAsia" w:ascii="宋体" w:hAnsi="宋体" w:eastAsia="宋体" w:cs="宋体"/>
                <w:b w:val="0"/>
                <w:bCs/>
                <w:color w:val="auto"/>
                <w:spacing w:val="0"/>
                <w:position w:val="0"/>
                <w:sz w:val="24"/>
                <w:szCs w:val="24"/>
                <w:highlight w:val="none"/>
                <w:u w:val="none" w:color="auto"/>
                <w:lang w:val="en-US" w:eastAsia="zh-CN"/>
              </w:rPr>
              <w:t>详见投标文件格式。</w:t>
            </w:r>
          </w:p>
        </w:tc>
        <w:tc>
          <w:tcPr>
            <w:tcW w:w="1012" w:type="pct"/>
            <w:shd w:val="clear" w:color="auto" w:fill="FFFFFF"/>
            <w:noWrap w:val="0"/>
            <w:vAlign w:val="center"/>
          </w:tcPr>
          <w:p w14:paraId="5DDDFAB4">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rPr>
              <w:t>格式见第</w:t>
            </w:r>
            <w:r>
              <w:rPr>
                <w:rFonts w:hint="eastAsia" w:cs="宋体"/>
                <w:i w:val="0"/>
                <w:iCs w:val="0"/>
                <w:color w:val="auto"/>
                <w:kern w:val="0"/>
                <w:sz w:val="24"/>
                <w:szCs w:val="24"/>
                <w:highlight w:val="none"/>
                <w:lang w:val="en-US" w:eastAsia="zh-CN"/>
              </w:rPr>
              <w:t>七</w:t>
            </w:r>
            <w:r>
              <w:rPr>
                <w:rFonts w:hint="eastAsia" w:ascii="宋体" w:hAnsi="宋体" w:eastAsia="宋体" w:cs="宋体"/>
                <w:i w:val="0"/>
                <w:iCs w:val="0"/>
                <w:color w:val="auto"/>
                <w:kern w:val="0"/>
                <w:sz w:val="24"/>
                <w:szCs w:val="24"/>
                <w:highlight w:val="none"/>
                <w:lang w:val="en-US" w:eastAsia="zh-CN"/>
              </w:rPr>
              <w:t>章投标文件格式</w:t>
            </w:r>
          </w:p>
        </w:tc>
      </w:tr>
      <w:tr w14:paraId="3AE0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8" w:hRule="atLeast"/>
          <w:jc w:val="center"/>
        </w:trPr>
        <w:tc>
          <w:tcPr>
            <w:tcW w:w="267" w:type="pct"/>
            <w:shd w:val="clear" w:color="auto" w:fill="FFFFFF"/>
            <w:noWrap w:val="0"/>
            <w:vAlign w:val="center"/>
          </w:tcPr>
          <w:p w14:paraId="34818F71">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6</w:t>
            </w:r>
          </w:p>
        </w:tc>
        <w:tc>
          <w:tcPr>
            <w:tcW w:w="1207" w:type="pct"/>
            <w:shd w:val="clear" w:color="auto" w:fill="FFFFFF"/>
            <w:noWrap w:val="0"/>
            <w:vAlign w:val="center"/>
          </w:tcPr>
          <w:p w14:paraId="0084803C">
            <w:pPr>
              <w:pStyle w:val="37"/>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特定资质要求</w:t>
            </w:r>
          </w:p>
        </w:tc>
        <w:tc>
          <w:tcPr>
            <w:tcW w:w="2512" w:type="pct"/>
            <w:shd w:val="clear" w:color="auto" w:fill="FFFFFF"/>
            <w:noWrap w:val="0"/>
            <w:vAlign w:val="center"/>
          </w:tcPr>
          <w:p w14:paraId="6407A10D">
            <w:pPr>
              <w:pStyle w:val="37"/>
              <w:keepNext w:val="0"/>
              <w:keepLines w:val="0"/>
              <w:pageBreakBefore w:val="0"/>
              <w:shd w:val="clear" w:color="auto" w:fill="auto"/>
              <w:kinsoku/>
              <w:wordWrap/>
              <w:overflowPunct/>
              <w:topLinePunct w:val="0"/>
              <w:autoSpaceDE/>
              <w:autoSpaceDN/>
              <w:bidi w:val="0"/>
              <w:spacing w:line="240" w:lineRule="auto"/>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属于第一类医疗器械的可提供医疗器械经营备案凭证或按照国家医疗器械经营监督管理办法规定无需备案的可不提供</w:t>
            </w:r>
            <w:r>
              <w:rPr>
                <w:rFonts w:hint="eastAsia" w:cs="宋体"/>
                <w:i w:val="0"/>
                <w:iCs w:val="0"/>
                <w:color w:val="auto"/>
                <w:sz w:val="24"/>
                <w:szCs w:val="24"/>
                <w:highlight w:val="none"/>
                <w:lang w:val="en-US" w:eastAsia="zh-CN"/>
              </w:rPr>
              <w:t>。</w:t>
            </w:r>
          </w:p>
        </w:tc>
        <w:tc>
          <w:tcPr>
            <w:tcW w:w="1012" w:type="pct"/>
            <w:shd w:val="clear" w:color="auto" w:fill="FFFFFF"/>
            <w:noWrap w:val="0"/>
            <w:vAlign w:val="center"/>
          </w:tcPr>
          <w:p w14:paraId="5B4E5324">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lang w:eastAsia="zh-CN"/>
              </w:rPr>
            </w:pPr>
            <w:r>
              <w:rPr>
                <w:rFonts w:hint="eastAsia" w:ascii="宋体" w:hAnsi="宋体" w:eastAsia="宋体" w:cs="宋体"/>
                <w:i w:val="0"/>
                <w:iCs w:val="0"/>
                <w:color w:val="auto"/>
                <w:kern w:val="0"/>
                <w:sz w:val="24"/>
                <w:szCs w:val="24"/>
                <w:highlight w:val="none"/>
                <w:lang w:val="en-US" w:eastAsia="zh-CN"/>
              </w:rPr>
              <w:t>格式见第</w:t>
            </w:r>
            <w:r>
              <w:rPr>
                <w:rFonts w:hint="eastAsia" w:cs="宋体"/>
                <w:i w:val="0"/>
                <w:iCs w:val="0"/>
                <w:color w:val="auto"/>
                <w:kern w:val="0"/>
                <w:sz w:val="24"/>
                <w:szCs w:val="24"/>
                <w:highlight w:val="none"/>
                <w:lang w:val="en-US" w:eastAsia="zh-CN"/>
              </w:rPr>
              <w:t>七</w:t>
            </w:r>
            <w:r>
              <w:rPr>
                <w:rFonts w:hint="eastAsia" w:ascii="宋体" w:hAnsi="宋体" w:eastAsia="宋体" w:cs="宋体"/>
                <w:i w:val="0"/>
                <w:iCs w:val="0"/>
                <w:color w:val="auto"/>
                <w:kern w:val="0"/>
                <w:sz w:val="24"/>
                <w:szCs w:val="24"/>
                <w:highlight w:val="none"/>
                <w:lang w:val="en-US" w:eastAsia="zh-CN"/>
              </w:rPr>
              <w:t>章投标文件格式</w:t>
            </w:r>
          </w:p>
        </w:tc>
      </w:tr>
      <w:tr w14:paraId="06F4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222" w:hRule="atLeast"/>
          <w:jc w:val="center"/>
        </w:trPr>
        <w:tc>
          <w:tcPr>
            <w:tcW w:w="267" w:type="pct"/>
            <w:shd w:val="clear" w:color="auto" w:fill="FFFFFF"/>
            <w:noWrap w:val="0"/>
            <w:vAlign w:val="center"/>
          </w:tcPr>
          <w:p w14:paraId="191B01E4">
            <w:pPr>
              <w:pStyle w:val="37"/>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highlight w:val="none"/>
                <w:lang w:val="en-US" w:eastAsia="zh-CN"/>
              </w:rPr>
            </w:pPr>
            <w:r>
              <w:rPr>
                <w:rFonts w:hint="eastAsia" w:cs="宋体"/>
                <w:b w:val="0"/>
                <w:bCs w:val="0"/>
                <w:i w:val="0"/>
                <w:iCs w:val="0"/>
                <w:color w:val="auto"/>
                <w:sz w:val="24"/>
                <w:szCs w:val="24"/>
                <w:highlight w:val="none"/>
                <w:lang w:val="en-US" w:eastAsia="zh-CN"/>
              </w:rPr>
              <w:t>7</w:t>
            </w:r>
          </w:p>
        </w:tc>
        <w:tc>
          <w:tcPr>
            <w:tcW w:w="1207" w:type="pct"/>
            <w:shd w:val="clear" w:color="auto" w:fill="FFFFFF"/>
            <w:noWrap w:val="0"/>
            <w:vAlign w:val="center"/>
          </w:tcPr>
          <w:p w14:paraId="72D978A6">
            <w:pPr>
              <w:pStyle w:val="37"/>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z w:val="24"/>
                <w:szCs w:val="24"/>
                <w:highlight w:val="none"/>
                <w:lang w:val="en-US" w:eastAsia="zh-CN"/>
              </w:rPr>
              <w:t>投标人信用记录</w:t>
            </w:r>
          </w:p>
        </w:tc>
        <w:tc>
          <w:tcPr>
            <w:tcW w:w="2512" w:type="pct"/>
            <w:shd w:val="clear" w:color="auto" w:fill="FFFFFF"/>
            <w:noWrap w:val="0"/>
            <w:vAlign w:val="center"/>
          </w:tcPr>
          <w:p w14:paraId="1DE152A6">
            <w:pPr>
              <w:pStyle w:val="37"/>
              <w:keepNext w:val="0"/>
              <w:keepLines w:val="0"/>
              <w:pageBreakBefore w:val="0"/>
              <w:kinsoku/>
              <w:wordWrap/>
              <w:overflowPunct/>
              <w:topLinePunct w:val="0"/>
              <w:autoSpaceDE/>
              <w:autoSpaceDN/>
              <w:bidi w:val="0"/>
              <w:adjustRightInd w:val="0"/>
              <w:snapToGrid w:val="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6"/>
                <w:sz w:val="24"/>
                <w:szCs w:val="24"/>
                <w:highlight w:val="none"/>
                <w:lang w:val="en-US" w:eastAsia="zh-CN"/>
              </w:rPr>
              <w:t>查询渠道：信用中国网站和中国政府采购网（ www.creditchina.gov.cn、www.ccgp.gov.cn）；</w:t>
            </w:r>
            <w:r>
              <w:rPr>
                <w:rFonts w:hint="eastAsia" w:ascii="宋体" w:hAnsi="宋体" w:eastAsia="宋体" w:cs="宋体"/>
                <w:color w:val="auto"/>
                <w:sz w:val="24"/>
                <w:szCs w:val="24"/>
                <w:highlight w:val="none"/>
                <w:lang w:val="en-US" w:eastAsia="zh-CN"/>
              </w:rPr>
              <w:t xml:space="preserve"> </w:t>
            </w:r>
          </w:p>
          <w:p w14:paraId="7699D2ED">
            <w:pPr>
              <w:pStyle w:val="37"/>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截止时点：投标截止时间以后、资格审查阶段采购人或采购代理机构的实际查询时间； </w:t>
            </w:r>
          </w:p>
          <w:p w14:paraId="5D24811B">
            <w:pPr>
              <w:pStyle w:val="37"/>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信用信息查询记录和证据留存具体方式：查询结果网页打印页作为查询记录和证据，与其他采购文件一并保存； </w:t>
            </w:r>
          </w:p>
          <w:p w14:paraId="18E8225B">
            <w:pPr>
              <w:pStyle w:val="37"/>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color w:val="auto"/>
                <w:spacing w:val="0"/>
                <w:position w:val="0"/>
                <w:sz w:val="24"/>
                <w:szCs w:val="24"/>
                <w:highlight w:val="none"/>
                <w:lang w:val="en-US" w:eastAsia="zh-CN" w:bidi="ar-SA"/>
              </w:rPr>
            </w:pPr>
            <w:r>
              <w:rPr>
                <w:rFonts w:hint="eastAsia" w:ascii="宋体" w:hAnsi="宋体" w:eastAsia="宋体" w:cs="宋体"/>
                <w:color w:val="auto"/>
                <w:spacing w:val="-6"/>
                <w:sz w:val="24"/>
                <w:szCs w:val="24"/>
                <w:highlight w:val="none"/>
                <w:lang w:val="en-US" w:eastAsia="zh-CN"/>
              </w:rPr>
              <w:t>信用信息的使用原则：经认定的被列入失信被执行人、重大税收违法失信主体、政府采购严重违法失信行为记录名单的投标人，其</w:t>
            </w:r>
            <w:r>
              <w:rPr>
                <w:rFonts w:hint="eastAsia" w:ascii="宋体" w:hAnsi="宋体" w:eastAsia="宋体" w:cs="宋体"/>
                <w:b/>
                <w:bCs/>
                <w:color w:val="auto"/>
                <w:spacing w:val="-6"/>
                <w:sz w:val="24"/>
                <w:szCs w:val="24"/>
                <w:highlight w:val="none"/>
                <w:lang w:val="en-US" w:eastAsia="zh-CN"/>
              </w:rPr>
              <w:t>投标无效</w:t>
            </w:r>
            <w:r>
              <w:rPr>
                <w:rFonts w:hint="eastAsia" w:ascii="宋体" w:hAnsi="宋体" w:eastAsia="宋体" w:cs="宋体"/>
                <w:color w:val="auto"/>
                <w:spacing w:val="-6"/>
                <w:sz w:val="24"/>
                <w:szCs w:val="24"/>
                <w:highlight w:val="none"/>
                <w:lang w:val="en-US" w:eastAsia="zh-CN"/>
              </w:rPr>
              <w:t>。联合体形式投标的，联合体成员存在不良信用记录，视同联合体存在不良信用记录。</w:t>
            </w:r>
          </w:p>
        </w:tc>
        <w:tc>
          <w:tcPr>
            <w:tcW w:w="1012" w:type="pct"/>
            <w:shd w:val="clear" w:color="auto" w:fill="FFFFFF"/>
            <w:noWrap w:val="0"/>
            <w:vAlign w:val="center"/>
          </w:tcPr>
          <w:p w14:paraId="231DDD8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无须投标人提供，由采购人或采购代理机构查询。</w:t>
            </w:r>
          </w:p>
          <w:p w14:paraId="625F17A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i w:val="0"/>
                <w:iCs w:val="0"/>
                <w:color w:val="auto"/>
                <w:kern w:val="0"/>
                <w:sz w:val="24"/>
                <w:szCs w:val="24"/>
                <w:highlight w:val="none"/>
                <w:lang w:val="en-US" w:eastAsia="zh-CN"/>
              </w:rPr>
            </w:pPr>
          </w:p>
        </w:tc>
      </w:tr>
      <w:tr w14:paraId="1E1A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14" w:hRule="atLeast"/>
          <w:jc w:val="center"/>
        </w:trPr>
        <w:tc>
          <w:tcPr>
            <w:tcW w:w="267" w:type="pct"/>
            <w:shd w:val="clear" w:color="auto" w:fill="FFFFFF"/>
            <w:noWrap w:val="0"/>
            <w:vAlign w:val="center"/>
          </w:tcPr>
          <w:p w14:paraId="35249CE4">
            <w:pPr>
              <w:pStyle w:val="37"/>
              <w:keepNext w:val="0"/>
              <w:keepLines w:val="0"/>
              <w:pageBreakBefore w:val="0"/>
              <w:shd w:val="clear" w:color="auto" w:fill="auto"/>
              <w:kinsoku/>
              <w:wordWrap/>
              <w:overflowPunct/>
              <w:topLinePunct w:val="0"/>
              <w:autoSpaceDE/>
              <w:autoSpaceDN/>
              <w:bidi w:val="0"/>
              <w:spacing w:line="240" w:lineRule="auto"/>
              <w:jc w:val="center"/>
              <w:rPr>
                <w:rFonts w:hint="default" w:cs="宋体"/>
                <w:b w:val="0"/>
                <w:bCs w:val="0"/>
                <w:i w:val="0"/>
                <w:iCs w:val="0"/>
                <w:color w:val="auto"/>
                <w:sz w:val="24"/>
                <w:szCs w:val="24"/>
                <w:highlight w:val="none"/>
                <w:lang w:val="en-US" w:eastAsia="zh-CN"/>
              </w:rPr>
            </w:pPr>
            <w:r>
              <w:rPr>
                <w:rFonts w:hint="eastAsia" w:cs="宋体"/>
                <w:b w:val="0"/>
                <w:bCs w:val="0"/>
                <w:i w:val="0"/>
                <w:iCs w:val="0"/>
                <w:color w:val="auto"/>
                <w:sz w:val="24"/>
                <w:szCs w:val="24"/>
                <w:highlight w:val="none"/>
                <w:lang w:val="en-US" w:eastAsia="zh-CN"/>
              </w:rPr>
              <w:t>8</w:t>
            </w:r>
          </w:p>
        </w:tc>
        <w:tc>
          <w:tcPr>
            <w:tcW w:w="1207" w:type="pct"/>
            <w:shd w:val="clear" w:color="auto" w:fill="FFFFFF"/>
            <w:noWrap w:val="0"/>
            <w:vAlign w:val="center"/>
          </w:tcPr>
          <w:p w14:paraId="63EF7011">
            <w:pPr>
              <w:pStyle w:val="40"/>
              <w:keepNext w:val="0"/>
              <w:keepLines w:val="0"/>
              <w:pageBreakBefore w:val="0"/>
              <w:widowControl/>
              <w:shd w:val="clear" w:color="auto" w:fill="auto"/>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lang w:eastAsia="zh-CN"/>
              </w:rPr>
              <w:t>投标保证金</w:t>
            </w:r>
          </w:p>
        </w:tc>
        <w:tc>
          <w:tcPr>
            <w:tcW w:w="2512" w:type="pct"/>
            <w:shd w:val="clear" w:color="auto" w:fill="FFFFFF"/>
            <w:noWrap w:val="0"/>
            <w:vAlign w:val="center"/>
          </w:tcPr>
          <w:p w14:paraId="293A4C52">
            <w:pPr>
              <w:pStyle w:val="40"/>
              <w:keepNext w:val="0"/>
              <w:keepLines w:val="0"/>
              <w:pageBreakBefore w:val="0"/>
              <w:widowControl/>
              <w:shd w:val="clear" w:color="auto" w:fill="auto"/>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lang w:val="en-US" w:eastAsia="zh-CN" w:bidi="ar-SA"/>
              </w:rPr>
              <w:t>是否按要求缴纳投标保证金</w:t>
            </w:r>
          </w:p>
        </w:tc>
        <w:tc>
          <w:tcPr>
            <w:tcW w:w="1012" w:type="pct"/>
            <w:shd w:val="clear" w:color="auto" w:fill="FFFFFF"/>
            <w:noWrap w:val="0"/>
            <w:vAlign w:val="center"/>
          </w:tcPr>
          <w:p w14:paraId="74EE53F3">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rPr>
              <w:t>须附缴纳保证金证明材料</w:t>
            </w:r>
          </w:p>
        </w:tc>
      </w:tr>
    </w:tbl>
    <w:p w14:paraId="328AD922">
      <w:pPr>
        <w:pStyle w:val="10"/>
        <w:rPr>
          <w:rFonts w:hint="eastAsia" w:ascii="宋体" w:hAnsi="宋体" w:eastAsia="宋体" w:cs="宋体"/>
          <w:color w:val="auto"/>
          <w:highlight w:val="none"/>
        </w:rPr>
      </w:pPr>
    </w:p>
    <w:p w14:paraId="6C03319E">
      <w:pPr>
        <w:rPr>
          <w:rFonts w:hint="eastAsia" w:ascii="宋体" w:hAnsi="宋体" w:eastAsia="宋体" w:cs="宋体"/>
          <w:color w:val="auto"/>
          <w:highlight w:val="none"/>
        </w:rPr>
      </w:pPr>
    </w:p>
    <w:p w14:paraId="416C3252">
      <w:pPr>
        <w:pStyle w:val="20"/>
        <w:rPr>
          <w:rFonts w:hint="eastAsia" w:ascii="宋体" w:hAnsi="宋体" w:eastAsia="宋体" w:cs="宋体"/>
          <w:color w:val="auto"/>
          <w:highlight w:val="none"/>
        </w:rPr>
      </w:pPr>
    </w:p>
    <w:p w14:paraId="182EA891">
      <w:pPr>
        <w:rPr>
          <w:rFonts w:hint="eastAsia" w:ascii="宋体" w:hAnsi="宋体" w:eastAsia="宋体" w:cs="宋体"/>
          <w:color w:val="auto"/>
          <w:highlight w:val="none"/>
        </w:rPr>
      </w:pPr>
    </w:p>
    <w:p w14:paraId="7FFBE9AA">
      <w:pPr>
        <w:pStyle w:val="20"/>
        <w:rPr>
          <w:rFonts w:hint="eastAsia" w:ascii="宋体" w:hAnsi="宋体" w:eastAsia="宋体" w:cs="宋体"/>
          <w:color w:val="auto"/>
          <w:highlight w:val="none"/>
        </w:rPr>
      </w:pPr>
    </w:p>
    <w:p w14:paraId="7B9EB7C2">
      <w:pPr>
        <w:rPr>
          <w:rFonts w:hint="eastAsia" w:ascii="宋体" w:hAnsi="宋体" w:eastAsia="宋体" w:cs="宋体"/>
          <w:color w:val="auto"/>
          <w:highlight w:val="none"/>
        </w:rPr>
      </w:pPr>
    </w:p>
    <w:p w14:paraId="1361B5E5">
      <w:pPr>
        <w:bidi w:val="0"/>
        <w:rPr>
          <w:rFonts w:hint="eastAsia"/>
          <w:color w:val="auto"/>
        </w:rPr>
      </w:pPr>
      <w:bookmarkStart w:id="458" w:name="_Toc155185903"/>
      <w:bookmarkStart w:id="459" w:name="_Toc16715"/>
      <w:bookmarkStart w:id="460" w:name="_Toc22582"/>
    </w:p>
    <w:p w14:paraId="6665F1B8">
      <w:pPr>
        <w:pStyle w:val="2"/>
        <w:spacing w:before="220" w:after="220" w:line="480" w:lineRule="auto"/>
        <w:ind w:left="420" w:hanging="420"/>
        <w:jc w:val="cente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第五章 评标方法</w:t>
      </w:r>
      <w:bookmarkEnd w:id="458"/>
      <w:r>
        <w:rPr>
          <w:rFonts w:hint="eastAsia" w:ascii="宋体" w:hAnsi="宋体" w:eastAsia="宋体" w:cs="宋体"/>
          <w:bCs/>
          <w:color w:val="auto"/>
          <w:sz w:val="36"/>
          <w:szCs w:val="36"/>
          <w:highlight w:val="none"/>
        </w:rPr>
        <w:t>及标准(综合评分法)</w:t>
      </w:r>
      <w:bookmarkEnd w:id="459"/>
      <w:bookmarkEnd w:id="460"/>
    </w:p>
    <w:p w14:paraId="221E3983">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根据《中华人民共和国政府采购法》及其实施条例、《政府采购货物和服务招标投标管理办法》</w:t>
      </w:r>
      <w:r>
        <w:rPr>
          <w:rFonts w:hint="eastAsia" w:ascii="宋体" w:hAnsi="宋体" w:eastAsia="宋体" w:cs="宋体"/>
          <w:color w:val="auto"/>
          <w:szCs w:val="24"/>
          <w:highlight w:val="none"/>
          <w:lang w:val="en-US"/>
        </w:rPr>
        <w:t>及</w:t>
      </w:r>
      <w:r>
        <w:rPr>
          <w:rFonts w:hint="eastAsia" w:ascii="宋体" w:hAnsi="宋体" w:eastAsia="宋体" w:cs="宋体"/>
          <w:color w:val="auto"/>
          <w:szCs w:val="24"/>
          <w:highlight w:val="none"/>
        </w:rPr>
        <w:t>相关法律法规确定以下评标</w:t>
      </w:r>
      <w:r>
        <w:rPr>
          <w:rFonts w:hint="eastAsia" w:ascii="宋体" w:hAnsi="宋体" w:eastAsia="宋体" w:cs="宋体"/>
          <w:color w:val="auto"/>
          <w:szCs w:val="24"/>
          <w:highlight w:val="none"/>
          <w:lang w:val="en-US"/>
        </w:rPr>
        <w:t>方</w:t>
      </w:r>
      <w:r>
        <w:rPr>
          <w:rFonts w:hint="eastAsia" w:ascii="宋体" w:hAnsi="宋体" w:eastAsia="宋体" w:cs="宋体"/>
          <w:color w:val="auto"/>
          <w:szCs w:val="24"/>
          <w:highlight w:val="none"/>
        </w:rPr>
        <w:t>法及标准。</w:t>
      </w:r>
    </w:p>
    <w:p w14:paraId="0FDFB7AD">
      <w:pPr>
        <w:pStyle w:val="3"/>
        <w:spacing w:before="160" w:after="160" w:line="360" w:lineRule="auto"/>
        <w:ind w:left="420" w:hanging="420"/>
        <w:rPr>
          <w:rFonts w:hint="eastAsia" w:ascii="宋体" w:hAnsi="宋体" w:eastAsia="宋体" w:cs="宋体"/>
          <w:color w:val="auto"/>
          <w:sz w:val="28"/>
          <w:szCs w:val="28"/>
          <w:highlight w:val="none"/>
          <w:lang w:val="zh-CN"/>
        </w:rPr>
      </w:pPr>
      <w:bookmarkStart w:id="461" w:name="_Toc2878"/>
      <w:bookmarkStart w:id="462" w:name="_Toc155185905"/>
      <w:bookmarkStart w:id="463" w:name="_Toc278891606"/>
      <w:bookmarkStart w:id="464" w:name="_Toc61280402"/>
      <w:bookmarkStart w:id="465" w:name="_Toc109900322"/>
      <w:bookmarkStart w:id="466" w:name="_Toc511894518"/>
      <w:bookmarkStart w:id="467" w:name="_Toc109899903"/>
      <w:bookmarkStart w:id="468" w:name="_Toc272247709"/>
      <w:bookmarkStart w:id="469" w:name="_Toc109899484"/>
      <w:bookmarkStart w:id="470" w:name="_Toc494561962"/>
      <w:bookmarkStart w:id="471" w:name="_Toc140132826"/>
      <w:r>
        <w:rPr>
          <w:rFonts w:hint="eastAsia" w:ascii="宋体" w:hAnsi="宋体" w:eastAsia="宋体" w:cs="宋体"/>
          <w:color w:val="auto"/>
          <w:sz w:val="28"/>
          <w:szCs w:val="28"/>
          <w:highlight w:val="none"/>
          <w:lang w:val="zh-CN"/>
        </w:rPr>
        <w:t>一、评标</w:t>
      </w:r>
      <w:r>
        <w:rPr>
          <w:rFonts w:hint="eastAsia" w:ascii="宋体" w:hAnsi="宋体" w:eastAsia="宋体" w:cs="宋体"/>
          <w:color w:val="auto"/>
          <w:sz w:val="28"/>
          <w:szCs w:val="28"/>
          <w:highlight w:val="none"/>
        </w:rPr>
        <w:t>方</w:t>
      </w:r>
      <w:r>
        <w:rPr>
          <w:rFonts w:hint="eastAsia" w:ascii="宋体" w:hAnsi="宋体" w:eastAsia="宋体" w:cs="宋体"/>
          <w:color w:val="auto"/>
          <w:sz w:val="28"/>
          <w:szCs w:val="28"/>
          <w:highlight w:val="none"/>
          <w:lang w:val="zh-CN"/>
        </w:rPr>
        <w:t>法</w:t>
      </w:r>
      <w:bookmarkEnd w:id="461"/>
    </w:p>
    <w:p w14:paraId="010D6224">
      <w:pPr>
        <w:pStyle w:val="3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b/>
          <w:bCs/>
          <w:color w:val="auto"/>
          <w:highlight w:val="none"/>
        </w:rPr>
        <w:t>本项目采用综合评分法</w:t>
      </w:r>
      <w:r>
        <w:rPr>
          <w:rFonts w:hint="eastAsia" w:ascii="宋体" w:hAnsi="宋体" w:eastAsia="宋体" w:cs="宋体"/>
          <w:color w:val="auto"/>
          <w:highlight w:val="none"/>
        </w:rPr>
        <w:t>。综合评分法，是指投标文件满足招标文件全部实质性要求，且按照评审因素的量化指标评审得分最高的投标人为中标候选人的评标方法。</w:t>
      </w:r>
    </w:p>
    <w:p w14:paraId="661234E8">
      <w:pPr>
        <w:pStyle w:val="3"/>
        <w:spacing w:before="160" w:after="160" w:line="360" w:lineRule="auto"/>
        <w:ind w:left="420" w:hanging="420"/>
        <w:rPr>
          <w:rFonts w:hint="eastAsia" w:ascii="宋体" w:hAnsi="宋体" w:eastAsia="宋体" w:cs="宋体"/>
          <w:color w:val="auto"/>
          <w:sz w:val="28"/>
          <w:szCs w:val="28"/>
          <w:highlight w:val="none"/>
          <w:lang w:val="zh-CN"/>
        </w:rPr>
      </w:pPr>
      <w:bookmarkStart w:id="472" w:name="_Toc2644"/>
      <w:r>
        <w:rPr>
          <w:rFonts w:hint="eastAsia" w:ascii="宋体" w:hAnsi="宋体" w:eastAsia="宋体" w:cs="宋体"/>
          <w:color w:val="auto"/>
          <w:sz w:val="28"/>
          <w:szCs w:val="28"/>
          <w:highlight w:val="none"/>
        </w:rPr>
        <w:t>二</w:t>
      </w:r>
      <w:r>
        <w:rPr>
          <w:rFonts w:hint="eastAsia" w:ascii="宋体" w:hAnsi="宋体" w:eastAsia="宋体" w:cs="宋体"/>
          <w:color w:val="auto"/>
          <w:sz w:val="28"/>
          <w:szCs w:val="28"/>
          <w:highlight w:val="none"/>
          <w:lang w:val="zh-CN"/>
        </w:rPr>
        <w:t>、评标程序</w:t>
      </w:r>
      <w:bookmarkEnd w:id="472"/>
    </w:p>
    <w:p w14:paraId="5DDE5CF9">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73" w:name="_Toc9847"/>
      <w:bookmarkStart w:id="474" w:name="_Toc3127"/>
      <w:r>
        <w:rPr>
          <w:rFonts w:hint="eastAsia" w:ascii="宋体" w:hAnsi="宋体" w:eastAsia="宋体" w:cs="宋体"/>
          <w:color w:val="auto"/>
          <w:sz w:val="24"/>
          <w:szCs w:val="24"/>
          <w:highlight w:val="none"/>
          <w:lang w:val="zh-CN"/>
        </w:rPr>
        <w:t>（一）符合性审查</w:t>
      </w:r>
      <w:bookmarkEnd w:id="473"/>
      <w:bookmarkEnd w:id="474"/>
    </w:p>
    <w:p w14:paraId="2EF2C055">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w:t>
      </w:r>
      <w:r>
        <w:rPr>
          <w:rFonts w:hint="eastAsia" w:ascii="宋体" w:hAnsi="宋体" w:eastAsia="宋体" w:cs="宋体"/>
          <w:color w:val="auto"/>
          <w:szCs w:val="24"/>
          <w:highlight w:val="none"/>
        </w:rPr>
        <w:t>评标委员会应当对</w:t>
      </w:r>
      <w:r>
        <w:rPr>
          <w:rFonts w:hint="eastAsia" w:ascii="宋体" w:hAnsi="宋体" w:eastAsia="宋体" w:cs="宋体"/>
          <w:color w:val="auto"/>
          <w:szCs w:val="24"/>
          <w:highlight w:val="none"/>
          <w:lang w:val="en-US"/>
        </w:rPr>
        <w:t>通过</w:t>
      </w:r>
      <w:r>
        <w:rPr>
          <w:rFonts w:hint="eastAsia" w:ascii="宋体" w:hAnsi="宋体" w:eastAsia="宋体" w:cs="宋体"/>
          <w:color w:val="auto"/>
          <w:szCs w:val="24"/>
          <w:highlight w:val="none"/>
        </w:rPr>
        <w:t>资格</w:t>
      </w:r>
      <w:r>
        <w:rPr>
          <w:rFonts w:hint="eastAsia" w:ascii="宋体" w:hAnsi="宋体" w:eastAsia="宋体" w:cs="宋体"/>
          <w:color w:val="auto"/>
          <w:szCs w:val="24"/>
          <w:highlight w:val="none"/>
          <w:lang w:val="en-US"/>
        </w:rPr>
        <w:t>审查</w:t>
      </w:r>
      <w:r>
        <w:rPr>
          <w:rFonts w:hint="eastAsia" w:ascii="宋体" w:hAnsi="宋体" w:eastAsia="宋体" w:cs="宋体"/>
          <w:color w:val="auto"/>
          <w:szCs w:val="24"/>
          <w:highlight w:val="none"/>
        </w:rPr>
        <w:t>的投标人的投标文件进行符合性审查，以确定其是否满足招标文件的实质性要求。投标人必须通过符合性审查的全部评审指标，不满足招标文件的实质性要求的，</w:t>
      </w:r>
      <w:r>
        <w:rPr>
          <w:rFonts w:hint="eastAsia" w:ascii="宋体" w:hAnsi="宋体" w:eastAsia="宋体" w:cs="宋体"/>
          <w:color w:val="auto"/>
          <w:szCs w:val="24"/>
          <w:highlight w:val="none"/>
          <w:lang w:val="en-US"/>
        </w:rPr>
        <w:t>其</w:t>
      </w:r>
      <w:r>
        <w:rPr>
          <w:rFonts w:hint="eastAsia" w:ascii="宋体" w:hAnsi="宋体" w:eastAsia="宋体" w:cs="宋体"/>
          <w:b/>
          <w:bCs/>
          <w:color w:val="auto"/>
          <w:szCs w:val="24"/>
          <w:highlight w:val="none"/>
        </w:rPr>
        <w:t>投标无效</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rPr>
        <w:t>具体内容详</w:t>
      </w:r>
      <w:r>
        <w:rPr>
          <w:rFonts w:hint="eastAsia" w:ascii="宋体" w:hAnsi="宋体" w:eastAsia="宋体" w:cs="宋体"/>
          <w:color w:val="auto"/>
          <w:szCs w:val="24"/>
          <w:highlight w:val="none"/>
        </w:rPr>
        <w:t>本章“</w:t>
      </w:r>
      <w:r>
        <w:rPr>
          <w:rFonts w:hint="eastAsia" w:ascii="宋体" w:hAnsi="宋体" w:eastAsia="宋体" w:cs="宋体"/>
          <w:color w:val="auto"/>
          <w:szCs w:val="24"/>
          <w:highlight w:val="none"/>
          <w:lang w:val="en-US"/>
        </w:rPr>
        <w:t>四</w:t>
      </w:r>
      <w:r>
        <w:rPr>
          <w:rFonts w:hint="eastAsia" w:ascii="宋体" w:hAnsi="宋体" w:eastAsia="宋体" w:cs="宋体"/>
          <w:color w:val="auto"/>
          <w:szCs w:val="24"/>
          <w:highlight w:val="none"/>
        </w:rPr>
        <w:t>、评标标准”中</w:t>
      </w:r>
      <w:r>
        <w:rPr>
          <w:rFonts w:hint="eastAsia" w:ascii="宋体" w:hAnsi="宋体" w:eastAsia="宋体" w:cs="宋体"/>
          <w:color w:val="auto"/>
          <w:szCs w:val="24"/>
          <w:highlight w:val="none"/>
          <w:lang w:val="en-US"/>
        </w:rPr>
        <w:t>的</w:t>
      </w:r>
      <w:r>
        <w:rPr>
          <w:rFonts w:hint="eastAsia" w:ascii="宋体" w:hAnsi="宋体" w:eastAsia="宋体" w:cs="宋体"/>
          <w:color w:val="auto"/>
          <w:szCs w:val="24"/>
          <w:highlight w:val="none"/>
        </w:rPr>
        <w:t>“（一）符合性审查”。</w:t>
      </w:r>
    </w:p>
    <w:p w14:paraId="29207057">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通过</w:t>
      </w:r>
      <w:r>
        <w:rPr>
          <w:rFonts w:hint="eastAsia" w:ascii="宋体" w:hAnsi="宋体" w:eastAsia="宋体" w:cs="宋体"/>
          <w:color w:val="auto"/>
          <w:szCs w:val="24"/>
          <w:highlight w:val="none"/>
        </w:rPr>
        <w:t>符合性审查</w:t>
      </w:r>
      <w:r>
        <w:rPr>
          <w:rFonts w:hint="eastAsia" w:ascii="宋体" w:hAnsi="宋体" w:eastAsia="宋体" w:cs="宋体"/>
          <w:color w:val="auto"/>
          <w:szCs w:val="24"/>
          <w:highlight w:val="none"/>
          <w:lang w:val="en-US"/>
        </w:rPr>
        <w:t>的</w:t>
      </w:r>
      <w:r>
        <w:rPr>
          <w:rFonts w:hint="eastAsia" w:ascii="宋体" w:hAnsi="宋体" w:eastAsia="宋体" w:cs="宋体"/>
          <w:color w:val="auto"/>
          <w:szCs w:val="24"/>
          <w:highlight w:val="none"/>
        </w:rPr>
        <w:t>有效供应商不足3家的应当终止采购活动，发布项目终止公告并说明原因，重新开展采购活动。</w:t>
      </w:r>
    </w:p>
    <w:p w14:paraId="72177F54">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75" w:name="_Toc102116178"/>
      <w:bookmarkStart w:id="476" w:name="_Toc102114946"/>
      <w:bookmarkStart w:id="477" w:name="_Toc102057744"/>
      <w:bookmarkStart w:id="478" w:name="_Toc102056244"/>
      <w:bookmarkStart w:id="479" w:name="_Toc155185907"/>
      <w:bookmarkStart w:id="480" w:name="_Toc102116048"/>
      <w:bookmarkStart w:id="481" w:name="_Toc102119879"/>
      <w:bookmarkStart w:id="482" w:name="_Toc14312"/>
      <w:bookmarkStart w:id="483" w:name="_Toc163492903"/>
      <w:bookmarkStart w:id="484" w:name="_Toc29198"/>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zh-CN"/>
        </w:rPr>
        <w:t>）投标文件澄清</w:t>
      </w:r>
      <w:bookmarkEnd w:id="475"/>
      <w:bookmarkEnd w:id="476"/>
      <w:bookmarkEnd w:id="477"/>
      <w:bookmarkEnd w:id="478"/>
      <w:bookmarkEnd w:id="479"/>
      <w:bookmarkEnd w:id="480"/>
      <w:bookmarkEnd w:id="481"/>
      <w:r>
        <w:rPr>
          <w:rFonts w:hint="eastAsia" w:ascii="宋体" w:hAnsi="宋体" w:eastAsia="宋体" w:cs="宋体"/>
          <w:color w:val="auto"/>
          <w:sz w:val="24"/>
          <w:szCs w:val="24"/>
          <w:highlight w:val="none"/>
          <w:lang w:val="zh-CN"/>
        </w:rPr>
        <w:t>及修正</w:t>
      </w:r>
      <w:bookmarkEnd w:id="482"/>
      <w:bookmarkEnd w:id="483"/>
      <w:bookmarkEnd w:id="484"/>
    </w:p>
    <w:p w14:paraId="589BEFE4">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3</w:t>
      </w:r>
      <w:r>
        <w:rPr>
          <w:rFonts w:hint="eastAsia" w:ascii="宋体" w:hAnsi="宋体" w:eastAsia="宋体" w:cs="宋体"/>
          <w:color w:val="auto"/>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Cs w:val="24"/>
          <w:highlight w:val="none"/>
          <w:lang w:val="en-US"/>
        </w:rPr>
        <w:t>政采云平台评标</w:t>
      </w:r>
      <w:r>
        <w:rPr>
          <w:rFonts w:hint="eastAsia" w:ascii="宋体" w:hAnsi="宋体" w:eastAsia="宋体" w:cs="宋体"/>
          <w:color w:val="auto"/>
          <w:szCs w:val="24"/>
          <w:highlight w:val="none"/>
        </w:rPr>
        <w:t>系统中以书面形式要求投标人作出必要的澄清、说明或者补正。</w:t>
      </w:r>
    </w:p>
    <w:p w14:paraId="65C58560">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4</w:t>
      </w:r>
      <w:r>
        <w:rPr>
          <w:rFonts w:hint="eastAsia" w:ascii="宋体" w:hAnsi="宋体" w:eastAsia="宋体" w:cs="宋体"/>
          <w:color w:val="auto"/>
          <w:szCs w:val="24"/>
          <w:highlight w:val="none"/>
        </w:rPr>
        <w:t>.投标人应按照评标委员会要求在规定时间内作出澄清、说明或者补正，澄清、说明或者补正不得超出投标文件的范围或者改变投标文件的实质性内容。</w:t>
      </w:r>
    </w:p>
    <w:p w14:paraId="11AFCADC">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5</w:t>
      </w:r>
      <w:r>
        <w:rPr>
          <w:rFonts w:hint="eastAsia" w:ascii="宋体" w:hAnsi="宋体" w:eastAsia="宋体" w:cs="宋体"/>
          <w:color w:val="auto"/>
          <w:szCs w:val="24"/>
          <w:highlight w:val="none"/>
        </w:rPr>
        <w:t>.投标人的澄清、说明或者补正是其投标文件的有效组成部分，澄清、说明或者补正应当在</w:t>
      </w:r>
      <w:r>
        <w:rPr>
          <w:rFonts w:hint="eastAsia" w:ascii="宋体" w:hAnsi="宋体" w:eastAsia="宋体" w:cs="宋体"/>
          <w:color w:val="auto"/>
          <w:szCs w:val="24"/>
          <w:highlight w:val="none"/>
          <w:lang w:val="en-US"/>
        </w:rPr>
        <w:t>政采云平台评标</w:t>
      </w:r>
      <w:r>
        <w:rPr>
          <w:rFonts w:hint="eastAsia" w:ascii="宋体" w:hAnsi="宋体" w:eastAsia="宋体" w:cs="宋体"/>
          <w:color w:val="auto"/>
          <w:szCs w:val="24"/>
          <w:highlight w:val="none"/>
        </w:rPr>
        <w:t>系统中加盖电子印章后提交。</w:t>
      </w:r>
    </w:p>
    <w:p w14:paraId="6436BBBD">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6</w:t>
      </w:r>
      <w:r>
        <w:rPr>
          <w:rFonts w:hint="eastAsia" w:ascii="宋体" w:hAnsi="宋体" w:eastAsia="宋体" w:cs="宋体"/>
          <w:color w:val="auto"/>
          <w:szCs w:val="24"/>
          <w:highlight w:val="none"/>
        </w:rPr>
        <w:t>.报价合理性说明：评标委员会认为投标人的报价明显低于其他通过符合性审查投标人的报价，有可能影响</w:t>
      </w:r>
      <w:r>
        <w:rPr>
          <w:rFonts w:hint="eastAsia" w:ascii="宋体" w:hAnsi="宋体" w:eastAsia="宋体" w:cs="宋体"/>
          <w:color w:val="auto"/>
          <w:szCs w:val="24"/>
          <w:highlight w:val="none"/>
          <w:lang w:val="en-US"/>
        </w:rPr>
        <w:t>货物</w:t>
      </w:r>
      <w:r>
        <w:rPr>
          <w:rFonts w:hint="eastAsia" w:ascii="宋体" w:hAnsi="宋体" w:eastAsia="宋体" w:cs="宋体"/>
          <w:color w:val="auto"/>
          <w:szCs w:val="24"/>
          <w:highlight w:val="none"/>
        </w:rPr>
        <w:t>质量或者不能诚信履约的，</w:t>
      </w:r>
      <w:r>
        <w:rPr>
          <w:rFonts w:hint="eastAsia" w:ascii="宋体" w:hAnsi="宋体" w:eastAsia="宋体" w:cs="宋体"/>
          <w:color w:val="auto"/>
          <w:szCs w:val="24"/>
          <w:highlight w:val="none"/>
          <w:lang w:val="en-US"/>
        </w:rPr>
        <w:t>应当</w:t>
      </w:r>
      <w:r>
        <w:rPr>
          <w:rFonts w:hint="eastAsia" w:ascii="宋体" w:hAnsi="宋体" w:eastAsia="宋体" w:cs="宋体"/>
          <w:color w:val="auto"/>
          <w:szCs w:val="24"/>
          <w:highlight w:val="none"/>
        </w:rPr>
        <w:t>要求</w:t>
      </w:r>
      <w:r>
        <w:rPr>
          <w:rFonts w:hint="eastAsia" w:ascii="宋体" w:hAnsi="宋体" w:eastAsia="宋体" w:cs="宋体"/>
          <w:color w:val="auto"/>
          <w:szCs w:val="24"/>
          <w:highlight w:val="none"/>
          <w:lang w:val="en-US"/>
        </w:rPr>
        <w:t>该投标人</w:t>
      </w:r>
      <w:r>
        <w:rPr>
          <w:rFonts w:hint="eastAsia" w:ascii="宋体" w:hAnsi="宋体" w:eastAsia="宋体" w:cs="宋体"/>
          <w:color w:val="auto"/>
          <w:szCs w:val="24"/>
          <w:highlight w:val="none"/>
        </w:rPr>
        <w:t>在合理的时间内提供说明，必要时提交相关证明材料；</w:t>
      </w:r>
      <w:r>
        <w:rPr>
          <w:rFonts w:hint="eastAsia" w:ascii="宋体" w:hAnsi="宋体" w:eastAsia="宋体" w:cs="宋体"/>
          <w:color w:val="auto"/>
          <w:szCs w:val="24"/>
          <w:highlight w:val="none"/>
          <w:lang w:val="en-US"/>
        </w:rPr>
        <w:t>若</w:t>
      </w:r>
      <w:r>
        <w:rPr>
          <w:rFonts w:hint="eastAsia" w:ascii="宋体" w:hAnsi="宋体" w:eastAsia="宋体" w:cs="宋体"/>
          <w:color w:val="auto"/>
          <w:szCs w:val="24"/>
          <w:highlight w:val="none"/>
        </w:rPr>
        <w:t>投标人不能证明其报价合理性的，评标委员</w:t>
      </w:r>
      <w:r>
        <w:rPr>
          <w:rFonts w:hint="eastAsia" w:ascii="宋体" w:hAnsi="宋体" w:eastAsia="宋体" w:cs="宋体"/>
          <w:color w:val="auto"/>
          <w:szCs w:val="24"/>
          <w:highlight w:val="none"/>
          <w:lang w:val="en-US"/>
        </w:rPr>
        <w:t>会应当</w:t>
      </w:r>
      <w:r>
        <w:rPr>
          <w:rFonts w:hint="eastAsia" w:ascii="宋体" w:hAnsi="宋体" w:eastAsia="宋体" w:cs="宋体"/>
          <w:color w:val="auto"/>
          <w:szCs w:val="24"/>
          <w:highlight w:val="none"/>
        </w:rPr>
        <w:t>将其作</w:t>
      </w:r>
      <w:r>
        <w:rPr>
          <w:rFonts w:hint="eastAsia" w:ascii="宋体" w:hAnsi="宋体" w:eastAsia="宋体" w:cs="宋体"/>
          <w:b/>
          <w:bCs/>
          <w:color w:val="auto"/>
          <w:szCs w:val="24"/>
          <w:highlight w:val="none"/>
        </w:rPr>
        <w:t>无效投标</w:t>
      </w:r>
      <w:r>
        <w:rPr>
          <w:rFonts w:hint="eastAsia" w:ascii="宋体" w:hAnsi="宋体" w:eastAsia="宋体" w:cs="宋体"/>
          <w:color w:val="auto"/>
          <w:szCs w:val="24"/>
          <w:highlight w:val="none"/>
        </w:rPr>
        <w:t>处理。</w:t>
      </w:r>
    </w:p>
    <w:p w14:paraId="554FB042">
      <w:pPr>
        <w:pStyle w:val="36"/>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Cs w:val="24"/>
          <w:highlight w:val="none"/>
          <w:lang w:val="en-US"/>
        </w:rPr>
        <w:t>投标无效</w:t>
      </w:r>
      <w:r>
        <w:rPr>
          <w:rFonts w:hint="eastAsia" w:ascii="宋体" w:hAnsi="宋体" w:eastAsia="宋体" w:cs="宋体"/>
          <w:color w:val="auto"/>
          <w:szCs w:val="24"/>
          <w:highlight w:val="none"/>
          <w:lang w:val="en-US"/>
        </w:rPr>
        <w:t>。</w:t>
      </w:r>
    </w:p>
    <w:p w14:paraId="242E7F0E">
      <w:pPr>
        <w:pStyle w:val="36"/>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8.投标文件报价出现前后不一致的，除招标文件另有规定外，按照下列规定修正：</w:t>
      </w:r>
    </w:p>
    <w:p w14:paraId="3C899B4C">
      <w:pPr>
        <w:pStyle w:val="36"/>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8.1投标文件中开标一览表（报价表）内容与投标文件中相应内容不一致的，以开标一览表（报价表）为准；</w:t>
      </w:r>
    </w:p>
    <w:p w14:paraId="48F9DE14">
      <w:pPr>
        <w:pStyle w:val="36"/>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8.2大写金额和小写金额不一致的，以大写金额为准；</w:t>
      </w:r>
    </w:p>
    <w:p w14:paraId="77666AA3">
      <w:pPr>
        <w:pStyle w:val="36"/>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8.3单价金额小数点或者百分比有明显错位的，以开标一览表的总价为准，并修改单价；</w:t>
      </w:r>
    </w:p>
    <w:p w14:paraId="6F1CB9AF">
      <w:pPr>
        <w:pStyle w:val="36"/>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8.4总价金额与按单价汇总金额不一致的，以单价金额计算结果为准。</w:t>
      </w:r>
    </w:p>
    <w:p w14:paraId="6A9DF293">
      <w:pPr>
        <w:pStyle w:val="36"/>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Cs w:val="24"/>
          <w:highlight w:val="none"/>
          <w:lang w:val="en-US"/>
        </w:rPr>
        <w:t>投标无效</w:t>
      </w:r>
      <w:r>
        <w:rPr>
          <w:rFonts w:hint="eastAsia" w:ascii="宋体" w:hAnsi="宋体" w:eastAsia="宋体" w:cs="宋体"/>
          <w:color w:val="auto"/>
          <w:szCs w:val="24"/>
          <w:highlight w:val="none"/>
          <w:lang w:val="en-US"/>
        </w:rPr>
        <w:t>。</w:t>
      </w:r>
    </w:p>
    <w:p w14:paraId="570178FC">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85" w:name="_Toc826"/>
      <w:bookmarkStart w:id="486" w:name="_Toc26244"/>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val="zh-CN"/>
        </w:rPr>
        <w:t>）比较与评价</w:t>
      </w:r>
      <w:bookmarkEnd w:id="485"/>
      <w:bookmarkEnd w:id="486"/>
    </w:p>
    <w:p w14:paraId="6F910021">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9.</w:t>
      </w:r>
      <w:r>
        <w:rPr>
          <w:rFonts w:hint="eastAsia" w:ascii="宋体" w:hAnsi="宋体" w:eastAsia="宋体" w:cs="宋体"/>
          <w:color w:val="auto"/>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Cs w:val="24"/>
          <w:highlight w:val="none"/>
          <w:lang w:val="en-US"/>
        </w:rPr>
        <w:t>估</w:t>
      </w:r>
      <w:r>
        <w:rPr>
          <w:rFonts w:hint="eastAsia" w:ascii="宋体" w:hAnsi="宋体" w:eastAsia="宋体" w:cs="宋体"/>
          <w:color w:val="auto"/>
          <w:szCs w:val="24"/>
          <w:highlight w:val="none"/>
        </w:rPr>
        <w:t>，综合比较与评价</w:t>
      </w:r>
      <w:r>
        <w:rPr>
          <w:rFonts w:hint="eastAsia" w:ascii="宋体" w:hAnsi="宋体" w:eastAsia="宋体" w:cs="宋体"/>
          <w:color w:val="auto"/>
          <w:szCs w:val="24"/>
          <w:highlight w:val="none"/>
          <w:lang w:val="en-US"/>
        </w:rPr>
        <w:t>；未通过符合性审查的投标文件不得进入比较与评价</w:t>
      </w:r>
      <w:r>
        <w:rPr>
          <w:rFonts w:hint="eastAsia" w:ascii="宋体" w:hAnsi="宋体" w:eastAsia="宋体" w:cs="宋体"/>
          <w:color w:val="auto"/>
          <w:szCs w:val="24"/>
          <w:highlight w:val="none"/>
        </w:rPr>
        <w:t>。评审因素包括投标报价、商务技术以及落实政府采购政策。评审因素及标准见本章“</w:t>
      </w:r>
      <w:r>
        <w:rPr>
          <w:rFonts w:hint="eastAsia" w:ascii="宋体" w:hAnsi="宋体" w:eastAsia="宋体" w:cs="宋体"/>
          <w:color w:val="auto"/>
          <w:szCs w:val="24"/>
          <w:highlight w:val="none"/>
          <w:lang w:val="en-US"/>
        </w:rPr>
        <w:t>四、</w:t>
      </w:r>
      <w:r>
        <w:rPr>
          <w:rFonts w:hint="eastAsia" w:ascii="宋体" w:hAnsi="宋体" w:eastAsia="宋体" w:cs="宋体"/>
          <w:color w:val="auto"/>
          <w:szCs w:val="24"/>
          <w:highlight w:val="none"/>
        </w:rPr>
        <w:t>评</w:t>
      </w:r>
      <w:r>
        <w:rPr>
          <w:rFonts w:hint="eastAsia" w:ascii="宋体" w:hAnsi="宋体" w:eastAsia="宋体" w:cs="宋体"/>
          <w:color w:val="auto"/>
          <w:szCs w:val="24"/>
          <w:highlight w:val="none"/>
          <w:lang w:val="en-US"/>
        </w:rPr>
        <w:t>标</w:t>
      </w:r>
      <w:r>
        <w:rPr>
          <w:rFonts w:hint="eastAsia" w:ascii="宋体" w:hAnsi="宋体" w:eastAsia="宋体" w:cs="宋体"/>
          <w:color w:val="auto"/>
          <w:szCs w:val="24"/>
          <w:highlight w:val="none"/>
        </w:rPr>
        <w:t>标准”。</w:t>
      </w:r>
    </w:p>
    <w:p w14:paraId="3CB72681">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10.相同品牌处理原则</w:t>
      </w:r>
    </w:p>
    <w:p w14:paraId="325CE50F">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10</w:t>
      </w:r>
      <w:r>
        <w:rPr>
          <w:rFonts w:hint="eastAsia" w:ascii="宋体" w:hAnsi="宋体" w:eastAsia="宋体" w:cs="宋体"/>
          <w:color w:val="auto"/>
          <w:szCs w:val="24"/>
          <w:highlight w:val="none"/>
        </w:rPr>
        <w:t>.1单一产品采购（或非单一产品采购中的核心产品），提供相同品牌产品且通过资格审查、符合性审查的不同投标人参加同一合同项下投标的，按一家投标人计算。</w:t>
      </w:r>
    </w:p>
    <w:p w14:paraId="104FB189">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10</w:t>
      </w:r>
      <w:r>
        <w:rPr>
          <w:rFonts w:hint="eastAsia" w:ascii="宋体" w:hAnsi="宋体" w:eastAsia="宋体" w:cs="宋体"/>
          <w:color w:val="auto"/>
          <w:szCs w:val="24"/>
          <w:highlight w:val="none"/>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28D517F0">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10</w:t>
      </w:r>
      <w:r>
        <w:rPr>
          <w:rFonts w:hint="eastAsia" w:ascii="宋体" w:hAnsi="宋体" w:eastAsia="宋体" w:cs="宋体"/>
          <w:color w:val="auto"/>
          <w:szCs w:val="24"/>
          <w:highlight w:val="none"/>
        </w:rPr>
        <w:t>.3有效投标品牌不足3家的应按</w:t>
      </w:r>
      <w:r>
        <w:rPr>
          <w:rFonts w:hint="eastAsia" w:ascii="宋体" w:hAnsi="宋体" w:eastAsia="宋体" w:cs="宋体"/>
          <w:b/>
          <w:bCs/>
          <w:color w:val="auto"/>
          <w:szCs w:val="24"/>
          <w:highlight w:val="none"/>
        </w:rPr>
        <w:t>废标</w:t>
      </w:r>
      <w:r>
        <w:rPr>
          <w:rFonts w:hint="eastAsia" w:ascii="宋体" w:hAnsi="宋体" w:eastAsia="宋体" w:cs="宋体"/>
          <w:color w:val="auto"/>
          <w:szCs w:val="24"/>
          <w:highlight w:val="none"/>
        </w:rPr>
        <w:t>处理。</w:t>
      </w:r>
    </w:p>
    <w:p w14:paraId="79A0BBB9">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87" w:name="_Toc14352"/>
      <w:bookmarkStart w:id="488" w:name="_Toc22424"/>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val="zh-CN"/>
        </w:rPr>
        <w:t>）报价评审</w:t>
      </w:r>
      <w:bookmarkEnd w:id="487"/>
      <w:bookmarkEnd w:id="488"/>
    </w:p>
    <w:p w14:paraId="018AF640">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11.</w:t>
      </w:r>
      <w:r>
        <w:rPr>
          <w:rFonts w:hint="eastAsia" w:ascii="宋体" w:hAnsi="宋体" w:eastAsia="宋体" w:cs="宋体"/>
          <w:color w:val="auto"/>
          <w:szCs w:val="24"/>
          <w:highlight w:val="none"/>
        </w:rPr>
        <w:t>投标报价评审</w:t>
      </w:r>
    </w:p>
    <w:p w14:paraId="09431544">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11.</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rPr>
        <w:t>货物项目的价格分值占总分值的比重不得低于30%。执行国家统一定价标准和采用固定价格采购的项目，其价格不列为评审因素。</w:t>
      </w:r>
      <w:r>
        <w:rPr>
          <w:rFonts w:hint="eastAsia" w:ascii="宋体" w:hAnsi="宋体" w:eastAsia="宋体" w:cs="宋体"/>
          <w:color w:val="auto"/>
          <w:szCs w:val="24"/>
          <w:highlight w:val="none"/>
        </w:rPr>
        <w:t>价格分应当采用低价优先法计算，即满足招标文件要求且投标价格最低的投标报价为评标基准价，其价格分为满分。其他投标人的价格分统一按照下列公式计算：</w:t>
      </w:r>
    </w:p>
    <w:p w14:paraId="7464A2C3">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投标报价得分=(评标基准价／投标报价)×价格分值</w:t>
      </w:r>
    </w:p>
    <w:p w14:paraId="35BA0D85">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评标过程中，不得去掉报价中的最高报价和最低报价。</w:t>
      </w:r>
    </w:p>
    <w:p w14:paraId="0056DAC8">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11.</w:t>
      </w:r>
      <w:r>
        <w:rPr>
          <w:rFonts w:hint="eastAsia" w:ascii="宋体" w:hAnsi="宋体" w:eastAsia="宋体" w:cs="宋体"/>
          <w:color w:val="auto"/>
          <w:szCs w:val="24"/>
          <w:highlight w:val="none"/>
        </w:rPr>
        <w:t>2</w:t>
      </w:r>
      <w:r>
        <w:rPr>
          <w:rFonts w:hint="eastAsia" w:ascii="宋体" w:hAnsi="宋体" w:eastAsia="宋体" w:cs="宋体"/>
          <w:color w:val="auto"/>
          <w:spacing w:val="-6"/>
          <w:szCs w:val="24"/>
          <w:highlight w:val="none"/>
        </w:rPr>
        <w:t>除算术修正和落实政府采购政策的价格扣除外，不对投标报价进行调整；</w:t>
      </w:r>
    </w:p>
    <w:p w14:paraId="1985ED0E">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11.</w:t>
      </w:r>
      <w:r>
        <w:rPr>
          <w:rFonts w:hint="eastAsia" w:ascii="宋体" w:hAnsi="宋体" w:eastAsia="宋体" w:cs="宋体"/>
          <w:color w:val="auto"/>
          <w:szCs w:val="24"/>
          <w:highlight w:val="none"/>
        </w:rPr>
        <w:t>3价格分值见本章“</w:t>
      </w:r>
      <w:r>
        <w:rPr>
          <w:rFonts w:hint="eastAsia" w:ascii="宋体" w:hAnsi="宋体" w:eastAsia="宋体" w:cs="宋体"/>
          <w:color w:val="auto"/>
          <w:szCs w:val="24"/>
          <w:highlight w:val="none"/>
          <w:lang w:val="en-US"/>
        </w:rPr>
        <w:t>四、</w:t>
      </w:r>
      <w:r>
        <w:rPr>
          <w:rFonts w:hint="eastAsia" w:ascii="宋体" w:hAnsi="宋体" w:eastAsia="宋体" w:cs="宋体"/>
          <w:color w:val="auto"/>
          <w:szCs w:val="24"/>
          <w:highlight w:val="none"/>
        </w:rPr>
        <w:t>评</w:t>
      </w:r>
      <w:r>
        <w:rPr>
          <w:rFonts w:hint="eastAsia" w:ascii="宋体" w:hAnsi="宋体" w:eastAsia="宋体" w:cs="宋体"/>
          <w:color w:val="auto"/>
          <w:szCs w:val="24"/>
          <w:highlight w:val="none"/>
          <w:lang w:val="en-US"/>
        </w:rPr>
        <w:t>标</w:t>
      </w:r>
      <w:r>
        <w:rPr>
          <w:rFonts w:hint="eastAsia" w:ascii="宋体" w:hAnsi="宋体" w:eastAsia="宋体" w:cs="宋体"/>
          <w:color w:val="auto"/>
          <w:szCs w:val="24"/>
          <w:highlight w:val="none"/>
        </w:rPr>
        <w:t>标准”。</w:t>
      </w:r>
    </w:p>
    <w:p w14:paraId="2B8CFDCB">
      <w:pPr>
        <w:pStyle w:val="36"/>
        <w:jc w:val="both"/>
        <w:rPr>
          <w:rFonts w:hint="default" w:ascii="宋体" w:hAnsi="宋体" w:eastAsia="宋体" w:cs="宋体"/>
          <w:b/>
          <w:bCs/>
          <w:color w:val="auto"/>
          <w:sz w:val="24"/>
          <w:szCs w:val="24"/>
          <w:highlight w:val="none"/>
          <w:lang w:val="en-US" w:eastAsia="zh-CN"/>
        </w:rPr>
      </w:pPr>
      <w:bookmarkStart w:id="489" w:name="_Toc3883"/>
      <w:bookmarkStart w:id="490" w:name="_Toc23703"/>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政府采购异常低价审查</w:t>
      </w:r>
    </w:p>
    <w:p w14:paraId="7A7A6D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12.1</w:t>
      </w:r>
      <w:r>
        <w:rPr>
          <w:rFonts w:hint="eastAsia"/>
          <w:color w:val="auto"/>
          <w:sz w:val="24"/>
          <w:szCs w:val="24"/>
          <w:highlight w:val="none"/>
        </w:rPr>
        <w:t>政府采购评审中出现下列情形之一的，评审委员会应当启动异常低价投标（响应）审查程序：</w:t>
      </w:r>
    </w:p>
    <w:p w14:paraId="084B41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投标（响应）报价低于全部通过符合性审查供应商投标（响应）报价平均值50%的，即投标（响应）报价&lt;全部通过符合性审查供应商投标（响应）报价平均值×50%；</w:t>
      </w:r>
    </w:p>
    <w:p w14:paraId="07FC1A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投标（响应）报价低于通过符合性审查的次低报价供应商投标（响应）报价50%的，即投标（响应）报价&lt;通过符合性审查的次低报价供应商投标（响应）报价×50%；</w:t>
      </w:r>
    </w:p>
    <w:p w14:paraId="3975AB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投标（响应）报价低于采购项目最高限价45%的，即投标（响应）报价&lt;采购项目最高限价×45%；</w:t>
      </w:r>
    </w:p>
    <w:p w14:paraId="5F95C4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14:paraId="71F01A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35C76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D524C0A">
      <w:pPr>
        <w:pStyle w:val="36"/>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.政府采购政策评审</w:t>
      </w:r>
    </w:p>
    <w:p w14:paraId="2CB050C0">
      <w:pPr>
        <w:pStyle w:val="36"/>
        <w:numPr>
          <w:ilvl w:val="0"/>
          <w:numId w:val="0"/>
        </w:numPr>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.1非专门面向中小企业的采购项目或采购包，对符合规定的小微企业（</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投标人须知前附表”中的规定扣除，对小微企业中的监狱企业、残疾人福利性单位的报价按照本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1E619399">
      <w:pPr>
        <w:pStyle w:val="36"/>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787A5A43">
      <w:pPr>
        <w:pStyle w:val="36"/>
        <w:numPr>
          <w:ilvl w:val="0"/>
          <w:numId w:val="0"/>
        </w:numPr>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组成联合体或者接受分包的小微企业与联合体内其他企业、分包企业之间存在直接控股、管理关系的，不享受价格扣除优惠政策。</w:t>
      </w:r>
    </w:p>
    <w:p w14:paraId="06D134C0">
      <w:pPr>
        <w:pStyle w:val="36"/>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价格扣除比例对小型企业和微型企业同等对待，不作区分。</w:t>
      </w:r>
    </w:p>
    <w:p w14:paraId="107FF809">
      <w:pPr>
        <w:pStyle w:val="36"/>
        <w:jc w:val="both"/>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color="auto" w:fill="FFFFFF"/>
          <w:lang w:val="en-US" w:eastAsia="zh-CN" w:bidi="ar-SA"/>
        </w:rPr>
        <w:t>1</w:t>
      </w:r>
      <w:r>
        <w:rPr>
          <w:rFonts w:hint="eastAsia" w:cs="宋体"/>
          <w:iCs/>
          <w:color w:val="auto"/>
          <w:kern w:val="2"/>
          <w:sz w:val="24"/>
          <w:szCs w:val="24"/>
          <w:highlight w:val="none"/>
          <w:shd w:val="clear" w:color="auto" w:fill="FFFFFF"/>
          <w:lang w:val="en-US" w:eastAsia="zh-CN" w:bidi="ar-SA"/>
        </w:rPr>
        <w:t>3</w:t>
      </w:r>
      <w:r>
        <w:rPr>
          <w:rFonts w:hint="eastAsia" w:ascii="宋体" w:hAnsi="宋体" w:eastAsia="宋体" w:cs="宋体"/>
          <w:iCs/>
          <w:color w:val="auto"/>
          <w:kern w:val="2"/>
          <w:sz w:val="24"/>
          <w:szCs w:val="24"/>
          <w:highlight w:val="none"/>
          <w:shd w:val="clear" w:color="auto" w:fill="FFFFFF"/>
          <w:lang w:val="en-US" w:eastAsia="zh-CN" w:bidi="ar-SA"/>
        </w:rPr>
        <w:t>.</w:t>
      </w:r>
      <w:r>
        <w:rPr>
          <w:rFonts w:hint="eastAsia" w:ascii="宋体" w:hAnsi="宋体" w:eastAsia="宋体" w:cs="宋体"/>
          <w:iCs/>
          <w:color w:val="auto"/>
          <w:kern w:val="2"/>
          <w:sz w:val="24"/>
          <w:szCs w:val="24"/>
          <w:highlight w:val="none"/>
          <w:shd w:val="clear" w:color="auto" w:fill="FFFFFF"/>
          <w:lang w:val="zh-CN" w:eastAsia="zh-CN" w:bidi="ar-SA"/>
        </w:rPr>
        <w:t>3</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0D6E98C5">
      <w:pPr>
        <w:pStyle w:val="3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或者分包意向协议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4723FCE9">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13.5</w:t>
      </w:r>
      <w:r>
        <w:rPr>
          <w:rFonts w:hint="eastAsia"/>
          <w:snapToGrid w:val="0"/>
          <w:color w:val="auto"/>
          <w:sz w:val="24"/>
          <w:highlight w:val="none"/>
          <w:lang w:val="en-US" w:eastAsia="zh-CN"/>
        </w:rPr>
        <w:t>供应商对其提供的产品出具《关于符合本国产品标准的声明函》（样式见附件1，以下简称《声明函》）或财政部会同有关部门规定的有关证明文件。出具符合要求的《声明函》或有关证明文件的，该产品视为本国产品。</w:t>
      </w:r>
    </w:p>
    <w:p w14:paraId="09D9A8D4">
      <w:pPr>
        <w:pStyle w:val="36"/>
        <w:jc w:val="both"/>
        <w:rPr>
          <w:rFonts w:hint="eastAsia" w:ascii="宋体" w:hAnsi="宋体" w:eastAsia="宋体" w:cs="宋体"/>
          <w:color w:val="auto"/>
          <w:sz w:val="24"/>
          <w:szCs w:val="24"/>
          <w:highlight w:val="none"/>
          <w:lang w:val="en-US" w:eastAsia="zh-CN"/>
        </w:rPr>
      </w:pPr>
      <w:r>
        <w:rPr>
          <w:rFonts w:hint="eastAsia"/>
          <w:snapToGrid w:val="0"/>
          <w:color w:val="auto"/>
          <w:sz w:val="24"/>
          <w:highlight w:val="none"/>
          <w:lang w:val="en-US" w:eastAsia="zh-CN"/>
        </w:rPr>
        <w:t>13.6</w:t>
      </w:r>
      <w:r>
        <w:rPr>
          <w:rFonts w:hint="eastAsia" w:eastAsia="宋体"/>
          <w:snapToGrid w:val="0"/>
          <w:color w:val="auto"/>
          <w:sz w:val="24"/>
          <w:highlight w:val="none"/>
          <w:lang w:val="en-US" w:eastAsia="zh-CN"/>
        </w:rPr>
        <w:t>采购标的仅包含单一产品时，</w:t>
      </w:r>
      <w:r>
        <w:rPr>
          <w:rFonts w:hint="eastAsia" w:ascii="宋体" w:hAnsi="宋体" w:eastAsia="宋体" w:cs="宋体"/>
          <w:color w:val="auto"/>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65B43E3D">
      <w:pPr>
        <w:pStyle w:val="36"/>
        <w:keepNext w:val="0"/>
        <w:keepLines w:val="0"/>
        <w:pageBreakBefore w:val="0"/>
        <w:widowControl w:val="0"/>
        <w:kinsoku/>
        <w:overflowPunct/>
        <w:topLinePunct w:val="0"/>
        <w:autoSpaceDE/>
        <w:autoSpaceDN/>
        <w:bidi w:val="0"/>
        <w:adjustRightInd/>
        <w:jc w:val="both"/>
        <w:textAlignment w:val="auto"/>
        <w:rPr>
          <w:rFonts w:hint="eastAsia" w:eastAsia="宋体"/>
          <w:strike/>
          <w:dstrike w:val="0"/>
          <w:snapToGrid w:val="0"/>
          <w:color w:val="auto"/>
          <w:sz w:val="24"/>
          <w:highlight w:val="cyan"/>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7</w:t>
      </w:r>
      <w:r>
        <w:rPr>
          <w:rFonts w:hint="eastAsia" w:eastAsia="宋体"/>
          <w:snapToGrid w:val="0"/>
          <w:color w:val="auto"/>
          <w:sz w:val="24"/>
          <w:highlight w:val="none"/>
          <w:lang w:val="en-US" w:eastAsia="zh-CN"/>
        </w:rPr>
        <w:t>采购标的中含有多种产品，供应商为该采购项目或者采购包提供的符合本国产品标准的产品成本之和占该供应商提供的全部产品成本之和的比例达到80%以上时，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w:t>
      </w:r>
    </w:p>
    <w:p w14:paraId="1581F4FA">
      <w:pPr>
        <w:pStyle w:val="36"/>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8</w:t>
      </w:r>
      <w:r>
        <w:rPr>
          <w:rFonts w:hint="eastAsia" w:eastAsia="宋体"/>
          <w:snapToGrid w:val="0"/>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2BB39664">
      <w:pPr>
        <w:pStyle w:val="36"/>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对医疗器械产品，</w:t>
      </w:r>
      <w:r>
        <w:rPr>
          <w:rFonts w:hint="eastAsia"/>
          <w:snapToGrid w:val="0"/>
          <w:color w:val="auto"/>
          <w:sz w:val="24"/>
          <w:highlight w:val="none"/>
          <w:lang w:val="en-US" w:eastAsia="zh-CN"/>
        </w:rPr>
        <w:t>提供</w:t>
      </w:r>
      <w:r>
        <w:rPr>
          <w:rFonts w:hint="eastAsia" w:eastAsia="宋体"/>
          <w:snapToGrid w:val="0"/>
          <w:color w:val="auto"/>
          <w:sz w:val="24"/>
          <w:highlight w:val="none"/>
          <w:lang w:val="en-US" w:eastAsia="zh-CN"/>
        </w:rPr>
        <w:t>取得药品监督管理部门授予的准字号医疗器械注册证的，</w:t>
      </w:r>
      <w:r>
        <w:rPr>
          <w:rFonts w:hint="eastAsia"/>
          <w:snapToGrid w:val="0"/>
          <w:color w:val="auto"/>
          <w:sz w:val="24"/>
          <w:highlight w:val="none"/>
          <w:lang w:val="en-US" w:eastAsia="zh-CN"/>
        </w:rPr>
        <w:t>视为符合本国产品标准，无须填写</w:t>
      </w:r>
      <w:r>
        <w:rPr>
          <w:rFonts w:hint="eastAsia" w:eastAsia="宋体"/>
          <w:snapToGrid w:val="0"/>
          <w:color w:val="auto"/>
          <w:sz w:val="24"/>
          <w:highlight w:val="none"/>
          <w:lang w:val="en-US" w:eastAsia="zh-CN"/>
        </w:rPr>
        <w:t>《声明函》</w:t>
      </w:r>
      <w:r>
        <w:rPr>
          <w:rFonts w:hint="eastAsia"/>
          <w:snapToGrid w:val="0"/>
          <w:color w:val="auto"/>
          <w:sz w:val="24"/>
          <w:highlight w:val="none"/>
          <w:lang w:val="en-US" w:eastAsia="zh-CN"/>
        </w:rPr>
        <w:t>，</w:t>
      </w:r>
      <w:r>
        <w:rPr>
          <w:rFonts w:hint="eastAsia" w:ascii="宋体" w:hAnsi="宋体" w:eastAsia="宋体" w:cs="宋体"/>
          <w:color w:val="auto"/>
          <w:sz w:val="24"/>
          <w:szCs w:val="24"/>
          <w:highlight w:val="none"/>
          <w:lang w:val="en-US" w:eastAsia="zh-CN"/>
        </w:rPr>
        <w:t>报价给予20%的价格扣除，用扣除后的价格参与评审</w:t>
      </w:r>
      <w:r>
        <w:rPr>
          <w:rFonts w:hint="eastAsia" w:cs="宋体"/>
          <w:color w:val="auto"/>
          <w:sz w:val="24"/>
          <w:szCs w:val="24"/>
          <w:highlight w:val="none"/>
          <w:lang w:val="en-US" w:eastAsia="zh-CN"/>
        </w:rPr>
        <w:t>。</w:t>
      </w:r>
    </w:p>
    <w:p w14:paraId="1455295B">
      <w:pPr>
        <w:pStyle w:val="36"/>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9</w:t>
      </w:r>
      <w:r>
        <w:rPr>
          <w:rFonts w:hint="eastAsia" w:eastAsia="宋体"/>
          <w:snapToGrid w:val="0"/>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0200BFF5">
      <w:pPr>
        <w:pStyle w:val="4"/>
        <w:spacing w:before="160" w:after="160" w:line="360" w:lineRule="auto"/>
        <w:ind w:left="420" w:hanging="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val="zh-CN"/>
        </w:rPr>
        <w:t>）评标得分及复核</w:t>
      </w:r>
      <w:bookmarkEnd w:id="489"/>
      <w:bookmarkEnd w:id="490"/>
    </w:p>
    <w:p w14:paraId="4BC35F57">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13.</w:t>
      </w:r>
      <w:r>
        <w:rPr>
          <w:rFonts w:hint="eastAsia" w:ascii="宋体" w:hAnsi="宋体" w:eastAsia="宋体" w:cs="宋体"/>
          <w:color w:val="auto"/>
          <w:szCs w:val="24"/>
          <w:highlight w:val="none"/>
        </w:rPr>
        <w:t>评标过程中，各项分值一般精确到小数点后两位，评标得分应为商务评分、技术评分、报价评分之和。评标委员会各成员应汇总每个投标人的得分。</w:t>
      </w:r>
    </w:p>
    <w:p w14:paraId="10BA2C9D">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14.</w:t>
      </w:r>
      <w:r>
        <w:rPr>
          <w:rFonts w:hint="eastAsia" w:ascii="宋体" w:hAnsi="宋体" w:eastAsia="宋体" w:cs="宋体"/>
          <w:color w:val="auto"/>
          <w:spacing w:val="-6"/>
          <w:szCs w:val="24"/>
          <w:highlight w:val="none"/>
        </w:rPr>
        <w:t>评标结果汇总完成后，采购代理机构应对评标结果进行复核。经复核发现存在以下情形之一的，评标委员会应当当场修改评标结果，并在评标报告中记载：</w:t>
      </w:r>
    </w:p>
    <w:p w14:paraId="5F8F7E97">
      <w:pPr>
        <w:pStyle w:val="36"/>
        <w:ind w:left="900" w:hanging="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14.1</w:t>
      </w:r>
      <w:r>
        <w:rPr>
          <w:rFonts w:hint="eastAsia" w:ascii="宋体" w:hAnsi="宋体" w:eastAsia="宋体" w:cs="宋体"/>
          <w:color w:val="auto"/>
          <w:szCs w:val="24"/>
          <w:highlight w:val="none"/>
        </w:rPr>
        <w:t>分值汇总计算错误的；</w:t>
      </w:r>
    </w:p>
    <w:p w14:paraId="0B0209F4">
      <w:pPr>
        <w:pStyle w:val="36"/>
        <w:ind w:left="900" w:hanging="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14.2</w:t>
      </w:r>
      <w:r>
        <w:rPr>
          <w:rFonts w:hint="eastAsia" w:ascii="宋体" w:hAnsi="宋体" w:eastAsia="宋体" w:cs="宋体"/>
          <w:color w:val="auto"/>
          <w:szCs w:val="24"/>
          <w:highlight w:val="none"/>
        </w:rPr>
        <w:t>分项评分超出评分标准范围的；</w:t>
      </w:r>
    </w:p>
    <w:p w14:paraId="43555708">
      <w:pPr>
        <w:pStyle w:val="36"/>
        <w:ind w:left="900" w:hanging="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14.3</w:t>
      </w:r>
      <w:r>
        <w:rPr>
          <w:rFonts w:hint="eastAsia" w:ascii="宋体" w:hAnsi="宋体" w:eastAsia="宋体" w:cs="宋体"/>
          <w:color w:val="auto"/>
          <w:szCs w:val="24"/>
          <w:highlight w:val="none"/>
        </w:rPr>
        <w:t>评标委员会成员对客观评审因素评分不一致的；</w:t>
      </w:r>
    </w:p>
    <w:p w14:paraId="4508AD54">
      <w:pPr>
        <w:pStyle w:val="36"/>
        <w:ind w:left="900" w:hanging="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14.4</w:t>
      </w:r>
      <w:r>
        <w:rPr>
          <w:rFonts w:hint="eastAsia" w:ascii="宋体" w:hAnsi="宋体" w:eastAsia="宋体" w:cs="宋体"/>
          <w:color w:val="auto"/>
          <w:szCs w:val="24"/>
          <w:highlight w:val="none"/>
        </w:rPr>
        <w:t>经评标委员会认定评分畸高、畸低的。</w:t>
      </w:r>
    </w:p>
    <w:p w14:paraId="1631F502">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15.</w:t>
      </w:r>
      <w:r>
        <w:rPr>
          <w:rFonts w:hint="eastAsia" w:ascii="宋体" w:hAnsi="宋体" w:eastAsia="宋体" w:cs="宋体"/>
          <w:color w:val="auto"/>
          <w:szCs w:val="24"/>
          <w:highlight w:val="none"/>
        </w:rPr>
        <w:t>各投标人的最终得分为评标委员会所有成员对各投标人评标得分汇总后的算术平均值。</w:t>
      </w:r>
    </w:p>
    <w:p w14:paraId="73925A13">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2FF7FD7C">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15.2采购人或者采购代理机构不得通过对样品进行检测、对投标人进行考察等方式改变评审结果。</w:t>
      </w:r>
    </w:p>
    <w:p w14:paraId="73FD7CE8">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91" w:name="_Toc23798"/>
      <w:bookmarkStart w:id="492" w:name="_Toc6168"/>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val="zh-CN"/>
        </w:rPr>
        <w:t>）排序与推荐</w:t>
      </w:r>
      <w:bookmarkEnd w:id="491"/>
      <w:bookmarkEnd w:id="492"/>
    </w:p>
    <w:p w14:paraId="33533657">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0FC3C7F5">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192CD63C">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18.中标候选人推荐家数详见“投标人须知前附表”。</w:t>
      </w:r>
    </w:p>
    <w:p w14:paraId="26A65064">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93" w:name="_Toc19594"/>
      <w:bookmarkStart w:id="494" w:name="_Toc7794"/>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七</w:t>
      </w:r>
      <w:r>
        <w:rPr>
          <w:rFonts w:hint="eastAsia" w:ascii="宋体" w:hAnsi="宋体" w:eastAsia="宋体" w:cs="宋体"/>
          <w:color w:val="auto"/>
          <w:sz w:val="24"/>
          <w:szCs w:val="24"/>
          <w:highlight w:val="none"/>
          <w:lang w:val="zh-CN"/>
        </w:rPr>
        <w:t>）编写评标报告</w:t>
      </w:r>
      <w:bookmarkEnd w:id="493"/>
      <w:bookmarkEnd w:id="494"/>
    </w:p>
    <w:p w14:paraId="2102C80F">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19.</w:t>
      </w:r>
      <w:r>
        <w:rPr>
          <w:rFonts w:hint="eastAsia" w:ascii="宋体" w:hAnsi="宋体" w:eastAsia="宋体" w:cs="宋体"/>
          <w:color w:val="auto"/>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7A2CD5E1">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95" w:name="_Toc26377"/>
      <w:bookmarkStart w:id="496" w:name="_Toc102119852"/>
      <w:bookmarkStart w:id="497" w:name="_Toc102056217"/>
      <w:bookmarkStart w:id="498" w:name="_Toc102057717"/>
      <w:bookmarkStart w:id="499" w:name="_Toc102114919"/>
      <w:bookmarkStart w:id="500" w:name="_Toc163492906"/>
      <w:bookmarkStart w:id="501" w:name="_Toc102116021"/>
      <w:bookmarkStart w:id="502" w:name="_Toc102116151"/>
      <w:bookmarkStart w:id="503" w:name="_Toc11477"/>
      <w:bookmarkStart w:id="504" w:name="_Toc155185913"/>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投标无效及</w:t>
      </w:r>
      <w:r>
        <w:rPr>
          <w:rFonts w:hint="eastAsia" w:ascii="宋体" w:hAnsi="宋体" w:eastAsia="宋体" w:cs="宋体"/>
          <w:color w:val="auto"/>
          <w:sz w:val="24"/>
          <w:szCs w:val="24"/>
          <w:highlight w:val="none"/>
          <w:lang w:val="zh-CN"/>
        </w:rPr>
        <w:t>应予废标的情形</w:t>
      </w:r>
      <w:bookmarkEnd w:id="495"/>
      <w:bookmarkEnd w:id="496"/>
      <w:bookmarkEnd w:id="497"/>
      <w:bookmarkEnd w:id="498"/>
      <w:bookmarkEnd w:id="499"/>
      <w:bookmarkEnd w:id="500"/>
      <w:bookmarkEnd w:id="501"/>
      <w:bookmarkEnd w:id="502"/>
      <w:bookmarkEnd w:id="503"/>
      <w:bookmarkEnd w:id="504"/>
    </w:p>
    <w:p w14:paraId="508554B4">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20.投标人存在下列情形之一的，</w:t>
      </w:r>
      <w:r>
        <w:rPr>
          <w:rFonts w:hint="eastAsia" w:ascii="宋体" w:hAnsi="宋体" w:eastAsia="宋体" w:cs="宋体"/>
          <w:b/>
          <w:bCs/>
          <w:color w:val="auto"/>
          <w:szCs w:val="24"/>
          <w:highlight w:val="none"/>
          <w:lang w:val="en-US"/>
        </w:rPr>
        <w:t>投标无效</w:t>
      </w:r>
      <w:r>
        <w:rPr>
          <w:rFonts w:hint="eastAsia" w:ascii="宋体" w:hAnsi="宋体" w:eastAsia="宋体" w:cs="宋体"/>
          <w:color w:val="auto"/>
          <w:szCs w:val="24"/>
          <w:highlight w:val="none"/>
          <w:lang w:val="en-US"/>
        </w:rPr>
        <w:t>：</w:t>
      </w:r>
    </w:p>
    <w:p w14:paraId="5C01E9B1">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rPr>
        <w:t>投标人</w:t>
      </w:r>
      <w:r>
        <w:rPr>
          <w:rFonts w:hint="eastAsia" w:ascii="宋体" w:hAnsi="宋体" w:eastAsia="宋体" w:cs="宋体"/>
          <w:color w:val="auto"/>
          <w:szCs w:val="24"/>
          <w:highlight w:val="none"/>
        </w:rPr>
        <w:t>不具备《中华人民共和国政府采购法》第二十二条规定条件</w:t>
      </w:r>
      <w:r>
        <w:rPr>
          <w:rFonts w:hint="eastAsia" w:ascii="宋体" w:hAnsi="宋体" w:eastAsia="宋体" w:cs="宋体"/>
          <w:color w:val="auto"/>
          <w:szCs w:val="24"/>
          <w:highlight w:val="none"/>
          <w:lang w:val="en-US"/>
        </w:rPr>
        <w:t>；</w:t>
      </w:r>
    </w:p>
    <w:p w14:paraId="1A90B233">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2投标文件未按招标文件要求签署、盖章的</w:t>
      </w:r>
      <w:r>
        <w:rPr>
          <w:rFonts w:hint="eastAsia" w:ascii="宋体" w:hAnsi="宋体" w:eastAsia="宋体" w:cs="宋体"/>
          <w:color w:val="auto"/>
          <w:szCs w:val="24"/>
          <w:highlight w:val="none"/>
          <w:lang w:val="en-US"/>
        </w:rPr>
        <w:t>；</w:t>
      </w:r>
    </w:p>
    <w:p w14:paraId="44C3E6C1">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rPr>
        <w:t>不具备招标文件中规定的资格要求的（投标人未提供有效资格文件的，视为投标人不具备招标文件中规定的资格要求）；</w:t>
      </w:r>
    </w:p>
    <w:p w14:paraId="0D14C0AF">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4</w:t>
      </w:r>
      <w:r>
        <w:rPr>
          <w:rFonts w:hint="eastAsia" w:ascii="宋体" w:hAnsi="宋体" w:eastAsia="宋体" w:cs="宋体"/>
          <w:color w:val="auto"/>
          <w:szCs w:val="24"/>
          <w:highlight w:val="none"/>
          <w:lang w:val="en-US"/>
        </w:rPr>
        <w:t>投标</w:t>
      </w:r>
      <w:r>
        <w:rPr>
          <w:rFonts w:hint="eastAsia" w:ascii="宋体" w:hAnsi="宋体" w:eastAsia="宋体" w:cs="宋体"/>
          <w:color w:val="auto"/>
          <w:szCs w:val="24"/>
          <w:highlight w:val="none"/>
        </w:rPr>
        <w:t>文件提供虚假材料的</w:t>
      </w:r>
      <w:r>
        <w:rPr>
          <w:rFonts w:hint="eastAsia" w:ascii="宋体" w:hAnsi="宋体" w:eastAsia="宋体" w:cs="宋体"/>
          <w:color w:val="auto"/>
          <w:szCs w:val="24"/>
          <w:highlight w:val="none"/>
          <w:lang w:val="en-US"/>
        </w:rPr>
        <w:t>；</w:t>
      </w:r>
    </w:p>
    <w:p w14:paraId="5182EC16">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5</w:t>
      </w:r>
      <w:r>
        <w:rPr>
          <w:rFonts w:hint="eastAsia" w:ascii="宋体" w:hAnsi="宋体" w:eastAsia="宋体" w:cs="宋体"/>
          <w:color w:val="auto"/>
          <w:szCs w:val="24"/>
          <w:highlight w:val="none"/>
          <w:lang w:val="en-US"/>
        </w:rPr>
        <w:t>投标</w:t>
      </w:r>
      <w:r>
        <w:rPr>
          <w:rFonts w:hint="eastAsia" w:ascii="宋体" w:hAnsi="宋体" w:eastAsia="宋体" w:cs="宋体"/>
          <w:color w:val="auto"/>
          <w:szCs w:val="24"/>
          <w:highlight w:val="none"/>
        </w:rPr>
        <w:t>文件不满足</w:t>
      </w:r>
      <w:r>
        <w:rPr>
          <w:rFonts w:hint="eastAsia" w:ascii="宋体" w:hAnsi="宋体" w:eastAsia="宋体" w:cs="宋体"/>
          <w:color w:val="auto"/>
          <w:szCs w:val="24"/>
          <w:highlight w:val="none"/>
          <w:lang w:val="en-US"/>
        </w:rPr>
        <w:t>招标</w:t>
      </w:r>
      <w:r>
        <w:rPr>
          <w:rFonts w:hint="eastAsia" w:ascii="宋体" w:hAnsi="宋体" w:eastAsia="宋体" w:cs="宋体"/>
          <w:color w:val="auto"/>
          <w:szCs w:val="24"/>
          <w:highlight w:val="none"/>
        </w:rPr>
        <w:t>文件中标注“★”号的实质性条款（或指标）要求的</w:t>
      </w:r>
      <w:r>
        <w:rPr>
          <w:rFonts w:hint="eastAsia" w:ascii="宋体" w:hAnsi="宋体" w:eastAsia="宋体" w:cs="宋体"/>
          <w:color w:val="auto"/>
          <w:szCs w:val="24"/>
          <w:highlight w:val="none"/>
          <w:lang w:val="en-US"/>
        </w:rPr>
        <w:t>；</w:t>
      </w:r>
    </w:p>
    <w:p w14:paraId="4E07792E">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6</w:t>
      </w:r>
      <w:r>
        <w:rPr>
          <w:rFonts w:hint="eastAsia" w:ascii="宋体" w:hAnsi="宋体" w:eastAsia="宋体" w:cs="宋体"/>
          <w:color w:val="auto"/>
          <w:szCs w:val="24"/>
          <w:highlight w:val="none"/>
          <w:lang w:val="en-US"/>
        </w:rPr>
        <w:t>投标人</w:t>
      </w:r>
      <w:r>
        <w:rPr>
          <w:rFonts w:hint="eastAsia" w:ascii="宋体" w:hAnsi="宋体" w:eastAsia="宋体" w:cs="宋体"/>
          <w:color w:val="auto"/>
          <w:szCs w:val="24"/>
          <w:highlight w:val="none"/>
        </w:rPr>
        <w:t>报价超过招标文件中规定的最高限价或者预算金额的</w:t>
      </w:r>
      <w:r>
        <w:rPr>
          <w:rFonts w:hint="eastAsia" w:ascii="宋体" w:hAnsi="宋体" w:eastAsia="宋体" w:cs="宋体"/>
          <w:color w:val="auto"/>
          <w:szCs w:val="24"/>
          <w:highlight w:val="none"/>
          <w:lang w:val="en-US"/>
        </w:rPr>
        <w:t>；</w:t>
      </w:r>
    </w:p>
    <w:p w14:paraId="00EE030C">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7联合体的供应商未提交各方共同签署的</w:t>
      </w:r>
      <w:r>
        <w:rPr>
          <w:rFonts w:hint="eastAsia" w:ascii="宋体" w:hAnsi="宋体" w:eastAsia="宋体" w:cs="宋体"/>
          <w:color w:val="auto"/>
          <w:szCs w:val="24"/>
          <w:highlight w:val="none"/>
          <w:lang w:val="en-US"/>
        </w:rPr>
        <w:t>联合体</w:t>
      </w:r>
      <w:r>
        <w:rPr>
          <w:rFonts w:hint="eastAsia" w:ascii="宋体" w:hAnsi="宋体" w:eastAsia="宋体" w:cs="宋体"/>
          <w:color w:val="auto"/>
          <w:szCs w:val="24"/>
          <w:highlight w:val="none"/>
        </w:rPr>
        <w:t>协议</w:t>
      </w:r>
      <w:r>
        <w:rPr>
          <w:rFonts w:hint="eastAsia" w:ascii="宋体" w:hAnsi="宋体" w:eastAsia="宋体" w:cs="宋体"/>
          <w:color w:val="auto"/>
          <w:szCs w:val="24"/>
          <w:highlight w:val="none"/>
          <w:lang w:val="en-US"/>
        </w:rPr>
        <w:t>的；</w:t>
      </w:r>
    </w:p>
    <w:p w14:paraId="6C450A3E">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8</w:t>
      </w:r>
      <w:r>
        <w:rPr>
          <w:rFonts w:hint="eastAsia" w:ascii="宋体" w:hAnsi="宋体" w:eastAsia="宋体" w:cs="宋体"/>
          <w:color w:val="auto"/>
          <w:szCs w:val="24"/>
          <w:highlight w:val="none"/>
          <w:lang w:val="en-US"/>
        </w:rPr>
        <w:t>投标人</w:t>
      </w:r>
      <w:r>
        <w:rPr>
          <w:rFonts w:hint="eastAsia" w:ascii="宋体" w:hAnsi="宋体" w:eastAsia="宋体" w:cs="宋体"/>
          <w:color w:val="auto"/>
          <w:szCs w:val="24"/>
          <w:highlight w:val="none"/>
        </w:rPr>
        <w:t>未按</w:t>
      </w:r>
      <w:r>
        <w:rPr>
          <w:rFonts w:hint="eastAsia" w:ascii="宋体" w:hAnsi="宋体" w:eastAsia="宋体" w:cs="宋体"/>
          <w:color w:val="auto"/>
          <w:szCs w:val="24"/>
          <w:highlight w:val="none"/>
          <w:lang w:val="en-US"/>
        </w:rPr>
        <w:t>招标</w:t>
      </w:r>
      <w:r>
        <w:rPr>
          <w:rFonts w:hint="eastAsia" w:ascii="宋体" w:hAnsi="宋体" w:eastAsia="宋体" w:cs="宋体"/>
          <w:color w:val="auto"/>
          <w:szCs w:val="24"/>
          <w:highlight w:val="none"/>
        </w:rPr>
        <w:t>文件</w:t>
      </w:r>
      <w:r>
        <w:rPr>
          <w:rFonts w:hint="eastAsia" w:ascii="宋体" w:hAnsi="宋体" w:eastAsia="宋体" w:cs="宋体"/>
          <w:color w:val="auto"/>
          <w:szCs w:val="24"/>
          <w:highlight w:val="none"/>
          <w:lang w:val="en-US"/>
        </w:rPr>
        <w:t>的规定</w:t>
      </w:r>
      <w:r>
        <w:rPr>
          <w:rFonts w:hint="eastAsia" w:ascii="宋体" w:hAnsi="宋体" w:eastAsia="宋体" w:cs="宋体"/>
          <w:color w:val="auto"/>
          <w:szCs w:val="24"/>
          <w:highlight w:val="none"/>
        </w:rPr>
        <w:t>交纳投标保证金</w:t>
      </w:r>
      <w:r>
        <w:rPr>
          <w:rFonts w:hint="eastAsia" w:ascii="宋体" w:hAnsi="宋体" w:eastAsia="宋体" w:cs="宋体"/>
          <w:color w:val="auto"/>
          <w:szCs w:val="24"/>
          <w:highlight w:val="none"/>
          <w:lang w:val="en-US"/>
        </w:rPr>
        <w:t>的；</w:t>
      </w:r>
    </w:p>
    <w:p w14:paraId="3179265A">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9评审期间,</w:t>
      </w:r>
      <w:r>
        <w:rPr>
          <w:rFonts w:hint="eastAsia" w:ascii="宋体" w:hAnsi="宋体" w:eastAsia="宋体" w:cs="宋体"/>
          <w:color w:val="auto"/>
          <w:szCs w:val="24"/>
          <w:highlight w:val="none"/>
          <w:lang w:val="en-US"/>
        </w:rPr>
        <w:t>投标人</w:t>
      </w:r>
      <w:r>
        <w:rPr>
          <w:rFonts w:hint="eastAsia" w:ascii="宋体" w:hAnsi="宋体" w:eastAsia="宋体" w:cs="宋体"/>
          <w:color w:val="auto"/>
          <w:szCs w:val="24"/>
          <w:highlight w:val="none"/>
        </w:rPr>
        <w:t>没有按评标委员会的要求提交经授权代表签字的澄清、说明、补正或改变了</w:t>
      </w:r>
      <w:r>
        <w:rPr>
          <w:rFonts w:hint="eastAsia" w:ascii="宋体" w:hAnsi="宋体" w:eastAsia="宋体" w:cs="宋体"/>
          <w:color w:val="auto"/>
          <w:szCs w:val="24"/>
          <w:highlight w:val="none"/>
          <w:lang w:val="en-US"/>
        </w:rPr>
        <w:t>投标</w:t>
      </w:r>
      <w:r>
        <w:rPr>
          <w:rFonts w:hint="eastAsia" w:ascii="宋体" w:hAnsi="宋体" w:eastAsia="宋体" w:cs="宋体"/>
          <w:color w:val="auto"/>
          <w:szCs w:val="24"/>
          <w:highlight w:val="none"/>
        </w:rPr>
        <w:t>文件的实质性内容</w:t>
      </w:r>
      <w:r>
        <w:rPr>
          <w:rFonts w:hint="eastAsia" w:ascii="宋体" w:hAnsi="宋体" w:eastAsia="宋体" w:cs="宋体"/>
          <w:color w:val="auto"/>
          <w:szCs w:val="24"/>
          <w:highlight w:val="none"/>
          <w:lang w:val="en-US"/>
        </w:rPr>
        <w:t>的；</w:t>
      </w:r>
    </w:p>
    <w:p w14:paraId="2C99988C">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10</w:t>
      </w:r>
      <w:r>
        <w:rPr>
          <w:rFonts w:hint="eastAsia" w:ascii="宋体" w:hAnsi="宋体" w:eastAsia="宋体" w:cs="宋体"/>
          <w:color w:val="auto"/>
          <w:szCs w:val="24"/>
          <w:highlight w:val="none"/>
          <w:lang w:val="en-US"/>
        </w:rPr>
        <w:t>投标人</w:t>
      </w:r>
      <w:r>
        <w:rPr>
          <w:rFonts w:hint="eastAsia" w:ascii="宋体" w:hAnsi="宋体" w:eastAsia="宋体" w:cs="宋体"/>
          <w:color w:val="auto"/>
          <w:szCs w:val="24"/>
          <w:highlight w:val="none"/>
        </w:rPr>
        <w:t>对采购人、采购代理机构、评标委员会及其工作人员施加影响,有碍公平、公正</w:t>
      </w:r>
      <w:r>
        <w:rPr>
          <w:rFonts w:hint="eastAsia" w:ascii="宋体" w:hAnsi="宋体" w:eastAsia="宋体" w:cs="宋体"/>
          <w:color w:val="auto"/>
          <w:szCs w:val="24"/>
          <w:highlight w:val="none"/>
          <w:lang w:val="en-US"/>
        </w:rPr>
        <w:t>的；</w:t>
      </w:r>
    </w:p>
    <w:p w14:paraId="30E1FCF9">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20.11投标文件含有采购人不能接受的附加条件的；</w:t>
      </w:r>
    </w:p>
    <w:p w14:paraId="18F21596">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rPr>
        <w:t>2</w:t>
      </w:r>
      <w:r>
        <w:rPr>
          <w:rFonts w:hint="eastAsia" w:ascii="宋体" w:hAnsi="宋体" w:eastAsia="宋体" w:cs="宋体"/>
          <w:color w:val="auto"/>
          <w:szCs w:val="24"/>
          <w:highlight w:val="none"/>
        </w:rPr>
        <w:t>法律、法规、规章规定属于</w:t>
      </w:r>
      <w:r>
        <w:rPr>
          <w:rFonts w:hint="eastAsia" w:ascii="宋体" w:hAnsi="宋体" w:eastAsia="宋体" w:cs="宋体"/>
          <w:color w:val="auto"/>
          <w:szCs w:val="24"/>
          <w:highlight w:val="none"/>
          <w:lang w:val="en-US"/>
        </w:rPr>
        <w:t>投标</w:t>
      </w:r>
      <w:r>
        <w:rPr>
          <w:rFonts w:hint="eastAsia" w:ascii="宋体" w:hAnsi="宋体" w:eastAsia="宋体" w:cs="宋体"/>
          <w:color w:val="auto"/>
          <w:szCs w:val="24"/>
          <w:highlight w:val="none"/>
        </w:rPr>
        <w:t>无效的其他情形。</w:t>
      </w:r>
    </w:p>
    <w:p w14:paraId="263C7E4C">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21.有下列情形之一的，视为投标人串通投标，其</w:t>
      </w:r>
      <w:r>
        <w:rPr>
          <w:rFonts w:hint="eastAsia" w:ascii="宋体" w:hAnsi="宋体" w:eastAsia="宋体" w:cs="宋体"/>
          <w:b/>
          <w:bCs/>
          <w:color w:val="auto"/>
          <w:szCs w:val="24"/>
          <w:highlight w:val="none"/>
          <w:lang w:val="en-US"/>
        </w:rPr>
        <w:t>投标无效</w:t>
      </w:r>
      <w:r>
        <w:rPr>
          <w:rFonts w:hint="eastAsia" w:ascii="宋体" w:hAnsi="宋体" w:eastAsia="宋体" w:cs="宋体"/>
          <w:color w:val="auto"/>
          <w:szCs w:val="24"/>
          <w:highlight w:val="none"/>
          <w:lang w:val="en-US"/>
        </w:rPr>
        <w:t>：</w:t>
      </w:r>
    </w:p>
    <w:p w14:paraId="5B411F1B">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21.1不同投标人的投标文件由同一单位或者个人编制；</w:t>
      </w:r>
    </w:p>
    <w:p w14:paraId="4600C7BF">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21.2不同投标人委托同一单位或者个人办理投标事宜；</w:t>
      </w:r>
    </w:p>
    <w:p w14:paraId="4FFA0699">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21.3不同投标人的投标文件载明的项目管理成员或者联系人员为同一人；</w:t>
      </w:r>
    </w:p>
    <w:p w14:paraId="5FFB8418">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21.4不同投标人的投标文件异常一致或者投标报价呈规律性差异；</w:t>
      </w:r>
    </w:p>
    <w:p w14:paraId="019A1F8E">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21.5不同投标人的投标文件相互混装；</w:t>
      </w:r>
    </w:p>
    <w:p w14:paraId="297E8C17">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21.6不同投标人的投标保证金从同一单位或者个人的账户转出；</w:t>
      </w:r>
    </w:p>
    <w:p w14:paraId="2D95515F">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21.7</w:t>
      </w:r>
      <w:r>
        <w:rPr>
          <w:rFonts w:hint="eastAsia" w:ascii="宋体" w:hAnsi="宋体" w:eastAsia="宋体" w:cs="宋体"/>
          <w:color w:val="auto"/>
          <w:szCs w:val="24"/>
          <w:highlight w:val="none"/>
        </w:rPr>
        <w:t>不同投标人使用同一电脑（机器特征值一致：如MAC地址等）或使用同一电子密钥，编制或上传电子投标文件</w:t>
      </w:r>
      <w:r>
        <w:rPr>
          <w:rFonts w:hint="eastAsia" w:ascii="宋体" w:hAnsi="宋体" w:eastAsia="宋体" w:cs="宋体"/>
          <w:color w:val="auto"/>
          <w:szCs w:val="24"/>
          <w:highlight w:val="none"/>
          <w:lang w:val="en-US"/>
        </w:rPr>
        <w:t>；</w:t>
      </w:r>
    </w:p>
    <w:p w14:paraId="632C4935">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21.8法律、法规、规章规定属于投标人串通投标的其他情形</w:t>
      </w:r>
      <w:r>
        <w:rPr>
          <w:rFonts w:hint="eastAsia" w:ascii="宋体" w:hAnsi="宋体" w:eastAsia="宋体" w:cs="宋体"/>
          <w:color w:val="auto"/>
          <w:szCs w:val="24"/>
          <w:highlight w:val="none"/>
        </w:rPr>
        <w:t>。</w:t>
      </w:r>
    </w:p>
    <w:p w14:paraId="191102E2">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22</w:t>
      </w:r>
      <w:r>
        <w:rPr>
          <w:rFonts w:hint="eastAsia" w:ascii="宋体" w:hAnsi="宋体" w:eastAsia="宋体" w:cs="宋体"/>
          <w:color w:val="auto"/>
          <w:szCs w:val="24"/>
          <w:highlight w:val="none"/>
        </w:rPr>
        <w:t>.根据《中华人民共和国政府采购法》第三十六条之规定，在招标采购过程中，出现下列情形之一的，应予</w:t>
      </w:r>
      <w:r>
        <w:rPr>
          <w:rFonts w:hint="eastAsia" w:ascii="宋体" w:hAnsi="宋体" w:eastAsia="宋体" w:cs="宋体"/>
          <w:b/>
          <w:bCs/>
          <w:color w:val="auto"/>
          <w:szCs w:val="24"/>
          <w:highlight w:val="none"/>
        </w:rPr>
        <w:t>废标</w:t>
      </w:r>
      <w:r>
        <w:rPr>
          <w:rFonts w:hint="eastAsia" w:ascii="宋体" w:hAnsi="宋体" w:eastAsia="宋体" w:cs="宋体"/>
          <w:color w:val="auto"/>
          <w:szCs w:val="24"/>
          <w:highlight w:val="none"/>
        </w:rPr>
        <w:t>：</w:t>
      </w:r>
    </w:p>
    <w:p w14:paraId="1A0BFE3E">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22</w:t>
      </w:r>
      <w:r>
        <w:rPr>
          <w:rFonts w:hint="eastAsia" w:ascii="宋体" w:hAnsi="宋体" w:eastAsia="宋体" w:cs="宋体"/>
          <w:color w:val="auto"/>
          <w:szCs w:val="24"/>
          <w:highlight w:val="none"/>
        </w:rPr>
        <w:t>.1符合专业条件的供应商或者对招标文件作实质响应的供应商不足3家的；</w:t>
      </w:r>
    </w:p>
    <w:p w14:paraId="7F9C188D">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22</w:t>
      </w:r>
      <w:r>
        <w:rPr>
          <w:rFonts w:hint="eastAsia" w:ascii="宋体" w:hAnsi="宋体" w:eastAsia="宋体" w:cs="宋体"/>
          <w:color w:val="auto"/>
          <w:szCs w:val="24"/>
          <w:highlight w:val="none"/>
        </w:rPr>
        <w:t>.2出现影响采购公正的违法、违规行为的；</w:t>
      </w:r>
    </w:p>
    <w:p w14:paraId="4C6EFD50">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22</w:t>
      </w:r>
      <w:r>
        <w:rPr>
          <w:rFonts w:hint="eastAsia" w:ascii="宋体" w:hAnsi="宋体" w:eastAsia="宋体" w:cs="宋体"/>
          <w:color w:val="auto"/>
          <w:szCs w:val="24"/>
          <w:highlight w:val="none"/>
        </w:rPr>
        <w:t>.3投标人的报价均超过了采购预算，采购人不能支付的；</w:t>
      </w:r>
    </w:p>
    <w:p w14:paraId="32C6B5A2">
      <w:pPr>
        <w:pStyle w:val="36"/>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22</w:t>
      </w:r>
      <w:r>
        <w:rPr>
          <w:rFonts w:hint="eastAsia" w:ascii="宋体" w:hAnsi="宋体" w:eastAsia="宋体" w:cs="宋体"/>
          <w:color w:val="auto"/>
          <w:szCs w:val="24"/>
          <w:highlight w:val="none"/>
        </w:rPr>
        <w:t>.4因重大变故，采购任务取消的</w:t>
      </w:r>
      <w:r>
        <w:rPr>
          <w:rFonts w:hint="eastAsia" w:ascii="宋体" w:hAnsi="宋体" w:eastAsia="宋体" w:cs="宋体"/>
          <w:color w:val="auto"/>
          <w:szCs w:val="24"/>
          <w:highlight w:val="none"/>
          <w:lang w:val="en-US"/>
        </w:rPr>
        <w:t>；</w:t>
      </w:r>
    </w:p>
    <w:p w14:paraId="3BF7D45A">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 xml:space="preserve">22.5 </w:t>
      </w:r>
      <w:r>
        <w:rPr>
          <w:rFonts w:hint="eastAsia" w:ascii="宋体" w:hAnsi="宋体" w:eastAsia="宋体" w:cs="宋体"/>
          <w:color w:val="auto"/>
          <w:szCs w:val="24"/>
          <w:highlight w:val="none"/>
        </w:rPr>
        <w:t>法律、法规、规章规定属于</w:t>
      </w:r>
      <w:r>
        <w:rPr>
          <w:rFonts w:hint="eastAsia" w:ascii="宋体" w:hAnsi="宋体" w:eastAsia="宋体" w:cs="宋体"/>
          <w:color w:val="auto"/>
          <w:szCs w:val="24"/>
          <w:highlight w:val="none"/>
          <w:lang w:val="en-US"/>
        </w:rPr>
        <w:t>废标</w:t>
      </w:r>
      <w:r>
        <w:rPr>
          <w:rFonts w:hint="eastAsia" w:ascii="宋体" w:hAnsi="宋体" w:eastAsia="宋体" w:cs="宋体"/>
          <w:color w:val="auto"/>
          <w:szCs w:val="24"/>
          <w:highlight w:val="none"/>
        </w:rPr>
        <w:t>的其他情形。</w:t>
      </w:r>
    </w:p>
    <w:p w14:paraId="625867C1">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23.</w:t>
      </w:r>
      <w:r>
        <w:rPr>
          <w:rFonts w:hint="eastAsia" w:ascii="宋体" w:hAnsi="宋体" w:eastAsia="宋体" w:cs="宋体"/>
          <w:color w:val="auto"/>
          <w:szCs w:val="24"/>
          <w:highlight w:val="none"/>
        </w:rPr>
        <w:t>废标后，采购人应当将废标理由通知所有投标人。</w:t>
      </w:r>
    </w:p>
    <w:p w14:paraId="7D5984B3">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505" w:name="_Toc27130"/>
      <w:bookmarkStart w:id="506" w:name="_Toc102119853"/>
      <w:bookmarkStart w:id="507" w:name="_Toc102116152"/>
      <w:bookmarkStart w:id="508" w:name="_Toc155185914"/>
      <w:bookmarkStart w:id="509" w:name="_Toc102057718"/>
      <w:bookmarkStart w:id="510" w:name="_Toc102056218"/>
      <w:bookmarkStart w:id="511" w:name="_Toc102114920"/>
      <w:bookmarkStart w:id="512" w:name="_Toc102116022"/>
      <w:bookmarkStart w:id="513" w:name="_Toc20186"/>
      <w:bookmarkStart w:id="514" w:name="_Toc163492907"/>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九</w:t>
      </w:r>
      <w:r>
        <w:rPr>
          <w:rFonts w:hint="eastAsia" w:ascii="宋体" w:hAnsi="宋体" w:eastAsia="宋体" w:cs="宋体"/>
          <w:color w:val="auto"/>
          <w:sz w:val="24"/>
          <w:szCs w:val="24"/>
          <w:highlight w:val="none"/>
          <w:lang w:val="zh-CN"/>
        </w:rPr>
        <w:t>）停止评标的情形</w:t>
      </w:r>
      <w:bookmarkEnd w:id="505"/>
      <w:bookmarkEnd w:id="506"/>
      <w:bookmarkEnd w:id="507"/>
      <w:bookmarkEnd w:id="508"/>
      <w:bookmarkEnd w:id="509"/>
      <w:bookmarkEnd w:id="510"/>
      <w:bookmarkEnd w:id="511"/>
      <w:bookmarkEnd w:id="512"/>
      <w:bookmarkEnd w:id="513"/>
      <w:bookmarkEnd w:id="514"/>
    </w:p>
    <w:p w14:paraId="7B74DFD0">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24</w:t>
      </w:r>
      <w:r>
        <w:rPr>
          <w:rFonts w:hint="eastAsia" w:ascii="宋体" w:hAnsi="宋体" w:eastAsia="宋体" w:cs="宋体"/>
          <w:color w:val="auto"/>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3B5BC12">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515" w:name="_Toc15371"/>
      <w:bookmarkStart w:id="516" w:name="_Toc28717"/>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zh-CN"/>
        </w:rPr>
        <w:t>）重新开展采购</w:t>
      </w:r>
      <w:bookmarkEnd w:id="515"/>
      <w:bookmarkEnd w:id="516"/>
    </w:p>
    <w:p w14:paraId="5B2FAF7E">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有《中华人民共和国政府采购法》第七十一条、第七十二条规定的违法行为之一，影响或者可能影响中标结果的，依照下列规定处理：</w:t>
      </w:r>
    </w:p>
    <w:p w14:paraId="2BED2A9A">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.1未确定中标供应商的，终止本次政府采购活动，重新开展政府采购活动。</w:t>
      </w:r>
    </w:p>
    <w:p w14:paraId="179604E0">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.2已确定中标供应商但尚未签订政府采购合同的，中标结果无效，从合格的中标候选人中另行确定中标供应商；没有合格的中标候选人的，重新开展政府采购活动。</w:t>
      </w:r>
    </w:p>
    <w:p w14:paraId="7A56BB8E">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.3政府采购合同已签订但尚未履行的，撤销合同，从合格的中标候选人中另行确定中标供应商；没有合格的中标候选人的，重新开展政府采购活动。</w:t>
      </w:r>
    </w:p>
    <w:p w14:paraId="7CB4A9B7">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.4政府采购合同已经履行，给采购人、供应商造成损失的，由责任人承担赔偿责任。</w:t>
      </w:r>
    </w:p>
    <w:p w14:paraId="62F2B9A5">
      <w:pPr>
        <w:pStyle w:val="36"/>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ascii="宋体" w:hAnsi="宋体" w:eastAsia="宋体" w:cs="宋体"/>
          <w:color w:val="auto"/>
          <w:szCs w:val="24"/>
          <w:highlight w:val="none"/>
          <w:lang w:val="en-US"/>
        </w:rPr>
        <w:t>24</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rPr>
        <w:t>24</w:t>
      </w:r>
      <w:r>
        <w:rPr>
          <w:rFonts w:hint="eastAsia" w:ascii="宋体" w:hAnsi="宋体" w:eastAsia="宋体" w:cs="宋体"/>
          <w:color w:val="auto"/>
          <w:szCs w:val="24"/>
          <w:highlight w:val="none"/>
        </w:rPr>
        <w:t>.4规定处理。</w:t>
      </w:r>
    </w:p>
    <w:bookmarkEnd w:id="462"/>
    <w:bookmarkEnd w:id="463"/>
    <w:bookmarkEnd w:id="464"/>
    <w:bookmarkEnd w:id="465"/>
    <w:bookmarkEnd w:id="466"/>
    <w:bookmarkEnd w:id="467"/>
    <w:bookmarkEnd w:id="468"/>
    <w:bookmarkEnd w:id="469"/>
    <w:bookmarkEnd w:id="470"/>
    <w:bookmarkEnd w:id="471"/>
    <w:p w14:paraId="43C5A4F2">
      <w:pPr>
        <w:pStyle w:val="3"/>
        <w:spacing w:before="160" w:after="160" w:line="360" w:lineRule="auto"/>
        <w:ind w:left="420" w:hanging="420"/>
        <w:rPr>
          <w:rFonts w:hint="eastAsia" w:ascii="宋体" w:hAnsi="宋体" w:eastAsia="宋体" w:cs="宋体"/>
          <w:color w:val="auto"/>
          <w:sz w:val="28"/>
          <w:szCs w:val="28"/>
          <w:highlight w:val="none"/>
        </w:rPr>
      </w:pPr>
      <w:bookmarkStart w:id="517" w:name="_Toc26940"/>
      <w:r>
        <w:rPr>
          <w:rFonts w:hint="eastAsia" w:ascii="宋体" w:hAnsi="宋体" w:eastAsia="宋体" w:cs="宋体"/>
          <w:color w:val="auto"/>
          <w:sz w:val="28"/>
          <w:szCs w:val="28"/>
          <w:highlight w:val="none"/>
          <w:lang w:val="zh-CN"/>
        </w:rPr>
        <w:t>三、评标</w:t>
      </w:r>
      <w:r>
        <w:rPr>
          <w:rFonts w:hint="eastAsia" w:ascii="宋体" w:hAnsi="宋体" w:eastAsia="宋体" w:cs="宋体"/>
          <w:color w:val="auto"/>
          <w:sz w:val="28"/>
          <w:szCs w:val="28"/>
          <w:highlight w:val="none"/>
        </w:rPr>
        <w:t>其他要求</w:t>
      </w:r>
      <w:bookmarkEnd w:id="517"/>
    </w:p>
    <w:p w14:paraId="64F1D40A">
      <w:pPr>
        <w:pStyle w:val="36"/>
        <w:rPr>
          <w:rFonts w:hint="eastAsia" w:ascii="宋体" w:hAnsi="宋体" w:eastAsia="宋体" w:cs="宋体"/>
          <w:color w:val="auto"/>
          <w:highlight w:val="none"/>
        </w:rPr>
      </w:pPr>
      <w:r>
        <w:rPr>
          <w:rFonts w:hint="eastAsia" w:ascii="宋体" w:hAnsi="宋体" w:eastAsia="宋体" w:cs="宋体"/>
          <w:color w:val="auto"/>
          <w:highlight w:val="none"/>
          <w:lang w:val="en-US"/>
        </w:rPr>
        <w:t>/</w:t>
      </w:r>
      <w:bookmarkStart w:id="518" w:name="_Toc155185915"/>
    </w:p>
    <w:p w14:paraId="2BC70FAB">
      <w:pPr>
        <w:pStyle w:val="3"/>
        <w:keepNext w:val="0"/>
        <w:keepLines w:val="0"/>
        <w:spacing w:before="160" w:after="160" w:line="360" w:lineRule="auto"/>
        <w:ind w:left="420" w:hanging="420"/>
        <w:rPr>
          <w:rFonts w:hint="eastAsia" w:ascii="宋体" w:hAnsi="宋体" w:eastAsia="宋体" w:cs="宋体"/>
          <w:color w:val="auto"/>
          <w:sz w:val="28"/>
          <w:szCs w:val="28"/>
          <w:highlight w:val="none"/>
          <w:lang w:val="zh-CN"/>
        </w:rPr>
      </w:pPr>
      <w:bookmarkStart w:id="519" w:name="_Toc19817"/>
      <w:r>
        <w:rPr>
          <w:rFonts w:hint="eastAsia" w:ascii="宋体" w:hAnsi="宋体" w:eastAsia="宋体" w:cs="宋体"/>
          <w:color w:val="auto"/>
          <w:sz w:val="28"/>
          <w:szCs w:val="28"/>
          <w:highlight w:val="none"/>
        </w:rPr>
        <w:t>四</w:t>
      </w:r>
      <w:r>
        <w:rPr>
          <w:rFonts w:hint="eastAsia" w:ascii="宋体" w:hAnsi="宋体" w:eastAsia="宋体" w:cs="宋体"/>
          <w:color w:val="auto"/>
          <w:sz w:val="28"/>
          <w:szCs w:val="28"/>
          <w:highlight w:val="none"/>
          <w:lang w:val="zh-CN"/>
        </w:rPr>
        <w:t>、评标标准</w:t>
      </w:r>
      <w:bookmarkEnd w:id="518"/>
      <w:bookmarkEnd w:id="519"/>
    </w:p>
    <w:p w14:paraId="4E4C4391">
      <w:pPr>
        <w:pStyle w:val="4"/>
        <w:keepNext w:val="0"/>
        <w:keepLines w:val="0"/>
        <w:spacing w:before="160" w:after="160" w:line="360" w:lineRule="auto"/>
        <w:ind w:left="420" w:hanging="420"/>
        <w:rPr>
          <w:rFonts w:hint="eastAsia" w:ascii="宋体" w:hAnsi="宋体" w:eastAsia="宋体" w:cs="宋体"/>
          <w:color w:val="auto"/>
          <w:sz w:val="28"/>
          <w:szCs w:val="28"/>
          <w:highlight w:val="none"/>
          <w:lang w:val="zh-CN"/>
        </w:rPr>
      </w:pPr>
      <w:bookmarkStart w:id="520" w:name="_Toc16256"/>
      <w:bookmarkStart w:id="521" w:name="_Toc1043"/>
      <w:bookmarkStart w:id="522" w:name="_Toc163492909"/>
      <w:r>
        <w:rPr>
          <w:rFonts w:hint="eastAsia" w:ascii="宋体" w:hAnsi="宋体" w:eastAsia="宋体" w:cs="宋体"/>
          <w:color w:val="auto"/>
          <w:sz w:val="28"/>
          <w:szCs w:val="28"/>
          <w:highlight w:val="none"/>
          <w:lang w:val="zh-CN"/>
        </w:rPr>
        <w:t>（一）符合性审查表</w:t>
      </w:r>
      <w:bookmarkEnd w:id="520"/>
      <w:bookmarkEnd w:id="521"/>
      <w:bookmarkEnd w:id="522"/>
    </w:p>
    <w:tbl>
      <w:tblPr>
        <w:tblStyle w:val="22"/>
        <w:tblW w:w="5114" w:type="pct"/>
        <w:tblInd w:w="-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0"/>
        <w:gridCol w:w="1203"/>
        <w:gridCol w:w="5240"/>
        <w:gridCol w:w="797"/>
        <w:gridCol w:w="1016"/>
      </w:tblGrid>
      <w:tr w14:paraId="7679F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264" w:type="pct"/>
            <w:vMerge w:val="restart"/>
            <w:shd w:val="clear" w:color="auto" w:fill="D8D8D8"/>
            <w:noWrap w:val="0"/>
            <w:vAlign w:val="center"/>
          </w:tcPr>
          <w:p w14:paraId="461B2DC7">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lang w:val="zh-CN"/>
              </w:rPr>
            </w:pPr>
            <w:bookmarkStart w:id="523" w:name="_Toc155185917"/>
            <w:bookmarkStart w:id="524" w:name="_Toc163492910"/>
            <w:bookmarkStart w:id="525" w:name="_Toc10178"/>
            <w:bookmarkStart w:id="526" w:name="_Toc21870"/>
            <w:r>
              <w:rPr>
                <w:rFonts w:hint="eastAsia" w:ascii="宋体" w:hAnsi="宋体" w:eastAsia="宋体" w:cs="宋体"/>
                <w:b/>
                <w:bCs/>
                <w:color w:val="auto"/>
                <w:sz w:val="24"/>
                <w:szCs w:val="24"/>
                <w:highlight w:val="none"/>
                <w:lang w:val="zh-CN"/>
              </w:rPr>
              <w:t>序号</w:t>
            </w:r>
          </w:p>
        </w:tc>
        <w:tc>
          <w:tcPr>
            <w:tcW w:w="690" w:type="pct"/>
            <w:vMerge w:val="restart"/>
            <w:shd w:val="clear" w:color="auto" w:fill="D8D8D8"/>
            <w:noWrap w:val="0"/>
            <w:vAlign w:val="center"/>
          </w:tcPr>
          <w:p w14:paraId="15393834">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审查项名称</w:t>
            </w:r>
          </w:p>
        </w:tc>
        <w:tc>
          <w:tcPr>
            <w:tcW w:w="3004" w:type="pct"/>
            <w:vMerge w:val="restart"/>
            <w:shd w:val="clear" w:color="auto" w:fill="D8D8D8"/>
            <w:noWrap w:val="0"/>
            <w:vAlign w:val="center"/>
          </w:tcPr>
          <w:p w14:paraId="70D15CE6">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审查内容</w:t>
            </w:r>
          </w:p>
        </w:tc>
        <w:tc>
          <w:tcPr>
            <w:tcW w:w="1039" w:type="pct"/>
            <w:gridSpan w:val="2"/>
            <w:shd w:val="clear" w:color="auto" w:fill="D8D8D8"/>
            <w:noWrap w:val="0"/>
            <w:vAlign w:val="center"/>
          </w:tcPr>
          <w:p w14:paraId="01424401">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审查结果</w:t>
            </w:r>
          </w:p>
        </w:tc>
      </w:tr>
      <w:tr w14:paraId="68D0E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264" w:type="pct"/>
            <w:vMerge w:val="continue"/>
            <w:shd w:val="clear" w:color="auto" w:fill="D8D8D8"/>
            <w:noWrap w:val="0"/>
            <w:vAlign w:val="center"/>
          </w:tcPr>
          <w:p w14:paraId="649C142B">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lang w:val="zh-CN"/>
              </w:rPr>
            </w:pPr>
          </w:p>
        </w:tc>
        <w:tc>
          <w:tcPr>
            <w:tcW w:w="690" w:type="pct"/>
            <w:vMerge w:val="continue"/>
            <w:shd w:val="clear" w:color="auto" w:fill="D8D8D8"/>
            <w:noWrap w:val="0"/>
            <w:vAlign w:val="center"/>
          </w:tcPr>
          <w:p w14:paraId="7D391132">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lang w:val="zh-CN"/>
              </w:rPr>
            </w:pPr>
          </w:p>
        </w:tc>
        <w:tc>
          <w:tcPr>
            <w:tcW w:w="3004" w:type="pct"/>
            <w:vMerge w:val="continue"/>
            <w:shd w:val="clear" w:color="auto" w:fill="D8D8D8"/>
            <w:noWrap w:val="0"/>
            <w:vAlign w:val="center"/>
          </w:tcPr>
          <w:p w14:paraId="62042E7C">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lang w:val="zh-CN"/>
              </w:rPr>
            </w:pPr>
          </w:p>
        </w:tc>
        <w:tc>
          <w:tcPr>
            <w:tcW w:w="457" w:type="pct"/>
            <w:shd w:val="clear" w:color="auto" w:fill="D8D8D8"/>
            <w:noWrap w:val="0"/>
            <w:vAlign w:val="center"/>
          </w:tcPr>
          <w:p w14:paraId="560A93AF">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w:t>
            </w:r>
          </w:p>
        </w:tc>
        <w:tc>
          <w:tcPr>
            <w:tcW w:w="582" w:type="pct"/>
            <w:shd w:val="clear" w:color="auto" w:fill="D8D8D8"/>
            <w:noWrap w:val="0"/>
            <w:vAlign w:val="center"/>
          </w:tcPr>
          <w:p w14:paraId="214B262A">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不符合</w:t>
            </w:r>
          </w:p>
        </w:tc>
      </w:tr>
      <w:tr w14:paraId="775A8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atLeast"/>
        </w:trPr>
        <w:tc>
          <w:tcPr>
            <w:tcW w:w="264" w:type="pct"/>
            <w:noWrap w:val="0"/>
            <w:vAlign w:val="center"/>
          </w:tcPr>
          <w:p w14:paraId="41A5EC43">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p>
        </w:tc>
        <w:tc>
          <w:tcPr>
            <w:tcW w:w="690" w:type="pct"/>
            <w:noWrap w:val="0"/>
            <w:vAlign w:val="center"/>
          </w:tcPr>
          <w:p w14:paraId="1EEE579A">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投标文件</w:t>
            </w:r>
            <w:r>
              <w:rPr>
                <w:rFonts w:hint="eastAsia" w:ascii="宋体" w:hAnsi="宋体" w:eastAsia="宋体" w:cs="宋体"/>
                <w:color w:val="auto"/>
                <w:sz w:val="24"/>
                <w:szCs w:val="24"/>
                <w:highlight w:val="none"/>
              </w:rPr>
              <w:t>签署</w:t>
            </w:r>
          </w:p>
        </w:tc>
        <w:tc>
          <w:tcPr>
            <w:tcW w:w="3004" w:type="pct"/>
            <w:noWrap w:val="0"/>
            <w:vAlign w:val="center"/>
          </w:tcPr>
          <w:p w14:paraId="400A49C8">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投标文件按招标文件要求签署、盖章的</w:t>
            </w:r>
          </w:p>
        </w:tc>
        <w:tc>
          <w:tcPr>
            <w:tcW w:w="457" w:type="pct"/>
            <w:noWrap w:val="0"/>
            <w:vAlign w:val="center"/>
          </w:tcPr>
          <w:p w14:paraId="1D3531B8">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7B993D5A">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19257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atLeast"/>
        </w:trPr>
        <w:tc>
          <w:tcPr>
            <w:tcW w:w="264" w:type="pct"/>
            <w:noWrap w:val="0"/>
            <w:vAlign w:val="center"/>
          </w:tcPr>
          <w:p w14:paraId="5FDDD863">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90" w:type="pct"/>
            <w:noWrap w:val="0"/>
            <w:vAlign w:val="center"/>
          </w:tcPr>
          <w:p w14:paraId="26DEEE79">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实质性要求</w:t>
            </w:r>
          </w:p>
        </w:tc>
        <w:tc>
          <w:tcPr>
            <w:tcW w:w="3004" w:type="pct"/>
            <w:noWrap w:val="0"/>
            <w:vAlign w:val="center"/>
          </w:tcPr>
          <w:p w14:paraId="3473E5F3">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文件满足</w:t>
            </w:r>
            <w:r>
              <w:rPr>
                <w:rFonts w:hint="eastAsia" w:ascii="宋体" w:hAnsi="宋体" w:eastAsia="宋体" w:cs="宋体"/>
                <w:color w:val="auto"/>
                <w:sz w:val="24"/>
                <w:szCs w:val="24"/>
                <w:highlight w:val="none"/>
              </w:rPr>
              <w:t>招标</w:t>
            </w:r>
            <w:r>
              <w:rPr>
                <w:rFonts w:hint="eastAsia" w:ascii="宋体" w:hAnsi="宋体" w:eastAsia="宋体" w:cs="宋体"/>
                <w:color w:val="auto"/>
                <w:sz w:val="24"/>
                <w:szCs w:val="24"/>
                <w:highlight w:val="none"/>
                <w:lang w:val="zh-CN"/>
              </w:rPr>
              <w:t>文件中标注“★”号的实质性条款（或指标）要求的</w:t>
            </w:r>
            <w:r>
              <w:rPr>
                <w:rFonts w:hint="eastAsia" w:ascii="宋体" w:hAnsi="宋体" w:eastAsia="宋体" w:cs="宋体"/>
                <w:color w:val="auto"/>
                <w:sz w:val="24"/>
                <w:szCs w:val="24"/>
                <w:highlight w:val="none"/>
              </w:rPr>
              <w:t>，具体详见</w:t>
            </w:r>
            <w:r>
              <w:rPr>
                <w:rFonts w:hint="eastAsia" w:ascii="宋体" w:hAnsi="宋体" w:eastAsia="宋体" w:cs="宋体"/>
                <w:color w:val="auto"/>
                <w:sz w:val="24"/>
                <w:szCs w:val="24"/>
                <w:highlight w:val="none"/>
                <w:lang w:val="zh-CN"/>
              </w:rPr>
              <w:t>“实质性响应一览表”</w:t>
            </w:r>
          </w:p>
        </w:tc>
        <w:tc>
          <w:tcPr>
            <w:tcW w:w="457" w:type="pct"/>
            <w:noWrap w:val="0"/>
            <w:vAlign w:val="center"/>
          </w:tcPr>
          <w:p w14:paraId="49F4A091">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587DC334">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4E781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atLeast"/>
        </w:trPr>
        <w:tc>
          <w:tcPr>
            <w:tcW w:w="264" w:type="pct"/>
            <w:noWrap w:val="0"/>
            <w:vAlign w:val="center"/>
          </w:tcPr>
          <w:p w14:paraId="3A4BC71F">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90" w:type="pct"/>
            <w:noWrap w:val="0"/>
            <w:vAlign w:val="center"/>
          </w:tcPr>
          <w:p w14:paraId="46650A7B">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投标报价</w:t>
            </w:r>
          </w:p>
        </w:tc>
        <w:tc>
          <w:tcPr>
            <w:tcW w:w="3004" w:type="pct"/>
            <w:noWrap w:val="0"/>
            <w:vAlign w:val="center"/>
          </w:tcPr>
          <w:p w14:paraId="0FB5DF90">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投标人报价</w:t>
            </w:r>
            <w:r>
              <w:rPr>
                <w:rFonts w:hint="eastAsia" w:cs="宋体"/>
                <w:color w:val="auto"/>
                <w:sz w:val="24"/>
                <w:szCs w:val="24"/>
                <w:highlight w:val="none"/>
                <w:lang w:eastAsia="zh-CN"/>
              </w:rPr>
              <w:t>（</w:t>
            </w:r>
            <w:r>
              <w:rPr>
                <w:rFonts w:hint="eastAsia" w:cs="宋体"/>
                <w:color w:val="auto"/>
                <w:sz w:val="24"/>
                <w:szCs w:val="24"/>
                <w:highlight w:val="none"/>
                <w:lang w:val="en-US" w:eastAsia="zh-CN"/>
              </w:rPr>
              <w:t>单价及总价</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未超过招标文件</w:t>
            </w:r>
            <w:r>
              <w:rPr>
                <w:rFonts w:hint="eastAsia" w:cs="宋体"/>
                <w:color w:val="auto"/>
                <w:sz w:val="24"/>
                <w:szCs w:val="24"/>
                <w:highlight w:val="none"/>
                <w:lang w:val="en-US" w:eastAsia="zh-CN"/>
              </w:rPr>
              <w:t>第三章采购需求中给</w:t>
            </w:r>
            <w:r>
              <w:rPr>
                <w:rFonts w:hint="eastAsia" w:ascii="宋体" w:hAnsi="宋体" w:eastAsia="宋体" w:cs="宋体"/>
                <w:color w:val="auto"/>
                <w:sz w:val="24"/>
                <w:szCs w:val="24"/>
                <w:highlight w:val="none"/>
              </w:rPr>
              <w:t>定的预算</w:t>
            </w:r>
            <w:r>
              <w:rPr>
                <w:rFonts w:hint="eastAsia" w:cs="宋体"/>
                <w:color w:val="auto"/>
                <w:sz w:val="24"/>
                <w:szCs w:val="24"/>
                <w:highlight w:val="none"/>
                <w:lang w:val="en-US" w:eastAsia="zh-CN"/>
              </w:rPr>
              <w:t>单价及总价</w:t>
            </w:r>
            <w:r>
              <w:rPr>
                <w:rFonts w:hint="eastAsia" w:ascii="宋体" w:hAnsi="宋体" w:eastAsia="宋体" w:cs="宋体"/>
                <w:color w:val="auto"/>
                <w:sz w:val="24"/>
                <w:szCs w:val="24"/>
                <w:highlight w:val="none"/>
              </w:rPr>
              <w:t>的</w:t>
            </w:r>
          </w:p>
        </w:tc>
        <w:tc>
          <w:tcPr>
            <w:tcW w:w="457" w:type="pct"/>
            <w:noWrap w:val="0"/>
            <w:vAlign w:val="center"/>
          </w:tcPr>
          <w:p w14:paraId="4EB18773">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5CC9FCA1">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31F5B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264" w:type="pct"/>
            <w:noWrap w:val="0"/>
            <w:vAlign w:val="center"/>
          </w:tcPr>
          <w:p w14:paraId="42932AE1">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4</w:t>
            </w:r>
          </w:p>
        </w:tc>
        <w:tc>
          <w:tcPr>
            <w:tcW w:w="690" w:type="pct"/>
            <w:noWrap w:val="0"/>
            <w:vAlign w:val="center"/>
          </w:tcPr>
          <w:p w14:paraId="2E3432E5">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采购清单</w:t>
            </w:r>
          </w:p>
        </w:tc>
        <w:tc>
          <w:tcPr>
            <w:tcW w:w="3004" w:type="pct"/>
            <w:noWrap w:val="0"/>
            <w:vAlign w:val="center"/>
          </w:tcPr>
          <w:p w14:paraId="75D51A89">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未改变招标文件提供的采购清单数量的</w:t>
            </w:r>
          </w:p>
        </w:tc>
        <w:tc>
          <w:tcPr>
            <w:tcW w:w="457" w:type="pct"/>
            <w:noWrap w:val="0"/>
            <w:vAlign w:val="center"/>
          </w:tcPr>
          <w:p w14:paraId="5F6AB7F7">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7FA7A64F">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2619C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264" w:type="pct"/>
            <w:noWrap w:val="0"/>
            <w:vAlign w:val="center"/>
          </w:tcPr>
          <w:p w14:paraId="1606E5BF">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690" w:type="pct"/>
            <w:noWrap w:val="0"/>
            <w:vAlign w:val="center"/>
          </w:tcPr>
          <w:p w14:paraId="2798825A">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虚假材料</w:t>
            </w:r>
          </w:p>
        </w:tc>
        <w:tc>
          <w:tcPr>
            <w:tcW w:w="3004" w:type="pct"/>
            <w:noWrap w:val="0"/>
            <w:vAlign w:val="center"/>
          </w:tcPr>
          <w:p w14:paraId="42987717">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文件</w:t>
            </w: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zh-CN"/>
              </w:rPr>
              <w:t>提供虚假材料的</w:t>
            </w:r>
          </w:p>
        </w:tc>
        <w:tc>
          <w:tcPr>
            <w:tcW w:w="457" w:type="pct"/>
            <w:noWrap w:val="0"/>
            <w:vAlign w:val="center"/>
          </w:tcPr>
          <w:p w14:paraId="4A35D8F0">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0D09665C">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50FC6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0" w:hRule="atLeast"/>
        </w:trPr>
        <w:tc>
          <w:tcPr>
            <w:tcW w:w="264" w:type="pct"/>
            <w:noWrap w:val="0"/>
            <w:vAlign w:val="center"/>
          </w:tcPr>
          <w:p w14:paraId="3B31459D">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6</w:t>
            </w:r>
          </w:p>
        </w:tc>
        <w:tc>
          <w:tcPr>
            <w:tcW w:w="690" w:type="pct"/>
            <w:noWrap w:val="0"/>
            <w:vAlign w:val="center"/>
          </w:tcPr>
          <w:p w14:paraId="2428AA44">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投标文件的澄清、说明、补正</w:t>
            </w:r>
          </w:p>
        </w:tc>
        <w:tc>
          <w:tcPr>
            <w:tcW w:w="3004" w:type="pct"/>
            <w:noWrap w:val="0"/>
            <w:vAlign w:val="center"/>
          </w:tcPr>
          <w:p w14:paraId="215CAF34">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评审期间,</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zh-CN"/>
              </w:rPr>
              <w:t>按评标委员会的要求提交经授权代表签字的澄清、说明、补正或</w:t>
            </w: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zh-CN"/>
              </w:rPr>
              <w:t>改变</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文件的实质性内容</w:t>
            </w:r>
          </w:p>
        </w:tc>
        <w:tc>
          <w:tcPr>
            <w:tcW w:w="457" w:type="pct"/>
            <w:noWrap w:val="0"/>
            <w:vAlign w:val="center"/>
          </w:tcPr>
          <w:p w14:paraId="4E6ABC1B">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01179ADC">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7E6DE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atLeast"/>
        </w:trPr>
        <w:tc>
          <w:tcPr>
            <w:tcW w:w="264" w:type="pct"/>
            <w:noWrap w:val="0"/>
            <w:vAlign w:val="center"/>
          </w:tcPr>
          <w:p w14:paraId="2F8E8504">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7</w:t>
            </w:r>
          </w:p>
        </w:tc>
        <w:tc>
          <w:tcPr>
            <w:tcW w:w="690" w:type="pct"/>
            <w:noWrap w:val="0"/>
            <w:vAlign w:val="center"/>
          </w:tcPr>
          <w:p w14:paraId="78F18DFD">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投标人影响评标</w:t>
            </w:r>
          </w:p>
        </w:tc>
        <w:tc>
          <w:tcPr>
            <w:tcW w:w="3004" w:type="pct"/>
            <w:noWrap w:val="0"/>
            <w:vAlign w:val="center"/>
          </w:tcPr>
          <w:p w14:paraId="7BFC98A8">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zh-CN"/>
              </w:rPr>
              <w:t>对采购人、采购代理机构、评标委员会及其工作人员</w:t>
            </w: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zh-CN"/>
              </w:rPr>
              <w:t>施加影响,</w:t>
            </w:r>
            <w:r>
              <w:rPr>
                <w:rFonts w:hint="eastAsia" w:ascii="宋体" w:hAnsi="宋体" w:eastAsia="宋体" w:cs="宋体"/>
                <w:color w:val="auto"/>
                <w:sz w:val="24"/>
                <w:szCs w:val="24"/>
                <w:highlight w:val="none"/>
              </w:rPr>
              <w:t>无</w:t>
            </w:r>
            <w:r>
              <w:rPr>
                <w:rFonts w:hint="eastAsia" w:ascii="宋体" w:hAnsi="宋体" w:eastAsia="宋体" w:cs="宋体"/>
                <w:color w:val="auto"/>
                <w:sz w:val="24"/>
                <w:szCs w:val="24"/>
                <w:highlight w:val="none"/>
                <w:lang w:val="zh-CN"/>
              </w:rPr>
              <w:t>有碍公平、公正</w:t>
            </w:r>
            <w:r>
              <w:rPr>
                <w:rFonts w:hint="eastAsia" w:ascii="宋体" w:hAnsi="宋体" w:eastAsia="宋体" w:cs="宋体"/>
                <w:color w:val="auto"/>
                <w:sz w:val="24"/>
                <w:szCs w:val="24"/>
                <w:highlight w:val="none"/>
              </w:rPr>
              <w:t>的</w:t>
            </w:r>
          </w:p>
        </w:tc>
        <w:tc>
          <w:tcPr>
            <w:tcW w:w="457" w:type="pct"/>
            <w:noWrap w:val="0"/>
            <w:vAlign w:val="center"/>
          </w:tcPr>
          <w:p w14:paraId="7120FE7B">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2ECEF73C">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7E8E9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atLeast"/>
        </w:trPr>
        <w:tc>
          <w:tcPr>
            <w:tcW w:w="264" w:type="pct"/>
            <w:noWrap w:val="0"/>
            <w:vAlign w:val="center"/>
          </w:tcPr>
          <w:p w14:paraId="6F442F36">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8</w:t>
            </w:r>
          </w:p>
        </w:tc>
        <w:tc>
          <w:tcPr>
            <w:tcW w:w="690" w:type="pct"/>
            <w:noWrap w:val="0"/>
            <w:vAlign w:val="center"/>
          </w:tcPr>
          <w:p w14:paraId="062EF0A6">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围标串标情形</w:t>
            </w:r>
          </w:p>
        </w:tc>
        <w:tc>
          <w:tcPr>
            <w:tcW w:w="3004" w:type="pct"/>
            <w:noWrap w:val="0"/>
            <w:vAlign w:val="center"/>
          </w:tcPr>
          <w:p w14:paraId="4E4CE13A">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没有</w:t>
            </w:r>
            <w:r>
              <w:rPr>
                <w:rFonts w:hint="eastAsia" w:ascii="宋体" w:hAnsi="宋体" w:eastAsia="宋体" w:cs="宋体"/>
                <w:color w:val="auto"/>
                <w:sz w:val="24"/>
                <w:szCs w:val="24"/>
                <w:highlight w:val="none"/>
                <w:lang w:val="zh-CN"/>
              </w:rPr>
              <w:t>“第五章 评标方法及标准”</w:t>
            </w:r>
            <w:r>
              <w:rPr>
                <w:rFonts w:hint="eastAsia" w:ascii="宋体" w:hAnsi="宋体" w:eastAsia="宋体" w:cs="宋体"/>
                <w:color w:val="auto"/>
                <w:sz w:val="24"/>
                <w:szCs w:val="24"/>
                <w:highlight w:val="none"/>
              </w:rPr>
              <w:t>第21条情形之一的</w:t>
            </w:r>
          </w:p>
        </w:tc>
        <w:tc>
          <w:tcPr>
            <w:tcW w:w="457" w:type="pct"/>
            <w:noWrap w:val="0"/>
            <w:vAlign w:val="center"/>
          </w:tcPr>
          <w:p w14:paraId="3C0D910C">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14E57C24">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2C6B8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264" w:type="pct"/>
            <w:noWrap w:val="0"/>
            <w:vAlign w:val="center"/>
          </w:tcPr>
          <w:p w14:paraId="20AABE73">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9</w:t>
            </w:r>
          </w:p>
        </w:tc>
        <w:tc>
          <w:tcPr>
            <w:tcW w:w="690" w:type="pct"/>
            <w:noWrap w:val="0"/>
            <w:vAlign w:val="center"/>
          </w:tcPr>
          <w:p w14:paraId="083986D9">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附加条件</w:t>
            </w:r>
          </w:p>
        </w:tc>
        <w:tc>
          <w:tcPr>
            <w:tcW w:w="3004" w:type="pct"/>
            <w:noWrap w:val="0"/>
            <w:vAlign w:val="center"/>
          </w:tcPr>
          <w:p w14:paraId="303F04DB">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投标文件没有采购人不能接受的附加条件的</w:t>
            </w:r>
          </w:p>
        </w:tc>
        <w:tc>
          <w:tcPr>
            <w:tcW w:w="457" w:type="pct"/>
            <w:noWrap w:val="0"/>
            <w:vAlign w:val="center"/>
          </w:tcPr>
          <w:p w14:paraId="052AA19B">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313EDF91">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0EB34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trPr>
        <w:tc>
          <w:tcPr>
            <w:tcW w:w="264" w:type="pct"/>
            <w:noWrap w:val="0"/>
            <w:vAlign w:val="center"/>
          </w:tcPr>
          <w:p w14:paraId="1DBBE33B">
            <w:pPr>
              <w:pStyle w:val="37"/>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10</w:t>
            </w:r>
          </w:p>
        </w:tc>
        <w:tc>
          <w:tcPr>
            <w:tcW w:w="690" w:type="pct"/>
            <w:noWrap w:val="0"/>
            <w:vAlign w:val="center"/>
          </w:tcPr>
          <w:p w14:paraId="7B910ADE">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其他无效情形</w:t>
            </w:r>
          </w:p>
        </w:tc>
        <w:tc>
          <w:tcPr>
            <w:tcW w:w="3004" w:type="pct"/>
            <w:noWrap w:val="0"/>
            <w:vAlign w:val="center"/>
          </w:tcPr>
          <w:p w14:paraId="0AF18854">
            <w:pPr>
              <w:pStyle w:val="3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没有</w:t>
            </w:r>
            <w:r>
              <w:rPr>
                <w:rFonts w:hint="eastAsia" w:ascii="宋体" w:hAnsi="宋体" w:eastAsia="宋体" w:cs="宋体"/>
                <w:color w:val="auto"/>
                <w:sz w:val="24"/>
                <w:szCs w:val="24"/>
                <w:highlight w:val="none"/>
                <w:lang w:val="zh-CN"/>
              </w:rPr>
              <w:t>法律、法规、规章规定属于</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无效的其他情形。</w:t>
            </w:r>
          </w:p>
        </w:tc>
        <w:tc>
          <w:tcPr>
            <w:tcW w:w="457" w:type="pct"/>
            <w:noWrap w:val="0"/>
            <w:vAlign w:val="center"/>
          </w:tcPr>
          <w:p w14:paraId="27F928F8">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noWrap w:val="0"/>
            <w:vAlign w:val="center"/>
          </w:tcPr>
          <w:p w14:paraId="4D68A068">
            <w:pPr>
              <w:pStyle w:val="3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bl>
    <w:p w14:paraId="1946B6A0">
      <w:pPr>
        <w:shd w:val="clear" w:color="auto" w:fill="FFFFFF"/>
        <w:tabs>
          <w:tab w:val="left" w:pos="3045"/>
        </w:tabs>
        <w:autoSpaceDE w:val="0"/>
        <w:autoSpaceDN w:val="0"/>
        <w:adjustRightInd w:val="0"/>
        <w:snapToGrid w:val="0"/>
        <w:spacing w:line="360" w:lineRule="exact"/>
        <w:rPr>
          <w:rFonts w:hint="eastAsia" w:ascii="宋体" w:hAnsi="宋体" w:eastAsia="宋体" w:cs="宋体"/>
          <w:b/>
          <w:color w:val="auto"/>
          <w:highlight w:val="none"/>
        </w:rPr>
      </w:pPr>
    </w:p>
    <w:p w14:paraId="5888F338">
      <w:pPr>
        <w:shd w:val="clear" w:color="auto" w:fill="FFFFFF"/>
        <w:tabs>
          <w:tab w:val="left" w:pos="3045"/>
        </w:tabs>
        <w:autoSpaceDE w:val="0"/>
        <w:autoSpaceDN w:val="0"/>
        <w:adjustRightInd w:val="0"/>
        <w:snapToGrid w:val="0"/>
        <w:spacing w:line="360" w:lineRule="exact"/>
        <w:rPr>
          <w:rFonts w:hint="eastAsia" w:ascii="宋体" w:hAnsi="宋体" w:eastAsia="宋体" w:cs="宋体"/>
          <w:b/>
          <w:color w:val="auto"/>
          <w:highlight w:val="none"/>
        </w:rPr>
      </w:pPr>
    </w:p>
    <w:p w14:paraId="17F373FD">
      <w:pPr>
        <w:shd w:val="clear" w:color="auto" w:fill="FFFFFF"/>
        <w:tabs>
          <w:tab w:val="left" w:pos="3045"/>
        </w:tabs>
        <w:autoSpaceDE w:val="0"/>
        <w:autoSpaceDN w:val="0"/>
        <w:adjustRightInd w:val="0"/>
        <w:snapToGrid w:val="0"/>
        <w:spacing w:line="360" w:lineRule="exact"/>
        <w:rPr>
          <w:rFonts w:hint="eastAsia" w:ascii="宋体" w:hAnsi="宋体" w:eastAsia="宋体" w:cs="宋体"/>
          <w:b/>
          <w:color w:val="auto"/>
          <w:highlight w:val="none"/>
        </w:rPr>
      </w:pPr>
    </w:p>
    <w:p w14:paraId="066D3D76">
      <w:pPr>
        <w:rPr>
          <w:rFonts w:hint="eastAsia" w:ascii="宋体" w:hAnsi="宋体" w:eastAsia="宋体" w:cs="宋体"/>
          <w:b/>
          <w:color w:val="auto"/>
          <w:sz w:val="28"/>
          <w:szCs w:val="24"/>
          <w:highlight w:val="none"/>
        </w:rPr>
      </w:pPr>
      <w:r>
        <w:rPr>
          <w:rFonts w:hint="eastAsia" w:ascii="宋体" w:hAnsi="宋体" w:eastAsia="宋体" w:cs="宋体"/>
          <w:b/>
          <w:color w:val="auto"/>
          <w:sz w:val="28"/>
          <w:szCs w:val="24"/>
          <w:highlight w:val="none"/>
        </w:rPr>
        <w:br w:type="page"/>
      </w:r>
    </w:p>
    <w:p w14:paraId="5741B824">
      <w:p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sz w:val="28"/>
          <w:szCs w:val="24"/>
          <w:highlight w:val="none"/>
        </w:rPr>
      </w:pPr>
      <w:r>
        <w:rPr>
          <w:rFonts w:hint="eastAsia" w:ascii="宋体" w:hAnsi="宋体" w:eastAsia="宋体" w:cs="宋体"/>
          <w:b/>
          <w:color w:val="auto"/>
          <w:sz w:val="28"/>
          <w:szCs w:val="24"/>
          <w:highlight w:val="none"/>
        </w:rPr>
        <w:t>符合性审查表-附表</w:t>
      </w:r>
    </w:p>
    <w:p w14:paraId="3C048175">
      <w:pPr>
        <w:jc w:val="center"/>
        <w:rPr>
          <w:rFonts w:hint="eastAsia" w:ascii="宋体" w:hAnsi="宋体" w:eastAsia="宋体" w:cs="宋体"/>
          <w:b/>
          <w:bCs/>
          <w:color w:val="auto"/>
          <w:sz w:val="28"/>
          <w:szCs w:val="24"/>
          <w:highlight w:val="none"/>
          <w:lang w:val="zh-CN"/>
        </w:rPr>
      </w:pPr>
      <w:bookmarkStart w:id="527" w:name="_Toc1840"/>
      <w:bookmarkStart w:id="528" w:name="_Toc27345"/>
      <w:r>
        <w:rPr>
          <w:rFonts w:hint="eastAsia" w:ascii="宋体" w:hAnsi="宋体" w:eastAsia="宋体" w:cs="宋体"/>
          <w:b/>
          <w:bCs/>
          <w:color w:val="auto"/>
          <w:sz w:val="28"/>
          <w:szCs w:val="24"/>
          <w:highlight w:val="none"/>
          <w:lang w:val="zh-CN"/>
        </w:rPr>
        <w:t>实质性响应一览表</w:t>
      </w:r>
      <w:bookmarkEnd w:id="527"/>
      <w:bookmarkEnd w:id="528"/>
    </w:p>
    <w:p w14:paraId="1AF1F414">
      <w:pPr>
        <w:shd w:val="clear" w:color="auto" w:fill="FFFFFF"/>
        <w:tabs>
          <w:tab w:val="left" w:pos="3045"/>
        </w:tabs>
        <w:autoSpaceDE w:val="0"/>
        <w:autoSpaceDN w:val="0"/>
        <w:adjustRightInd w:val="0"/>
        <w:snapToGrid w:val="0"/>
        <w:spacing w:line="36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（投标人须对本附表所有内容逐条响应且无负偏离，否则其</w:t>
      </w:r>
      <w:r>
        <w:rPr>
          <w:rFonts w:hint="eastAsia" w:ascii="宋体" w:hAnsi="宋体" w:eastAsia="宋体" w:cs="宋体"/>
          <w:b/>
          <w:color w:val="auto"/>
          <w:highlight w:val="none"/>
        </w:rPr>
        <w:t>投标无效</w:t>
      </w:r>
      <w:r>
        <w:rPr>
          <w:rFonts w:hint="eastAsia" w:ascii="宋体" w:hAnsi="宋体" w:eastAsia="宋体" w:cs="宋体"/>
          <w:bCs/>
          <w:color w:val="auto"/>
          <w:highlight w:val="none"/>
        </w:rPr>
        <w:t>）</w:t>
      </w:r>
    </w:p>
    <w:p w14:paraId="798C1C18">
      <w:pPr>
        <w:pStyle w:val="16"/>
        <w:rPr>
          <w:rFonts w:hint="eastAsia" w:ascii="宋体" w:hAnsi="宋体" w:eastAsia="宋体" w:cs="宋体"/>
          <w:color w:val="auto"/>
          <w:highlight w:val="none"/>
        </w:rPr>
      </w:pPr>
    </w:p>
    <w:tbl>
      <w:tblPr>
        <w:tblStyle w:val="22"/>
        <w:tblW w:w="5431"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
        <w:gridCol w:w="1991"/>
        <w:gridCol w:w="4259"/>
        <w:gridCol w:w="1942"/>
        <w:gridCol w:w="659"/>
      </w:tblGrid>
      <w:tr w14:paraId="2405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vMerge w:val="restart"/>
            <w:noWrap w:val="0"/>
            <w:vAlign w:val="center"/>
          </w:tcPr>
          <w:p w14:paraId="158BC52D">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375" w:type="pct"/>
            <w:gridSpan w:val="2"/>
            <w:noWrap w:val="0"/>
            <w:vAlign w:val="center"/>
          </w:tcPr>
          <w:p w14:paraId="7D542B29">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招标文件要求的实质性响应内容</w:t>
            </w:r>
          </w:p>
        </w:tc>
        <w:tc>
          <w:tcPr>
            <w:tcW w:w="1048" w:type="pct"/>
            <w:vMerge w:val="restart"/>
            <w:noWrap w:val="0"/>
            <w:vAlign w:val="center"/>
          </w:tcPr>
          <w:p w14:paraId="61F86F1B">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投标文件响应的具体内容</w:t>
            </w:r>
          </w:p>
        </w:tc>
        <w:tc>
          <w:tcPr>
            <w:tcW w:w="355" w:type="pct"/>
            <w:vMerge w:val="restart"/>
            <w:noWrap w:val="0"/>
            <w:vAlign w:val="center"/>
          </w:tcPr>
          <w:p w14:paraId="37616A72">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1FF58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vMerge w:val="continue"/>
            <w:noWrap w:val="0"/>
            <w:vAlign w:val="center"/>
          </w:tcPr>
          <w:p w14:paraId="7CF4807B">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p>
        </w:tc>
        <w:tc>
          <w:tcPr>
            <w:tcW w:w="1075" w:type="pct"/>
            <w:noWrap w:val="0"/>
            <w:vAlign w:val="center"/>
          </w:tcPr>
          <w:p w14:paraId="39A27BEE">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实质性要求</w:t>
            </w:r>
          </w:p>
        </w:tc>
        <w:tc>
          <w:tcPr>
            <w:tcW w:w="2300" w:type="pct"/>
            <w:noWrap w:val="0"/>
            <w:vAlign w:val="center"/>
          </w:tcPr>
          <w:p w14:paraId="1EE83902">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招标文件中的规定</w:t>
            </w:r>
          </w:p>
        </w:tc>
        <w:tc>
          <w:tcPr>
            <w:tcW w:w="1048" w:type="pct"/>
            <w:vMerge w:val="continue"/>
            <w:noWrap w:val="0"/>
            <w:vAlign w:val="center"/>
          </w:tcPr>
          <w:p w14:paraId="79DD6A45">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p>
        </w:tc>
        <w:tc>
          <w:tcPr>
            <w:tcW w:w="355" w:type="pct"/>
            <w:vMerge w:val="continue"/>
            <w:noWrap w:val="0"/>
            <w:vAlign w:val="center"/>
          </w:tcPr>
          <w:p w14:paraId="42753FA2">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p>
        </w:tc>
      </w:tr>
      <w:tr w14:paraId="65498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noWrap w:val="0"/>
            <w:vAlign w:val="center"/>
          </w:tcPr>
          <w:p w14:paraId="182D0F9A">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75" w:type="pct"/>
            <w:noWrap w:val="0"/>
            <w:vAlign w:val="center"/>
          </w:tcPr>
          <w:p w14:paraId="0AE450E6">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2300" w:type="pct"/>
            <w:noWrap w:val="0"/>
            <w:vAlign w:val="center"/>
          </w:tcPr>
          <w:p w14:paraId="600F5FB1">
            <w:pPr>
              <w:keepNext w:val="0"/>
              <w:keepLines w:val="0"/>
              <w:pageBreakBefore w:val="0"/>
              <w:widowControl w:val="0"/>
              <w:shd w:val="clear" w:color="auto" w:fill="FFFFFF"/>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招标文件“第二章投标须知”关于投标有效期的规定</w:t>
            </w:r>
          </w:p>
        </w:tc>
        <w:tc>
          <w:tcPr>
            <w:tcW w:w="1048" w:type="pct"/>
            <w:noWrap w:val="0"/>
            <w:vAlign w:val="center"/>
          </w:tcPr>
          <w:p w14:paraId="3B5745EB">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【投标人在此处填写投标文件的相关内容】</w:t>
            </w:r>
          </w:p>
        </w:tc>
        <w:tc>
          <w:tcPr>
            <w:tcW w:w="355" w:type="pct"/>
            <w:noWrap w:val="0"/>
            <w:vAlign w:val="center"/>
          </w:tcPr>
          <w:p w14:paraId="1FDC4677">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r w14:paraId="20996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noWrap w:val="0"/>
            <w:vAlign w:val="center"/>
          </w:tcPr>
          <w:p w14:paraId="061B0C65">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p>
        </w:tc>
        <w:tc>
          <w:tcPr>
            <w:tcW w:w="1075" w:type="pct"/>
            <w:noWrap w:val="0"/>
            <w:vAlign w:val="center"/>
          </w:tcPr>
          <w:p w14:paraId="4AEE9437">
            <w:pPr>
              <w:keepNext w:val="0"/>
              <w:keepLines w:val="0"/>
              <w:pageBreakBefore w:val="0"/>
              <w:widowControl w:val="0"/>
              <w:kinsoku/>
              <w:wordWrap/>
              <w:overflowPunct/>
              <w:topLinePunct w:val="0"/>
              <w:bidi w:val="0"/>
              <w:adjustRightInd/>
              <w:snapToGrid/>
              <w:spacing w:line="44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交付时间</w:t>
            </w:r>
          </w:p>
        </w:tc>
        <w:tc>
          <w:tcPr>
            <w:tcW w:w="2300" w:type="pct"/>
            <w:noWrap w:val="0"/>
            <w:vAlign w:val="center"/>
          </w:tcPr>
          <w:p w14:paraId="0229546A">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具体规定见“第三章 采购需求”</w:t>
            </w:r>
          </w:p>
        </w:tc>
        <w:tc>
          <w:tcPr>
            <w:tcW w:w="1048" w:type="pct"/>
            <w:noWrap w:val="0"/>
            <w:vAlign w:val="center"/>
          </w:tcPr>
          <w:p w14:paraId="4598C10E">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c>
          <w:tcPr>
            <w:tcW w:w="355" w:type="pct"/>
            <w:noWrap w:val="0"/>
            <w:vAlign w:val="center"/>
          </w:tcPr>
          <w:p w14:paraId="3117F927">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r w14:paraId="7B5CA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noWrap w:val="0"/>
            <w:vAlign w:val="center"/>
          </w:tcPr>
          <w:p w14:paraId="690CE603">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p>
        </w:tc>
        <w:tc>
          <w:tcPr>
            <w:tcW w:w="1075" w:type="pct"/>
            <w:noWrap w:val="0"/>
            <w:vAlign w:val="center"/>
          </w:tcPr>
          <w:p w14:paraId="737E6E31">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交货地点</w:t>
            </w:r>
          </w:p>
        </w:tc>
        <w:tc>
          <w:tcPr>
            <w:tcW w:w="2300" w:type="pct"/>
            <w:noWrap w:val="0"/>
            <w:vAlign w:val="center"/>
          </w:tcPr>
          <w:p w14:paraId="5DF00677">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具体规定见“第三章 采购需求”</w:t>
            </w:r>
          </w:p>
        </w:tc>
        <w:tc>
          <w:tcPr>
            <w:tcW w:w="1048" w:type="pct"/>
            <w:noWrap w:val="0"/>
            <w:vAlign w:val="center"/>
          </w:tcPr>
          <w:p w14:paraId="54D7724C">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c>
          <w:tcPr>
            <w:tcW w:w="355" w:type="pct"/>
            <w:noWrap w:val="0"/>
            <w:vAlign w:val="center"/>
          </w:tcPr>
          <w:p w14:paraId="2F7F47F9">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r w14:paraId="254A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noWrap w:val="0"/>
            <w:vAlign w:val="center"/>
          </w:tcPr>
          <w:p w14:paraId="45E9F7B9">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p>
        </w:tc>
        <w:tc>
          <w:tcPr>
            <w:tcW w:w="1075" w:type="pct"/>
            <w:noWrap w:val="0"/>
            <w:vAlign w:val="center"/>
          </w:tcPr>
          <w:p w14:paraId="463B61F7">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付款方式</w:t>
            </w:r>
          </w:p>
        </w:tc>
        <w:tc>
          <w:tcPr>
            <w:tcW w:w="2300" w:type="pct"/>
            <w:noWrap w:val="0"/>
            <w:vAlign w:val="center"/>
          </w:tcPr>
          <w:p w14:paraId="39C9C407">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具体规定见“第三章 采购需求”</w:t>
            </w:r>
          </w:p>
        </w:tc>
        <w:tc>
          <w:tcPr>
            <w:tcW w:w="1048" w:type="pct"/>
            <w:noWrap w:val="0"/>
            <w:vAlign w:val="center"/>
          </w:tcPr>
          <w:p w14:paraId="387C5A7F">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c>
          <w:tcPr>
            <w:tcW w:w="355" w:type="pct"/>
            <w:noWrap w:val="0"/>
            <w:vAlign w:val="center"/>
          </w:tcPr>
          <w:p w14:paraId="5B2AED5B">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r w14:paraId="4BE0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noWrap w:val="0"/>
            <w:vAlign w:val="center"/>
          </w:tcPr>
          <w:p w14:paraId="2E316C7A">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w:t>
            </w:r>
          </w:p>
        </w:tc>
        <w:tc>
          <w:tcPr>
            <w:tcW w:w="1075" w:type="pct"/>
            <w:noWrap w:val="0"/>
            <w:vAlign w:val="center"/>
          </w:tcPr>
          <w:p w14:paraId="7175CB5A">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质保期</w:t>
            </w:r>
          </w:p>
        </w:tc>
        <w:tc>
          <w:tcPr>
            <w:tcW w:w="2300" w:type="pct"/>
            <w:noWrap w:val="0"/>
            <w:vAlign w:val="center"/>
          </w:tcPr>
          <w:p w14:paraId="4245AE12">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具体规定见“第三章 采购需求”</w:t>
            </w:r>
          </w:p>
        </w:tc>
        <w:tc>
          <w:tcPr>
            <w:tcW w:w="1048" w:type="pct"/>
            <w:noWrap w:val="0"/>
            <w:vAlign w:val="center"/>
          </w:tcPr>
          <w:p w14:paraId="4824B4C9">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c>
          <w:tcPr>
            <w:tcW w:w="355" w:type="pct"/>
            <w:noWrap w:val="0"/>
            <w:vAlign w:val="center"/>
          </w:tcPr>
          <w:p w14:paraId="6E52F1E3">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r w14:paraId="4AB4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noWrap w:val="0"/>
            <w:vAlign w:val="center"/>
          </w:tcPr>
          <w:p w14:paraId="63EEF536">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075" w:type="pct"/>
            <w:noWrap w:val="0"/>
            <w:vAlign w:val="center"/>
          </w:tcPr>
          <w:p w14:paraId="29542F20">
            <w:pPr>
              <w:pStyle w:val="6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宋体" w:hAnsi="宋体" w:eastAsia="宋体" w:cs="宋体"/>
                <w:b w:val="0"/>
                <w:bCs/>
                <w:color w:val="auto"/>
                <w:spacing w:val="0"/>
                <w:position w:val="0"/>
                <w:sz w:val="24"/>
                <w:szCs w:val="24"/>
                <w:highlight w:val="none"/>
                <w:lang w:val="en-US" w:eastAsia="zh-CN" w:bidi="ar-SA"/>
              </w:rPr>
            </w:pPr>
            <w:r>
              <w:rPr>
                <w:rStyle w:val="30"/>
                <w:rFonts w:hint="eastAsia" w:ascii="宋体" w:hAnsi="宋体" w:eastAsia="宋体" w:cs="宋体"/>
                <w:b w:val="0"/>
                <w:bCs/>
                <w:i w:val="0"/>
                <w:caps w:val="0"/>
                <w:color w:val="auto"/>
                <w:spacing w:val="0"/>
                <w:w w:val="100"/>
                <w:position w:val="0"/>
                <w:sz w:val="24"/>
                <w:szCs w:val="24"/>
                <w:highlight w:val="none"/>
                <w:lang w:eastAsia="zh-CN" w:bidi="ar-SA"/>
              </w:rPr>
              <w:t>产品注册（备案）情况</w:t>
            </w:r>
          </w:p>
        </w:tc>
        <w:tc>
          <w:tcPr>
            <w:tcW w:w="2300" w:type="pct"/>
            <w:noWrap w:val="0"/>
            <w:vAlign w:val="center"/>
          </w:tcPr>
          <w:p w14:paraId="4668B31E">
            <w:pPr>
              <w:pStyle w:val="6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baseline"/>
              <w:rPr>
                <w:rFonts w:hint="eastAsia" w:ascii="宋体" w:hAnsi="宋体" w:eastAsia="宋体" w:cs="宋体"/>
                <w:b w:val="0"/>
                <w:bCs/>
                <w:color w:val="auto"/>
                <w:spacing w:val="0"/>
                <w:position w:val="0"/>
                <w:sz w:val="24"/>
                <w:szCs w:val="24"/>
                <w:highlight w:val="none"/>
                <w:lang w:val="en-US" w:eastAsia="zh-CN" w:bidi="ar-SA"/>
              </w:rPr>
            </w:pPr>
            <w:r>
              <w:rPr>
                <w:rStyle w:val="30"/>
                <w:rFonts w:hint="eastAsia" w:ascii="宋体" w:hAnsi="宋体" w:eastAsia="宋体" w:cs="宋体"/>
                <w:b w:val="0"/>
                <w:bCs/>
                <w:i w:val="0"/>
                <w:caps w:val="0"/>
                <w:color w:val="auto"/>
                <w:spacing w:val="0"/>
                <w:w w:val="100"/>
                <w:position w:val="0"/>
                <w:sz w:val="24"/>
                <w:szCs w:val="24"/>
                <w:highlight w:val="none"/>
                <w:lang w:bidi="ar-SA"/>
              </w:rPr>
              <w:t>产品的医疗器械注册证或备案证明、提供所投产品（配件）注册证或整机注册证或备案证明；（根据所投内容提供）</w:t>
            </w:r>
          </w:p>
        </w:tc>
        <w:tc>
          <w:tcPr>
            <w:tcW w:w="1048" w:type="pct"/>
            <w:noWrap w:val="0"/>
            <w:vAlign w:val="center"/>
          </w:tcPr>
          <w:p w14:paraId="3212A9DE">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c>
          <w:tcPr>
            <w:tcW w:w="355" w:type="pct"/>
            <w:noWrap w:val="0"/>
            <w:vAlign w:val="center"/>
          </w:tcPr>
          <w:p w14:paraId="0A48E70E">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bl>
    <w:p w14:paraId="08424248">
      <w:pPr>
        <w:rPr>
          <w:rFonts w:hint="eastAsia" w:ascii="宋体" w:hAnsi="宋体" w:eastAsia="宋体" w:cs="宋体"/>
          <w:color w:val="auto"/>
          <w:highlight w:val="none"/>
          <w:lang w:val="zh-CN"/>
        </w:rPr>
      </w:pPr>
    </w:p>
    <w:p w14:paraId="63301398">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br w:type="page"/>
      </w:r>
    </w:p>
    <w:p w14:paraId="538A0B69">
      <w:pPr>
        <w:pStyle w:val="4"/>
        <w:keepNext w:val="0"/>
        <w:keepLines w:val="0"/>
        <w:spacing w:before="160" w:after="160" w:line="360" w:lineRule="auto"/>
        <w:ind w:left="420" w:hanging="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w:t>
      </w:r>
      <w:bookmarkEnd w:id="523"/>
      <w:bookmarkEnd w:id="524"/>
      <w:bookmarkEnd w:id="525"/>
      <w:bookmarkEnd w:id="526"/>
      <w:r>
        <w:rPr>
          <w:rFonts w:hint="eastAsia" w:ascii="宋体" w:hAnsi="宋体" w:eastAsia="宋体" w:cs="宋体"/>
          <w:color w:val="auto"/>
          <w:sz w:val="24"/>
          <w:szCs w:val="24"/>
          <w:highlight w:val="none"/>
          <w:lang w:val="zh-CN"/>
        </w:rPr>
        <w:t>商务技术评审</w:t>
      </w:r>
    </w:p>
    <w:tbl>
      <w:tblPr>
        <w:tblStyle w:val="22"/>
        <w:tblW w:w="56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786"/>
        <w:gridCol w:w="576"/>
        <w:gridCol w:w="7528"/>
      </w:tblGrid>
      <w:tr w14:paraId="3BB8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87" w:type="pct"/>
            <w:shd w:val="clear" w:color="auto" w:fill="D8D8D8"/>
            <w:noWrap w:val="0"/>
            <w:vAlign w:val="center"/>
          </w:tcPr>
          <w:p w14:paraId="3D200283">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bCs/>
                <w:color w:val="000000"/>
                <w:szCs w:val="24"/>
                <w:highlight w:val="none"/>
              </w:rPr>
            </w:pPr>
            <w:r>
              <w:rPr>
                <w:rFonts w:hint="eastAsia" w:ascii="宋体" w:hAnsi="宋体" w:eastAsia="宋体" w:cs="宋体"/>
                <w:b/>
                <w:bCs/>
                <w:color w:val="000000"/>
                <w:szCs w:val="24"/>
                <w:highlight w:val="none"/>
              </w:rPr>
              <w:t>评标项目</w:t>
            </w:r>
          </w:p>
        </w:tc>
        <w:tc>
          <w:tcPr>
            <w:tcW w:w="408" w:type="pct"/>
            <w:shd w:val="clear" w:color="auto" w:fill="D8D8D8"/>
            <w:noWrap w:val="0"/>
            <w:vAlign w:val="center"/>
          </w:tcPr>
          <w:p w14:paraId="43325F5F">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bCs/>
                <w:color w:val="000000"/>
                <w:szCs w:val="24"/>
                <w:highlight w:val="none"/>
              </w:rPr>
            </w:pPr>
            <w:r>
              <w:rPr>
                <w:rFonts w:hint="eastAsia" w:ascii="宋体" w:hAnsi="宋体" w:eastAsia="宋体" w:cs="宋体"/>
                <w:b/>
                <w:bCs/>
                <w:color w:val="000000"/>
                <w:szCs w:val="24"/>
                <w:highlight w:val="none"/>
              </w:rPr>
              <w:t>评标分项</w:t>
            </w:r>
          </w:p>
        </w:tc>
        <w:tc>
          <w:tcPr>
            <w:tcW w:w="298" w:type="pct"/>
            <w:shd w:val="clear" w:color="auto" w:fill="D8D8D8"/>
            <w:noWrap w:val="0"/>
            <w:vAlign w:val="center"/>
          </w:tcPr>
          <w:p w14:paraId="0B96FC54">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bCs/>
                <w:color w:val="000000"/>
                <w:szCs w:val="24"/>
                <w:highlight w:val="none"/>
              </w:rPr>
            </w:pPr>
            <w:r>
              <w:rPr>
                <w:rFonts w:hint="eastAsia" w:ascii="宋体" w:hAnsi="宋体" w:eastAsia="宋体" w:cs="宋体"/>
                <w:b/>
                <w:bCs/>
                <w:color w:val="000000"/>
                <w:szCs w:val="24"/>
                <w:highlight w:val="none"/>
              </w:rPr>
              <w:t>分值</w:t>
            </w:r>
          </w:p>
        </w:tc>
        <w:tc>
          <w:tcPr>
            <w:tcW w:w="3905" w:type="pct"/>
            <w:shd w:val="clear" w:color="auto" w:fill="D8D8D8"/>
            <w:noWrap w:val="0"/>
            <w:vAlign w:val="center"/>
          </w:tcPr>
          <w:p w14:paraId="5EBC03B4">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bCs/>
                <w:color w:val="000000"/>
                <w:szCs w:val="24"/>
                <w:highlight w:val="none"/>
              </w:rPr>
            </w:pPr>
            <w:r>
              <w:rPr>
                <w:rFonts w:hint="eastAsia" w:ascii="宋体" w:hAnsi="宋体" w:eastAsia="宋体" w:cs="宋体"/>
                <w:b/>
                <w:bCs/>
                <w:color w:val="000000"/>
                <w:szCs w:val="24"/>
                <w:highlight w:val="none"/>
              </w:rPr>
              <w:t>子项目及分值</w:t>
            </w:r>
          </w:p>
        </w:tc>
      </w:tr>
      <w:tr w14:paraId="74C5B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7" w:type="pct"/>
            <w:noWrap w:val="0"/>
            <w:vAlign w:val="center"/>
          </w:tcPr>
          <w:p w14:paraId="07ADD882">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价格部分（30分）</w:t>
            </w:r>
          </w:p>
        </w:tc>
        <w:tc>
          <w:tcPr>
            <w:tcW w:w="408" w:type="pct"/>
            <w:tcBorders>
              <w:bottom w:val="single" w:color="auto" w:sz="4" w:space="0"/>
            </w:tcBorders>
            <w:noWrap w:val="0"/>
            <w:vAlign w:val="center"/>
          </w:tcPr>
          <w:p w14:paraId="0DF29043">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投标报价</w:t>
            </w:r>
          </w:p>
        </w:tc>
        <w:tc>
          <w:tcPr>
            <w:tcW w:w="298" w:type="pct"/>
            <w:noWrap w:val="0"/>
            <w:vAlign w:val="center"/>
          </w:tcPr>
          <w:p w14:paraId="6B331489">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30</w:t>
            </w:r>
          </w:p>
        </w:tc>
        <w:tc>
          <w:tcPr>
            <w:tcW w:w="3905" w:type="pct"/>
            <w:noWrap w:val="0"/>
            <w:vAlign w:val="center"/>
          </w:tcPr>
          <w:p w14:paraId="502D2EF2">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b/>
                <w:bCs/>
                <w:color w:val="000000"/>
                <w:szCs w:val="24"/>
                <w:highlight w:val="none"/>
              </w:rPr>
            </w:pPr>
            <w:r>
              <w:rPr>
                <w:rFonts w:hint="eastAsia" w:ascii="宋体" w:hAnsi="宋体" w:eastAsia="宋体" w:cs="宋体"/>
                <w:color w:val="000000"/>
                <w:szCs w:val="24"/>
                <w:highlight w:val="none"/>
              </w:rPr>
              <w:t>满足招标文件要求且投标价格最低的投标报价为评标基准价，其价格分为满分。其他投标人的价格分统一按照下列公式计算：投标报价得分=（评标基准价／投标报价)×价格分值</w:t>
            </w:r>
          </w:p>
          <w:p w14:paraId="195C1909">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000000"/>
                <w:szCs w:val="24"/>
                <w:highlight w:val="none"/>
              </w:rPr>
            </w:pPr>
            <w:r>
              <w:rPr>
                <w:rFonts w:hint="eastAsia" w:ascii="宋体" w:hAnsi="宋体" w:eastAsia="宋体" w:cs="宋体"/>
                <w:b/>
                <w:bCs/>
                <w:color w:val="000000"/>
                <w:szCs w:val="24"/>
                <w:highlight w:val="none"/>
              </w:rPr>
              <w:t>备注</w:t>
            </w:r>
            <w:r>
              <w:rPr>
                <w:rFonts w:hint="eastAsia" w:ascii="宋体" w:hAnsi="宋体" w:eastAsia="宋体" w:cs="宋体"/>
                <w:color w:val="000000"/>
                <w:szCs w:val="24"/>
                <w:highlight w:val="none"/>
              </w:rPr>
              <w:t>：符合“投标人须知前附表”中价格扣除规定的，在评审时予以价格扣除，用扣除后的价格参与评审。</w:t>
            </w:r>
          </w:p>
        </w:tc>
      </w:tr>
      <w:tr w14:paraId="75B2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387" w:type="pct"/>
            <w:vMerge w:val="restart"/>
            <w:noWrap w:val="0"/>
            <w:vAlign w:val="center"/>
          </w:tcPr>
          <w:p w14:paraId="1A8A7B91">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商务</w:t>
            </w:r>
          </w:p>
          <w:p w14:paraId="65F41F3F">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技术部分</w:t>
            </w:r>
            <w:r>
              <w:rPr>
                <w:rFonts w:hint="eastAsia" w:ascii="宋体" w:hAnsi="宋体" w:eastAsia="宋体" w:cs="宋体"/>
                <w:color w:val="000000"/>
                <w:szCs w:val="24"/>
                <w:highlight w:val="none"/>
                <w:lang w:val="en-US"/>
              </w:rPr>
              <w:t>（</w:t>
            </w:r>
            <w:r>
              <w:rPr>
                <w:rFonts w:hint="eastAsia" w:cs="宋体"/>
                <w:color w:val="000000"/>
                <w:szCs w:val="24"/>
                <w:highlight w:val="none"/>
                <w:lang w:val="en-US" w:eastAsia="zh-CN"/>
              </w:rPr>
              <w:t>70</w:t>
            </w:r>
            <w:r>
              <w:rPr>
                <w:rFonts w:hint="eastAsia" w:ascii="宋体" w:hAnsi="宋体" w:eastAsia="宋体" w:cs="宋体"/>
                <w:color w:val="000000"/>
                <w:szCs w:val="24"/>
                <w:highlight w:val="none"/>
              </w:rPr>
              <w:t>分）</w:t>
            </w:r>
          </w:p>
        </w:tc>
        <w:tc>
          <w:tcPr>
            <w:tcW w:w="408" w:type="pct"/>
            <w:tcBorders>
              <w:top w:val="single" w:color="auto" w:sz="4" w:space="0"/>
            </w:tcBorders>
            <w:noWrap w:val="0"/>
            <w:vAlign w:val="center"/>
          </w:tcPr>
          <w:p w14:paraId="43133A55">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业绩</w:t>
            </w:r>
          </w:p>
        </w:tc>
        <w:tc>
          <w:tcPr>
            <w:tcW w:w="298" w:type="pct"/>
            <w:noWrap w:val="0"/>
            <w:vAlign w:val="center"/>
          </w:tcPr>
          <w:p w14:paraId="4D9F4275">
            <w:pPr>
              <w:pStyle w:val="37"/>
              <w:keepNext w:val="0"/>
              <w:keepLines w:val="0"/>
              <w:pageBreakBefore w:val="0"/>
              <w:kinsoku/>
              <w:wordWrap/>
              <w:overflowPunct/>
              <w:topLinePunct w:val="0"/>
              <w:autoSpaceDE/>
              <w:autoSpaceDN/>
              <w:bidi w:val="0"/>
              <w:spacing w:line="440" w:lineRule="exact"/>
              <w:jc w:val="center"/>
              <w:textAlignment w:val="auto"/>
              <w:rPr>
                <w:rFonts w:hint="default" w:ascii="宋体" w:hAnsi="宋体" w:eastAsia="宋体" w:cs="宋体"/>
                <w:color w:val="000000"/>
                <w:szCs w:val="24"/>
                <w:highlight w:val="none"/>
                <w:lang w:val="en-US"/>
              </w:rPr>
            </w:pPr>
            <w:r>
              <w:rPr>
                <w:rFonts w:hint="eastAsia" w:cs="宋体"/>
                <w:color w:val="000000"/>
                <w:szCs w:val="24"/>
                <w:highlight w:val="none"/>
                <w:lang w:val="en-US" w:eastAsia="zh-CN"/>
              </w:rPr>
              <w:t>6</w:t>
            </w:r>
          </w:p>
        </w:tc>
        <w:tc>
          <w:tcPr>
            <w:tcW w:w="3905" w:type="pct"/>
            <w:noWrap w:val="0"/>
            <w:vAlign w:val="center"/>
          </w:tcPr>
          <w:p w14:paraId="7EA10937">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根据投标文件</w:t>
            </w:r>
            <w:r>
              <w:rPr>
                <w:rFonts w:hint="eastAsia" w:cs="宋体"/>
                <w:color w:val="000000"/>
                <w:szCs w:val="24"/>
                <w:highlight w:val="none"/>
                <w:lang w:val="en-US" w:eastAsia="zh-CN"/>
              </w:rPr>
              <w:t>中</w:t>
            </w:r>
            <w:r>
              <w:rPr>
                <w:rFonts w:hint="eastAsia" w:ascii="宋体" w:hAnsi="宋体" w:eastAsia="宋体" w:cs="宋体"/>
                <w:color w:val="000000"/>
                <w:szCs w:val="24"/>
                <w:highlight w:val="none"/>
              </w:rPr>
              <w:t>所提供的</w:t>
            </w:r>
            <w:r>
              <w:rPr>
                <w:rFonts w:hint="eastAsia" w:cs="宋体"/>
                <w:color w:val="000000"/>
                <w:szCs w:val="24"/>
                <w:highlight w:val="none"/>
                <w:lang w:val="en-US" w:eastAsia="zh-CN"/>
              </w:rPr>
              <w:t>投标人</w:t>
            </w:r>
            <w:r>
              <w:rPr>
                <w:rFonts w:hint="eastAsia" w:ascii="宋体" w:hAnsi="宋体" w:eastAsia="宋体" w:cs="宋体"/>
                <w:color w:val="000000"/>
                <w:szCs w:val="24"/>
                <w:highlight w:val="none"/>
              </w:rPr>
              <w:t>投标截止日前三年内</w:t>
            </w:r>
            <w:r>
              <w:rPr>
                <w:rFonts w:hint="eastAsia" w:cs="宋体"/>
                <w:color w:val="000000"/>
                <w:szCs w:val="24"/>
                <w:highlight w:val="none"/>
                <w:lang w:val="en-US" w:eastAsia="zh-CN"/>
              </w:rPr>
              <w:t>承揽的所投产品业绩</w:t>
            </w:r>
            <w:r>
              <w:rPr>
                <w:rFonts w:hint="eastAsia" w:ascii="宋体" w:hAnsi="宋体" w:eastAsia="宋体" w:cs="宋体"/>
                <w:color w:val="000000"/>
                <w:szCs w:val="24"/>
                <w:highlight w:val="none"/>
              </w:rPr>
              <w:t>进行</w:t>
            </w:r>
            <w:r>
              <w:rPr>
                <w:rFonts w:hint="eastAsia" w:cs="宋体"/>
                <w:color w:val="000000"/>
                <w:szCs w:val="24"/>
                <w:highlight w:val="none"/>
                <w:lang w:val="en-US" w:eastAsia="zh-CN"/>
              </w:rPr>
              <w:t>评分</w:t>
            </w:r>
            <w:r>
              <w:rPr>
                <w:rFonts w:hint="eastAsia" w:ascii="宋体" w:hAnsi="宋体" w:eastAsia="宋体" w:cs="宋体"/>
                <w:color w:val="000000"/>
                <w:szCs w:val="24"/>
                <w:highlight w:val="none"/>
              </w:rPr>
              <w:t>：</w:t>
            </w:r>
          </w:p>
          <w:p w14:paraId="4F621C2C">
            <w:pPr>
              <w:pStyle w:val="37"/>
              <w:keepNext w:val="0"/>
              <w:keepLines w:val="0"/>
              <w:pageBreakBefore w:val="0"/>
              <w:kinsoku/>
              <w:wordWrap/>
              <w:overflowPunct/>
              <w:topLinePunct w:val="0"/>
              <w:autoSpaceDE/>
              <w:autoSpaceDN/>
              <w:bidi w:val="0"/>
              <w:spacing w:line="440" w:lineRule="exact"/>
              <w:textAlignment w:val="auto"/>
              <w:rPr>
                <w:rFonts w:hint="eastAsia" w:cs="宋体"/>
                <w:color w:val="000000"/>
                <w:szCs w:val="24"/>
                <w:highlight w:val="none"/>
                <w:lang w:val="en-US" w:eastAsia="zh-CN"/>
              </w:rPr>
            </w:pPr>
            <w:r>
              <w:rPr>
                <w:rFonts w:hint="eastAsia" w:cs="宋体"/>
                <w:color w:val="000000"/>
                <w:szCs w:val="24"/>
                <w:highlight w:val="none"/>
                <w:lang w:val="en-US" w:eastAsia="zh-CN"/>
              </w:rPr>
              <w:t>每提供1份投标人所承揽的核心产品业绩的得2分，最多得4分；</w:t>
            </w:r>
          </w:p>
          <w:p w14:paraId="3908F0E6">
            <w:pPr>
              <w:pStyle w:val="37"/>
              <w:keepNext w:val="0"/>
              <w:keepLines w:val="0"/>
              <w:pageBreakBefore w:val="0"/>
              <w:kinsoku/>
              <w:wordWrap/>
              <w:overflowPunct/>
              <w:topLinePunct w:val="0"/>
              <w:autoSpaceDE/>
              <w:autoSpaceDN/>
              <w:bidi w:val="0"/>
              <w:spacing w:line="440" w:lineRule="exact"/>
              <w:textAlignment w:val="auto"/>
              <w:rPr>
                <w:rFonts w:hint="eastAsia" w:cs="宋体"/>
                <w:color w:val="000000"/>
                <w:szCs w:val="24"/>
                <w:highlight w:val="none"/>
                <w:lang w:val="en-US" w:eastAsia="zh-CN"/>
              </w:rPr>
            </w:pPr>
            <w:r>
              <w:rPr>
                <w:rFonts w:hint="eastAsia" w:cs="宋体"/>
                <w:color w:val="000000"/>
                <w:szCs w:val="24"/>
                <w:highlight w:val="none"/>
                <w:lang w:val="en-US" w:eastAsia="zh-CN"/>
              </w:rPr>
              <w:t>每提供1份投标人所承揽的非核心产品业绩的得1分，最多得2分；</w:t>
            </w:r>
          </w:p>
          <w:p w14:paraId="1B0D4EDA">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（有效业绩需附合同或中标通知书复印件。未提供相关证明的该项为0分。</w:t>
            </w:r>
          </w:p>
        </w:tc>
      </w:tr>
      <w:tr w14:paraId="5683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387" w:type="pct"/>
            <w:vMerge w:val="continue"/>
            <w:noWrap w:val="0"/>
            <w:vAlign w:val="center"/>
          </w:tcPr>
          <w:p w14:paraId="5A9AD12C">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000000"/>
                <w:szCs w:val="24"/>
                <w:highlight w:val="none"/>
              </w:rPr>
            </w:pPr>
          </w:p>
        </w:tc>
        <w:tc>
          <w:tcPr>
            <w:tcW w:w="408" w:type="pct"/>
            <w:vMerge w:val="restart"/>
            <w:tcBorders>
              <w:top w:val="single" w:color="auto" w:sz="4" w:space="0"/>
            </w:tcBorders>
            <w:noWrap w:val="0"/>
            <w:vAlign w:val="center"/>
          </w:tcPr>
          <w:p w14:paraId="67FEAD77">
            <w:pPr>
              <w:pStyle w:val="37"/>
              <w:keepNext w:val="0"/>
              <w:keepLines w:val="0"/>
              <w:pageBreakBefore w:val="0"/>
              <w:kinsoku/>
              <w:wordWrap/>
              <w:overflowPunct/>
              <w:topLinePunct w:val="0"/>
              <w:autoSpaceDE/>
              <w:autoSpaceDN/>
              <w:bidi w:val="0"/>
              <w:spacing w:line="440" w:lineRule="exact"/>
              <w:jc w:val="center"/>
              <w:textAlignment w:val="auto"/>
              <w:rPr>
                <w:rFonts w:hint="default" w:ascii="宋体" w:hAnsi="宋体" w:eastAsia="宋体" w:cs="宋体"/>
                <w:color w:val="000000"/>
                <w:szCs w:val="24"/>
                <w:highlight w:val="none"/>
                <w:lang w:val="en-US" w:eastAsia="zh-CN"/>
              </w:rPr>
            </w:pPr>
            <w:r>
              <w:rPr>
                <w:rFonts w:hint="eastAsia" w:ascii="宋体" w:hAnsi="宋体" w:eastAsia="宋体" w:cs="宋体"/>
                <w:color w:val="000000"/>
                <w:szCs w:val="24"/>
                <w:highlight w:val="none"/>
              </w:rPr>
              <w:t>售后服务方案</w:t>
            </w:r>
          </w:p>
        </w:tc>
        <w:tc>
          <w:tcPr>
            <w:tcW w:w="298" w:type="pct"/>
            <w:noWrap w:val="0"/>
            <w:vAlign w:val="center"/>
          </w:tcPr>
          <w:p w14:paraId="34E4E99C">
            <w:pPr>
              <w:pStyle w:val="37"/>
              <w:keepNext w:val="0"/>
              <w:keepLines w:val="0"/>
              <w:pageBreakBefore w:val="0"/>
              <w:kinsoku/>
              <w:wordWrap/>
              <w:overflowPunct/>
              <w:topLinePunct w:val="0"/>
              <w:autoSpaceDE/>
              <w:autoSpaceDN/>
              <w:bidi w:val="0"/>
              <w:spacing w:line="440" w:lineRule="exact"/>
              <w:jc w:val="center"/>
              <w:textAlignment w:val="auto"/>
              <w:rPr>
                <w:rFonts w:hint="default" w:cs="宋体"/>
                <w:color w:val="000000"/>
                <w:szCs w:val="24"/>
                <w:highlight w:val="none"/>
                <w:lang w:val="en-US" w:eastAsia="zh-CN"/>
              </w:rPr>
            </w:pPr>
            <w:r>
              <w:rPr>
                <w:rFonts w:hint="eastAsia" w:cs="宋体"/>
                <w:color w:val="000000"/>
                <w:szCs w:val="24"/>
                <w:highlight w:val="none"/>
                <w:lang w:val="en-US" w:eastAsia="zh-CN"/>
              </w:rPr>
              <w:t>3</w:t>
            </w:r>
          </w:p>
        </w:tc>
        <w:tc>
          <w:tcPr>
            <w:tcW w:w="3905" w:type="pct"/>
            <w:noWrap w:val="0"/>
            <w:vAlign w:val="center"/>
          </w:tcPr>
          <w:p w14:paraId="20E2A55C">
            <w:pPr>
              <w:jc w:val="left"/>
              <w:rPr>
                <w:rFonts w:ascii="宋体" w:hAnsi="宋体" w:eastAsia="宋体" w:cs="宋体"/>
                <w:szCs w:val="21"/>
              </w:rPr>
            </w:pPr>
            <w:r>
              <w:rPr>
                <w:rFonts w:hint="eastAsia" w:ascii="宋体" w:hAnsi="宋体" w:eastAsia="宋体" w:cs="宋体"/>
                <w:szCs w:val="21"/>
              </w:rPr>
              <w:t>投标人针对本项目的售后服务方案，内容包括但不限于：</w:t>
            </w:r>
          </w:p>
          <w:p w14:paraId="26E2904A">
            <w:pPr>
              <w:jc w:val="left"/>
              <w:rPr>
                <w:rFonts w:ascii="宋体" w:hAnsi="宋体" w:eastAsia="宋体" w:cs="宋体"/>
                <w:szCs w:val="21"/>
              </w:rPr>
            </w:pPr>
            <w:r>
              <w:rPr>
                <w:rFonts w:hint="eastAsia" w:ascii="宋体" w:hAnsi="宋体" w:eastAsia="宋体" w:cs="宋体"/>
                <w:szCs w:val="21"/>
              </w:rPr>
              <w:t>①质量巡检计划（巡检时间、巡检流程）；</w:t>
            </w:r>
          </w:p>
          <w:p w14:paraId="43600A61">
            <w:pPr>
              <w:jc w:val="left"/>
              <w:rPr>
                <w:rFonts w:ascii="宋体" w:hAnsi="宋体" w:eastAsia="宋体" w:cs="宋体"/>
                <w:szCs w:val="21"/>
              </w:rPr>
            </w:pPr>
            <w:r>
              <w:rPr>
                <w:rFonts w:hint="eastAsia" w:ascii="宋体" w:hAnsi="宋体" w:eastAsia="宋体" w:cs="宋体"/>
                <w:szCs w:val="21"/>
              </w:rPr>
              <w:t>②拥有完善的售后服务保障体系；</w:t>
            </w:r>
          </w:p>
          <w:p w14:paraId="30BEBCE5">
            <w:pPr>
              <w:jc w:val="left"/>
              <w:rPr>
                <w:rFonts w:ascii="宋体" w:hAnsi="宋体" w:eastAsia="宋体" w:cs="宋体"/>
                <w:szCs w:val="21"/>
              </w:rPr>
            </w:pPr>
            <w:r>
              <w:rPr>
                <w:rFonts w:hint="eastAsia" w:ascii="宋体" w:hAnsi="宋体" w:eastAsia="宋体" w:cs="宋体"/>
                <w:szCs w:val="21"/>
              </w:rPr>
              <w:t>③响应时间；</w:t>
            </w:r>
          </w:p>
          <w:p w14:paraId="2AFEC3CE">
            <w:pPr>
              <w:pStyle w:val="37"/>
              <w:keepNext w:val="0"/>
              <w:keepLines w:val="0"/>
              <w:pageBreakBefore w:val="0"/>
              <w:kinsoku/>
              <w:wordWrap/>
              <w:overflowPunct/>
              <w:topLinePunct w:val="0"/>
              <w:autoSpaceDE/>
              <w:autoSpaceDN/>
              <w:bidi w:val="0"/>
              <w:spacing w:line="440" w:lineRule="exact"/>
              <w:textAlignment w:val="auto"/>
              <w:rPr>
                <w:rFonts w:hint="default" w:ascii="宋体" w:hAnsi="宋体" w:eastAsia="宋体" w:cs="宋体"/>
                <w:color w:val="000000"/>
                <w:szCs w:val="24"/>
                <w:highlight w:val="none"/>
                <w:lang w:val="en-US" w:eastAsia="zh-CN"/>
              </w:rPr>
            </w:pPr>
            <w:r>
              <w:rPr>
                <w:rFonts w:hint="eastAsia" w:ascii="宋体" w:hAnsi="宋体" w:eastAsia="宋体" w:cs="宋体"/>
                <w:szCs w:val="21"/>
              </w:rPr>
              <w:t>以上方案</w:t>
            </w:r>
            <w:r>
              <w:rPr>
                <w:rFonts w:hint="eastAsia" w:cs="宋体"/>
                <w:szCs w:val="21"/>
                <w:lang w:val="en-US" w:eastAsia="zh-CN"/>
              </w:rPr>
              <w:t>每项</w:t>
            </w:r>
            <w:r>
              <w:rPr>
                <w:rFonts w:hint="eastAsia" w:ascii="宋体" w:hAnsi="宋体" w:eastAsia="宋体" w:cs="宋体"/>
                <w:szCs w:val="21"/>
              </w:rPr>
              <w:t>内容完整清晰明确、科学合理、提高售后能力且满足采购需求的</w:t>
            </w:r>
            <w:r>
              <w:rPr>
                <w:rFonts w:hint="eastAsia" w:ascii="宋体" w:hAnsi="宋体" w:eastAsia="宋体" w:cs="宋体"/>
                <w:color w:val="000000"/>
                <w:sz w:val="24"/>
                <w:szCs w:val="24"/>
                <w:highlight w:val="none"/>
              </w:rPr>
              <w:t>得</w:t>
            </w:r>
            <w:r>
              <w:rPr>
                <w:rFonts w:hint="eastAsia" w:cs="宋体"/>
                <w:color w:val="000000"/>
                <w:sz w:val="24"/>
                <w:szCs w:val="24"/>
                <w:highlight w:val="none"/>
                <w:lang w:val="en-US" w:eastAsia="zh-CN"/>
              </w:rPr>
              <w:t>1</w:t>
            </w:r>
            <w:r>
              <w:rPr>
                <w:rFonts w:hint="eastAsia" w:ascii="宋体" w:hAnsi="宋体" w:eastAsia="宋体" w:cs="宋体"/>
                <w:color w:val="000000"/>
                <w:sz w:val="24"/>
                <w:szCs w:val="24"/>
                <w:highlight w:val="none"/>
              </w:rPr>
              <w:t>分</w:t>
            </w:r>
            <w:r>
              <w:rPr>
                <w:rFonts w:hint="eastAsia" w:cs="宋体"/>
                <w:color w:val="000000"/>
                <w:sz w:val="24"/>
                <w:szCs w:val="24"/>
                <w:highlight w:val="none"/>
                <w:lang w:eastAsia="zh-CN"/>
              </w:rPr>
              <w:t>，</w:t>
            </w:r>
            <w:r>
              <w:rPr>
                <w:rFonts w:hint="eastAsia" w:cs="宋体"/>
                <w:color w:val="000000"/>
                <w:sz w:val="24"/>
                <w:szCs w:val="24"/>
                <w:highlight w:val="none"/>
                <w:lang w:val="en-US" w:eastAsia="zh-CN"/>
              </w:rPr>
              <w:t>最高得3分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每小项</w:t>
            </w:r>
            <w:r>
              <w:rPr>
                <w:rFonts w:hint="eastAsia" w:cs="宋体"/>
                <w:color w:val="000000"/>
                <w:sz w:val="24"/>
                <w:szCs w:val="24"/>
                <w:highlight w:val="none"/>
                <w:lang w:val="en-US" w:eastAsia="zh-CN"/>
              </w:rPr>
              <w:t>每</w:t>
            </w:r>
            <w:r>
              <w:rPr>
                <w:rFonts w:hint="eastAsia" w:ascii="宋体" w:hAnsi="宋体" w:eastAsia="宋体" w:cs="宋体"/>
                <w:szCs w:val="21"/>
              </w:rPr>
              <w:t>有一处内容不完整、不具有合理性、不详尽或不能满足采购需求的扣1分</w:t>
            </w:r>
            <w:r>
              <w:rPr>
                <w:rFonts w:hint="eastAsia" w:cs="宋体"/>
                <w:szCs w:val="21"/>
                <w:lang w:eastAsia="zh-CN"/>
              </w:rPr>
              <w:t>，</w:t>
            </w:r>
            <w:r>
              <w:rPr>
                <w:rFonts w:hint="eastAsia" w:ascii="宋体" w:hAnsi="宋体" w:eastAsia="宋体" w:cs="宋体"/>
                <w:szCs w:val="21"/>
              </w:rPr>
              <w:t>扣完为止</w:t>
            </w:r>
            <w:r>
              <w:rPr>
                <w:rFonts w:hint="eastAsia" w:cs="宋体"/>
                <w:szCs w:val="21"/>
                <w:lang w:eastAsia="zh-CN"/>
              </w:rPr>
              <w:t>，</w:t>
            </w:r>
            <w:r>
              <w:rPr>
                <w:rFonts w:hint="eastAsia" w:ascii="宋体" w:hAnsi="宋体" w:eastAsia="宋体" w:cs="宋体"/>
                <w:color w:val="000000"/>
                <w:sz w:val="24"/>
                <w:szCs w:val="24"/>
                <w:highlight w:val="none"/>
                <w:lang w:val="en-US" w:eastAsia="zh-CN"/>
              </w:rPr>
              <w:t>未提供不得分</w:t>
            </w:r>
            <w:r>
              <w:rPr>
                <w:rFonts w:hint="eastAsia" w:ascii="宋体" w:hAnsi="宋体" w:eastAsia="宋体" w:cs="宋体"/>
                <w:color w:val="000000"/>
                <w:sz w:val="24"/>
                <w:szCs w:val="24"/>
                <w:highlight w:val="none"/>
              </w:rPr>
              <w:t>。</w:t>
            </w:r>
          </w:p>
        </w:tc>
      </w:tr>
      <w:tr w14:paraId="18A1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387" w:type="pct"/>
            <w:vMerge w:val="continue"/>
            <w:noWrap w:val="0"/>
            <w:vAlign w:val="center"/>
          </w:tcPr>
          <w:p w14:paraId="15110FA1">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000000"/>
                <w:szCs w:val="24"/>
                <w:highlight w:val="none"/>
              </w:rPr>
            </w:pPr>
          </w:p>
        </w:tc>
        <w:tc>
          <w:tcPr>
            <w:tcW w:w="408" w:type="pct"/>
            <w:vMerge w:val="continue"/>
            <w:noWrap w:val="0"/>
            <w:vAlign w:val="center"/>
          </w:tcPr>
          <w:p w14:paraId="5378CF3B">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000000"/>
                <w:szCs w:val="24"/>
                <w:highlight w:val="none"/>
              </w:rPr>
            </w:pPr>
          </w:p>
        </w:tc>
        <w:tc>
          <w:tcPr>
            <w:tcW w:w="298" w:type="pct"/>
            <w:noWrap w:val="0"/>
            <w:vAlign w:val="center"/>
          </w:tcPr>
          <w:p w14:paraId="691C51AF">
            <w:pPr>
              <w:pStyle w:val="37"/>
              <w:keepNext w:val="0"/>
              <w:keepLines w:val="0"/>
              <w:pageBreakBefore w:val="0"/>
              <w:kinsoku/>
              <w:wordWrap/>
              <w:overflowPunct/>
              <w:topLinePunct w:val="0"/>
              <w:autoSpaceDE/>
              <w:autoSpaceDN/>
              <w:bidi w:val="0"/>
              <w:spacing w:line="440" w:lineRule="exact"/>
              <w:jc w:val="center"/>
              <w:textAlignment w:val="auto"/>
              <w:rPr>
                <w:rFonts w:hint="default" w:cs="宋体"/>
                <w:color w:val="000000"/>
                <w:szCs w:val="24"/>
                <w:highlight w:val="none"/>
                <w:lang w:val="en-US" w:eastAsia="zh-CN"/>
              </w:rPr>
            </w:pPr>
            <w:r>
              <w:rPr>
                <w:rFonts w:hint="eastAsia" w:cs="宋体"/>
                <w:color w:val="000000"/>
                <w:szCs w:val="24"/>
                <w:highlight w:val="none"/>
                <w:lang w:val="en-US" w:eastAsia="zh-CN"/>
              </w:rPr>
              <w:t>5</w:t>
            </w:r>
          </w:p>
        </w:tc>
        <w:tc>
          <w:tcPr>
            <w:tcW w:w="3905" w:type="pct"/>
            <w:noWrap w:val="0"/>
            <w:vAlign w:val="center"/>
          </w:tcPr>
          <w:p w14:paraId="4657D8D2">
            <w:pPr>
              <w:pStyle w:val="37"/>
              <w:keepNext w:val="0"/>
              <w:keepLines w:val="0"/>
              <w:pageBreakBefore w:val="0"/>
              <w:kinsoku/>
              <w:wordWrap/>
              <w:overflowPunct/>
              <w:topLinePunct w:val="0"/>
              <w:autoSpaceDE/>
              <w:autoSpaceDN/>
              <w:bidi w:val="0"/>
              <w:spacing w:line="440" w:lineRule="exact"/>
              <w:textAlignment w:val="auto"/>
              <w:rPr>
                <w:rFonts w:hint="default" w:ascii="宋体" w:hAnsi="宋体" w:eastAsia="宋体" w:cs="宋体"/>
                <w:szCs w:val="21"/>
                <w:lang w:val="en-US" w:eastAsia="zh-CN"/>
              </w:rPr>
            </w:pPr>
            <w:r>
              <w:rPr>
                <w:rFonts w:hint="eastAsia" w:cs="宋体"/>
                <w:szCs w:val="21"/>
                <w:lang w:val="en-US" w:eastAsia="zh-CN"/>
              </w:rPr>
              <w:t>满足招标文件质保期要求的得3分，质保期每增加一年得1分，最多加2分，此项满分5分。</w:t>
            </w:r>
          </w:p>
        </w:tc>
      </w:tr>
      <w:tr w14:paraId="45F56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387" w:type="pct"/>
            <w:vMerge w:val="continue"/>
            <w:noWrap w:val="0"/>
            <w:vAlign w:val="center"/>
          </w:tcPr>
          <w:p w14:paraId="142DC74C">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000000"/>
                <w:szCs w:val="24"/>
                <w:highlight w:val="none"/>
              </w:rPr>
            </w:pPr>
          </w:p>
        </w:tc>
        <w:tc>
          <w:tcPr>
            <w:tcW w:w="408" w:type="pct"/>
            <w:tcBorders>
              <w:top w:val="single" w:color="auto" w:sz="4" w:space="0"/>
            </w:tcBorders>
            <w:noWrap w:val="0"/>
            <w:vAlign w:val="center"/>
          </w:tcPr>
          <w:p w14:paraId="7AC88443">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售后服务人员</w:t>
            </w:r>
          </w:p>
        </w:tc>
        <w:tc>
          <w:tcPr>
            <w:tcW w:w="298" w:type="pct"/>
            <w:noWrap w:val="0"/>
            <w:vAlign w:val="center"/>
          </w:tcPr>
          <w:p w14:paraId="4E236C2E">
            <w:pPr>
              <w:pStyle w:val="37"/>
              <w:keepNext w:val="0"/>
              <w:keepLines w:val="0"/>
              <w:pageBreakBefore w:val="0"/>
              <w:kinsoku/>
              <w:wordWrap/>
              <w:overflowPunct/>
              <w:topLinePunct w:val="0"/>
              <w:autoSpaceDE/>
              <w:autoSpaceDN/>
              <w:bidi w:val="0"/>
              <w:spacing w:line="440" w:lineRule="exact"/>
              <w:jc w:val="center"/>
              <w:textAlignment w:val="auto"/>
              <w:rPr>
                <w:rFonts w:hint="default" w:cs="宋体"/>
                <w:color w:val="000000"/>
                <w:szCs w:val="24"/>
                <w:highlight w:val="none"/>
                <w:lang w:val="en-US" w:eastAsia="zh-CN"/>
              </w:rPr>
            </w:pPr>
            <w:r>
              <w:rPr>
                <w:rFonts w:hint="eastAsia" w:cs="宋体"/>
                <w:color w:val="000000"/>
                <w:szCs w:val="24"/>
                <w:highlight w:val="none"/>
                <w:lang w:val="en-US" w:eastAsia="zh-CN"/>
              </w:rPr>
              <w:t>1</w:t>
            </w:r>
          </w:p>
        </w:tc>
        <w:tc>
          <w:tcPr>
            <w:tcW w:w="3905" w:type="pct"/>
            <w:noWrap w:val="0"/>
            <w:vAlign w:val="center"/>
          </w:tcPr>
          <w:p w14:paraId="1C0F9890">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Cs w:val="21"/>
              </w:rPr>
            </w:pPr>
            <w:r>
              <w:rPr>
                <w:rFonts w:hint="eastAsia" w:ascii="宋体" w:hAnsi="宋体" w:eastAsia="宋体" w:cs="宋体"/>
                <w:szCs w:val="21"/>
              </w:rPr>
              <w:t>投标人具备稳定的专业维护工程师，并具备相应的资格证明，得</w:t>
            </w:r>
            <w:r>
              <w:rPr>
                <w:rFonts w:hint="eastAsia" w:cs="宋体"/>
                <w:szCs w:val="21"/>
                <w:lang w:val="en-US" w:eastAsia="zh-CN"/>
              </w:rPr>
              <w:t>1</w:t>
            </w:r>
            <w:r>
              <w:rPr>
                <w:rFonts w:hint="eastAsia" w:ascii="宋体" w:hAnsi="宋体" w:eastAsia="宋体" w:cs="宋体"/>
                <w:szCs w:val="21"/>
              </w:rPr>
              <w:t>分（需提供证明材料）。</w:t>
            </w:r>
          </w:p>
        </w:tc>
      </w:tr>
      <w:tr w14:paraId="1F78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7" w:hRule="atLeast"/>
          <w:jc w:val="center"/>
        </w:trPr>
        <w:tc>
          <w:tcPr>
            <w:tcW w:w="387" w:type="pct"/>
            <w:vMerge w:val="continue"/>
            <w:noWrap w:val="0"/>
            <w:vAlign w:val="center"/>
          </w:tcPr>
          <w:p w14:paraId="5526714E">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000000"/>
                <w:szCs w:val="24"/>
                <w:highlight w:val="none"/>
              </w:rPr>
            </w:pPr>
          </w:p>
        </w:tc>
        <w:tc>
          <w:tcPr>
            <w:tcW w:w="408" w:type="pct"/>
            <w:tcBorders>
              <w:top w:val="single" w:color="auto" w:sz="4" w:space="0"/>
            </w:tcBorders>
            <w:noWrap w:val="0"/>
            <w:vAlign w:val="center"/>
          </w:tcPr>
          <w:p w14:paraId="144D3246">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技术指标响应</w:t>
            </w:r>
          </w:p>
        </w:tc>
        <w:tc>
          <w:tcPr>
            <w:tcW w:w="298" w:type="pct"/>
            <w:noWrap w:val="0"/>
            <w:vAlign w:val="center"/>
          </w:tcPr>
          <w:p w14:paraId="11171B50">
            <w:pPr>
              <w:pStyle w:val="37"/>
              <w:keepNext w:val="0"/>
              <w:keepLines w:val="0"/>
              <w:pageBreakBefore w:val="0"/>
              <w:kinsoku/>
              <w:wordWrap/>
              <w:overflowPunct/>
              <w:topLinePunct w:val="0"/>
              <w:autoSpaceDE/>
              <w:autoSpaceDN/>
              <w:bidi w:val="0"/>
              <w:spacing w:line="440" w:lineRule="exact"/>
              <w:jc w:val="center"/>
              <w:textAlignment w:val="auto"/>
              <w:rPr>
                <w:rFonts w:hint="default" w:ascii="宋体" w:hAnsi="宋体" w:eastAsia="宋体" w:cs="宋体"/>
                <w:color w:val="000000"/>
                <w:szCs w:val="24"/>
                <w:highlight w:val="none"/>
                <w:lang w:val="en-US"/>
              </w:rPr>
            </w:pPr>
            <w:r>
              <w:rPr>
                <w:rFonts w:hint="eastAsia" w:cs="宋体"/>
                <w:color w:val="000000"/>
                <w:szCs w:val="24"/>
                <w:highlight w:val="none"/>
                <w:lang w:val="en-US" w:eastAsia="zh-CN"/>
              </w:rPr>
              <w:t>48</w:t>
            </w:r>
          </w:p>
        </w:tc>
        <w:tc>
          <w:tcPr>
            <w:tcW w:w="3905" w:type="pct"/>
            <w:noWrap w:val="0"/>
            <w:vAlign w:val="center"/>
          </w:tcPr>
          <w:p w14:paraId="3F160BB6">
            <w:pPr>
              <w:pStyle w:val="37"/>
              <w:keepNext w:val="0"/>
              <w:keepLines w:val="0"/>
              <w:pageBreakBefore w:val="0"/>
              <w:kinsoku/>
              <w:wordWrap/>
              <w:overflowPunct/>
              <w:topLinePunct w:val="0"/>
              <w:autoSpaceDE/>
              <w:autoSpaceDN/>
              <w:bidi w:val="0"/>
              <w:spacing w:line="440" w:lineRule="exact"/>
              <w:textAlignment w:val="auto"/>
              <w:rPr>
                <w:rFonts w:hint="eastAsia" w:cs="宋体"/>
                <w:b/>
                <w:bCs/>
                <w:color w:val="auto"/>
                <w:szCs w:val="24"/>
                <w:highlight w:val="none"/>
                <w:lang w:val="en-US" w:eastAsia="zh-CN"/>
              </w:rPr>
            </w:pPr>
            <w:r>
              <w:rPr>
                <w:rFonts w:hint="eastAsia" w:cs="宋体"/>
                <w:b/>
                <w:bCs/>
                <w:color w:val="auto"/>
                <w:szCs w:val="24"/>
                <w:highlight w:val="none"/>
                <w:lang w:val="en-US" w:eastAsia="zh-CN"/>
              </w:rPr>
              <w:t>1、核心产品（25分）：</w:t>
            </w:r>
          </w:p>
          <w:p w14:paraId="0554D2AB">
            <w:pPr>
              <w:pStyle w:val="37"/>
              <w:keepNext w:val="0"/>
              <w:keepLines w:val="0"/>
              <w:pageBreakBefore w:val="0"/>
              <w:kinsoku/>
              <w:wordWrap/>
              <w:overflowPunct/>
              <w:topLinePunct w:val="0"/>
              <w:autoSpaceDE/>
              <w:autoSpaceDN/>
              <w:bidi w:val="0"/>
              <w:spacing w:line="440" w:lineRule="exact"/>
              <w:ind w:firstLine="480" w:firstLineChars="200"/>
              <w:textAlignment w:val="auto"/>
              <w:rPr>
                <w:rFonts w:hint="default" w:cs="宋体"/>
                <w:color w:val="auto"/>
                <w:szCs w:val="24"/>
                <w:highlight w:val="none"/>
                <w:lang w:val="en-US" w:eastAsia="zh-CN"/>
              </w:rPr>
            </w:pPr>
            <w:r>
              <w:rPr>
                <w:rFonts w:hint="eastAsia" w:ascii="宋体" w:hAnsi="宋体" w:eastAsia="宋体" w:cs="宋体"/>
                <w:color w:val="auto"/>
                <w:szCs w:val="24"/>
                <w:highlight w:val="none"/>
              </w:rPr>
              <w:t>满足招标文件采购需求中技术要求的</w:t>
            </w:r>
            <w:r>
              <w:rPr>
                <w:rFonts w:hint="eastAsia" w:cs="宋体"/>
                <w:color w:val="auto"/>
                <w:szCs w:val="24"/>
                <w:highlight w:val="none"/>
                <w:lang w:val="en-US" w:eastAsia="zh-CN"/>
              </w:rPr>
              <w:t>技术参数</w:t>
            </w:r>
            <w:r>
              <w:rPr>
                <w:rFonts w:hint="eastAsia" w:ascii="宋体" w:hAnsi="宋体" w:eastAsia="宋体" w:cs="宋体"/>
                <w:color w:val="auto"/>
                <w:szCs w:val="24"/>
                <w:highlight w:val="none"/>
              </w:rPr>
              <w:t>各项条款得</w:t>
            </w:r>
            <w:r>
              <w:rPr>
                <w:rFonts w:hint="eastAsia" w:cs="宋体"/>
                <w:color w:val="auto"/>
                <w:szCs w:val="24"/>
                <w:highlight w:val="none"/>
                <w:lang w:val="en-US" w:eastAsia="zh-CN"/>
              </w:rPr>
              <w:t>25</w:t>
            </w:r>
            <w:r>
              <w:rPr>
                <w:rFonts w:hint="eastAsia" w:ascii="宋体" w:hAnsi="宋体" w:eastAsia="宋体" w:cs="宋体"/>
                <w:color w:val="auto"/>
                <w:szCs w:val="24"/>
                <w:highlight w:val="none"/>
              </w:rPr>
              <w:t>分，</w:t>
            </w:r>
            <w:r>
              <w:rPr>
                <w:rFonts w:hint="eastAsia" w:cs="宋体"/>
                <w:color w:val="auto"/>
                <w:szCs w:val="24"/>
                <w:highlight w:val="none"/>
                <w:lang w:val="en-US" w:eastAsia="zh-CN"/>
              </w:rPr>
              <w:t>其中标注“</w:t>
            </w:r>
            <w:r>
              <w:rPr>
                <w:rFonts w:hint="eastAsia" w:ascii="宋体" w:hAnsi="宋体" w:eastAsia="宋体" w:cs="宋体"/>
                <w:i w:val="0"/>
                <w:iCs w:val="0"/>
                <w:color w:val="000000"/>
                <w:sz w:val="20"/>
                <w:szCs w:val="20"/>
                <w:u w:val="none"/>
              </w:rPr>
              <w:t>▲</w:t>
            </w:r>
            <w:r>
              <w:rPr>
                <w:rFonts w:hint="eastAsia" w:cs="宋体"/>
                <w:color w:val="auto"/>
                <w:szCs w:val="24"/>
                <w:highlight w:val="none"/>
                <w:lang w:val="en-US" w:eastAsia="zh-CN"/>
              </w:rPr>
              <w:t>”为重要技术参数，</w:t>
            </w:r>
            <w:r>
              <w:rPr>
                <w:rFonts w:hint="eastAsia" w:ascii="宋体" w:hAnsi="宋体" w:eastAsia="宋体" w:cs="宋体"/>
                <w:color w:val="auto"/>
                <w:sz w:val="24"/>
                <w:szCs w:val="24"/>
                <w:highlight w:val="none"/>
                <w:lang w:eastAsia="zh-CN"/>
              </w:rPr>
              <w:t>每出现一条负偏离，扣</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w:t>
            </w:r>
            <w:r>
              <w:rPr>
                <w:rFonts w:hint="eastAsia" w:cs="宋体"/>
                <w:color w:val="auto"/>
                <w:sz w:val="24"/>
                <w:szCs w:val="24"/>
                <w:highlight w:val="none"/>
                <w:lang w:val="en-US" w:eastAsia="zh-CN"/>
              </w:rPr>
              <w:t>，</w:t>
            </w:r>
            <w:r>
              <w:rPr>
                <w:rFonts w:hint="eastAsia" w:cs="宋体"/>
                <w:color w:val="auto"/>
                <w:szCs w:val="24"/>
                <w:highlight w:val="none"/>
                <w:lang w:val="en-US" w:eastAsia="zh-CN"/>
              </w:rPr>
              <w:t>最多扣15分</w:t>
            </w:r>
            <w:r>
              <w:rPr>
                <w:rFonts w:hint="eastAsia" w:cs="宋体"/>
                <w:color w:val="auto"/>
                <w:szCs w:val="24"/>
                <w:highlight w:val="none"/>
                <w:lang w:eastAsia="zh-CN"/>
              </w:rPr>
              <w:t>；</w:t>
            </w:r>
            <w:r>
              <w:rPr>
                <w:rFonts w:hint="eastAsia" w:cs="宋体"/>
                <w:color w:val="auto"/>
                <w:szCs w:val="24"/>
                <w:highlight w:val="none"/>
                <w:lang w:val="en-US" w:eastAsia="zh-CN"/>
              </w:rPr>
              <w:t>未标注“</w:t>
            </w:r>
            <w:r>
              <w:rPr>
                <w:rFonts w:hint="eastAsia" w:ascii="宋体" w:hAnsi="宋体" w:eastAsia="宋体" w:cs="宋体"/>
                <w:i w:val="0"/>
                <w:iCs w:val="0"/>
                <w:color w:val="000000"/>
                <w:sz w:val="20"/>
                <w:szCs w:val="20"/>
                <w:u w:val="none"/>
              </w:rPr>
              <w:t>▲</w:t>
            </w:r>
            <w:r>
              <w:rPr>
                <w:rFonts w:hint="eastAsia" w:cs="宋体"/>
                <w:color w:val="auto"/>
                <w:szCs w:val="24"/>
                <w:highlight w:val="none"/>
                <w:lang w:val="en-US" w:eastAsia="zh-CN"/>
              </w:rPr>
              <w:t>”为一般技术参数，</w:t>
            </w:r>
            <w:r>
              <w:rPr>
                <w:rFonts w:hint="eastAsia" w:ascii="宋体" w:hAnsi="宋体" w:eastAsia="宋体" w:cs="宋体"/>
                <w:color w:val="auto"/>
                <w:sz w:val="24"/>
                <w:szCs w:val="24"/>
                <w:highlight w:val="none"/>
                <w:lang w:eastAsia="zh-CN"/>
              </w:rPr>
              <w:t>每出现一条负偏离，扣</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w:t>
            </w:r>
            <w:r>
              <w:rPr>
                <w:rFonts w:hint="eastAsia" w:cs="宋体"/>
                <w:color w:val="auto"/>
                <w:sz w:val="24"/>
                <w:szCs w:val="24"/>
                <w:highlight w:val="none"/>
                <w:lang w:val="en-US" w:eastAsia="zh-CN"/>
              </w:rPr>
              <w:t>，</w:t>
            </w:r>
            <w:r>
              <w:rPr>
                <w:rFonts w:hint="eastAsia" w:cs="宋体"/>
                <w:color w:val="auto"/>
                <w:szCs w:val="24"/>
                <w:highlight w:val="none"/>
                <w:lang w:val="en-US" w:eastAsia="zh-CN"/>
              </w:rPr>
              <w:t>最多扣10分</w:t>
            </w:r>
            <w:r>
              <w:rPr>
                <w:rFonts w:hint="eastAsia" w:cs="宋体"/>
                <w:color w:val="auto"/>
                <w:szCs w:val="24"/>
                <w:highlight w:val="none"/>
                <w:lang w:eastAsia="zh-CN"/>
              </w:rPr>
              <w:t>；</w:t>
            </w:r>
            <w:r>
              <w:rPr>
                <w:rFonts w:hint="eastAsia" w:cs="宋体"/>
                <w:color w:val="auto"/>
                <w:szCs w:val="24"/>
                <w:highlight w:val="none"/>
                <w:lang w:val="en-US" w:eastAsia="zh-CN"/>
              </w:rPr>
              <w:t>扣完25分为止。</w:t>
            </w:r>
          </w:p>
          <w:p w14:paraId="4D090598">
            <w:pPr>
              <w:pStyle w:val="37"/>
              <w:keepNext w:val="0"/>
              <w:keepLines w:val="0"/>
              <w:pageBreakBefore w:val="0"/>
              <w:kinsoku/>
              <w:wordWrap/>
              <w:overflowPunct/>
              <w:topLinePunct w:val="0"/>
              <w:autoSpaceDE/>
              <w:autoSpaceDN/>
              <w:bidi w:val="0"/>
              <w:spacing w:line="440" w:lineRule="exact"/>
              <w:textAlignment w:val="auto"/>
              <w:rPr>
                <w:rFonts w:hint="default" w:ascii="宋体" w:hAnsi="宋体" w:eastAsia="宋体" w:cs="宋体"/>
                <w:b/>
                <w:bCs/>
                <w:color w:val="auto"/>
                <w:szCs w:val="24"/>
                <w:highlight w:val="none"/>
                <w:lang w:val="en-US" w:eastAsia="zh-CN"/>
              </w:rPr>
            </w:pPr>
            <w:r>
              <w:rPr>
                <w:rFonts w:hint="eastAsia" w:cs="宋体"/>
                <w:b/>
                <w:bCs/>
                <w:color w:val="auto"/>
                <w:szCs w:val="24"/>
                <w:highlight w:val="none"/>
                <w:lang w:val="en-US" w:eastAsia="zh-CN"/>
              </w:rPr>
              <w:t>2、非核心产品（23分）</w:t>
            </w:r>
          </w:p>
          <w:p w14:paraId="1C254E70">
            <w:pPr>
              <w:pStyle w:val="37"/>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满足招标文件采购需求中技术要求的</w:t>
            </w:r>
            <w:r>
              <w:rPr>
                <w:rFonts w:hint="eastAsia" w:cs="宋体"/>
                <w:color w:val="auto"/>
                <w:szCs w:val="24"/>
                <w:highlight w:val="none"/>
                <w:lang w:val="en-US" w:eastAsia="zh-CN"/>
              </w:rPr>
              <w:t>技术参数</w:t>
            </w:r>
            <w:r>
              <w:rPr>
                <w:rFonts w:hint="eastAsia" w:ascii="宋体" w:hAnsi="宋体" w:eastAsia="宋体" w:cs="宋体"/>
                <w:color w:val="auto"/>
                <w:szCs w:val="24"/>
                <w:highlight w:val="none"/>
              </w:rPr>
              <w:t>各项条款得</w:t>
            </w:r>
            <w:r>
              <w:rPr>
                <w:rFonts w:hint="eastAsia" w:cs="宋体"/>
                <w:color w:val="auto"/>
                <w:szCs w:val="24"/>
                <w:highlight w:val="none"/>
                <w:lang w:val="en-US" w:eastAsia="zh-CN"/>
              </w:rPr>
              <w:t>23</w:t>
            </w:r>
            <w:r>
              <w:rPr>
                <w:rFonts w:hint="eastAsia" w:ascii="宋体" w:hAnsi="宋体" w:eastAsia="宋体" w:cs="宋体"/>
                <w:color w:val="auto"/>
                <w:szCs w:val="24"/>
                <w:highlight w:val="none"/>
              </w:rPr>
              <w:t>分，</w:t>
            </w:r>
            <w:r>
              <w:rPr>
                <w:rFonts w:hint="eastAsia" w:cs="宋体"/>
                <w:color w:val="auto"/>
                <w:szCs w:val="24"/>
                <w:highlight w:val="none"/>
                <w:lang w:val="en-US" w:eastAsia="zh-CN"/>
              </w:rPr>
              <w:t>其中标注“</w:t>
            </w:r>
            <w:r>
              <w:rPr>
                <w:rFonts w:hint="eastAsia" w:ascii="宋体" w:hAnsi="宋体" w:eastAsia="宋体" w:cs="宋体"/>
                <w:i w:val="0"/>
                <w:iCs w:val="0"/>
                <w:color w:val="000000"/>
                <w:sz w:val="20"/>
                <w:szCs w:val="20"/>
                <w:u w:val="none"/>
              </w:rPr>
              <w:t>▲</w:t>
            </w:r>
            <w:r>
              <w:rPr>
                <w:rFonts w:hint="eastAsia" w:cs="宋体"/>
                <w:color w:val="auto"/>
                <w:szCs w:val="24"/>
                <w:highlight w:val="none"/>
                <w:lang w:val="en-US" w:eastAsia="zh-CN"/>
              </w:rPr>
              <w:t>”为重要技术参数，</w:t>
            </w:r>
            <w:r>
              <w:rPr>
                <w:rFonts w:hint="eastAsia" w:ascii="宋体" w:hAnsi="宋体" w:eastAsia="宋体" w:cs="宋体"/>
                <w:color w:val="auto"/>
                <w:sz w:val="24"/>
                <w:szCs w:val="24"/>
                <w:highlight w:val="none"/>
                <w:lang w:eastAsia="zh-CN"/>
              </w:rPr>
              <w:t>每出现一条负偏离，扣</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w:t>
            </w:r>
            <w:r>
              <w:rPr>
                <w:rFonts w:hint="eastAsia" w:cs="宋体"/>
                <w:color w:val="auto"/>
                <w:sz w:val="24"/>
                <w:szCs w:val="24"/>
                <w:highlight w:val="none"/>
                <w:lang w:val="en-US" w:eastAsia="zh-CN"/>
              </w:rPr>
              <w:t>，</w:t>
            </w:r>
            <w:r>
              <w:rPr>
                <w:rFonts w:hint="eastAsia" w:cs="宋体"/>
                <w:color w:val="auto"/>
                <w:szCs w:val="24"/>
                <w:highlight w:val="none"/>
                <w:lang w:val="en-US" w:eastAsia="zh-CN"/>
              </w:rPr>
              <w:t>最多扣9分</w:t>
            </w:r>
            <w:r>
              <w:rPr>
                <w:rFonts w:hint="eastAsia" w:cs="宋体"/>
                <w:color w:val="auto"/>
                <w:szCs w:val="24"/>
                <w:highlight w:val="none"/>
                <w:lang w:eastAsia="zh-CN"/>
              </w:rPr>
              <w:t>；</w:t>
            </w:r>
            <w:r>
              <w:rPr>
                <w:rFonts w:hint="eastAsia" w:cs="宋体"/>
                <w:color w:val="auto"/>
                <w:szCs w:val="24"/>
                <w:highlight w:val="none"/>
                <w:lang w:val="en-US" w:eastAsia="zh-CN"/>
              </w:rPr>
              <w:t>未标注“</w:t>
            </w:r>
            <w:r>
              <w:rPr>
                <w:rFonts w:hint="eastAsia" w:ascii="宋体" w:hAnsi="宋体" w:eastAsia="宋体" w:cs="宋体"/>
                <w:i w:val="0"/>
                <w:iCs w:val="0"/>
                <w:color w:val="000000"/>
                <w:sz w:val="20"/>
                <w:szCs w:val="20"/>
                <w:u w:val="none"/>
              </w:rPr>
              <w:t>▲</w:t>
            </w:r>
            <w:r>
              <w:rPr>
                <w:rFonts w:hint="eastAsia" w:cs="宋体"/>
                <w:color w:val="auto"/>
                <w:szCs w:val="24"/>
                <w:highlight w:val="none"/>
                <w:lang w:val="en-US" w:eastAsia="zh-CN"/>
              </w:rPr>
              <w:t>”为一般技术参数，</w:t>
            </w:r>
            <w:r>
              <w:rPr>
                <w:rFonts w:hint="eastAsia" w:ascii="宋体" w:hAnsi="宋体" w:eastAsia="宋体" w:cs="宋体"/>
                <w:color w:val="auto"/>
                <w:sz w:val="24"/>
                <w:szCs w:val="24"/>
                <w:highlight w:val="none"/>
                <w:lang w:eastAsia="zh-CN"/>
              </w:rPr>
              <w:t>每出现一条负偏离，扣</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分</w:t>
            </w:r>
            <w:r>
              <w:rPr>
                <w:rFonts w:hint="eastAsia" w:cs="宋体"/>
                <w:color w:val="auto"/>
                <w:sz w:val="24"/>
                <w:szCs w:val="24"/>
                <w:highlight w:val="none"/>
                <w:lang w:val="en-US" w:eastAsia="zh-CN"/>
              </w:rPr>
              <w:t>，</w:t>
            </w:r>
            <w:r>
              <w:rPr>
                <w:rFonts w:hint="eastAsia" w:cs="宋体"/>
                <w:color w:val="auto"/>
                <w:szCs w:val="24"/>
                <w:highlight w:val="none"/>
                <w:lang w:val="en-US" w:eastAsia="zh-CN"/>
              </w:rPr>
              <w:t>最多扣14分</w:t>
            </w:r>
            <w:r>
              <w:rPr>
                <w:rFonts w:hint="eastAsia" w:cs="宋体"/>
                <w:color w:val="auto"/>
                <w:szCs w:val="24"/>
                <w:highlight w:val="none"/>
                <w:lang w:eastAsia="zh-CN"/>
              </w:rPr>
              <w:t>；</w:t>
            </w:r>
            <w:r>
              <w:rPr>
                <w:rFonts w:hint="eastAsia" w:cs="宋体"/>
                <w:color w:val="auto"/>
                <w:szCs w:val="24"/>
                <w:highlight w:val="none"/>
                <w:lang w:val="en-US" w:eastAsia="zh-CN"/>
              </w:rPr>
              <w:t>扣完23分为止。</w:t>
            </w:r>
          </w:p>
          <w:p w14:paraId="3CA3C95A">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注：(1)技术参数中有具体数值参数要求的及有具体功能要求的，必须提供技术参数或功能实现的相关证明材料，相关证明材料包含但不限于提供响应产品彩页或检验检测报告或功能截图或证书或厂家使用说明书</w:t>
            </w:r>
            <w:r>
              <w:rPr>
                <w:rFonts w:hint="eastAsia" w:cs="宋体"/>
                <w:color w:val="auto"/>
                <w:szCs w:val="24"/>
                <w:highlight w:val="none"/>
                <w:lang w:val="en-US" w:eastAsia="zh-CN"/>
              </w:rPr>
              <w:t>或技术白皮书</w:t>
            </w:r>
            <w:r>
              <w:rPr>
                <w:rFonts w:hint="eastAsia" w:ascii="宋体" w:hAnsi="宋体" w:eastAsia="宋体" w:cs="宋体"/>
                <w:color w:val="auto"/>
                <w:szCs w:val="24"/>
                <w:highlight w:val="none"/>
              </w:rPr>
              <w:t>等证明材料</w:t>
            </w:r>
            <w:r>
              <w:rPr>
                <w:rFonts w:hint="eastAsia" w:ascii="宋体" w:hAnsi="宋体" w:eastAsia="宋体" w:cs="宋体"/>
                <w:color w:val="auto"/>
                <w:szCs w:val="24"/>
                <w:highlight w:val="none"/>
                <w:lang w:eastAsia="zh-CN"/>
              </w:rPr>
              <w:t>；未提供证明材料或无法证明满足参数要求的，视为不响应该条技术参数</w:t>
            </w:r>
            <w:r>
              <w:rPr>
                <w:rFonts w:hint="eastAsia" w:ascii="宋体" w:hAnsi="宋体" w:eastAsia="宋体" w:cs="宋体"/>
                <w:color w:val="auto"/>
                <w:szCs w:val="24"/>
                <w:highlight w:val="none"/>
              </w:rPr>
              <w:t>。</w:t>
            </w:r>
          </w:p>
          <w:p w14:paraId="77E25362">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（2）若投标文件中技术支持资料参数与技术规格偏离表应答</w:t>
            </w:r>
            <w:r>
              <w:rPr>
                <w:rFonts w:hint="eastAsia" w:cs="宋体"/>
                <w:color w:val="auto"/>
                <w:szCs w:val="24"/>
                <w:highlight w:val="none"/>
                <w:lang w:val="en-US" w:eastAsia="zh-CN"/>
              </w:rPr>
              <w:t>不一致</w:t>
            </w:r>
            <w:r>
              <w:rPr>
                <w:rFonts w:hint="eastAsia" w:ascii="宋体" w:hAnsi="宋体" w:eastAsia="宋体" w:cs="宋体"/>
                <w:color w:val="auto"/>
                <w:szCs w:val="24"/>
                <w:highlight w:val="none"/>
              </w:rPr>
              <w:t>，</w:t>
            </w:r>
            <w:r>
              <w:rPr>
                <w:rFonts w:hint="eastAsia" w:cs="宋体"/>
                <w:color w:val="auto"/>
                <w:szCs w:val="24"/>
                <w:highlight w:val="none"/>
                <w:lang w:val="en-US" w:eastAsia="zh-CN"/>
              </w:rPr>
              <w:t>且</w:t>
            </w:r>
            <w:r>
              <w:rPr>
                <w:rFonts w:hint="eastAsia" w:ascii="宋体" w:hAnsi="宋体" w:eastAsia="宋体" w:cs="宋体"/>
                <w:color w:val="auto"/>
                <w:szCs w:val="24"/>
                <w:highlight w:val="none"/>
              </w:rPr>
              <w:t>未在投标文件中作出说明和解释的，视为不响应该条技术参数要求。</w:t>
            </w:r>
          </w:p>
          <w:p w14:paraId="7F9952FB">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Cs w:val="24"/>
                <w:highlight w:val="none"/>
              </w:rPr>
              <w:t>（</w:t>
            </w:r>
            <w:r>
              <w:rPr>
                <w:rFonts w:hint="eastAsia" w:cs="宋体"/>
                <w:color w:val="auto"/>
                <w:szCs w:val="24"/>
                <w:highlight w:val="none"/>
                <w:lang w:val="en-US" w:eastAsia="zh-CN"/>
              </w:rPr>
              <w:t>3</w:t>
            </w:r>
            <w:r>
              <w:rPr>
                <w:rFonts w:hint="eastAsia" w:ascii="宋体" w:hAnsi="宋体" w:eastAsia="宋体" w:cs="宋体"/>
                <w:color w:val="auto"/>
                <w:szCs w:val="24"/>
                <w:highlight w:val="none"/>
              </w:rPr>
              <w:t>）供应商须对本采购文件技术参数要求进行点对点应答,根据技术参数进行逐条逐项答复、说明和解释,在技术参数偏离表中标注产品实际参数值及在《投标文件》中的页码，</w:t>
            </w:r>
            <w:r>
              <w:rPr>
                <w:rFonts w:hint="eastAsia" w:cs="宋体"/>
                <w:color w:val="auto"/>
                <w:szCs w:val="24"/>
                <w:highlight w:val="none"/>
                <w:lang w:val="en-US" w:eastAsia="zh-CN"/>
              </w:rPr>
              <w:t>建议</w:t>
            </w:r>
            <w:r>
              <w:rPr>
                <w:rFonts w:hint="eastAsia" w:ascii="宋体" w:hAnsi="宋体" w:eastAsia="宋体" w:cs="宋体"/>
                <w:color w:val="auto"/>
                <w:szCs w:val="24"/>
                <w:highlight w:val="none"/>
              </w:rPr>
              <w:t>在证明材料中重点标出具体参数值，因未标注导致无法有效核对的，评标委员会有权要求澄清或不予认定该条参数响应有效。</w:t>
            </w:r>
          </w:p>
        </w:tc>
      </w:tr>
      <w:tr w14:paraId="15FC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7" w:type="pct"/>
            <w:vMerge w:val="continue"/>
            <w:noWrap w:val="0"/>
            <w:vAlign w:val="center"/>
          </w:tcPr>
          <w:p w14:paraId="338ADA4E">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000000"/>
                <w:szCs w:val="24"/>
                <w:highlight w:val="none"/>
              </w:rPr>
            </w:pPr>
          </w:p>
        </w:tc>
        <w:tc>
          <w:tcPr>
            <w:tcW w:w="408" w:type="pct"/>
            <w:tcBorders>
              <w:top w:val="single" w:color="auto" w:sz="4" w:space="0"/>
            </w:tcBorders>
            <w:noWrap w:val="0"/>
            <w:vAlign w:val="center"/>
          </w:tcPr>
          <w:p w14:paraId="2CCE5456">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pacing w:val="0"/>
                <w:kern w:val="0"/>
                <w:position w:val="0"/>
                <w:sz w:val="24"/>
                <w:szCs w:val="24"/>
                <w:highlight w:val="none"/>
                <w:lang w:eastAsia="zh-CN" w:bidi="ar-SA"/>
              </w:rPr>
              <w:t>供货计划</w:t>
            </w:r>
          </w:p>
        </w:tc>
        <w:tc>
          <w:tcPr>
            <w:tcW w:w="298" w:type="pct"/>
            <w:noWrap w:val="0"/>
            <w:vAlign w:val="center"/>
          </w:tcPr>
          <w:p w14:paraId="42578157">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center"/>
              <w:textAlignment w:val="auto"/>
              <w:rPr>
                <w:rFonts w:hint="default" w:ascii="宋体" w:hAnsi="宋体" w:eastAsia="宋体" w:cs="宋体"/>
                <w:color w:val="000000"/>
                <w:kern w:val="2"/>
                <w:sz w:val="24"/>
                <w:szCs w:val="24"/>
                <w:highlight w:val="none"/>
                <w:lang w:val="en-US" w:eastAsia="zh-CN" w:bidi="ar-SA"/>
              </w:rPr>
            </w:pPr>
            <w:r>
              <w:rPr>
                <w:rFonts w:hint="eastAsia" w:cs="宋体"/>
                <w:color w:val="000000"/>
                <w:kern w:val="2"/>
                <w:sz w:val="24"/>
                <w:szCs w:val="24"/>
                <w:highlight w:val="none"/>
                <w:lang w:val="en-US" w:eastAsia="zh-CN" w:bidi="ar-SA"/>
              </w:rPr>
              <w:t>3</w:t>
            </w:r>
          </w:p>
        </w:tc>
        <w:tc>
          <w:tcPr>
            <w:tcW w:w="3905" w:type="pct"/>
            <w:noWrap w:val="0"/>
            <w:vAlign w:val="center"/>
          </w:tcPr>
          <w:p w14:paraId="4A3F1199">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pacing w:val="0"/>
                <w:kern w:val="0"/>
                <w:position w:val="0"/>
                <w:sz w:val="24"/>
                <w:szCs w:val="24"/>
                <w:highlight w:val="none"/>
                <w:lang w:val="en-US" w:eastAsia="zh-CN" w:bidi="ar-SA"/>
              </w:rPr>
              <w:t>提供针对本项目的供货方案，包括：①供货计划及供货渠道；②供货流程安排及供货时间安排；③验收方案。每有一项内容得</w:t>
            </w:r>
            <w:r>
              <w:rPr>
                <w:rFonts w:hint="eastAsia" w:cs="宋体"/>
                <w:color w:val="000000"/>
                <w:spacing w:val="0"/>
                <w:kern w:val="0"/>
                <w:position w:val="0"/>
                <w:sz w:val="24"/>
                <w:szCs w:val="24"/>
                <w:highlight w:val="none"/>
                <w:lang w:val="en-US" w:eastAsia="zh-CN" w:bidi="ar-SA"/>
              </w:rPr>
              <w:t>1</w:t>
            </w:r>
            <w:r>
              <w:rPr>
                <w:rFonts w:hint="eastAsia" w:ascii="宋体" w:hAnsi="宋体" w:eastAsia="宋体" w:cs="宋体"/>
                <w:color w:val="000000"/>
                <w:spacing w:val="0"/>
                <w:kern w:val="0"/>
                <w:position w:val="0"/>
                <w:sz w:val="24"/>
                <w:szCs w:val="24"/>
                <w:highlight w:val="none"/>
                <w:lang w:val="en-US" w:eastAsia="zh-CN" w:bidi="ar-SA"/>
              </w:rPr>
              <w:t>分，</w:t>
            </w:r>
            <w:r>
              <w:rPr>
                <w:rFonts w:hint="eastAsia" w:cs="宋体"/>
                <w:color w:val="000000"/>
                <w:spacing w:val="0"/>
                <w:kern w:val="0"/>
                <w:position w:val="0"/>
                <w:sz w:val="24"/>
                <w:szCs w:val="24"/>
                <w:highlight w:val="none"/>
                <w:lang w:val="en-US" w:eastAsia="zh-CN" w:bidi="ar-SA"/>
              </w:rPr>
              <w:t>满分3分，</w:t>
            </w:r>
            <w:r>
              <w:rPr>
                <w:rFonts w:hint="eastAsia" w:ascii="宋体" w:hAnsi="宋体" w:eastAsia="宋体" w:cs="宋体"/>
                <w:color w:val="000000"/>
                <w:spacing w:val="0"/>
                <w:kern w:val="0"/>
                <w:position w:val="0"/>
                <w:sz w:val="24"/>
                <w:szCs w:val="24"/>
                <w:highlight w:val="none"/>
                <w:lang w:val="en-US" w:eastAsia="zh-CN" w:bidi="ar-SA"/>
              </w:rPr>
              <w:t>每小项内容存在缺陷的扣</w:t>
            </w:r>
            <w:r>
              <w:rPr>
                <w:rFonts w:hint="eastAsia" w:cs="宋体"/>
                <w:color w:val="000000"/>
                <w:spacing w:val="0"/>
                <w:kern w:val="0"/>
                <w:position w:val="0"/>
                <w:sz w:val="24"/>
                <w:szCs w:val="24"/>
                <w:highlight w:val="none"/>
                <w:lang w:val="en-US" w:eastAsia="zh-CN" w:bidi="ar-SA"/>
              </w:rPr>
              <w:t>0.5</w:t>
            </w:r>
            <w:r>
              <w:rPr>
                <w:rFonts w:hint="eastAsia" w:ascii="宋体" w:hAnsi="宋体" w:eastAsia="宋体" w:cs="宋体"/>
                <w:color w:val="000000"/>
                <w:spacing w:val="0"/>
                <w:kern w:val="0"/>
                <w:position w:val="0"/>
                <w:sz w:val="24"/>
                <w:szCs w:val="24"/>
                <w:highlight w:val="none"/>
                <w:lang w:val="en-US" w:eastAsia="zh-CN" w:bidi="ar-SA"/>
              </w:rPr>
              <w:t>分，扣完为止。（缺陷是指：与本项目采购标的无关、方案内容前后不一致、前后逻辑错误、涉及的相关规范及标准错误、地点区域错误、内容缺失、只有简单描述无实质性内容）</w:t>
            </w:r>
          </w:p>
        </w:tc>
      </w:tr>
      <w:tr w14:paraId="61FC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7" w:type="pct"/>
            <w:vMerge w:val="continue"/>
            <w:noWrap w:val="0"/>
            <w:vAlign w:val="center"/>
          </w:tcPr>
          <w:p w14:paraId="21226F42">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000000"/>
                <w:szCs w:val="24"/>
                <w:highlight w:val="none"/>
              </w:rPr>
            </w:pPr>
          </w:p>
        </w:tc>
        <w:tc>
          <w:tcPr>
            <w:tcW w:w="408" w:type="pct"/>
            <w:tcBorders>
              <w:top w:val="single" w:color="auto" w:sz="4" w:space="0"/>
            </w:tcBorders>
            <w:noWrap w:val="0"/>
            <w:vAlign w:val="center"/>
          </w:tcPr>
          <w:p w14:paraId="5655B02D">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培训方案</w:t>
            </w:r>
          </w:p>
        </w:tc>
        <w:tc>
          <w:tcPr>
            <w:tcW w:w="298" w:type="pct"/>
            <w:noWrap w:val="0"/>
            <w:vAlign w:val="center"/>
          </w:tcPr>
          <w:p w14:paraId="12D52E8C">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center"/>
              <w:textAlignment w:val="auto"/>
              <w:rPr>
                <w:rFonts w:hint="default" w:ascii="宋体" w:hAnsi="宋体" w:eastAsia="宋体" w:cs="宋体"/>
                <w:color w:val="000000"/>
                <w:szCs w:val="24"/>
                <w:highlight w:val="none"/>
                <w:lang w:val="en-US" w:eastAsia="zh-CN"/>
              </w:rPr>
            </w:pPr>
            <w:r>
              <w:rPr>
                <w:rFonts w:hint="eastAsia" w:cs="宋体"/>
                <w:color w:val="000000"/>
                <w:szCs w:val="24"/>
                <w:highlight w:val="none"/>
                <w:lang w:val="en-US" w:eastAsia="zh-CN"/>
              </w:rPr>
              <w:t>2</w:t>
            </w:r>
          </w:p>
        </w:tc>
        <w:tc>
          <w:tcPr>
            <w:tcW w:w="3905" w:type="pct"/>
            <w:noWrap w:val="0"/>
            <w:vAlign w:val="center"/>
          </w:tcPr>
          <w:p w14:paraId="3D59299B">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投标人提供针对本项目的培训方案，包括但不限于培训方式、培训内容、培训计划、培训服务承诺等。</w:t>
            </w:r>
          </w:p>
          <w:p w14:paraId="516140CA">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提供的以上全部内容的培训方案且满足采购需求的得</w:t>
            </w:r>
            <w:r>
              <w:rPr>
                <w:rFonts w:hint="eastAsia" w:cs="宋体"/>
                <w:color w:val="000000"/>
                <w:szCs w:val="24"/>
                <w:highlight w:val="none"/>
                <w:lang w:val="en-US" w:eastAsia="zh-CN"/>
              </w:rPr>
              <w:t>2</w:t>
            </w:r>
            <w:r>
              <w:rPr>
                <w:rFonts w:hint="eastAsia" w:ascii="宋体" w:hAnsi="宋体" w:eastAsia="宋体" w:cs="宋体"/>
                <w:color w:val="000000"/>
                <w:szCs w:val="24"/>
                <w:highlight w:val="none"/>
              </w:rPr>
              <w:t>分；每缺少1项内容扣</w:t>
            </w:r>
            <w:r>
              <w:rPr>
                <w:rFonts w:hint="eastAsia" w:cs="宋体"/>
                <w:color w:val="000000"/>
                <w:szCs w:val="24"/>
                <w:highlight w:val="none"/>
                <w:lang w:val="en-US" w:eastAsia="zh-CN"/>
              </w:rPr>
              <w:t>0.5</w:t>
            </w:r>
            <w:r>
              <w:rPr>
                <w:rFonts w:hint="eastAsia" w:ascii="宋体" w:hAnsi="宋体" w:eastAsia="宋体" w:cs="宋体"/>
                <w:color w:val="000000"/>
                <w:szCs w:val="24"/>
                <w:highlight w:val="none"/>
              </w:rPr>
              <w:t>分，方案中每有一处缺陷或不完善的扣0.5分，扣完为止。“缺陷或瑕疵”指方案项目名称、项目编号与本项目要求不符；仅有标题；涉及的规范及技术标准错误；方案内容与本项目需求无关；前后内容矛盾、无连贯性，存在逻辑漏洞、常识错误。</w:t>
            </w:r>
          </w:p>
        </w:tc>
      </w:tr>
      <w:tr w14:paraId="3A53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7" w:type="pct"/>
            <w:vMerge w:val="continue"/>
            <w:noWrap w:val="0"/>
            <w:vAlign w:val="center"/>
          </w:tcPr>
          <w:p w14:paraId="7F2B92D3">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000000"/>
                <w:szCs w:val="24"/>
                <w:highlight w:val="none"/>
              </w:rPr>
            </w:pPr>
          </w:p>
        </w:tc>
        <w:tc>
          <w:tcPr>
            <w:tcW w:w="408" w:type="pct"/>
            <w:tcBorders>
              <w:top w:val="single" w:color="auto" w:sz="4" w:space="0"/>
            </w:tcBorders>
            <w:noWrap w:val="0"/>
            <w:vAlign w:val="center"/>
          </w:tcPr>
          <w:p w14:paraId="67A68E59">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000000"/>
                <w:spacing w:val="0"/>
                <w:kern w:val="0"/>
                <w:position w:val="0"/>
                <w:sz w:val="24"/>
                <w:szCs w:val="24"/>
                <w:highlight w:val="none"/>
                <w:lang w:val="en-US" w:eastAsia="zh-CN" w:bidi="ar-SA"/>
              </w:rPr>
            </w:pPr>
            <w:r>
              <w:rPr>
                <w:rFonts w:hint="eastAsia" w:ascii="宋体" w:hAnsi="宋体" w:eastAsia="宋体" w:cs="宋体"/>
                <w:color w:val="000000"/>
                <w:spacing w:val="0"/>
                <w:kern w:val="0"/>
                <w:position w:val="0"/>
                <w:sz w:val="24"/>
                <w:szCs w:val="24"/>
                <w:highlight w:val="none"/>
                <w:lang w:val="en-US" w:eastAsia="zh-CN" w:bidi="ar-SA"/>
              </w:rPr>
              <w:t>应急服务方案</w:t>
            </w:r>
          </w:p>
        </w:tc>
        <w:tc>
          <w:tcPr>
            <w:tcW w:w="298" w:type="pct"/>
            <w:noWrap w:val="0"/>
            <w:vAlign w:val="center"/>
          </w:tcPr>
          <w:p w14:paraId="7F0342F0">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center"/>
              <w:textAlignment w:val="auto"/>
              <w:rPr>
                <w:rFonts w:hint="default" w:ascii="宋体" w:hAnsi="宋体" w:eastAsia="宋体" w:cs="宋体"/>
                <w:color w:val="000000"/>
                <w:spacing w:val="0"/>
                <w:kern w:val="0"/>
                <w:position w:val="0"/>
                <w:sz w:val="24"/>
                <w:szCs w:val="24"/>
                <w:highlight w:val="none"/>
                <w:lang w:val="en-US" w:eastAsia="zh-CN" w:bidi="ar-SA"/>
              </w:rPr>
            </w:pPr>
            <w:r>
              <w:rPr>
                <w:rFonts w:hint="eastAsia" w:cs="宋体"/>
                <w:color w:val="000000"/>
                <w:spacing w:val="0"/>
                <w:kern w:val="0"/>
                <w:position w:val="0"/>
                <w:sz w:val="24"/>
                <w:szCs w:val="24"/>
                <w:highlight w:val="none"/>
                <w:lang w:val="en-US" w:eastAsia="zh-CN" w:bidi="ar-SA"/>
              </w:rPr>
              <w:t>2</w:t>
            </w:r>
          </w:p>
        </w:tc>
        <w:tc>
          <w:tcPr>
            <w:tcW w:w="3905" w:type="pct"/>
            <w:noWrap w:val="0"/>
            <w:vAlign w:val="center"/>
          </w:tcPr>
          <w:p w14:paraId="3AAF961F">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000000"/>
                <w:spacing w:val="0"/>
                <w:kern w:val="0"/>
                <w:position w:val="0"/>
                <w:sz w:val="24"/>
                <w:szCs w:val="24"/>
                <w:highlight w:val="none"/>
                <w:lang w:val="en-US" w:eastAsia="zh-CN" w:bidi="ar-SA"/>
              </w:rPr>
            </w:pPr>
            <w:r>
              <w:rPr>
                <w:rFonts w:hint="eastAsia" w:ascii="宋体" w:hAnsi="宋体" w:eastAsia="宋体" w:cs="宋体"/>
                <w:color w:val="000000"/>
                <w:spacing w:val="0"/>
                <w:kern w:val="0"/>
                <w:position w:val="0"/>
                <w:sz w:val="24"/>
                <w:szCs w:val="24"/>
                <w:highlight w:val="none"/>
                <w:lang w:val="en-US" w:eastAsia="zh-CN" w:bidi="ar-SA"/>
              </w:rPr>
              <w:t>提供针对本项目的应急服务方案，包括：①故障处理；②应急程序。每有一项内容得</w:t>
            </w:r>
            <w:r>
              <w:rPr>
                <w:rFonts w:hint="eastAsia" w:cs="宋体"/>
                <w:color w:val="000000"/>
                <w:spacing w:val="0"/>
                <w:kern w:val="0"/>
                <w:position w:val="0"/>
                <w:sz w:val="24"/>
                <w:szCs w:val="24"/>
                <w:highlight w:val="none"/>
                <w:lang w:val="en-US" w:eastAsia="zh-CN" w:bidi="ar-SA"/>
              </w:rPr>
              <w:t>1</w:t>
            </w:r>
            <w:r>
              <w:rPr>
                <w:rFonts w:hint="eastAsia" w:ascii="宋体" w:hAnsi="宋体" w:eastAsia="宋体" w:cs="宋体"/>
                <w:color w:val="000000"/>
                <w:spacing w:val="0"/>
                <w:kern w:val="0"/>
                <w:position w:val="0"/>
                <w:sz w:val="24"/>
                <w:szCs w:val="24"/>
                <w:highlight w:val="none"/>
                <w:lang w:val="en-US" w:eastAsia="zh-CN" w:bidi="ar-SA"/>
              </w:rPr>
              <w:t>分，</w:t>
            </w:r>
            <w:r>
              <w:rPr>
                <w:rFonts w:hint="eastAsia" w:cs="宋体"/>
                <w:color w:val="000000"/>
                <w:spacing w:val="0"/>
                <w:kern w:val="0"/>
                <w:position w:val="0"/>
                <w:sz w:val="24"/>
                <w:szCs w:val="24"/>
                <w:highlight w:val="none"/>
                <w:lang w:val="en-US" w:eastAsia="zh-CN" w:bidi="ar-SA"/>
              </w:rPr>
              <w:t>满分2分，</w:t>
            </w:r>
            <w:r>
              <w:rPr>
                <w:rFonts w:hint="eastAsia" w:ascii="宋体" w:hAnsi="宋体" w:eastAsia="宋体" w:cs="宋体"/>
                <w:color w:val="000000"/>
                <w:spacing w:val="0"/>
                <w:kern w:val="0"/>
                <w:position w:val="0"/>
                <w:sz w:val="24"/>
                <w:szCs w:val="24"/>
                <w:highlight w:val="none"/>
                <w:lang w:val="en-US" w:eastAsia="zh-CN" w:bidi="ar-SA"/>
              </w:rPr>
              <w:t>每小项内容存在缺陷的扣0.5分，扣完为止。（缺陷是指：与本项目采购标的无关、方案内容前后不一致、前后逻辑错误、涉及的相关规范及标准错误、地点区域错误、内容缺失、只有简单描述无实质性内容）</w:t>
            </w:r>
          </w:p>
        </w:tc>
      </w:tr>
      <w:tr w14:paraId="4DE4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pct"/>
            <w:gridSpan w:val="2"/>
            <w:noWrap w:val="0"/>
            <w:vAlign w:val="center"/>
          </w:tcPr>
          <w:p w14:paraId="52183859">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合计</w:t>
            </w:r>
          </w:p>
        </w:tc>
        <w:tc>
          <w:tcPr>
            <w:tcW w:w="298" w:type="pct"/>
            <w:tcBorders>
              <w:bottom w:val="single" w:color="auto" w:sz="4" w:space="0"/>
            </w:tcBorders>
            <w:noWrap w:val="0"/>
            <w:vAlign w:val="center"/>
          </w:tcPr>
          <w:p w14:paraId="77E87C79">
            <w:pPr>
              <w:pStyle w:val="37"/>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fldChar w:fldCharType="begin"/>
            </w:r>
            <w:r>
              <w:rPr>
                <w:rFonts w:hint="eastAsia" w:ascii="宋体" w:hAnsi="宋体" w:eastAsia="宋体" w:cs="宋体"/>
                <w:color w:val="000000"/>
                <w:szCs w:val="24"/>
                <w:highlight w:val="none"/>
              </w:rPr>
              <w:instrText xml:space="preserve"> =SUM(ABOVE) </w:instrText>
            </w:r>
            <w:r>
              <w:rPr>
                <w:rFonts w:hint="eastAsia" w:ascii="宋体" w:hAnsi="宋体" w:eastAsia="宋体" w:cs="宋体"/>
                <w:color w:val="000000"/>
                <w:szCs w:val="24"/>
                <w:highlight w:val="none"/>
              </w:rPr>
              <w:fldChar w:fldCharType="separate"/>
            </w:r>
            <w:r>
              <w:rPr>
                <w:rFonts w:hint="eastAsia" w:ascii="宋体" w:hAnsi="宋体" w:eastAsia="宋体" w:cs="宋体"/>
                <w:color w:val="000000"/>
                <w:szCs w:val="24"/>
                <w:highlight w:val="none"/>
              </w:rPr>
              <w:t>100</w:t>
            </w:r>
            <w:r>
              <w:rPr>
                <w:rFonts w:hint="eastAsia" w:ascii="宋体" w:hAnsi="宋体" w:eastAsia="宋体" w:cs="宋体"/>
                <w:color w:val="000000"/>
                <w:szCs w:val="24"/>
                <w:highlight w:val="none"/>
              </w:rPr>
              <w:fldChar w:fldCharType="end"/>
            </w:r>
            <w:r>
              <w:rPr>
                <w:rFonts w:hint="eastAsia" w:ascii="宋体" w:hAnsi="宋体" w:eastAsia="宋体" w:cs="宋体"/>
                <w:color w:val="000000"/>
                <w:szCs w:val="24"/>
                <w:highlight w:val="none"/>
              </w:rPr>
              <w:t>分</w:t>
            </w:r>
          </w:p>
        </w:tc>
        <w:tc>
          <w:tcPr>
            <w:tcW w:w="3905" w:type="pct"/>
            <w:tcBorders>
              <w:bottom w:val="single" w:color="auto" w:sz="4" w:space="0"/>
            </w:tcBorders>
            <w:noWrap w:val="0"/>
            <w:vAlign w:val="center"/>
          </w:tcPr>
          <w:p w14:paraId="17BC430D">
            <w:pPr>
              <w:pStyle w:val="37"/>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000000"/>
                <w:szCs w:val="24"/>
                <w:highlight w:val="none"/>
              </w:rPr>
            </w:pPr>
          </w:p>
        </w:tc>
      </w:tr>
    </w:tbl>
    <w:p w14:paraId="02D201B5">
      <w:pPr>
        <w:pStyle w:val="36"/>
        <w:rPr>
          <w:rFonts w:hint="eastAsia" w:ascii="宋体" w:hAnsi="宋体" w:eastAsia="宋体" w:cs="宋体"/>
          <w:color w:val="auto"/>
          <w:highlight w:val="none"/>
        </w:rPr>
      </w:pPr>
    </w:p>
    <w:p w14:paraId="67BBA5D0">
      <w:pPr>
        <w:pStyle w:val="36"/>
        <w:rPr>
          <w:rFonts w:hint="eastAsia" w:ascii="宋体" w:hAnsi="宋体" w:eastAsia="宋体" w:cs="宋体"/>
          <w:color w:val="auto"/>
          <w:highlight w:val="none"/>
        </w:rPr>
      </w:pPr>
    </w:p>
    <w:p w14:paraId="710EB6DA">
      <w:pPr>
        <w:pStyle w:val="36"/>
        <w:rPr>
          <w:rFonts w:hint="eastAsia" w:ascii="宋体" w:hAnsi="宋体" w:eastAsia="宋体" w:cs="宋体"/>
          <w:color w:val="auto"/>
          <w:highlight w:val="none"/>
        </w:rPr>
      </w:pPr>
    </w:p>
    <w:p w14:paraId="0B1EF3D3">
      <w:pPr>
        <w:pStyle w:val="36"/>
        <w:ind w:left="0" w:leftChars="0" w:firstLine="0" w:firstLineChars="0"/>
        <w:rPr>
          <w:rFonts w:hint="eastAsia" w:ascii="宋体" w:hAnsi="宋体" w:eastAsia="宋体" w:cs="宋体"/>
          <w:color w:val="auto"/>
          <w:highlight w:val="none"/>
        </w:rPr>
      </w:pPr>
    </w:p>
    <w:p w14:paraId="3FDAA7CB">
      <w:pPr>
        <w:pStyle w:val="36"/>
        <w:ind w:left="0" w:leftChars="0" w:firstLine="0" w:firstLineChars="0"/>
        <w:rPr>
          <w:rFonts w:hint="eastAsia" w:ascii="宋体" w:hAnsi="宋体" w:eastAsia="宋体" w:cs="宋体"/>
          <w:color w:val="auto"/>
          <w:highlight w:val="none"/>
        </w:rPr>
      </w:pPr>
    </w:p>
    <w:p w14:paraId="188705B7">
      <w:pPr>
        <w:pStyle w:val="36"/>
        <w:ind w:left="0" w:leftChars="0" w:firstLine="0" w:firstLineChars="0"/>
        <w:rPr>
          <w:rFonts w:hint="eastAsia" w:ascii="宋体" w:hAnsi="宋体" w:eastAsia="宋体" w:cs="宋体"/>
          <w:color w:val="auto"/>
          <w:highlight w:val="none"/>
        </w:rPr>
      </w:pPr>
    </w:p>
    <w:p w14:paraId="0A308118">
      <w:pPr>
        <w:pStyle w:val="36"/>
        <w:ind w:left="0" w:leftChars="0" w:firstLine="0" w:firstLineChars="0"/>
        <w:rPr>
          <w:rFonts w:hint="eastAsia" w:ascii="宋体" w:hAnsi="宋体" w:eastAsia="宋体" w:cs="宋体"/>
          <w:color w:val="auto"/>
          <w:highlight w:val="none"/>
        </w:rPr>
      </w:pPr>
    </w:p>
    <w:p w14:paraId="0C97A5E2">
      <w:pPr>
        <w:pStyle w:val="36"/>
        <w:ind w:left="0" w:leftChars="0" w:firstLine="0" w:firstLineChars="0"/>
        <w:rPr>
          <w:rFonts w:hint="eastAsia" w:ascii="宋体" w:hAnsi="宋体" w:eastAsia="宋体" w:cs="宋体"/>
          <w:color w:val="auto"/>
          <w:highlight w:val="none"/>
        </w:rPr>
      </w:pPr>
    </w:p>
    <w:p w14:paraId="5A0CC6B9">
      <w:pPr>
        <w:pStyle w:val="36"/>
        <w:ind w:left="0" w:leftChars="0" w:firstLine="0" w:firstLineChars="0"/>
        <w:rPr>
          <w:rFonts w:hint="eastAsia" w:ascii="宋体" w:hAnsi="宋体" w:eastAsia="宋体" w:cs="宋体"/>
          <w:color w:val="auto"/>
          <w:highlight w:val="none"/>
        </w:rPr>
      </w:pPr>
    </w:p>
    <w:p w14:paraId="5388E2CF">
      <w:pPr>
        <w:pStyle w:val="36"/>
        <w:ind w:left="0" w:leftChars="0" w:firstLine="0" w:firstLineChars="0"/>
        <w:rPr>
          <w:rFonts w:hint="eastAsia" w:ascii="宋体" w:hAnsi="宋体" w:eastAsia="宋体" w:cs="宋体"/>
          <w:color w:val="auto"/>
          <w:highlight w:val="none"/>
        </w:rPr>
      </w:pPr>
    </w:p>
    <w:p w14:paraId="0D5F7F5B">
      <w:pPr>
        <w:pStyle w:val="36"/>
        <w:ind w:left="0" w:leftChars="0" w:firstLine="0" w:firstLineChars="0"/>
        <w:rPr>
          <w:rFonts w:hint="eastAsia" w:ascii="宋体" w:hAnsi="宋体" w:eastAsia="宋体" w:cs="宋体"/>
          <w:color w:val="auto"/>
          <w:highlight w:val="none"/>
        </w:rPr>
      </w:pPr>
    </w:p>
    <w:p w14:paraId="2AA43AF3">
      <w:pPr>
        <w:pStyle w:val="36"/>
        <w:ind w:left="0" w:leftChars="0" w:firstLine="0" w:firstLineChars="0"/>
        <w:rPr>
          <w:rFonts w:hint="eastAsia" w:ascii="宋体" w:hAnsi="宋体" w:eastAsia="宋体" w:cs="宋体"/>
          <w:color w:val="auto"/>
          <w:highlight w:val="none"/>
        </w:rPr>
      </w:pPr>
    </w:p>
    <w:p w14:paraId="6FA7B897">
      <w:pPr>
        <w:pStyle w:val="36"/>
        <w:ind w:left="0" w:leftChars="0" w:firstLine="0" w:firstLineChars="0"/>
        <w:rPr>
          <w:rFonts w:hint="eastAsia" w:ascii="宋体" w:hAnsi="宋体" w:eastAsia="宋体" w:cs="宋体"/>
          <w:color w:val="auto"/>
          <w:highlight w:val="none"/>
        </w:rPr>
      </w:pPr>
    </w:p>
    <w:p w14:paraId="0754ED81">
      <w:pPr>
        <w:pStyle w:val="36"/>
        <w:ind w:left="0" w:leftChars="0" w:firstLine="0" w:firstLineChars="0"/>
        <w:rPr>
          <w:rFonts w:hint="eastAsia" w:ascii="宋体" w:hAnsi="宋体" w:eastAsia="宋体" w:cs="宋体"/>
          <w:color w:val="auto"/>
          <w:highlight w:val="none"/>
        </w:rPr>
      </w:pPr>
    </w:p>
    <w:p w14:paraId="638656DE">
      <w:pPr>
        <w:pStyle w:val="36"/>
        <w:ind w:left="0" w:leftChars="0" w:firstLine="0" w:firstLineChars="0"/>
        <w:rPr>
          <w:rFonts w:hint="eastAsia" w:ascii="宋体" w:hAnsi="宋体" w:eastAsia="宋体" w:cs="宋体"/>
          <w:color w:val="auto"/>
          <w:highlight w:val="none"/>
        </w:rPr>
      </w:pPr>
    </w:p>
    <w:p w14:paraId="6FD625A7">
      <w:pPr>
        <w:pStyle w:val="2"/>
        <w:spacing w:before="220" w:after="220" w:line="480" w:lineRule="auto"/>
        <w:ind w:left="420" w:hanging="420"/>
        <w:jc w:val="center"/>
        <w:rPr>
          <w:rFonts w:hint="eastAsia" w:ascii="宋体" w:hAnsi="宋体" w:eastAsia="宋体" w:cs="宋体"/>
          <w:color w:val="auto"/>
          <w:highlight w:val="none"/>
          <w:lang w:val="zh-CN"/>
        </w:rPr>
      </w:pPr>
      <w:bookmarkStart w:id="529" w:name="_Toc155185918"/>
      <w:bookmarkStart w:id="530" w:name="_Toc10751"/>
      <w:bookmarkStart w:id="531" w:name="_Toc24636"/>
      <w:r>
        <w:rPr>
          <w:rFonts w:hint="eastAsia" w:ascii="宋体" w:hAnsi="宋体" w:eastAsia="宋体" w:cs="宋体"/>
          <w:bCs/>
          <w:color w:val="auto"/>
          <w:sz w:val="36"/>
          <w:szCs w:val="36"/>
          <w:highlight w:val="none"/>
          <w:lang w:val="zh-CN"/>
        </w:rPr>
        <w:t>第六章 合同</w:t>
      </w:r>
      <w:bookmarkEnd w:id="529"/>
      <w:r>
        <w:rPr>
          <w:rFonts w:hint="eastAsia" w:ascii="宋体" w:hAnsi="宋体" w:eastAsia="宋体" w:cs="宋体"/>
          <w:bCs/>
          <w:color w:val="auto"/>
          <w:sz w:val="36"/>
          <w:szCs w:val="36"/>
          <w:highlight w:val="none"/>
          <w:lang w:val="zh-CN"/>
        </w:rPr>
        <w:t>草案</w:t>
      </w:r>
      <w:bookmarkEnd w:id="530"/>
      <w:bookmarkEnd w:id="531"/>
    </w:p>
    <w:p w14:paraId="4800B8CB">
      <w:pPr>
        <w:wordWrap w:val="0"/>
        <w:jc w:val="center"/>
        <w:rPr>
          <w:rFonts w:hint="eastAsia" w:ascii="宋体" w:hAnsi="宋体" w:eastAsia="宋体" w:cs="宋体"/>
          <w:bCs/>
          <w:color w:val="auto"/>
          <w:szCs w:val="24"/>
          <w:highlight w:val="none"/>
        </w:rPr>
      </w:pPr>
      <w:r>
        <w:rPr>
          <w:rFonts w:hint="eastAsia" w:ascii="宋体" w:hAnsi="宋体" w:eastAsia="宋体" w:cs="宋体"/>
          <w:color w:val="auto"/>
          <w:szCs w:val="24"/>
          <w:highlight w:val="none"/>
        </w:rPr>
        <w:t>【此合同书仅作为签订正式合同时的参考，正式合同书应包括本参考格式的内容】</w:t>
      </w:r>
    </w:p>
    <w:p w14:paraId="1F1A7100">
      <w:pPr>
        <w:spacing w:before="312" w:beforeLines="100" w:after="468" w:afterLines="150"/>
        <w:jc w:val="center"/>
        <w:rPr>
          <w:rFonts w:hint="eastAsia" w:ascii="黑体" w:hAnsi="黑体" w:eastAsia="黑体" w:cs="黑体"/>
          <w:b/>
          <w:bCs/>
          <w:color w:val="auto"/>
          <w:sz w:val="72"/>
          <w:szCs w:val="72"/>
        </w:rPr>
      </w:pPr>
      <w:bookmarkStart w:id="532" w:name="_Toc5888"/>
      <w:bookmarkStart w:id="533" w:name="_Toc155185919"/>
      <w:r>
        <w:rPr>
          <w:rFonts w:hint="eastAsia" w:ascii="黑体" w:hAnsi="黑体" w:eastAsia="黑体" w:cs="黑体"/>
          <w:b/>
          <w:bCs/>
          <w:color w:val="auto"/>
          <w:sz w:val="72"/>
          <w:szCs w:val="72"/>
        </w:rPr>
        <w:t>政</w:t>
      </w:r>
    </w:p>
    <w:p w14:paraId="13DCD121">
      <w:pPr>
        <w:spacing w:before="312" w:beforeLines="100" w:after="468" w:afterLines="150"/>
        <w:jc w:val="center"/>
        <w:rPr>
          <w:rFonts w:hint="eastAsia" w:ascii="黑体" w:hAnsi="黑体" w:eastAsia="黑体" w:cs="黑体"/>
          <w:b/>
          <w:bCs/>
          <w:color w:val="auto"/>
          <w:sz w:val="72"/>
          <w:szCs w:val="72"/>
        </w:rPr>
      </w:pPr>
      <w:r>
        <w:rPr>
          <w:rFonts w:hint="eastAsia" w:ascii="黑体" w:hAnsi="黑体" w:eastAsia="黑体" w:cs="黑体"/>
          <w:b/>
          <w:bCs/>
          <w:color w:val="auto"/>
          <w:sz w:val="72"/>
          <w:szCs w:val="72"/>
        </w:rPr>
        <w:t>府</w:t>
      </w:r>
    </w:p>
    <w:p w14:paraId="67C1633C">
      <w:pPr>
        <w:spacing w:before="312" w:beforeLines="100" w:after="468" w:afterLines="150"/>
        <w:jc w:val="center"/>
        <w:rPr>
          <w:rFonts w:hint="eastAsia" w:ascii="黑体" w:hAnsi="黑体" w:eastAsia="黑体" w:cs="黑体"/>
          <w:b/>
          <w:bCs/>
          <w:color w:val="auto"/>
          <w:sz w:val="72"/>
          <w:szCs w:val="72"/>
        </w:rPr>
      </w:pPr>
      <w:r>
        <w:rPr>
          <w:rFonts w:hint="eastAsia" w:ascii="黑体" w:hAnsi="黑体" w:eastAsia="黑体" w:cs="黑体"/>
          <w:b/>
          <w:bCs/>
          <w:color w:val="auto"/>
          <w:sz w:val="72"/>
          <w:szCs w:val="72"/>
        </w:rPr>
        <w:t>采</w:t>
      </w:r>
    </w:p>
    <w:p w14:paraId="1B9B19C8">
      <w:pPr>
        <w:spacing w:before="312" w:beforeLines="100" w:after="468" w:afterLines="150"/>
        <w:jc w:val="center"/>
        <w:rPr>
          <w:rFonts w:hint="eastAsia" w:ascii="黑体" w:hAnsi="黑体" w:eastAsia="黑体" w:cs="黑体"/>
          <w:b/>
          <w:bCs/>
          <w:color w:val="auto"/>
          <w:sz w:val="72"/>
          <w:szCs w:val="72"/>
        </w:rPr>
      </w:pPr>
      <w:r>
        <w:rPr>
          <w:rFonts w:hint="eastAsia" w:ascii="黑体" w:hAnsi="黑体" w:eastAsia="黑体" w:cs="黑体"/>
          <w:b/>
          <w:bCs/>
          <w:color w:val="auto"/>
          <w:sz w:val="72"/>
          <w:szCs w:val="72"/>
        </w:rPr>
        <w:t>购</w:t>
      </w:r>
    </w:p>
    <w:p w14:paraId="1D73DF56">
      <w:pPr>
        <w:spacing w:before="312" w:beforeLines="100" w:after="468" w:afterLines="150"/>
        <w:jc w:val="center"/>
        <w:rPr>
          <w:rFonts w:hint="eastAsia" w:ascii="黑体" w:hAnsi="黑体" w:eastAsia="黑体" w:cs="黑体"/>
          <w:b/>
          <w:bCs/>
          <w:color w:val="auto"/>
          <w:sz w:val="72"/>
          <w:szCs w:val="72"/>
        </w:rPr>
      </w:pPr>
      <w:r>
        <w:rPr>
          <w:rFonts w:hint="eastAsia" w:ascii="黑体" w:hAnsi="黑体" w:eastAsia="黑体" w:cs="黑体"/>
          <w:b/>
          <w:bCs/>
          <w:color w:val="auto"/>
          <w:sz w:val="72"/>
          <w:szCs w:val="72"/>
        </w:rPr>
        <w:t>合</w:t>
      </w:r>
    </w:p>
    <w:p w14:paraId="1A4D64DB">
      <w:pPr>
        <w:spacing w:before="312" w:beforeLines="100" w:after="468" w:afterLines="150"/>
        <w:jc w:val="center"/>
        <w:rPr>
          <w:rFonts w:hint="eastAsia" w:ascii="黑体" w:hAnsi="黑体" w:eastAsia="黑体" w:cs="黑体"/>
          <w:b/>
          <w:bCs/>
          <w:color w:val="auto"/>
          <w:sz w:val="72"/>
          <w:szCs w:val="72"/>
        </w:rPr>
      </w:pPr>
      <w:r>
        <w:rPr>
          <w:rFonts w:hint="eastAsia" w:ascii="黑体" w:hAnsi="黑体" w:eastAsia="黑体" w:cs="黑体"/>
          <w:b/>
          <w:bCs/>
          <w:color w:val="auto"/>
          <w:sz w:val="72"/>
          <w:szCs w:val="72"/>
        </w:rPr>
        <w:t>同</w:t>
      </w:r>
    </w:p>
    <w:p w14:paraId="6492D5F7">
      <w:pPr>
        <w:pStyle w:val="113"/>
        <w:ind w:firstLine="640"/>
        <w:rPr>
          <w:rFonts w:hAnsi="宋体" w:eastAsia="宋体"/>
          <w:color w:val="auto"/>
          <w:sz w:val="32"/>
        </w:rPr>
      </w:pPr>
    </w:p>
    <w:p w14:paraId="218BBF63">
      <w:pPr>
        <w:jc w:val="center"/>
        <w:rPr>
          <w:rFonts w:hAnsi="宋体" w:eastAsia="宋体"/>
          <w:color w:val="auto"/>
          <w:sz w:val="30"/>
          <w:szCs w:val="30"/>
          <w:u w:val="single"/>
        </w:rPr>
      </w:pPr>
      <w:r>
        <w:rPr>
          <w:rFonts w:hint="eastAsia" w:hAnsi="宋体" w:eastAsia="宋体"/>
          <w:color w:val="auto"/>
          <w:sz w:val="30"/>
          <w:szCs w:val="30"/>
        </w:rPr>
        <w:t>招标项目名称：</w:t>
      </w:r>
      <w:r>
        <w:rPr>
          <w:rFonts w:hint="eastAsia" w:hAnsi="宋体" w:eastAsia="宋体"/>
          <w:color w:val="auto"/>
          <w:sz w:val="30"/>
          <w:szCs w:val="30"/>
          <w:u w:val="single"/>
        </w:rPr>
        <w:t>青河县人民医院医疗设备购置项目合同</w:t>
      </w:r>
    </w:p>
    <w:p w14:paraId="5DF99E85">
      <w:pPr>
        <w:jc w:val="center"/>
        <w:rPr>
          <w:rFonts w:hAnsi="宋体" w:eastAsia="宋体"/>
          <w:color w:val="auto"/>
          <w:spacing w:val="40"/>
          <w:sz w:val="32"/>
        </w:rPr>
      </w:pPr>
      <w:r>
        <w:rPr>
          <w:rFonts w:hint="eastAsia" w:hAnsi="宋体" w:eastAsia="宋体"/>
          <w:color w:val="auto"/>
          <w:spacing w:val="40"/>
          <w:sz w:val="32"/>
        </w:rPr>
        <w:t>20</w:t>
      </w:r>
      <w:r>
        <w:rPr>
          <w:rFonts w:hAnsi="宋体" w:eastAsia="宋体"/>
          <w:color w:val="auto"/>
          <w:spacing w:val="40"/>
          <w:sz w:val="32"/>
        </w:rPr>
        <w:t>2</w:t>
      </w:r>
      <w:r>
        <w:rPr>
          <w:rFonts w:hint="eastAsia" w:hAnsi="宋体" w:eastAsia="宋体"/>
          <w:color w:val="auto"/>
          <w:spacing w:val="40"/>
          <w:sz w:val="32"/>
          <w:lang w:val="en-US" w:eastAsia="zh-CN"/>
        </w:rPr>
        <w:t>6</w:t>
      </w:r>
      <w:r>
        <w:rPr>
          <w:rFonts w:hint="eastAsia" w:hAnsi="宋体" w:eastAsia="宋体"/>
          <w:color w:val="auto"/>
          <w:spacing w:val="40"/>
          <w:sz w:val="32"/>
        </w:rPr>
        <w:t>年</w:t>
      </w:r>
    </w:p>
    <w:p w14:paraId="50A70019">
      <w:pPr>
        <w:pStyle w:val="113"/>
        <w:ind w:firstLine="723"/>
        <w:jc w:val="center"/>
        <w:rPr>
          <w:rFonts w:hAnsi="宋体" w:eastAsia="宋体"/>
          <w:b/>
          <w:bCs/>
          <w:color w:val="auto"/>
          <w:sz w:val="36"/>
          <w:szCs w:val="36"/>
        </w:rPr>
      </w:pPr>
      <w:r>
        <w:rPr>
          <w:rFonts w:hint="eastAsia" w:hAnsi="宋体" w:eastAsia="宋体"/>
          <w:b/>
          <w:bCs/>
          <w:color w:val="auto"/>
          <w:sz w:val="36"/>
          <w:szCs w:val="36"/>
        </w:rPr>
        <w:t>政府采购</w:t>
      </w:r>
      <w:r>
        <w:rPr>
          <w:rFonts w:hAnsi="宋体" w:eastAsia="宋体"/>
          <w:b/>
          <w:bCs/>
          <w:color w:val="auto"/>
          <w:sz w:val="36"/>
          <w:szCs w:val="36"/>
        </w:rPr>
        <w:t>合同</w:t>
      </w:r>
    </w:p>
    <w:p w14:paraId="675E3E15">
      <w:pPr>
        <w:pStyle w:val="113"/>
        <w:ind w:firstLine="723"/>
        <w:jc w:val="center"/>
        <w:rPr>
          <w:rFonts w:hAnsi="宋体" w:eastAsia="宋体"/>
          <w:b/>
          <w:bCs/>
          <w:color w:val="auto"/>
          <w:sz w:val="36"/>
          <w:szCs w:val="36"/>
        </w:rPr>
      </w:pPr>
    </w:p>
    <w:p w14:paraId="0DB34E0E">
      <w:pPr>
        <w:pStyle w:val="113"/>
        <w:ind w:firstLine="480"/>
        <w:rPr>
          <w:rFonts w:hAnsi="宋体" w:eastAsia="宋体"/>
          <w:color w:val="auto"/>
          <w:szCs w:val="24"/>
        </w:rPr>
      </w:pPr>
      <w:r>
        <w:rPr>
          <w:rFonts w:hAnsi="宋体" w:eastAsia="宋体"/>
          <w:color w:val="auto"/>
          <w:szCs w:val="24"/>
        </w:rPr>
        <w:t>合同编号：</w:t>
      </w:r>
      <w:r>
        <w:rPr>
          <w:rFonts w:hAnsi="宋体" w:eastAsia="宋体"/>
          <w:color w:val="auto"/>
          <w:szCs w:val="24"/>
          <w:u w:val="single"/>
        </w:rPr>
        <w:t xml:space="preserve"> </w:t>
      </w:r>
      <w:r>
        <w:rPr>
          <w:rFonts w:hint="eastAsia" w:hAnsi="宋体" w:eastAsia="宋体"/>
          <w:color w:val="auto"/>
          <w:szCs w:val="24"/>
          <w:u w:val="single"/>
        </w:rPr>
        <w:t xml:space="preserve">           </w:t>
      </w:r>
      <w:r>
        <w:rPr>
          <w:rFonts w:hAnsi="宋体" w:eastAsia="宋体"/>
          <w:color w:val="auto"/>
          <w:szCs w:val="24"/>
          <w:u w:val="single"/>
        </w:rPr>
        <w:t xml:space="preserve">  </w:t>
      </w:r>
      <w:r>
        <w:rPr>
          <w:rFonts w:hint="eastAsia" w:hAnsi="宋体" w:eastAsia="宋体"/>
          <w:color w:val="auto"/>
          <w:szCs w:val="24"/>
        </w:rPr>
        <w:t>。</w:t>
      </w:r>
    </w:p>
    <w:p w14:paraId="03A3D403">
      <w:pPr>
        <w:pStyle w:val="113"/>
        <w:ind w:firstLine="480"/>
        <w:rPr>
          <w:rFonts w:hAnsi="宋体" w:eastAsia="宋体"/>
          <w:color w:val="auto"/>
          <w:szCs w:val="24"/>
        </w:rPr>
      </w:pPr>
      <w:r>
        <w:rPr>
          <w:rFonts w:hAnsi="宋体" w:eastAsia="宋体"/>
          <w:color w:val="auto"/>
          <w:szCs w:val="24"/>
        </w:rPr>
        <w:t>签订地点：</w:t>
      </w:r>
      <w:r>
        <w:rPr>
          <w:rFonts w:hint="eastAsia" w:hAnsi="宋体" w:eastAsia="宋体"/>
          <w:color w:val="auto"/>
          <w:szCs w:val="24"/>
        </w:rPr>
        <w:t xml:space="preserve">青河县人民医院。 </w:t>
      </w:r>
      <w:r>
        <w:rPr>
          <w:rFonts w:hAnsi="宋体" w:eastAsia="宋体"/>
          <w:color w:val="auto"/>
          <w:szCs w:val="24"/>
        </w:rPr>
        <w:t xml:space="preserve">  </w:t>
      </w:r>
    </w:p>
    <w:p w14:paraId="3E7E2169">
      <w:pPr>
        <w:pStyle w:val="113"/>
        <w:ind w:firstLine="480"/>
        <w:rPr>
          <w:rFonts w:hAnsi="宋体" w:eastAsia="宋体"/>
          <w:color w:val="auto"/>
          <w:szCs w:val="24"/>
          <w:u w:val="single"/>
        </w:rPr>
      </w:pPr>
      <w:r>
        <w:rPr>
          <w:rFonts w:hint="eastAsia" w:hAnsi="宋体" w:eastAsia="宋体"/>
          <w:color w:val="auto"/>
          <w:szCs w:val="24"/>
        </w:rPr>
        <w:t>采购人（</w:t>
      </w:r>
      <w:r>
        <w:rPr>
          <w:rFonts w:hAnsi="宋体" w:eastAsia="宋体"/>
          <w:color w:val="auto"/>
          <w:szCs w:val="24"/>
        </w:rPr>
        <w:t>甲方</w:t>
      </w:r>
      <w:r>
        <w:rPr>
          <w:rFonts w:hint="eastAsia" w:hAnsi="宋体" w:eastAsia="宋体"/>
          <w:color w:val="auto"/>
          <w:szCs w:val="24"/>
        </w:rPr>
        <w:t>）</w:t>
      </w:r>
      <w:r>
        <w:rPr>
          <w:rFonts w:hAnsi="宋体" w:eastAsia="宋体"/>
          <w:color w:val="auto"/>
          <w:szCs w:val="24"/>
        </w:rPr>
        <w:t>：</w:t>
      </w:r>
      <w:r>
        <w:rPr>
          <w:rFonts w:hAnsi="宋体" w:eastAsia="宋体"/>
          <w:color w:val="auto"/>
          <w:szCs w:val="24"/>
          <w:u w:val="single"/>
        </w:rPr>
        <w:t xml:space="preserve"> </w:t>
      </w:r>
      <w:r>
        <w:rPr>
          <w:rFonts w:hint="eastAsia" w:hAnsi="宋体" w:eastAsia="宋体"/>
          <w:color w:val="auto"/>
          <w:szCs w:val="24"/>
          <w:u w:val="single"/>
        </w:rPr>
        <w:t xml:space="preserve">   青河县人民医院</w:t>
      </w:r>
      <w:r>
        <w:rPr>
          <w:rFonts w:hAnsi="宋体" w:eastAsia="宋体"/>
          <w:color w:val="auto"/>
          <w:szCs w:val="24"/>
          <w:u w:val="single"/>
        </w:rPr>
        <w:t xml:space="preserve">    </w:t>
      </w:r>
    </w:p>
    <w:p w14:paraId="5B9FAE34">
      <w:pPr>
        <w:pStyle w:val="113"/>
        <w:ind w:firstLine="480"/>
        <w:rPr>
          <w:rFonts w:hAnsi="宋体" w:eastAsia="宋体"/>
          <w:color w:val="auto"/>
          <w:szCs w:val="24"/>
          <w:highlight w:val="none"/>
        </w:rPr>
      </w:pPr>
      <w:r>
        <w:rPr>
          <w:rFonts w:hint="eastAsia" w:hAnsi="宋体" w:eastAsia="宋体"/>
          <w:color w:val="auto"/>
          <w:szCs w:val="24"/>
        </w:rPr>
        <w:t>供应商（乙</w:t>
      </w:r>
      <w:r>
        <w:rPr>
          <w:rFonts w:hAnsi="宋体" w:eastAsia="宋体"/>
          <w:color w:val="auto"/>
          <w:szCs w:val="24"/>
        </w:rPr>
        <w:t>方</w:t>
      </w:r>
      <w:r>
        <w:rPr>
          <w:rFonts w:hint="eastAsia" w:hAnsi="宋体" w:eastAsia="宋体"/>
          <w:color w:val="auto"/>
          <w:szCs w:val="24"/>
        </w:rPr>
        <w:t>）</w:t>
      </w:r>
      <w:r>
        <w:rPr>
          <w:rFonts w:hAnsi="宋体" w:eastAsia="宋体"/>
          <w:color w:val="auto"/>
          <w:szCs w:val="24"/>
        </w:rPr>
        <w:t>：</w:t>
      </w:r>
      <w:r>
        <w:rPr>
          <w:rFonts w:hint="eastAsia" w:hAnsi="宋体" w:eastAsia="宋体"/>
          <w:color w:val="auto"/>
          <w:szCs w:val="24"/>
          <w:highlight w:val="none"/>
          <w:u w:val="single"/>
        </w:rPr>
        <w:t xml:space="preserve">          </w:t>
      </w:r>
      <w:r>
        <w:rPr>
          <w:rFonts w:hint="eastAsia" w:hAnsi="宋体" w:eastAsia="宋体"/>
          <w:color w:val="auto"/>
          <w:szCs w:val="24"/>
          <w:highlight w:val="none"/>
          <w:u w:val="single"/>
          <w:lang w:val="en-US" w:eastAsia="zh-CN"/>
        </w:rPr>
        <w:t xml:space="preserve">     </w:t>
      </w:r>
      <w:r>
        <w:rPr>
          <w:rFonts w:hint="eastAsia" w:hAnsi="宋体" w:eastAsia="宋体"/>
          <w:color w:val="auto"/>
          <w:szCs w:val="24"/>
          <w:highlight w:val="none"/>
          <w:u w:val="single"/>
        </w:rPr>
        <w:t xml:space="preserve">公司   </w:t>
      </w:r>
    </w:p>
    <w:p w14:paraId="3FD9A50A">
      <w:pPr>
        <w:pStyle w:val="113"/>
        <w:ind w:firstLine="480"/>
        <w:rPr>
          <w:rFonts w:hint="eastAsia" w:hAnsi="宋体" w:eastAsia="宋体"/>
          <w:color w:val="auto"/>
        </w:rPr>
      </w:pPr>
      <w:r>
        <w:rPr>
          <w:rFonts w:hint="eastAsia" w:hAnsi="宋体" w:eastAsia="宋体"/>
          <w:color w:val="auto"/>
          <w:highlight w:val="none"/>
        </w:rPr>
        <w:t>根据《中华人民共和国政府采购法》、《中华人民共和国</w:t>
      </w:r>
      <w:r>
        <w:rPr>
          <w:rFonts w:hint="eastAsia" w:hAnsi="宋体" w:eastAsia="宋体"/>
          <w:color w:val="auto"/>
          <w:highlight w:val="none"/>
          <w:lang w:val="en-US" w:eastAsia="zh-CN"/>
        </w:rPr>
        <w:t>民法典</w:t>
      </w:r>
      <w:r>
        <w:rPr>
          <w:rFonts w:hint="eastAsia" w:hAnsi="宋体" w:eastAsia="宋体"/>
          <w:color w:val="auto"/>
          <w:highlight w:val="none"/>
        </w:rPr>
        <w:t>》及青河县人民医院</w:t>
      </w:r>
      <w:r>
        <w:rPr>
          <w:rFonts w:hint="eastAsia" w:hAnsi="宋体" w:eastAsia="宋体"/>
          <w:color w:val="auto"/>
          <w:highlight w:val="none"/>
          <w:u w:val="single"/>
        </w:rPr>
        <w:t xml:space="preserve">                 </w:t>
      </w:r>
      <w:r>
        <w:rPr>
          <w:rFonts w:hint="eastAsia" w:hAnsi="宋体" w:eastAsia="宋体"/>
          <w:color w:val="auto"/>
          <w:highlight w:val="none"/>
        </w:rPr>
        <w:t>项目（项目编号：</w:t>
      </w:r>
      <w:r>
        <w:rPr>
          <w:rFonts w:hint="eastAsia" w:hAnsi="宋体" w:eastAsia="宋体"/>
          <w:color w:val="auto"/>
          <w:highlight w:val="none"/>
          <w:lang w:val="en-US" w:eastAsia="zh-CN"/>
        </w:rPr>
        <w:t xml:space="preserve">              </w:t>
      </w:r>
      <w:r>
        <w:rPr>
          <w:rFonts w:hint="eastAsia" w:hAnsi="宋体" w:eastAsia="宋体"/>
          <w:color w:val="auto"/>
          <w:highlight w:val="none"/>
        </w:rPr>
        <w:t>）的《招标文件》、乙方的《投标文件》及《中标通知书》，甲、乙双方同意签订本合同。详细技术说明及其他有关合同项目的特定信息由合同附件予以说明，合同附件及本项目的招标</w:t>
      </w:r>
      <w:r>
        <w:rPr>
          <w:rFonts w:hint="eastAsia" w:hAnsi="宋体" w:eastAsia="宋体"/>
          <w:color w:val="auto"/>
        </w:rPr>
        <w:t>文件、投标文件、《中标通知书》等均为本合同不可分割的部分。双方同意共同遵守如下条款：</w:t>
      </w:r>
    </w:p>
    <w:p w14:paraId="3F9F2589">
      <w:pPr>
        <w:pStyle w:val="113"/>
        <w:ind w:firstLine="482"/>
        <w:rPr>
          <w:rFonts w:hAnsi="宋体" w:eastAsia="宋体"/>
          <w:b/>
          <w:bCs/>
          <w:color w:val="auto"/>
        </w:rPr>
      </w:pPr>
      <w:bookmarkStart w:id="534" w:name="_Toc217446107"/>
      <w:bookmarkStart w:id="535" w:name="_Toc472604661"/>
      <w:bookmarkStart w:id="536" w:name="_Toc472604518"/>
      <w:bookmarkStart w:id="537" w:name="_Toc471489617"/>
      <w:r>
        <w:rPr>
          <w:rFonts w:hint="eastAsia" w:hAnsi="宋体" w:eastAsia="宋体"/>
          <w:b/>
          <w:bCs/>
          <w:color w:val="auto"/>
        </w:rPr>
        <w:t>一、合同货物</w:t>
      </w:r>
      <w:bookmarkEnd w:id="534"/>
      <w:bookmarkEnd w:id="535"/>
      <w:bookmarkEnd w:id="536"/>
      <w:bookmarkEnd w:id="537"/>
    </w:p>
    <w:tbl>
      <w:tblPr>
        <w:tblStyle w:val="22"/>
        <w:tblW w:w="0" w:type="auto"/>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35"/>
        <w:gridCol w:w="1201"/>
        <w:gridCol w:w="667"/>
        <w:gridCol w:w="667"/>
        <w:gridCol w:w="1469"/>
        <w:gridCol w:w="1470"/>
        <w:gridCol w:w="1068"/>
        <w:gridCol w:w="800"/>
      </w:tblGrid>
      <w:tr w14:paraId="421AAE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435" w:type="dxa"/>
            <w:tcBorders>
              <w:top w:val="single" w:color="auto" w:sz="4" w:space="0"/>
              <w:left w:val="single" w:color="auto" w:sz="4" w:space="0"/>
              <w:bottom w:val="single" w:color="auto" w:sz="4" w:space="0"/>
              <w:right w:val="single" w:color="auto" w:sz="4" w:space="0"/>
            </w:tcBorders>
            <w:noWrap w:val="0"/>
            <w:vAlign w:val="center"/>
          </w:tcPr>
          <w:p w14:paraId="79B32CA3">
            <w:pPr>
              <w:pStyle w:val="113"/>
              <w:ind w:firstLine="480"/>
              <w:jc w:val="left"/>
              <w:rPr>
                <w:rFonts w:hAnsi="宋体" w:eastAsia="宋体"/>
                <w:color w:val="auto"/>
              </w:rPr>
            </w:pPr>
            <w:bookmarkStart w:id="538" w:name="_Toc472604519"/>
            <w:bookmarkStart w:id="539" w:name="_Toc471489618"/>
            <w:bookmarkStart w:id="540" w:name="_Toc472604662"/>
            <w:bookmarkStart w:id="541" w:name="_Toc217446108"/>
            <w:r>
              <w:rPr>
                <w:rFonts w:hint="eastAsia" w:hAnsi="宋体" w:eastAsia="宋体"/>
                <w:color w:val="auto"/>
              </w:rPr>
              <w:t>货物</w:t>
            </w:r>
          </w:p>
          <w:p w14:paraId="7DD459C8">
            <w:pPr>
              <w:pStyle w:val="113"/>
              <w:ind w:firstLine="480"/>
              <w:jc w:val="left"/>
              <w:rPr>
                <w:rFonts w:hAnsi="宋体" w:eastAsia="宋体"/>
                <w:color w:val="auto"/>
              </w:rPr>
            </w:pPr>
            <w:r>
              <w:rPr>
                <w:rFonts w:hint="eastAsia" w:hAnsi="宋体" w:eastAsia="宋体"/>
                <w:color w:val="auto"/>
              </w:rPr>
              <w:t>品名</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1415EDA2">
            <w:pPr>
              <w:pStyle w:val="113"/>
              <w:ind w:firstLine="240" w:firstLineChars="100"/>
              <w:jc w:val="left"/>
              <w:rPr>
                <w:rFonts w:hAnsi="宋体" w:eastAsia="宋体"/>
                <w:color w:val="auto"/>
              </w:rPr>
            </w:pPr>
            <w:r>
              <w:rPr>
                <w:rFonts w:hint="eastAsia" w:hAnsi="宋体" w:eastAsia="宋体"/>
                <w:color w:val="auto"/>
              </w:rPr>
              <w:t>规格</w:t>
            </w:r>
          </w:p>
          <w:p w14:paraId="2A62AAA0">
            <w:pPr>
              <w:pStyle w:val="113"/>
              <w:ind w:firstLine="240" w:firstLineChars="100"/>
              <w:jc w:val="left"/>
              <w:rPr>
                <w:rFonts w:hAnsi="宋体" w:eastAsia="宋体"/>
                <w:color w:val="auto"/>
              </w:rPr>
            </w:pPr>
            <w:r>
              <w:rPr>
                <w:rFonts w:hint="eastAsia" w:hAnsi="宋体" w:eastAsia="宋体"/>
                <w:color w:val="auto"/>
              </w:rPr>
              <w:t>型号</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654978A">
            <w:pPr>
              <w:pStyle w:val="113"/>
              <w:ind w:firstLine="0" w:firstLineChars="0"/>
              <w:jc w:val="left"/>
              <w:rPr>
                <w:rFonts w:hAnsi="宋体" w:eastAsia="宋体"/>
                <w:color w:val="auto"/>
              </w:rPr>
            </w:pPr>
            <w:r>
              <w:rPr>
                <w:rFonts w:hint="eastAsia" w:hAnsi="宋体" w:eastAsia="宋体"/>
                <w:color w:val="auto"/>
              </w:rPr>
              <w:t>单位</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9FC806C">
            <w:pPr>
              <w:pStyle w:val="113"/>
              <w:ind w:firstLine="0" w:firstLineChars="0"/>
              <w:jc w:val="left"/>
              <w:rPr>
                <w:rFonts w:hAnsi="宋体" w:eastAsia="宋体"/>
                <w:color w:val="auto"/>
              </w:rPr>
            </w:pPr>
            <w:r>
              <w:rPr>
                <w:rFonts w:hint="eastAsia" w:hAnsi="宋体" w:eastAsia="宋体"/>
                <w:color w:val="auto"/>
              </w:rPr>
              <w:t>数量</w:t>
            </w:r>
          </w:p>
        </w:tc>
        <w:tc>
          <w:tcPr>
            <w:tcW w:w="1469" w:type="dxa"/>
            <w:tcBorders>
              <w:top w:val="single" w:color="auto" w:sz="4" w:space="0"/>
              <w:left w:val="single" w:color="auto" w:sz="4" w:space="0"/>
              <w:bottom w:val="single" w:color="auto" w:sz="4" w:space="0"/>
              <w:right w:val="single" w:color="auto" w:sz="4" w:space="0"/>
            </w:tcBorders>
            <w:noWrap w:val="0"/>
            <w:vAlign w:val="center"/>
          </w:tcPr>
          <w:p w14:paraId="645FD100">
            <w:pPr>
              <w:pStyle w:val="113"/>
              <w:ind w:firstLine="0" w:firstLineChars="0"/>
              <w:jc w:val="left"/>
              <w:rPr>
                <w:rFonts w:hAnsi="宋体" w:eastAsia="宋体"/>
                <w:color w:val="auto"/>
              </w:rPr>
            </w:pPr>
            <w:r>
              <w:rPr>
                <w:rFonts w:hint="eastAsia" w:hAnsi="宋体" w:eastAsia="宋体"/>
                <w:color w:val="auto"/>
              </w:rPr>
              <w:t>单价（元）</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2CFB350E">
            <w:pPr>
              <w:pStyle w:val="113"/>
              <w:ind w:firstLine="0" w:firstLineChars="0"/>
              <w:jc w:val="left"/>
              <w:rPr>
                <w:rFonts w:hAnsi="宋体" w:eastAsia="宋体"/>
                <w:color w:val="auto"/>
              </w:rPr>
            </w:pPr>
            <w:r>
              <w:rPr>
                <w:rFonts w:hint="eastAsia" w:hAnsi="宋体" w:eastAsia="宋体"/>
                <w:color w:val="auto"/>
              </w:rPr>
              <w:t>总价（元）</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58C22013">
            <w:pPr>
              <w:pStyle w:val="113"/>
              <w:ind w:firstLine="0" w:firstLineChars="0"/>
              <w:jc w:val="left"/>
              <w:rPr>
                <w:rFonts w:hAnsi="宋体" w:eastAsia="宋体"/>
                <w:color w:val="auto"/>
              </w:rPr>
            </w:pPr>
            <w:r>
              <w:rPr>
                <w:rFonts w:hint="eastAsia" w:hAnsi="宋体" w:eastAsia="宋体"/>
                <w:color w:val="auto"/>
              </w:rPr>
              <w:t>交货期</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0B4C9720">
            <w:pPr>
              <w:pStyle w:val="113"/>
              <w:ind w:firstLine="0" w:firstLineChars="0"/>
              <w:jc w:val="left"/>
              <w:rPr>
                <w:rFonts w:hAnsi="宋体" w:eastAsia="宋体"/>
                <w:color w:val="auto"/>
              </w:rPr>
            </w:pPr>
            <w:r>
              <w:rPr>
                <w:rFonts w:hint="eastAsia" w:hAnsi="宋体" w:eastAsia="宋体"/>
                <w:color w:val="auto"/>
              </w:rPr>
              <w:t>备注</w:t>
            </w:r>
          </w:p>
        </w:tc>
      </w:tr>
      <w:tr w14:paraId="053A79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435" w:type="dxa"/>
            <w:tcBorders>
              <w:top w:val="single" w:color="auto" w:sz="4" w:space="0"/>
              <w:left w:val="single" w:color="auto" w:sz="4" w:space="0"/>
              <w:bottom w:val="single" w:color="auto" w:sz="4" w:space="0"/>
              <w:right w:val="single" w:color="auto" w:sz="4" w:space="0"/>
            </w:tcBorders>
            <w:noWrap w:val="0"/>
            <w:vAlign w:val="center"/>
          </w:tcPr>
          <w:p w14:paraId="1F12E15F">
            <w:pPr>
              <w:pStyle w:val="113"/>
              <w:ind w:firstLine="0" w:firstLineChars="0"/>
              <w:jc w:val="center"/>
              <w:rPr>
                <w:rFonts w:hAnsi="宋体" w:eastAsia="宋体"/>
                <w:color w:val="auto"/>
              </w:rPr>
            </w:pPr>
          </w:p>
        </w:tc>
        <w:tc>
          <w:tcPr>
            <w:tcW w:w="1201" w:type="dxa"/>
            <w:tcBorders>
              <w:top w:val="single" w:color="auto" w:sz="4" w:space="0"/>
              <w:left w:val="single" w:color="auto" w:sz="4" w:space="0"/>
              <w:bottom w:val="single" w:color="auto" w:sz="4" w:space="0"/>
              <w:right w:val="single" w:color="auto" w:sz="4" w:space="0"/>
            </w:tcBorders>
            <w:noWrap w:val="0"/>
            <w:vAlign w:val="center"/>
          </w:tcPr>
          <w:p w14:paraId="4F934718">
            <w:pPr>
              <w:pStyle w:val="113"/>
              <w:ind w:firstLine="0" w:firstLineChars="0"/>
              <w:jc w:val="center"/>
              <w:rPr>
                <w:rFonts w:hAnsi="宋体" w:eastAsia="宋体"/>
                <w:color w:val="auto"/>
              </w:rPr>
            </w:pPr>
          </w:p>
        </w:tc>
        <w:tc>
          <w:tcPr>
            <w:tcW w:w="667" w:type="dxa"/>
            <w:tcBorders>
              <w:top w:val="single" w:color="auto" w:sz="4" w:space="0"/>
              <w:left w:val="single" w:color="auto" w:sz="4" w:space="0"/>
              <w:bottom w:val="single" w:color="auto" w:sz="4" w:space="0"/>
              <w:right w:val="single" w:color="auto" w:sz="4" w:space="0"/>
            </w:tcBorders>
            <w:noWrap w:val="0"/>
            <w:vAlign w:val="center"/>
          </w:tcPr>
          <w:p w14:paraId="4B36489C">
            <w:pPr>
              <w:pStyle w:val="113"/>
              <w:ind w:firstLine="0" w:firstLineChars="0"/>
              <w:jc w:val="left"/>
              <w:rPr>
                <w:rFonts w:hAnsi="宋体" w:eastAsia="宋体"/>
                <w:color w:val="auto"/>
              </w:rPr>
            </w:pPr>
          </w:p>
        </w:tc>
        <w:tc>
          <w:tcPr>
            <w:tcW w:w="667" w:type="dxa"/>
            <w:tcBorders>
              <w:top w:val="single" w:color="auto" w:sz="4" w:space="0"/>
              <w:left w:val="single" w:color="auto" w:sz="4" w:space="0"/>
              <w:bottom w:val="single" w:color="auto" w:sz="4" w:space="0"/>
              <w:right w:val="single" w:color="auto" w:sz="4" w:space="0"/>
            </w:tcBorders>
            <w:noWrap w:val="0"/>
            <w:vAlign w:val="center"/>
          </w:tcPr>
          <w:p w14:paraId="3BF9FD8D">
            <w:pPr>
              <w:pStyle w:val="113"/>
              <w:ind w:firstLine="199" w:firstLineChars="83"/>
              <w:jc w:val="left"/>
              <w:rPr>
                <w:rFonts w:hAnsi="宋体" w:eastAsia="宋体"/>
                <w:color w:val="auto"/>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14:paraId="2888B4D9">
            <w:pPr>
              <w:pStyle w:val="113"/>
              <w:ind w:firstLine="0" w:firstLineChars="0"/>
              <w:jc w:val="left"/>
              <w:rPr>
                <w:rFonts w:hAnsi="宋体" w:eastAsia="宋体"/>
                <w:color w:val="auto"/>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3308DFA7">
            <w:pPr>
              <w:pStyle w:val="113"/>
              <w:ind w:firstLine="0" w:firstLineChars="0"/>
              <w:jc w:val="left"/>
              <w:rPr>
                <w:rFonts w:hAnsi="宋体" w:eastAsia="宋体"/>
                <w:color w:val="auto"/>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22CD8C43">
            <w:pPr>
              <w:pStyle w:val="113"/>
              <w:ind w:firstLine="0" w:firstLineChars="0"/>
              <w:jc w:val="left"/>
              <w:rPr>
                <w:rFonts w:hAnsi="宋体" w:eastAsia="宋体"/>
                <w:color w:val="auto"/>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651C42DB">
            <w:pPr>
              <w:pStyle w:val="113"/>
              <w:ind w:left="0" w:leftChars="0" w:firstLine="0" w:firstLineChars="0"/>
              <w:jc w:val="left"/>
              <w:rPr>
                <w:rFonts w:hint="eastAsia" w:hAnsi="宋体" w:eastAsia="宋体"/>
                <w:color w:val="auto"/>
                <w:lang w:eastAsia="zh-CN"/>
              </w:rPr>
            </w:pPr>
            <w:r>
              <w:rPr>
                <w:rFonts w:hint="eastAsia" w:hAnsi="宋体" w:eastAsia="宋体"/>
                <w:color w:val="auto"/>
                <w:lang w:eastAsia="zh-CN"/>
              </w:rPr>
              <w:t>生产厂家</w:t>
            </w:r>
          </w:p>
        </w:tc>
      </w:tr>
      <w:tr w14:paraId="2DB24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435" w:type="dxa"/>
            <w:tcBorders>
              <w:top w:val="single" w:color="auto" w:sz="4" w:space="0"/>
              <w:left w:val="single" w:color="auto" w:sz="4" w:space="0"/>
              <w:bottom w:val="single" w:color="auto" w:sz="4" w:space="0"/>
              <w:right w:val="single" w:color="auto" w:sz="4" w:space="0"/>
            </w:tcBorders>
            <w:noWrap w:val="0"/>
            <w:vAlign w:val="center"/>
          </w:tcPr>
          <w:p w14:paraId="5C7C2931">
            <w:pPr>
              <w:pStyle w:val="113"/>
              <w:ind w:firstLine="0" w:firstLineChars="0"/>
              <w:jc w:val="center"/>
              <w:rPr>
                <w:rFonts w:hAnsi="宋体" w:eastAsia="宋体"/>
                <w:color w:val="auto"/>
              </w:rPr>
            </w:pPr>
          </w:p>
        </w:tc>
        <w:tc>
          <w:tcPr>
            <w:tcW w:w="1201" w:type="dxa"/>
            <w:tcBorders>
              <w:top w:val="single" w:color="auto" w:sz="4" w:space="0"/>
              <w:left w:val="single" w:color="auto" w:sz="4" w:space="0"/>
              <w:bottom w:val="single" w:color="auto" w:sz="4" w:space="0"/>
              <w:right w:val="single" w:color="auto" w:sz="4" w:space="0"/>
            </w:tcBorders>
            <w:noWrap w:val="0"/>
            <w:vAlign w:val="center"/>
          </w:tcPr>
          <w:p w14:paraId="1831BC3E">
            <w:pPr>
              <w:pStyle w:val="113"/>
              <w:ind w:firstLine="0" w:firstLineChars="0"/>
              <w:jc w:val="center"/>
              <w:rPr>
                <w:rFonts w:hAnsi="宋体" w:eastAsia="宋体"/>
                <w:color w:val="auto"/>
              </w:rPr>
            </w:pPr>
          </w:p>
        </w:tc>
        <w:tc>
          <w:tcPr>
            <w:tcW w:w="667" w:type="dxa"/>
            <w:tcBorders>
              <w:top w:val="single" w:color="auto" w:sz="4" w:space="0"/>
              <w:left w:val="single" w:color="auto" w:sz="4" w:space="0"/>
              <w:bottom w:val="single" w:color="auto" w:sz="4" w:space="0"/>
              <w:right w:val="single" w:color="auto" w:sz="4" w:space="0"/>
            </w:tcBorders>
            <w:noWrap w:val="0"/>
            <w:vAlign w:val="center"/>
          </w:tcPr>
          <w:p w14:paraId="65A33B59">
            <w:pPr>
              <w:pStyle w:val="113"/>
              <w:ind w:firstLine="0" w:firstLineChars="0"/>
              <w:jc w:val="left"/>
              <w:rPr>
                <w:rFonts w:hAnsi="宋体" w:eastAsia="宋体"/>
                <w:color w:val="auto"/>
              </w:rPr>
            </w:pPr>
          </w:p>
        </w:tc>
        <w:tc>
          <w:tcPr>
            <w:tcW w:w="667" w:type="dxa"/>
            <w:tcBorders>
              <w:top w:val="single" w:color="auto" w:sz="4" w:space="0"/>
              <w:left w:val="single" w:color="auto" w:sz="4" w:space="0"/>
              <w:bottom w:val="single" w:color="auto" w:sz="4" w:space="0"/>
              <w:right w:val="single" w:color="auto" w:sz="4" w:space="0"/>
            </w:tcBorders>
            <w:noWrap w:val="0"/>
            <w:vAlign w:val="center"/>
          </w:tcPr>
          <w:p w14:paraId="49E1EAA2">
            <w:pPr>
              <w:pStyle w:val="113"/>
              <w:ind w:firstLine="199" w:firstLineChars="83"/>
              <w:jc w:val="left"/>
              <w:rPr>
                <w:rFonts w:hAnsi="宋体" w:eastAsia="宋体"/>
                <w:color w:val="auto"/>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14:paraId="6BB6C215">
            <w:pPr>
              <w:pStyle w:val="113"/>
              <w:ind w:firstLine="0" w:firstLineChars="0"/>
              <w:jc w:val="left"/>
              <w:rPr>
                <w:rFonts w:hAnsi="宋体" w:eastAsia="宋体"/>
                <w:color w:val="auto"/>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166C2398">
            <w:pPr>
              <w:pStyle w:val="113"/>
              <w:ind w:firstLine="0" w:firstLineChars="0"/>
              <w:jc w:val="left"/>
              <w:rPr>
                <w:rFonts w:hAnsi="宋体" w:eastAsia="宋体"/>
                <w:color w:val="auto"/>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2AA5DADC">
            <w:pPr>
              <w:pStyle w:val="113"/>
              <w:ind w:firstLine="0" w:firstLineChars="0"/>
              <w:jc w:val="left"/>
              <w:rPr>
                <w:rFonts w:hAnsi="宋体" w:eastAsia="宋体"/>
                <w:color w:val="auto"/>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3CA1CBB7">
            <w:pPr>
              <w:pStyle w:val="113"/>
              <w:ind w:left="0" w:leftChars="0" w:firstLine="0" w:firstLineChars="0"/>
              <w:jc w:val="left"/>
              <w:rPr>
                <w:rFonts w:hAnsi="宋体" w:eastAsia="宋体"/>
                <w:color w:val="auto"/>
              </w:rPr>
            </w:pPr>
            <w:r>
              <w:rPr>
                <w:rFonts w:hint="eastAsia" w:hAnsi="宋体" w:eastAsia="宋体"/>
                <w:color w:val="auto"/>
                <w:lang w:eastAsia="zh-CN"/>
              </w:rPr>
              <w:t>生产厂家</w:t>
            </w:r>
          </w:p>
        </w:tc>
      </w:tr>
      <w:tr w14:paraId="3E006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435" w:type="dxa"/>
            <w:tcBorders>
              <w:top w:val="single" w:color="auto" w:sz="4" w:space="0"/>
              <w:left w:val="single" w:color="auto" w:sz="4" w:space="0"/>
              <w:bottom w:val="single" w:color="auto" w:sz="4" w:space="0"/>
              <w:right w:val="single" w:color="auto" w:sz="4" w:space="0"/>
            </w:tcBorders>
            <w:noWrap w:val="0"/>
            <w:vAlign w:val="center"/>
          </w:tcPr>
          <w:p w14:paraId="488B1DC1">
            <w:pPr>
              <w:pStyle w:val="113"/>
              <w:ind w:firstLine="0" w:firstLineChars="0"/>
              <w:jc w:val="center"/>
              <w:rPr>
                <w:rFonts w:hAnsi="宋体" w:eastAsia="宋体"/>
                <w:color w:val="auto"/>
              </w:rPr>
            </w:pPr>
          </w:p>
        </w:tc>
        <w:tc>
          <w:tcPr>
            <w:tcW w:w="1201" w:type="dxa"/>
            <w:tcBorders>
              <w:top w:val="single" w:color="auto" w:sz="4" w:space="0"/>
              <w:left w:val="single" w:color="auto" w:sz="4" w:space="0"/>
              <w:bottom w:val="single" w:color="auto" w:sz="4" w:space="0"/>
              <w:right w:val="single" w:color="auto" w:sz="4" w:space="0"/>
            </w:tcBorders>
            <w:noWrap w:val="0"/>
            <w:vAlign w:val="center"/>
          </w:tcPr>
          <w:p w14:paraId="3D88399E">
            <w:pPr>
              <w:pStyle w:val="113"/>
              <w:ind w:firstLine="0" w:firstLineChars="0"/>
              <w:jc w:val="center"/>
              <w:rPr>
                <w:rFonts w:hAnsi="宋体" w:eastAsia="宋体"/>
                <w:color w:val="auto"/>
              </w:rPr>
            </w:pPr>
          </w:p>
        </w:tc>
        <w:tc>
          <w:tcPr>
            <w:tcW w:w="667" w:type="dxa"/>
            <w:tcBorders>
              <w:top w:val="single" w:color="auto" w:sz="4" w:space="0"/>
              <w:left w:val="single" w:color="auto" w:sz="4" w:space="0"/>
              <w:bottom w:val="single" w:color="auto" w:sz="4" w:space="0"/>
              <w:right w:val="single" w:color="auto" w:sz="4" w:space="0"/>
            </w:tcBorders>
            <w:noWrap w:val="0"/>
            <w:vAlign w:val="center"/>
          </w:tcPr>
          <w:p w14:paraId="18285089">
            <w:pPr>
              <w:pStyle w:val="113"/>
              <w:ind w:firstLine="0" w:firstLineChars="0"/>
              <w:jc w:val="left"/>
              <w:rPr>
                <w:rFonts w:hAnsi="宋体" w:eastAsia="宋体"/>
                <w:color w:val="auto"/>
              </w:rPr>
            </w:pPr>
          </w:p>
        </w:tc>
        <w:tc>
          <w:tcPr>
            <w:tcW w:w="667" w:type="dxa"/>
            <w:tcBorders>
              <w:top w:val="single" w:color="auto" w:sz="4" w:space="0"/>
              <w:left w:val="single" w:color="auto" w:sz="4" w:space="0"/>
              <w:bottom w:val="single" w:color="auto" w:sz="4" w:space="0"/>
              <w:right w:val="single" w:color="auto" w:sz="4" w:space="0"/>
            </w:tcBorders>
            <w:noWrap w:val="0"/>
            <w:vAlign w:val="center"/>
          </w:tcPr>
          <w:p w14:paraId="5D51CB62">
            <w:pPr>
              <w:pStyle w:val="113"/>
              <w:ind w:firstLine="199" w:firstLineChars="83"/>
              <w:jc w:val="left"/>
              <w:rPr>
                <w:rFonts w:hAnsi="宋体" w:eastAsia="宋体"/>
                <w:color w:val="auto"/>
              </w:rPr>
            </w:pPr>
          </w:p>
        </w:tc>
        <w:tc>
          <w:tcPr>
            <w:tcW w:w="1469" w:type="dxa"/>
            <w:tcBorders>
              <w:top w:val="single" w:color="auto" w:sz="4" w:space="0"/>
              <w:left w:val="single" w:color="auto" w:sz="4" w:space="0"/>
              <w:bottom w:val="single" w:color="auto" w:sz="4" w:space="0"/>
              <w:right w:val="single" w:color="auto" w:sz="4" w:space="0"/>
            </w:tcBorders>
            <w:noWrap w:val="0"/>
            <w:vAlign w:val="center"/>
          </w:tcPr>
          <w:p w14:paraId="27E1B5F0">
            <w:pPr>
              <w:pStyle w:val="113"/>
              <w:ind w:firstLine="0" w:firstLineChars="0"/>
              <w:jc w:val="left"/>
              <w:rPr>
                <w:rFonts w:hAnsi="宋体" w:eastAsia="宋体"/>
                <w:color w:val="auto"/>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1B267D4E">
            <w:pPr>
              <w:pStyle w:val="113"/>
              <w:ind w:firstLine="0" w:firstLineChars="0"/>
              <w:jc w:val="left"/>
              <w:rPr>
                <w:rFonts w:hAnsi="宋体" w:eastAsia="宋体"/>
                <w:color w:val="auto"/>
              </w:rPr>
            </w:pPr>
          </w:p>
        </w:tc>
        <w:tc>
          <w:tcPr>
            <w:tcW w:w="1068" w:type="dxa"/>
            <w:tcBorders>
              <w:top w:val="single" w:color="auto" w:sz="4" w:space="0"/>
              <w:left w:val="single" w:color="auto" w:sz="4" w:space="0"/>
              <w:bottom w:val="single" w:color="auto" w:sz="4" w:space="0"/>
              <w:right w:val="single" w:color="auto" w:sz="4" w:space="0"/>
            </w:tcBorders>
            <w:noWrap w:val="0"/>
            <w:vAlign w:val="center"/>
          </w:tcPr>
          <w:p w14:paraId="7194ECE0">
            <w:pPr>
              <w:pStyle w:val="113"/>
              <w:ind w:firstLine="0" w:firstLineChars="0"/>
              <w:jc w:val="left"/>
              <w:rPr>
                <w:rFonts w:hAnsi="宋体" w:eastAsia="宋体"/>
                <w:color w:val="auto"/>
              </w:rPr>
            </w:pPr>
          </w:p>
        </w:tc>
        <w:tc>
          <w:tcPr>
            <w:tcW w:w="800" w:type="dxa"/>
            <w:tcBorders>
              <w:top w:val="single" w:color="auto" w:sz="4" w:space="0"/>
              <w:left w:val="single" w:color="auto" w:sz="4" w:space="0"/>
              <w:bottom w:val="single" w:color="auto" w:sz="4" w:space="0"/>
              <w:right w:val="single" w:color="auto" w:sz="4" w:space="0"/>
            </w:tcBorders>
            <w:noWrap w:val="0"/>
            <w:vAlign w:val="center"/>
          </w:tcPr>
          <w:p w14:paraId="2D743DE7">
            <w:pPr>
              <w:pStyle w:val="113"/>
              <w:ind w:left="0" w:leftChars="0" w:firstLine="0" w:firstLineChars="0"/>
              <w:jc w:val="left"/>
              <w:rPr>
                <w:rFonts w:hAnsi="宋体" w:eastAsia="宋体"/>
                <w:color w:val="auto"/>
              </w:rPr>
            </w:pPr>
            <w:r>
              <w:rPr>
                <w:rFonts w:hint="eastAsia" w:hAnsi="宋体" w:eastAsia="宋体"/>
                <w:color w:val="auto"/>
                <w:lang w:eastAsia="zh-CN"/>
              </w:rPr>
              <w:t>生产厂家</w:t>
            </w:r>
          </w:p>
        </w:tc>
      </w:tr>
      <w:tr w14:paraId="2353A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435" w:type="dxa"/>
            <w:tcBorders>
              <w:top w:val="single" w:color="auto" w:sz="4" w:space="0"/>
              <w:left w:val="single" w:color="auto" w:sz="4" w:space="0"/>
              <w:bottom w:val="single" w:color="auto" w:sz="4" w:space="0"/>
              <w:right w:val="single" w:color="auto" w:sz="4" w:space="0"/>
            </w:tcBorders>
            <w:noWrap w:val="0"/>
            <w:vAlign w:val="center"/>
          </w:tcPr>
          <w:p w14:paraId="20A248ED">
            <w:pPr>
              <w:pStyle w:val="113"/>
              <w:ind w:firstLine="480"/>
              <w:jc w:val="left"/>
              <w:rPr>
                <w:rFonts w:hAnsi="宋体" w:eastAsia="宋体"/>
                <w:color w:val="auto"/>
              </w:rPr>
            </w:pPr>
            <w:r>
              <w:rPr>
                <w:rFonts w:hint="eastAsia" w:hAnsi="宋体" w:eastAsia="宋体"/>
                <w:color w:val="auto"/>
              </w:rPr>
              <w:t>合计：</w:t>
            </w:r>
          </w:p>
        </w:tc>
        <w:tc>
          <w:tcPr>
            <w:tcW w:w="2535" w:type="dxa"/>
            <w:gridSpan w:val="3"/>
            <w:tcBorders>
              <w:top w:val="single" w:color="auto" w:sz="4" w:space="0"/>
              <w:left w:val="single" w:color="auto" w:sz="4" w:space="0"/>
              <w:bottom w:val="single" w:color="auto" w:sz="4" w:space="0"/>
              <w:right w:val="single" w:color="auto" w:sz="4" w:space="0"/>
            </w:tcBorders>
            <w:noWrap w:val="0"/>
            <w:vAlign w:val="center"/>
          </w:tcPr>
          <w:p w14:paraId="2E1DDA0E">
            <w:pPr>
              <w:pStyle w:val="113"/>
              <w:ind w:firstLine="1680" w:firstLineChars="700"/>
              <w:jc w:val="left"/>
              <w:rPr>
                <w:rFonts w:hAnsi="宋体" w:eastAsia="宋体"/>
                <w:color w:val="auto"/>
              </w:rPr>
            </w:pPr>
            <w:r>
              <w:rPr>
                <w:rFonts w:hint="eastAsia" w:hAnsi="宋体" w:eastAsia="宋体"/>
                <w:color w:val="auto"/>
              </w:rPr>
              <w:t xml:space="preserve">元  </w:t>
            </w:r>
          </w:p>
        </w:tc>
        <w:tc>
          <w:tcPr>
            <w:tcW w:w="1469" w:type="dxa"/>
            <w:tcBorders>
              <w:top w:val="single" w:color="auto" w:sz="4" w:space="0"/>
              <w:left w:val="single" w:color="auto" w:sz="4" w:space="0"/>
              <w:bottom w:val="single" w:color="auto" w:sz="4" w:space="0"/>
              <w:right w:val="single" w:color="auto" w:sz="4" w:space="0"/>
            </w:tcBorders>
            <w:noWrap w:val="0"/>
            <w:vAlign w:val="center"/>
          </w:tcPr>
          <w:p w14:paraId="6AC48C06">
            <w:pPr>
              <w:pStyle w:val="113"/>
              <w:ind w:firstLine="480"/>
              <w:jc w:val="left"/>
              <w:rPr>
                <w:rFonts w:hAnsi="宋体" w:eastAsia="宋体"/>
                <w:color w:val="auto"/>
              </w:rPr>
            </w:pPr>
            <w:r>
              <w:rPr>
                <w:rFonts w:hint="eastAsia" w:hAnsi="宋体" w:eastAsia="宋体"/>
                <w:color w:val="auto"/>
              </w:rPr>
              <w:t>大写</w:t>
            </w:r>
          </w:p>
        </w:tc>
        <w:tc>
          <w:tcPr>
            <w:tcW w:w="3338" w:type="dxa"/>
            <w:gridSpan w:val="3"/>
            <w:tcBorders>
              <w:top w:val="single" w:color="auto" w:sz="4" w:space="0"/>
              <w:left w:val="single" w:color="auto" w:sz="4" w:space="0"/>
              <w:bottom w:val="single" w:color="auto" w:sz="4" w:space="0"/>
              <w:right w:val="single" w:color="auto" w:sz="4" w:space="0"/>
            </w:tcBorders>
            <w:noWrap w:val="0"/>
            <w:vAlign w:val="center"/>
          </w:tcPr>
          <w:p w14:paraId="6D554D32">
            <w:pPr>
              <w:pStyle w:val="113"/>
              <w:ind w:firstLine="2160" w:firstLineChars="900"/>
              <w:jc w:val="left"/>
              <w:rPr>
                <w:rFonts w:hAnsi="宋体" w:eastAsia="宋体"/>
                <w:color w:val="auto"/>
              </w:rPr>
            </w:pPr>
          </w:p>
        </w:tc>
      </w:tr>
    </w:tbl>
    <w:p w14:paraId="2EC1BD2B">
      <w:pPr>
        <w:pStyle w:val="113"/>
        <w:ind w:firstLine="482"/>
        <w:rPr>
          <w:rFonts w:hAnsi="宋体" w:eastAsia="宋体"/>
          <w:b/>
          <w:bCs/>
          <w:color w:val="auto"/>
        </w:rPr>
      </w:pPr>
      <w:r>
        <w:rPr>
          <w:rFonts w:hint="eastAsia" w:hAnsi="宋体" w:eastAsia="宋体"/>
          <w:b/>
          <w:bCs/>
          <w:color w:val="auto"/>
        </w:rPr>
        <w:t>二、合同总价</w:t>
      </w:r>
      <w:bookmarkEnd w:id="538"/>
      <w:bookmarkEnd w:id="539"/>
      <w:bookmarkEnd w:id="540"/>
      <w:bookmarkEnd w:id="541"/>
    </w:p>
    <w:p w14:paraId="67B9FEE8">
      <w:pPr>
        <w:pStyle w:val="113"/>
        <w:ind w:firstLine="480"/>
        <w:rPr>
          <w:rFonts w:hAnsi="宋体" w:eastAsia="宋体"/>
          <w:color w:val="auto"/>
        </w:rPr>
      </w:pPr>
      <w:r>
        <w:rPr>
          <w:rFonts w:hint="eastAsia" w:hAnsi="宋体" w:eastAsia="宋体"/>
          <w:color w:val="auto"/>
        </w:rPr>
        <w:t>合同总价为人民币大写：</w:t>
      </w:r>
      <w:r>
        <w:rPr>
          <w:rFonts w:hint="eastAsia" w:hAnsi="宋体" w:eastAsia="宋体"/>
          <w:color w:val="auto"/>
          <w:u w:val="single"/>
        </w:rPr>
        <w:t xml:space="preserve">              整</w:t>
      </w:r>
      <w:r>
        <w:rPr>
          <w:rFonts w:hint="eastAsia" w:hAnsi="宋体" w:eastAsia="宋体"/>
          <w:color w:val="auto"/>
          <w:u w:val="single"/>
          <w:lang w:eastAsia="zh-CN"/>
        </w:rPr>
        <w:t>（</w:t>
      </w:r>
      <w:r>
        <w:rPr>
          <w:rFonts w:hint="eastAsia" w:hAnsi="宋体" w:eastAsia="宋体"/>
          <w:color w:val="auto"/>
          <w:u w:val="single"/>
          <w:lang w:val="en-US" w:eastAsia="zh-CN"/>
        </w:rPr>
        <w:t xml:space="preserve">含税价，税率为  %，税票类型为:    </w:t>
      </w:r>
      <w:r>
        <w:rPr>
          <w:rFonts w:hint="eastAsia" w:hAnsi="宋体" w:eastAsia="宋体"/>
          <w:color w:val="auto"/>
          <w:u w:val="single"/>
          <w:lang w:eastAsia="zh-CN"/>
        </w:rPr>
        <w:t>）</w:t>
      </w:r>
      <w:r>
        <w:rPr>
          <w:rFonts w:hint="eastAsia" w:hAnsi="宋体" w:eastAsia="宋体"/>
          <w:color w:val="auto"/>
        </w:rPr>
        <w:t>；该合同总价已包括货物设计、制造、材料、包装、运输、安装、调试、检测、检验、审验、年检、办证等，</w:t>
      </w:r>
      <w:r>
        <w:rPr>
          <w:rFonts w:hint="eastAsia" w:hAnsi="宋体" w:eastAsia="宋体"/>
          <w:color w:val="auto"/>
          <w:lang w:eastAsia="zh-CN"/>
        </w:rPr>
        <w:t>需符合国家检定标准，</w:t>
      </w:r>
      <w:r>
        <w:rPr>
          <w:rFonts w:hint="eastAsia" w:hAnsi="宋体" w:eastAsia="宋体"/>
          <w:color w:val="auto"/>
        </w:rPr>
        <w:t>验收合格后交付使用之前，保修期内保修服务与备用物件等所有费用及其他有关各项费用（包含税费）。本合同执行期间合同总价不变，甲方无须另向乙方支付本合同规定之外的其他任何费用。</w:t>
      </w:r>
    </w:p>
    <w:p w14:paraId="719384B4">
      <w:pPr>
        <w:pStyle w:val="113"/>
        <w:ind w:firstLine="482"/>
        <w:rPr>
          <w:rFonts w:hAnsi="宋体" w:eastAsia="宋体"/>
          <w:b/>
          <w:bCs/>
          <w:color w:val="auto"/>
        </w:rPr>
      </w:pPr>
      <w:bookmarkStart w:id="542" w:name="_Toc472604520"/>
      <w:bookmarkStart w:id="543" w:name="_Toc471489619"/>
      <w:bookmarkStart w:id="544" w:name="_Toc217446109"/>
      <w:bookmarkStart w:id="545" w:name="_Toc472604663"/>
      <w:r>
        <w:rPr>
          <w:rFonts w:hint="eastAsia" w:hAnsi="宋体" w:eastAsia="宋体"/>
          <w:b/>
          <w:bCs/>
          <w:color w:val="auto"/>
        </w:rPr>
        <w:t>三、质量要求</w:t>
      </w:r>
      <w:bookmarkEnd w:id="542"/>
      <w:bookmarkEnd w:id="543"/>
      <w:bookmarkEnd w:id="544"/>
      <w:bookmarkEnd w:id="545"/>
    </w:p>
    <w:p w14:paraId="1D428AFC">
      <w:pPr>
        <w:pStyle w:val="113"/>
        <w:ind w:firstLine="480"/>
        <w:rPr>
          <w:rFonts w:hAnsi="宋体" w:eastAsia="宋体"/>
          <w:color w:val="auto"/>
        </w:rPr>
      </w:pPr>
      <w:r>
        <w:rPr>
          <w:rFonts w:hint="eastAsia" w:hAnsi="宋体" w:eastAsia="宋体"/>
          <w:color w:val="auto"/>
        </w:rPr>
        <w:t>1、乙方必须提供全新的货物（含零部件、配件等），表面无划伤、无碰撞痕迹，且权属清楚，不得侵害他人的知识产权。</w:t>
      </w:r>
    </w:p>
    <w:p w14:paraId="46077AC0">
      <w:pPr>
        <w:pStyle w:val="113"/>
        <w:ind w:firstLine="480"/>
        <w:rPr>
          <w:rFonts w:hAnsi="宋体" w:eastAsia="宋体"/>
          <w:color w:val="auto"/>
        </w:rPr>
      </w:pPr>
      <w:r>
        <w:rPr>
          <w:rFonts w:hint="eastAsia" w:hAnsi="宋体" w:eastAsia="宋体"/>
          <w:color w:val="auto"/>
        </w:rPr>
        <w:t>2、货物必须符合或优于国家（行业）</w:t>
      </w:r>
      <w:r>
        <w:rPr>
          <w:rFonts w:hint="eastAsia" w:hAnsi="宋体" w:eastAsia="宋体"/>
          <w:color w:val="auto"/>
          <w:u w:val="single"/>
        </w:rPr>
        <w:t xml:space="preserve"> 质量 </w:t>
      </w:r>
      <w:r>
        <w:rPr>
          <w:rFonts w:hint="eastAsia" w:hAnsi="宋体" w:eastAsia="宋体"/>
          <w:color w:val="auto"/>
        </w:rPr>
        <w:t>标准，以及本项目招标文件的质量要求和技术指标与出厂标准。</w:t>
      </w:r>
    </w:p>
    <w:p w14:paraId="43A49ADE">
      <w:pPr>
        <w:pStyle w:val="113"/>
        <w:ind w:firstLine="480"/>
        <w:rPr>
          <w:rFonts w:hAnsi="宋体" w:eastAsia="宋体"/>
          <w:color w:val="auto"/>
        </w:rPr>
      </w:pPr>
      <w:r>
        <w:rPr>
          <w:rFonts w:hint="eastAsia" w:hAnsi="宋体" w:eastAsia="宋体"/>
          <w:color w:val="auto"/>
        </w:rPr>
        <w:t>3、货物制造质量出现问题，乙方应负责三包（包修、包换、包退），费用由乙方负担，甲方有权到乙方生产场地检查货物质量和生产进度。</w:t>
      </w:r>
    </w:p>
    <w:p w14:paraId="6E66911B">
      <w:pPr>
        <w:pStyle w:val="113"/>
        <w:ind w:firstLine="480"/>
        <w:rPr>
          <w:rFonts w:hAnsi="宋体" w:eastAsia="宋体"/>
          <w:color w:val="auto"/>
        </w:rPr>
      </w:pPr>
      <w:r>
        <w:rPr>
          <w:rFonts w:hint="eastAsia" w:hAnsi="宋体" w:eastAsia="宋体"/>
          <w:color w:val="auto"/>
        </w:rPr>
        <w:t>4、货到现场后由于甲方保管不当造成的质量问题，乙方亦应负责免费修理，产生的配件费用由甲方负担。</w:t>
      </w:r>
    </w:p>
    <w:p w14:paraId="24367AF2">
      <w:pPr>
        <w:pStyle w:val="113"/>
        <w:ind w:firstLine="482"/>
        <w:rPr>
          <w:rFonts w:hAnsi="宋体" w:eastAsia="宋体"/>
          <w:b/>
          <w:bCs/>
          <w:color w:val="auto"/>
        </w:rPr>
      </w:pPr>
      <w:bookmarkStart w:id="546" w:name="_Toc471489620"/>
      <w:bookmarkStart w:id="547" w:name="_Toc217446110"/>
      <w:bookmarkStart w:id="548" w:name="_Toc472604664"/>
      <w:bookmarkStart w:id="549" w:name="_Toc472604521"/>
      <w:r>
        <w:rPr>
          <w:rFonts w:hint="eastAsia" w:hAnsi="宋体" w:eastAsia="宋体"/>
          <w:b/>
          <w:bCs/>
          <w:color w:val="auto"/>
        </w:rPr>
        <w:t>四、交货及验收</w:t>
      </w:r>
      <w:bookmarkEnd w:id="546"/>
      <w:bookmarkEnd w:id="547"/>
      <w:bookmarkEnd w:id="548"/>
      <w:bookmarkEnd w:id="549"/>
    </w:p>
    <w:p w14:paraId="7DD803DD">
      <w:pPr>
        <w:pStyle w:val="113"/>
        <w:ind w:firstLine="480"/>
        <w:rPr>
          <w:rFonts w:hAnsi="宋体" w:eastAsia="宋体"/>
          <w:color w:val="auto"/>
        </w:rPr>
      </w:pPr>
      <w:r>
        <w:rPr>
          <w:rFonts w:hint="eastAsia" w:hAnsi="宋体" w:eastAsia="宋体"/>
          <w:color w:val="auto"/>
        </w:rPr>
        <w:t>1、乙方交货期限为合同签订生效后的</w:t>
      </w:r>
      <w:r>
        <w:rPr>
          <w:rFonts w:hint="eastAsia" w:hAnsi="宋体" w:eastAsia="宋体"/>
          <w:color w:val="auto"/>
          <w:lang w:val="en-US" w:eastAsia="zh-CN"/>
        </w:rPr>
        <w:t>3</w:t>
      </w:r>
      <w:r>
        <w:rPr>
          <w:rFonts w:hint="eastAsia" w:hAnsi="宋体" w:eastAsia="宋体"/>
          <w:color w:val="auto"/>
          <w:szCs w:val="21"/>
        </w:rPr>
        <w:t>0</w:t>
      </w:r>
      <w:r>
        <w:rPr>
          <w:rFonts w:hint="eastAsia" w:hAnsi="宋体" w:eastAsia="宋体"/>
          <w:color w:val="auto"/>
        </w:rPr>
        <w:t>日内，在合同签订生效之日起</w:t>
      </w:r>
      <w:r>
        <w:rPr>
          <w:rFonts w:hint="eastAsia" w:hAnsi="宋体" w:eastAsia="宋体"/>
          <w:color w:val="auto"/>
          <w:lang w:val="en-US" w:eastAsia="zh-CN"/>
        </w:rPr>
        <w:t>3</w:t>
      </w:r>
      <w:r>
        <w:rPr>
          <w:rFonts w:hint="eastAsia" w:hAnsi="宋体" w:eastAsia="宋体"/>
          <w:color w:val="auto"/>
          <w:szCs w:val="21"/>
        </w:rPr>
        <w:t>0</w:t>
      </w:r>
      <w:r>
        <w:rPr>
          <w:rFonts w:hint="eastAsia" w:hAnsi="宋体" w:eastAsia="宋体"/>
          <w:color w:val="auto"/>
        </w:rPr>
        <w:t>天内交货到甲方指定地点，随即在</w:t>
      </w:r>
      <w:r>
        <w:rPr>
          <w:rFonts w:hint="eastAsia" w:hAnsi="宋体" w:eastAsia="宋体"/>
          <w:color w:val="auto"/>
          <w:szCs w:val="21"/>
        </w:rPr>
        <w:t>5</w:t>
      </w:r>
      <w:r>
        <w:rPr>
          <w:rFonts w:hint="eastAsia" w:hAnsi="宋体" w:eastAsia="宋体"/>
          <w:color w:val="auto"/>
        </w:rPr>
        <w:t>日内全部完成旧设备的拆卸工作、新设备的安装，调试验收合格交付使用（期间乙方不得再向甲方追加任何费用）</w:t>
      </w:r>
      <w:r>
        <w:rPr>
          <w:rFonts w:hint="eastAsia" w:hAnsi="宋体" w:eastAsia="宋体"/>
          <w:color w:val="auto"/>
          <w:lang w:eastAsia="zh-CN"/>
        </w:rPr>
        <w:t>。</w:t>
      </w:r>
      <w:r>
        <w:rPr>
          <w:rFonts w:hint="eastAsia" w:hAnsi="宋体" w:eastAsia="宋体"/>
          <w:color w:val="auto"/>
        </w:rPr>
        <w:t>乙方在货物</w:t>
      </w:r>
      <w:r>
        <w:rPr>
          <w:rFonts w:hint="eastAsia" w:hAnsi="宋体" w:eastAsia="宋体"/>
          <w:color w:val="auto"/>
          <w:lang w:val="en-US" w:eastAsia="zh-CN"/>
        </w:rPr>
        <w:t>运输</w:t>
      </w:r>
      <w:r>
        <w:rPr>
          <w:rFonts w:hint="eastAsia" w:hAnsi="宋体" w:eastAsia="宋体"/>
          <w:color w:val="auto"/>
        </w:rPr>
        <w:t>、货物安装中应保证人身安全和财产安全，如乙方在货物运输、安装、调试等履行合同义务期间造成人身或财产损害的，由乙方自行处理并承担赔偿责任。</w:t>
      </w:r>
      <w:r>
        <w:rPr>
          <w:rFonts w:hAnsi="宋体" w:eastAsia="宋体"/>
          <w:color w:val="auto"/>
        </w:rPr>
        <w:t xml:space="preserve"> </w:t>
      </w:r>
    </w:p>
    <w:p w14:paraId="4D308EF1">
      <w:pPr>
        <w:pStyle w:val="113"/>
        <w:ind w:firstLine="480"/>
        <w:rPr>
          <w:rFonts w:hAnsi="宋体" w:eastAsia="宋体"/>
          <w:color w:val="auto"/>
        </w:rPr>
      </w:pPr>
      <w:r>
        <w:rPr>
          <w:rFonts w:hint="eastAsia" w:hAnsi="宋体" w:eastAsia="宋体"/>
          <w:color w:val="auto"/>
        </w:rPr>
        <w:t>2、验收由甲方组织，乙方配合进行：</w:t>
      </w:r>
    </w:p>
    <w:p w14:paraId="2EA36BD2">
      <w:pPr>
        <w:pStyle w:val="113"/>
        <w:ind w:firstLine="480"/>
        <w:rPr>
          <w:rFonts w:hAnsi="宋体" w:eastAsia="宋体"/>
          <w:color w:val="auto"/>
        </w:rPr>
      </w:pPr>
      <w:r>
        <w:rPr>
          <w:rFonts w:hint="eastAsia" w:hAnsi="宋体" w:eastAsia="宋体"/>
          <w:color w:val="auto"/>
        </w:rPr>
        <w:t>(1) 货物在乙方通知安装调试完毕后</w:t>
      </w:r>
      <w:r>
        <w:rPr>
          <w:rFonts w:hint="eastAsia" w:hAnsi="宋体" w:eastAsia="宋体"/>
          <w:color w:val="auto"/>
          <w:u w:val="single"/>
        </w:rPr>
        <w:t xml:space="preserve"> 5 </w:t>
      </w:r>
      <w:r>
        <w:rPr>
          <w:rFonts w:hint="eastAsia" w:hAnsi="宋体" w:eastAsia="宋体"/>
          <w:color w:val="auto"/>
        </w:rPr>
        <w:t>日内完成验收。</w:t>
      </w:r>
    </w:p>
    <w:p w14:paraId="309E18A0">
      <w:pPr>
        <w:pStyle w:val="113"/>
        <w:ind w:firstLine="480"/>
        <w:rPr>
          <w:rFonts w:hAnsi="宋体" w:eastAsia="宋体"/>
          <w:color w:val="auto"/>
        </w:rPr>
      </w:pPr>
      <w:r>
        <w:rPr>
          <w:rFonts w:hint="eastAsia" w:hAnsi="宋体" w:eastAsia="宋体"/>
          <w:color w:val="auto"/>
        </w:rPr>
        <w:t>(2)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14:paraId="5B7F2268">
      <w:pPr>
        <w:pStyle w:val="113"/>
        <w:ind w:firstLine="480"/>
        <w:rPr>
          <w:rFonts w:hAnsi="宋体" w:eastAsia="宋体"/>
          <w:color w:val="auto"/>
        </w:rPr>
      </w:pPr>
      <w:r>
        <w:rPr>
          <w:rFonts w:hint="eastAsia" w:hAnsi="宋体" w:eastAsia="宋体"/>
          <w:color w:val="auto"/>
        </w:rPr>
        <w:t>(</w:t>
      </w:r>
      <w:r>
        <w:rPr>
          <w:rFonts w:hAnsi="宋体" w:eastAsia="宋体"/>
          <w:color w:val="auto"/>
        </w:rPr>
        <w:t>3</w:t>
      </w:r>
      <w:r>
        <w:rPr>
          <w:rFonts w:hint="eastAsia" w:hAnsi="宋体" w:eastAsia="宋体"/>
          <w:color w:val="auto"/>
        </w:rPr>
        <w:t>) 如质量验收合格，经厂家工程师培训使用后，双方签署质量验收报告。</w:t>
      </w:r>
      <w:r>
        <w:rPr>
          <w:rFonts w:hint="eastAsia" w:hAnsi="宋体" w:eastAsia="宋体"/>
          <w:color w:val="auto"/>
          <w:lang w:val="en-US" w:eastAsia="zh-CN"/>
        </w:rPr>
        <w:t>该</w:t>
      </w:r>
      <w:r>
        <w:rPr>
          <w:rFonts w:hint="eastAsia" w:hAnsi="宋体" w:eastAsia="宋体"/>
          <w:color w:val="auto"/>
        </w:rPr>
        <w:t>验收不免除乙方</w:t>
      </w:r>
      <w:r>
        <w:rPr>
          <w:rFonts w:hint="eastAsia" w:hAnsi="宋体" w:eastAsia="宋体"/>
          <w:color w:val="auto"/>
          <w:lang w:val="en-US" w:eastAsia="zh-CN"/>
        </w:rPr>
        <w:t>在质保期内</w:t>
      </w:r>
      <w:r>
        <w:rPr>
          <w:rFonts w:hint="eastAsia" w:hAnsi="宋体" w:eastAsia="宋体"/>
          <w:color w:val="auto"/>
        </w:rPr>
        <w:t>对货物质量依法应承担的责任。</w:t>
      </w:r>
    </w:p>
    <w:p w14:paraId="11926019">
      <w:pPr>
        <w:pStyle w:val="113"/>
        <w:ind w:firstLine="480"/>
        <w:rPr>
          <w:rFonts w:hAnsi="宋体" w:eastAsia="宋体"/>
          <w:color w:val="auto"/>
        </w:rPr>
      </w:pPr>
      <w:r>
        <w:rPr>
          <w:rFonts w:hAnsi="宋体" w:eastAsia="宋体"/>
          <w:color w:val="auto"/>
        </w:rPr>
        <w:t>3</w:t>
      </w:r>
      <w:r>
        <w:rPr>
          <w:rFonts w:hint="eastAsia" w:hAnsi="宋体" w:eastAsia="宋体"/>
          <w:color w:val="auto"/>
        </w:rPr>
        <w:t>、乙方应将所提供货物的装箱清单、配件、随机工具、用户使用手册、原厂保修卡等资料交付给甲方；乙方不能完整交付货物及本款规定的单证和工具的，必须负责补齐，否则视为未按合同约定交货。</w:t>
      </w:r>
    </w:p>
    <w:p w14:paraId="2B728701">
      <w:pPr>
        <w:pStyle w:val="113"/>
        <w:ind w:firstLine="482"/>
        <w:rPr>
          <w:rFonts w:hAnsi="宋体" w:eastAsia="宋体"/>
          <w:b/>
          <w:bCs/>
          <w:color w:val="auto"/>
        </w:rPr>
      </w:pPr>
      <w:bookmarkStart w:id="550" w:name="_Toc471489621"/>
      <w:bookmarkStart w:id="551" w:name="_Toc217446111"/>
      <w:bookmarkStart w:id="552" w:name="_Toc472604665"/>
      <w:bookmarkStart w:id="553" w:name="_Toc472604522"/>
      <w:r>
        <w:rPr>
          <w:rFonts w:hint="eastAsia" w:hAnsi="宋体" w:eastAsia="宋体"/>
          <w:b/>
          <w:bCs/>
          <w:color w:val="auto"/>
        </w:rPr>
        <w:t>五、付款方式</w:t>
      </w:r>
      <w:bookmarkEnd w:id="550"/>
      <w:bookmarkEnd w:id="551"/>
      <w:bookmarkEnd w:id="552"/>
      <w:bookmarkEnd w:id="553"/>
    </w:p>
    <w:p w14:paraId="66302051">
      <w:pPr>
        <w:pStyle w:val="113"/>
        <w:ind w:firstLine="480"/>
        <w:rPr>
          <w:rFonts w:hint="eastAsia" w:hAnsi="宋体" w:eastAsia="宋体"/>
          <w:color w:val="auto"/>
        </w:rPr>
      </w:pPr>
      <w:r>
        <w:rPr>
          <w:rFonts w:hint="eastAsia" w:hAnsi="宋体" w:eastAsia="宋体"/>
          <w:color w:val="auto"/>
        </w:rPr>
        <w:t>乙方中标后，取得中标通知书，并与甲方签订合同，甲方拨付给乙方合同全款的30%的货款，计人民币：</w:t>
      </w:r>
      <w:r>
        <w:rPr>
          <w:rFonts w:hint="eastAsia" w:hAnsi="宋体" w:eastAsia="宋体"/>
          <w:color w:val="auto"/>
          <w:u w:val="single"/>
          <w:lang w:val="en-US" w:eastAsia="zh-CN"/>
        </w:rPr>
        <w:t xml:space="preserve">    </w:t>
      </w:r>
      <w:r>
        <w:rPr>
          <w:rFonts w:hint="eastAsia" w:hAnsi="宋体" w:eastAsia="宋体"/>
          <w:color w:val="auto"/>
        </w:rPr>
        <w:t>元整（￥</w:t>
      </w:r>
      <w:r>
        <w:rPr>
          <w:rFonts w:hint="eastAsia" w:hAnsi="宋体" w:eastAsia="宋体"/>
          <w:color w:val="auto"/>
          <w:u w:val="single"/>
          <w:lang w:val="en-US" w:eastAsia="zh-CN"/>
        </w:rPr>
        <w:t xml:space="preserve">    </w:t>
      </w:r>
      <w:r>
        <w:rPr>
          <w:rFonts w:hint="eastAsia" w:hAnsi="宋体" w:eastAsia="宋体"/>
          <w:color w:val="auto"/>
        </w:rPr>
        <w:t>元）。货物到达甲方指定地点,验收货物与招标产品相符，无异议后拨付合同全款的50%的货款，计人民币：</w:t>
      </w:r>
      <w:r>
        <w:rPr>
          <w:rFonts w:hint="eastAsia" w:hAnsi="宋体" w:eastAsia="宋体"/>
          <w:color w:val="auto"/>
          <w:u w:val="single"/>
          <w:lang w:val="en-US" w:eastAsia="zh-CN"/>
        </w:rPr>
        <w:t xml:space="preserve">  </w:t>
      </w:r>
      <w:r>
        <w:rPr>
          <w:rFonts w:hint="eastAsia" w:hAnsi="宋体" w:eastAsia="宋体"/>
          <w:color w:val="auto"/>
        </w:rPr>
        <w:t>元整（￥</w:t>
      </w:r>
      <w:r>
        <w:rPr>
          <w:rFonts w:hint="eastAsia" w:hAnsi="宋体" w:eastAsia="宋体"/>
          <w:color w:val="auto"/>
          <w:u w:val="single"/>
          <w:lang w:val="en-US" w:eastAsia="zh-CN"/>
        </w:rPr>
        <w:t xml:space="preserve">    </w:t>
      </w:r>
      <w:r>
        <w:rPr>
          <w:rFonts w:hint="eastAsia" w:hAnsi="宋体" w:eastAsia="宋体"/>
          <w:color w:val="auto"/>
        </w:rPr>
        <w:t>元）。货物安装验收完毕，双方签署质量验收报告后,乙方向甲方提供银行出具的履约保函</w:t>
      </w:r>
      <w:r>
        <w:rPr>
          <w:rFonts w:hint="eastAsia" w:hAnsi="宋体" w:eastAsia="宋体"/>
          <w:color w:val="auto"/>
          <w:lang w:eastAsia="zh-CN"/>
        </w:rPr>
        <w:t>（</w:t>
      </w:r>
      <w:r>
        <w:rPr>
          <w:rFonts w:hint="eastAsia" w:hAnsi="宋体" w:eastAsia="宋体"/>
          <w:color w:val="auto"/>
        </w:rPr>
        <w:t>履约保函</w:t>
      </w:r>
      <w:r>
        <w:rPr>
          <w:rFonts w:hint="eastAsia" w:hAnsi="宋体" w:eastAsia="宋体"/>
          <w:color w:val="auto"/>
          <w:lang w:val="en-US" w:eastAsia="zh-CN"/>
        </w:rPr>
        <w:t>为合同总价5%</w:t>
      </w:r>
      <w:r>
        <w:rPr>
          <w:rFonts w:hint="eastAsia" w:hAnsi="宋体" w:eastAsia="宋体"/>
          <w:color w:val="auto"/>
          <w:lang w:eastAsia="zh-CN"/>
        </w:rPr>
        <w:t>）</w:t>
      </w:r>
      <w:r>
        <w:rPr>
          <w:rFonts w:hint="eastAsia" w:hAnsi="宋体" w:eastAsia="宋体"/>
          <w:color w:val="auto"/>
        </w:rPr>
        <w:t>，确认履约保函无误后甲方拨付给乙方合同全款的20%的货款，计人民币：</w:t>
      </w:r>
      <w:r>
        <w:rPr>
          <w:rFonts w:hint="eastAsia" w:hAnsi="宋体" w:eastAsia="宋体"/>
          <w:color w:val="auto"/>
          <w:u w:val="single"/>
          <w:lang w:val="en-US" w:eastAsia="zh-CN"/>
        </w:rPr>
        <w:t xml:space="preserve">    </w:t>
      </w:r>
      <w:r>
        <w:rPr>
          <w:rFonts w:hint="eastAsia" w:hAnsi="宋体" w:eastAsia="宋体"/>
          <w:color w:val="auto"/>
        </w:rPr>
        <w:t>元整（￥</w:t>
      </w:r>
      <w:r>
        <w:rPr>
          <w:rFonts w:hint="eastAsia" w:hAnsi="宋体" w:eastAsia="宋体"/>
          <w:color w:val="auto"/>
          <w:u w:val="single"/>
          <w:lang w:val="en-US" w:eastAsia="zh-CN"/>
        </w:rPr>
        <w:t xml:space="preserve">    </w:t>
      </w:r>
      <w:r>
        <w:rPr>
          <w:rFonts w:hint="eastAsia" w:hAnsi="宋体" w:eastAsia="宋体"/>
          <w:color w:val="auto"/>
        </w:rPr>
        <w:t>元），质保期过后无产品质量问题，经科室设备负责人签字确认，我院方可提供履约担保函到期证明。</w:t>
      </w:r>
      <w:r>
        <w:rPr>
          <w:rFonts w:ascii="微软雅黑" w:hAnsi="微软雅黑" w:eastAsia="微软雅黑" w:cs="微软雅黑"/>
          <w:i w:val="0"/>
          <w:iCs w:val="0"/>
          <w:caps w:val="0"/>
          <w:color w:val="auto"/>
          <w:spacing w:val="0"/>
          <w:sz w:val="21"/>
          <w:szCs w:val="21"/>
          <w:shd w:val="clear" w:color="auto" w:fill="FFFFFF"/>
        </w:rPr>
        <w:t>其中确认“财政直接支付方式”的，</w:t>
      </w:r>
      <w:r>
        <w:rPr>
          <w:rFonts w:hint="eastAsia" w:ascii="微软雅黑" w:hAnsi="微软雅黑" w:eastAsia="微软雅黑" w:cs="微软雅黑"/>
          <w:i w:val="0"/>
          <w:iCs w:val="0"/>
          <w:caps w:val="0"/>
          <w:color w:val="auto"/>
          <w:spacing w:val="0"/>
          <w:sz w:val="21"/>
          <w:szCs w:val="21"/>
          <w:shd w:val="clear" w:color="auto" w:fill="FFFFFF"/>
        </w:rPr>
        <w:t>向财政国库支付机构提出申请支付令、办理国库支付手续（不计入甲方付款期限），将货款支付给乙方；</w:t>
      </w:r>
    </w:p>
    <w:p w14:paraId="56A6EA73">
      <w:pPr>
        <w:pStyle w:val="113"/>
        <w:ind w:firstLine="480"/>
        <w:rPr>
          <w:rFonts w:hint="default" w:hAnsi="宋体" w:eastAsia="宋体"/>
          <w:color w:val="auto"/>
          <w:lang w:val="en-US" w:eastAsia="zh-CN"/>
        </w:rPr>
      </w:pPr>
      <w:r>
        <w:rPr>
          <w:rFonts w:hint="eastAsia" w:hAnsi="宋体" w:eastAsia="宋体"/>
          <w:color w:val="auto"/>
          <w:lang w:val="en-US" w:eastAsia="zh-CN"/>
        </w:rPr>
        <w:t>甲方每次付款前，乙方须向甲方提供相应金额合法有效的增值税发票，如乙方未一月提供，甲方有权延期支付货款，在此情形下，乙方须继续履行合同义务。</w:t>
      </w:r>
    </w:p>
    <w:p w14:paraId="160E363C">
      <w:pPr>
        <w:pStyle w:val="113"/>
        <w:ind w:firstLine="482"/>
        <w:rPr>
          <w:rFonts w:hAnsi="宋体" w:eastAsia="宋体"/>
          <w:b/>
          <w:bCs/>
          <w:color w:val="auto"/>
        </w:rPr>
      </w:pPr>
      <w:bookmarkStart w:id="554" w:name="_Toc217446112"/>
      <w:bookmarkStart w:id="555" w:name="_Toc472604666"/>
      <w:bookmarkStart w:id="556" w:name="_Toc472604523"/>
      <w:bookmarkStart w:id="557" w:name="_Toc471489622"/>
      <w:r>
        <w:rPr>
          <w:rFonts w:hint="eastAsia" w:hAnsi="宋体" w:eastAsia="宋体"/>
          <w:b/>
          <w:bCs/>
          <w:color w:val="auto"/>
        </w:rPr>
        <w:t>六、售后服务</w:t>
      </w:r>
      <w:bookmarkEnd w:id="554"/>
      <w:bookmarkEnd w:id="555"/>
      <w:bookmarkEnd w:id="556"/>
      <w:bookmarkEnd w:id="557"/>
    </w:p>
    <w:p w14:paraId="5D7026DD">
      <w:pPr>
        <w:pStyle w:val="113"/>
        <w:ind w:firstLine="480"/>
        <w:rPr>
          <w:rFonts w:hAnsi="宋体" w:eastAsia="宋体"/>
          <w:color w:val="auto"/>
        </w:rPr>
      </w:pPr>
      <w:r>
        <w:rPr>
          <w:rFonts w:hint="eastAsia" w:hAnsi="宋体" w:eastAsia="宋体"/>
          <w:color w:val="auto"/>
        </w:rPr>
        <w:t>1、质保期</w:t>
      </w:r>
      <w:r>
        <w:rPr>
          <w:rFonts w:hint="eastAsia" w:hAnsi="宋体" w:eastAsia="宋体"/>
          <w:color w:val="auto"/>
          <w:lang w:val="en-US" w:eastAsia="zh-CN"/>
        </w:rPr>
        <w:t xml:space="preserve">  </w:t>
      </w:r>
      <w:r>
        <w:rPr>
          <w:rFonts w:hint="eastAsia" w:hAnsi="宋体" w:eastAsia="宋体"/>
          <w:color w:val="auto"/>
        </w:rPr>
        <w:t>年，起始日期为验收合格后，科室在验收单上签署日期开始计算质保期，（不以合同签订日期计算质保期）质保期内出现质量问题，乙方在接到通知后</w:t>
      </w:r>
      <w:r>
        <w:rPr>
          <w:rFonts w:hint="eastAsia" w:hAnsi="宋体" w:eastAsia="宋体"/>
          <w:color w:val="auto"/>
          <w:u w:val="single"/>
        </w:rPr>
        <w:t xml:space="preserve">  半  </w:t>
      </w:r>
      <w:r>
        <w:rPr>
          <w:rFonts w:hint="eastAsia" w:hAnsi="宋体" w:eastAsia="宋体"/>
          <w:color w:val="auto"/>
          <w:szCs w:val="24"/>
        </w:rPr>
        <w:t>小时内响应，48小时内服务人员到场组织维修</w:t>
      </w:r>
      <w:r>
        <w:rPr>
          <w:rFonts w:hint="eastAsia" w:hAnsi="宋体" w:eastAsia="宋体"/>
          <w:color w:val="auto"/>
        </w:rPr>
        <w:t>；货到现场后由于甲方保管不当造成的问题，乙方亦应负责免费修理，产生的配件费用由甲方负担。</w:t>
      </w:r>
    </w:p>
    <w:p w14:paraId="660A4694">
      <w:pPr>
        <w:pStyle w:val="113"/>
        <w:ind w:firstLine="480"/>
        <w:rPr>
          <w:rFonts w:hAnsi="宋体" w:eastAsia="宋体"/>
          <w:color w:val="auto"/>
        </w:rPr>
      </w:pPr>
      <w:r>
        <w:rPr>
          <w:rFonts w:hint="eastAsia" w:hAnsi="宋体" w:eastAsia="宋体"/>
          <w:color w:val="auto"/>
        </w:rPr>
        <w:t>2、乙方须指派专人负责与甲方联系售后服务事宜。</w:t>
      </w:r>
    </w:p>
    <w:p w14:paraId="2B5C1093">
      <w:pPr>
        <w:pStyle w:val="113"/>
        <w:ind w:firstLine="482"/>
        <w:rPr>
          <w:rFonts w:hAnsi="宋体" w:eastAsia="宋体"/>
          <w:b/>
          <w:bCs/>
          <w:color w:val="auto"/>
        </w:rPr>
      </w:pPr>
      <w:bookmarkStart w:id="558" w:name="_Toc472604667"/>
      <w:bookmarkStart w:id="559" w:name="_Toc217446113"/>
      <w:bookmarkStart w:id="560" w:name="_Toc471489623"/>
      <w:bookmarkStart w:id="561" w:name="_Toc472604524"/>
      <w:r>
        <w:rPr>
          <w:rFonts w:hint="eastAsia" w:hAnsi="宋体" w:eastAsia="宋体"/>
          <w:b/>
          <w:bCs/>
          <w:color w:val="auto"/>
        </w:rPr>
        <w:t>七、违约责任</w:t>
      </w:r>
      <w:bookmarkEnd w:id="558"/>
      <w:bookmarkEnd w:id="559"/>
      <w:bookmarkEnd w:id="560"/>
      <w:bookmarkEnd w:id="561"/>
    </w:p>
    <w:p w14:paraId="66CBE790">
      <w:pPr>
        <w:pStyle w:val="113"/>
        <w:ind w:firstLine="480"/>
        <w:rPr>
          <w:rFonts w:hAnsi="宋体" w:eastAsia="宋体"/>
          <w:b/>
          <w:bCs/>
          <w:color w:val="auto"/>
        </w:rPr>
      </w:pPr>
      <w:bookmarkStart w:id="562" w:name="_Toc217446114"/>
      <w:bookmarkStart w:id="563" w:name="_Toc472604668"/>
      <w:bookmarkStart w:id="564" w:name="_Toc472604525"/>
      <w:bookmarkStart w:id="565" w:name="_Toc471489624"/>
      <w:r>
        <w:rPr>
          <w:rFonts w:hint="eastAsia" w:hAnsi="宋体" w:eastAsia="宋体"/>
          <w:color w:val="auto"/>
        </w:rPr>
        <w:t>1、甲乙双方必须遵守本合同并执行合同中的各项规定，保证本合同的正常履行。</w:t>
      </w:r>
    </w:p>
    <w:p w14:paraId="0BC02A64">
      <w:pPr>
        <w:pStyle w:val="113"/>
        <w:ind w:firstLine="480"/>
        <w:rPr>
          <w:rFonts w:hint="eastAsia" w:hAnsi="宋体" w:eastAsia="宋体"/>
          <w:color w:val="auto"/>
        </w:rPr>
      </w:pPr>
      <w:r>
        <w:rPr>
          <w:rFonts w:hint="eastAsia" w:hAnsi="宋体" w:eastAsia="宋体"/>
          <w:color w:val="auto"/>
        </w:rPr>
        <w:t>2、如因乙方工作人员在履行职务过程中的的疏忽、失职、过错等故意或者过失原因给甲方造成损失或侵害，包括由此而导致的甲方对任何第三方的法律责任等（但不限于甲方本身已存在的财产损失），乙方对此均应承担全部的赔偿责任。</w:t>
      </w:r>
    </w:p>
    <w:p w14:paraId="46EA0CCF">
      <w:pPr>
        <w:pStyle w:val="113"/>
        <w:ind w:left="0" w:leftChars="0" w:firstLine="480" w:firstLineChars="200"/>
        <w:rPr>
          <w:rFonts w:hint="eastAsia" w:hAnsi="宋体" w:eastAsia="宋体"/>
          <w:color w:val="auto"/>
          <w:lang w:val="en-US" w:eastAsia="zh-CN"/>
        </w:rPr>
      </w:pPr>
      <w:r>
        <w:rPr>
          <w:rFonts w:hint="eastAsia" w:hAnsi="宋体" w:eastAsia="宋体"/>
          <w:color w:val="auto"/>
          <w:lang w:val="en-US" w:eastAsia="zh-CN"/>
        </w:rPr>
        <w:t>3、合同履行期间，如乙方未按约定提供货物或未按约定提供质保服务的，甲方有权追究乙方违约责任，每逾期一日，乙方须按照合同总金额的3‰赔偿甲方违约金。同时，甲方由此产生的全部经济损失以及主张权利所产生的全部费用（包括但不限于律师费、诉讼费、保全费等）由乙方承担。”</w:t>
      </w:r>
    </w:p>
    <w:p w14:paraId="7D47CC52">
      <w:pPr>
        <w:pStyle w:val="113"/>
        <w:ind w:firstLine="480"/>
        <w:rPr>
          <w:rFonts w:hint="eastAsia" w:hAnsi="宋体" w:eastAsia="宋体"/>
          <w:color w:val="auto"/>
          <w:lang w:val="en-US" w:eastAsia="zh-CN"/>
        </w:rPr>
      </w:pPr>
      <w:r>
        <w:rPr>
          <w:rFonts w:hint="eastAsia" w:hAnsi="宋体" w:eastAsia="宋体"/>
          <w:color w:val="auto"/>
          <w:lang w:val="en-US" w:eastAsia="zh-CN"/>
        </w:rPr>
        <w:t>4、如甲方在货物供应有时间要求，或对货物安装、使用有特殊要求的，乙方在明知甲方需求的情况下，依然不履行合同制定的规定，甲方有权单方面终止合同。</w:t>
      </w:r>
    </w:p>
    <w:p w14:paraId="1318C893">
      <w:pPr>
        <w:pStyle w:val="113"/>
        <w:ind w:firstLine="482"/>
        <w:rPr>
          <w:rFonts w:hAnsi="宋体" w:eastAsia="宋体"/>
          <w:b/>
          <w:bCs/>
          <w:color w:val="auto"/>
        </w:rPr>
      </w:pPr>
      <w:r>
        <w:rPr>
          <w:rFonts w:hint="eastAsia" w:hAnsi="宋体" w:eastAsia="宋体"/>
          <w:b/>
          <w:bCs/>
          <w:color w:val="auto"/>
        </w:rPr>
        <w:t>八、争议解决办法</w:t>
      </w:r>
      <w:bookmarkEnd w:id="562"/>
      <w:bookmarkEnd w:id="563"/>
      <w:bookmarkEnd w:id="564"/>
      <w:bookmarkEnd w:id="565"/>
    </w:p>
    <w:p w14:paraId="1FB6D821">
      <w:pPr>
        <w:pStyle w:val="113"/>
        <w:ind w:firstLine="480"/>
        <w:rPr>
          <w:rFonts w:hAnsi="宋体" w:eastAsia="宋体"/>
          <w:color w:val="auto"/>
        </w:rPr>
      </w:pPr>
      <w:r>
        <w:rPr>
          <w:rFonts w:hint="eastAsia" w:hAnsi="宋体" w:eastAsia="宋体"/>
          <w:color w:val="auto"/>
        </w:rPr>
        <w:t>1、因货物的质量问题发生争议，由质量技术监督部门或其指定的质量鉴定机构进行质量鉴定。货物符合标准的，鉴定费由甲方承担；货物不符合质量标准的，鉴定费由乙方承担。</w:t>
      </w:r>
    </w:p>
    <w:p w14:paraId="15525898">
      <w:pPr>
        <w:pStyle w:val="113"/>
        <w:ind w:firstLine="480"/>
        <w:rPr>
          <w:rFonts w:hAnsi="宋体" w:eastAsia="宋体"/>
          <w:color w:val="auto"/>
        </w:rPr>
      </w:pPr>
      <w:r>
        <w:rPr>
          <w:rFonts w:hint="eastAsia" w:hAnsi="宋体" w:eastAsia="宋体"/>
          <w:color w:val="auto"/>
        </w:rPr>
        <w:t>2、合同履行期间,若双方发生争议，可协商或由有关部门调解解决，协商或调解不成的，由</w:t>
      </w:r>
      <w:r>
        <w:rPr>
          <w:rFonts w:hint="eastAsia" w:hAnsi="宋体" w:eastAsia="宋体"/>
          <w:color w:val="auto"/>
          <w:lang w:val="en-US" w:eastAsia="zh-CN"/>
        </w:rPr>
        <w:t>青河县人民法院管辖</w:t>
      </w:r>
      <w:r>
        <w:rPr>
          <w:rFonts w:hint="eastAsia" w:hAnsi="宋体" w:eastAsia="宋体"/>
          <w:color w:val="auto"/>
        </w:rPr>
        <w:t>。</w:t>
      </w:r>
    </w:p>
    <w:p w14:paraId="66BFD210">
      <w:pPr>
        <w:pStyle w:val="113"/>
        <w:ind w:firstLine="482"/>
        <w:rPr>
          <w:rFonts w:hAnsi="宋体" w:eastAsia="宋体"/>
          <w:b/>
          <w:bCs/>
          <w:color w:val="auto"/>
          <w:szCs w:val="24"/>
        </w:rPr>
      </w:pPr>
      <w:bookmarkStart w:id="566" w:name="_Toc472604526"/>
      <w:bookmarkStart w:id="567" w:name="_Toc471489625"/>
      <w:bookmarkStart w:id="568" w:name="_Toc217446115"/>
      <w:bookmarkStart w:id="569" w:name="_Toc472604669"/>
      <w:r>
        <w:rPr>
          <w:rFonts w:hint="eastAsia" w:hAnsi="宋体" w:eastAsia="宋体"/>
          <w:b/>
          <w:bCs/>
          <w:color w:val="auto"/>
          <w:szCs w:val="24"/>
        </w:rPr>
        <w:t>九、其他</w:t>
      </w:r>
      <w:bookmarkEnd w:id="566"/>
      <w:bookmarkEnd w:id="567"/>
      <w:bookmarkEnd w:id="568"/>
      <w:bookmarkEnd w:id="569"/>
    </w:p>
    <w:p w14:paraId="73617871">
      <w:pPr>
        <w:pStyle w:val="113"/>
        <w:ind w:firstLine="480"/>
        <w:rPr>
          <w:rFonts w:hAnsi="宋体" w:eastAsia="宋体"/>
          <w:color w:val="auto"/>
          <w:szCs w:val="24"/>
        </w:rPr>
      </w:pPr>
      <w:r>
        <w:rPr>
          <w:rFonts w:hint="eastAsia" w:hAnsi="宋体" w:eastAsia="宋体"/>
          <w:color w:val="auto"/>
          <w:szCs w:val="24"/>
        </w:rPr>
        <w:t>1、合同经双方法定代表人或授权委托代理人签字并加盖单位公章后生效。</w:t>
      </w:r>
    </w:p>
    <w:p w14:paraId="0B36BCA0">
      <w:pPr>
        <w:pStyle w:val="113"/>
        <w:ind w:firstLine="480"/>
        <w:rPr>
          <w:rFonts w:hAnsi="宋体" w:eastAsia="宋体"/>
          <w:color w:val="auto"/>
          <w:szCs w:val="24"/>
        </w:rPr>
      </w:pPr>
      <w:r>
        <w:rPr>
          <w:rFonts w:hint="eastAsia" w:hAnsi="宋体" w:eastAsia="宋体"/>
          <w:color w:val="auto"/>
          <w:szCs w:val="24"/>
        </w:rPr>
        <w:t>2、合同执行中涉及采购资金和采购内容修改或补充的，须签书面补充协议，经甲乙双方同意，加盖公章，方可作为主合同不可分割的一部分（补充协议见附件一）。</w:t>
      </w:r>
    </w:p>
    <w:p w14:paraId="5F30F686">
      <w:pPr>
        <w:pStyle w:val="113"/>
        <w:ind w:firstLine="480"/>
        <w:rPr>
          <w:rFonts w:hint="eastAsia" w:hAnsi="宋体" w:eastAsia="宋体"/>
          <w:color w:val="auto"/>
          <w:szCs w:val="24"/>
        </w:rPr>
      </w:pPr>
      <w:r>
        <w:rPr>
          <w:rFonts w:hint="eastAsia" w:hAnsi="宋体" w:eastAsia="宋体"/>
          <w:color w:val="auto"/>
          <w:szCs w:val="24"/>
        </w:rPr>
        <w:t>3、本合同一式5份，自双方签章之日起生效。甲方2份，乙方</w:t>
      </w:r>
      <w:r>
        <w:rPr>
          <w:rFonts w:hAnsi="宋体" w:eastAsia="宋体"/>
          <w:color w:val="auto"/>
          <w:szCs w:val="24"/>
        </w:rPr>
        <w:t>1</w:t>
      </w:r>
      <w:r>
        <w:rPr>
          <w:rFonts w:hint="eastAsia" w:hAnsi="宋体" w:eastAsia="宋体"/>
          <w:color w:val="auto"/>
          <w:szCs w:val="24"/>
        </w:rPr>
        <w:t>份，政府采购代理机构</w:t>
      </w:r>
      <w:r>
        <w:rPr>
          <w:rFonts w:hAnsi="宋体" w:eastAsia="宋体"/>
          <w:color w:val="auto"/>
          <w:szCs w:val="24"/>
        </w:rPr>
        <w:t>1</w:t>
      </w:r>
      <w:r>
        <w:rPr>
          <w:rFonts w:hint="eastAsia" w:hAnsi="宋体" w:eastAsia="宋体"/>
          <w:color w:val="auto"/>
          <w:szCs w:val="24"/>
        </w:rPr>
        <w:t>份，同级财政部门备案1份。</w:t>
      </w:r>
    </w:p>
    <w:p w14:paraId="4BB369A5">
      <w:pPr>
        <w:pStyle w:val="113"/>
        <w:ind w:firstLine="480"/>
        <w:rPr>
          <w:rFonts w:hAnsi="宋体" w:eastAsia="宋体"/>
          <w:color w:val="auto"/>
          <w:szCs w:val="24"/>
        </w:rPr>
      </w:pPr>
      <w:r>
        <w:rPr>
          <w:rFonts w:hint="eastAsia" w:hAnsi="宋体" w:eastAsia="宋体"/>
          <w:color w:val="auto"/>
          <w:szCs w:val="24"/>
        </w:rPr>
        <w:t>4、本合同签订的补充协议及附件与本合同具有同等法律效力。</w:t>
      </w:r>
    </w:p>
    <w:p w14:paraId="7AFE70C6">
      <w:pPr>
        <w:pStyle w:val="113"/>
        <w:ind w:firstLine="480"/>
        <w:rPr>
          <w:rFonts w:hAnsi="宋体" w:eastAsia="宋体"/>
          <w:color w:val="auto"/>
          <w:szCs w:val="24"/>
        </w:rPr>
      </w:pPr>
      <w:r>
        <w:rPr>
          <w:rFonts w:hint="eastAsia" w:hAnsi="宋体" w:eastAsia="宋体"/>
          <w:color w:val="auto"/>
          <w:szCs w:val="24"/>
          <w:lang w:val="en-US" w:eastAsia="zh-CN"/>
        </w:rPr>
        <w:t>5、本协议中确定的地址及联系方式系履行本协议双方送达各类通知以及发生纠纷时相关文件及人民法院送达传票、民事起诉状等法律文书的有效送达地址；任何一方的送达地址变更的，应在变更当日书面通知对方，若因一方提供或者确认的送达地址不准确、送达地址变更后未及时依程序告知对方的，原联系地址仍视为有效送达地址。</w:t>
      </w:r>
    </w:p>
    <w:p w14:paraId="0FCB0FBE">
      <w:pPr>
        <w:pStyle w:val="113"/>
        <w:ind w:firstLine="480"/>
        <w:rPr>
          <w:rFonts w:hint="eastAsia" w:hAnsi="宋体" w:eastAsia="宋体"/>
          <w:color w:val="auto"/>
          <w:szCs w:val="24"/>
        </w:rPr>
      </w:pPr>
      <w:r>
        <w:rPr>
          <w:rFonts w:hint="eastAsia" w:hAnsi="宋体" w:eastAsia="宋体"/>
          <w:color w:val="auto"/>
          <w:szCs w:val="24"/>
        </w:rPr>
        <w:t xml:space="preserve">甲方：（盖章）            </w:t>
      </w:r>
      <w:r>
        <w:rPr>
          <w:rFonts w:hAnsi="宋体" w:eastAsia="宋体"/>
          <w:color w:val="auto"/>
          <w:szCs w:val="24"/>
        </w:rPr>
        <w:t xml:space="preserve">     </w:t>
      </w:r>
      <w:r>
        <w:rPr>
          <w:rFonts w:hint="eastAsia" w:hAnsi="宋体" w:eastAsia="宋体"/>
          <w:color w:val="auto"/>
          <w:szCs w:val="24"/>
        </w:rPr>
        <w:t xml:space="preserve">  </w:t>
      </w:r>
      <w:r>
        <w:rPr>
          <w:rFonts w:hAnsi="宋体" w:eastAsia="宋体"/>
          <w:color w:val="auto"/>
          <w:szCs w:val="24"/>
        </w:rPr>
        <w:t xml:space="preserve"> </w:t>
      </w:r>
      <w:r>
        <w:rPr>
          <w:rFonts w:hint="eastAsia" w:hAnsi="宋体" w:eastAsia="宋体"/>
          <w:color w:val="auto"/>
          <w:szCs w:val="24"/>
        </w:rPr>
        <w:t xml:space="preserve">乙 方：（盖章）           </w:t>
      </w:r>
    </w:p>
    <w:p w14:paraId="5D8FD4D6">
      <w:pPr>
        <w:pStyle w:val="113"/>
        <w:ind w:firstLine="480"/>
        <w:rPr>
          <w:rFonts w:hAnsi="宋体" w:eastAsia="宋体"/>
          <w:color w:val="auto"/>
          <w:szCs w:val="24"/>
        </w:rPr>
      </w:pPr>
    </w:p>
    <w:p w14:paraId="5714F98E">
      <w:pPr>
        <w:pStyle w:val="113"/>
        <w:ind w:firstLine="480"/>
        <w:rPr>
          <w:rFonts w:hAnsi="宋体" w:eastAsia="宋体"/>
          <w:color w:val="auto"/>
          <w:szCs w:val="24"/>
        </w:rPr>
      </w:pPr>
      <w:r>
        <w:rPr>
          <w:rFonts w:hint="eastAsia" w:hAnsi="宋体" w:eastAsia="宋体"/>
          <w:color w:val="auto"/>
          <w:szCs w:val="24"/>
        </w:rPr>
        <w:t xml:space="preserve">法定代表人（授权代表）：         </w:t>
      </w:r>
      <w:r>
        <w:rPr>
          <w:rFonts w:hAnsi="宋体" w:eastAsia="宋体"/>
          <w:color w:val="auto"/>
          <w:szCs w:val="24"/>
        </w:rPr>
        <w:t xml:space="preserve"> </w:t>
      </w:r>
      <w:r>
        <w:rPr>
          <w:rFonts w:hint="eastAsia" w:hAnsi="宋体" w:eastAsia="宋体"/>
          <w:color w:val="auto"/>
          <w:szCs w:val="24"/>
        </w:rPr>
        <w:t>法定代表人（授权代表）：</w:t>
      </w:r>
    </w:p>
    <w:p w14:paraId="4EFCA9F8">
      <w:pPr>
        <w:pStyle w:val="113"/>
        <w:ind w:left="336" w:leftChars="140" w:firstLine="0" w:firstLineChars="0"/>
        <w:rPr>
          <w:rFonts w:hAnsi="宋体" w:eastAsia="宋体"/>
          <w:color w:val="auto"/>
          <w:szCs w:val="24"/>
        </w:rPr>
      </w:pPr>
      <w:r>
        <w:rPr>
          <w:rFonts w:hint="eastAsia" w:hAnsi="宋体" w:eastAsia="宋体"/>
          <w:color w:val="auto"/>
          <w:szCs w:val="24"/>
        </w:rPr>
        <w:t>地址：</w:t>
      </w:r>
      <w:r>
        <w:rPr>
          <w:rFonts w:hint="eastAsia" w:hAnsi="宋体" w:eastAsia="宋体"/>
          <w:color w:val="auto"/>
          <w:szCs w:val="24"/>
          <w:lang w:val="en-US" w:eastAsia="zh-CN"/>
        </w:rPr>
        <w:t>青河县</w:t>
      </w:r>
      <w:r>
        <w:rPr>
          <w:rFonts w:hint="eastAsia" w:hAnsi="宋体" w:eastAsia="宋体"/>
          <w:color w:val="auto"/>
          <w:w w:val="90"/>
          <w:szCs w:val="24"/>
        </w:rPr>
        <w:t xml:space="preserve">青河镇模范北路13号   </w:t>
      </w:r>
      <w:r>
        <w:rPr>
          <w:rFonts w:hint="eastAsia" w:hAnsi="宋体" w:eastAsia="宋体"/>
          <w:color w:val="auto"/>
          <w:w w:val="90"/>
          <w:szCs w:val="24"/>
          <w:lang w:val="en-US" w:eastAsia="zh-CN"/>
        </w:rPr>
        <w:t xml:space="preserve">  </w:t>
      </w:r>
      <w:r>
        <w:rPr>
          <w:rFonts w:hint="eastAsia" w:hAnsi="宋体" w:eastAsia="宋体"/>
          <w:color w:val="auto"/>
          <w:szCs w:val="24"/>
        </w:rPr>
        <w:t>地址</w:t>
      </w:r>
      <w:r>
        <w:rPr>
          <w:rFonts w:hint="eastAsia" w:hAnsi="宋体" w:eastAsia="宋体"/>
          <w:color w:val="auto"/>
          <w:szCs w:val="24"/>
          <w:lang w:eastAsia="zh-CN"/>
        </w:rPr>
        <w:t>（</w:t>
      </w:r>
      <w:r>
        <w:rPr>
          <w:rFonts w:hint="eastAsia" w:hAnsi="宋体" w:eastAsia="宋体"/>
          <w:color w:val="auto"/>
          <w:szCs w:val="24"/>
          <w:lang w:val="en-US" w:eastAsia="zh-CN"/>
        </w:rPr>
        <w:t>必填</w:t>
      </w:r>
      <w:r>
        <w:rPr>
          <w:rFonts w:hint="eastAsia" w:hAnsi="宋体" w:eastAsia="宋体"/>
          <w:color w:val="auto"/>
          <w:szCs w:val="24"/>
          <w:lang w:eastAsia="zh-CN"/>
        </w:rPr>
        <w:t>）</w:t>
      </w:r>
      <w:r>
        <w:rPr>
          <w:rFonts w:hint="eastAsia" w:hAnsi="宋体" w:eastAsia="宋体"/>
          <w:color w:val="auto"/>
          <w:szCs w:val="24"/>
        </w:rPr>
        <w:t>：</w:t>
      </w:r>
      <w:r>
        <w:rPr>
          <w:rFonts w:hAnsi="宋体" w:eastAsia="宋体"/>
          <w:color w:val="auto"/>
          <w:szCs w:val="24"/>
        </w:rPr>
        <w:t xml:space="preserve"> </w:t>
      </w:r>
    </w:p>
    <w:p w14:paraId="0D9E9D7A">
      <w:pPr>
        <w:pStyle w:val="113"/>
        <w:ind w:left="336" w:leftChars="140" w:firstLine="0" w:firstLineChars="0"/>
        <w:rPr>
          <w:rFonts w:hAnsi="宋体" w:eastAsia="宋体"/>
          <w:color w:val="auto"/>
          <w:szCs w:val="24"/>
        </w:rPr>
      </w:pPr>
    </w:p>
    <w:p w14:paraId="484B5A7F">
      <w:pPr>
        <w:pStyle w:val="113"/>
        <w:ind w:firstLine="480"/>
        <w:rPr>
          <w:rFonts w:hint="eastAsia" w:hAnsi="宋体" w:eastAsia="宋体"/>
          <w:color w:val="auto"/>
          <w:szCs w:val="24"/>
        </w:rPr>
      </w:pPr>
      <w:r>
        <w:rPr>
          <w:rFonts w:hint="eastAsia" w:hAnsi="宋体" w:eastAsia="宋体"/>
          <w:color w:val="auto"/>
          <w:szCs w:val="24"/>
        </w:rPr>
        <w:t xml:space="preserve">开户银行：青河县农村信用合作联社 </w:t>
      </w:r>
      <w:r>
        <w:rPr>
          <w:rFonts w:hAnsi="宋体" w:eastAsia="宋体"/>
          <w:color w:val="auto"/>
          <w:szCs w:val="24"/>
        </w:rPr>
        <w:t xml:space="preserve"> </w:t>
      </w:r>
      <w:r>
        <w:rPr>
          <w:rFonts w:hint="eastAsia" w:hAnsi="宋体" w:eastAsia="宋体"/>
          <w:color w:val="auto"/>
          <w:szCs w:val="24"/>
        </w:rPr>
        <w:t>开户银行</w:t>
      </w:r>
      <w:r>
        <w:rPr>
          <w:rFonts w:hint="eastAsia" w:hAnsi="宋体" w:eastAsia="宋体"/>
          <w:color w:val="auto"/>
          <w:szCs w:val="24"/>
          <w:lang w:eastAsia="zh-CN"/>
        </w:rPr>
        <w:t>及行号</w:t>
      </w:r>
      <w:r>
        <w:rPr>
          <w:rFonts w:hint="eastAsia" w:hAnsi="宋体" w:eastAsia="宋体"/>
          <w:color w:val="auto"/>
          <w:szCs w:val="24"/>
        </w:rPr>
        <w:t>：</w:t>
      </w:r>
    </w:p>
    <w:p w14:paraId="065CB9B4">
      <w:pPr>
        <w:pStyle w:val="113"/>
        <w:ind w:firstLine="480"/>
        <w:rPr>
          <w:rFonts w:hint="eastAsia" w:hAnsi="宋体" w:eastAsia="宋体"/>
          <w:color w:val="auto"/>
          <w:szCs w:val="24"/>
        </w:rPr>
      </w:pPr>
    </w:p>
    <w:p w14:paraId="68CF0B76">
      <w:pPr>
        <w:pStyle w:val="113"/>
        <w:ind w:firstLine="480"/>
        <w:rPr>
          <w:rFonts w:hAnsi="宋体" w:eastAsia="宋体"/>
          <w:color w:val="auto"/>
          <w:szCs w:val="24"/>
        </w:rPr>
      </w:pPr>
      <w:r>
        <w:rPr>
          <w:rFonts w:hint="eastAsia" w:hAnsi="宋体" w:eastAsia="宋体"/>
          <w:color w:val="auto"/>
          <w:szCs w:val="24"/>
        </w:rPr>
        <w:t xml:space="preserve">账 </w:t>
      </w:r>
      <w:r>
        <w:rPr>
          <w:rFonts w:hAnsi="宋体" w:eastAsia="宋体"/>
          <w:color w:val="auto"/>
          <w:szCs w:val="24"/>
        </w:rPr>
        <w:t xml:space="preserve">   </w:t>
      </w:r>
      <w:r>
        <w:rPr>
          <w:rFonts w:hint="eastAsia" w:hAnsi="宋体" w:eastAsia="宋体"/>
          <w:color w:val="auto"/>
          <w:szCs w:val="24"/>
        </w:rPr>
        <w:t xml:space="preserve">号：827010012010103138698  </w:t>
      </w:r>
      <w:r>
        <w:rPr>
          <w:rFonts w:hAnsi="宋体" w:eastAsia="宋体"/>
          <w:color w:val="auto"/>
          <w:szCs w:val="24"/>
        </w:rPr>
        <w:t xml:space="preserve"> </w:t>
      </w:r>
      <w:r>
        <w:rPr>
          <w:rFonts w:hint="eastAsia" w:hAnsi="宋体" w:eastAsia="宋体"/>
          <w:color w:val="auto"/>
          <w:szCs w:val="24"/>
        </w:rPr>
        <w:t>账  号：</w:t>
      </w:r>
    </w:p>
    <w:p w14:paraId="181260E2">
      <w:pPr>
        <w:pStyle w:val="113"/>
        <w:ind w:firstLine="480"/>
        <w:rPr>
          <w:rFonts w:hAnsi="宋体" w:eastAsia="宋体"/>
          <w:color w:val="auto"/>
          <w:szCs w:val="24"/>
        </w:rPr>
      </w:pPr>
      <w:r>
        <w:rPr>
          <w:rFonts w:hint="eastAsia" w:hAnsi="宋体" w:eastAsia="宋体"/>
          <w:color w:val="auto"/>
          <w:szCs w:val="24"/>
        </w:rPr>
        <w:t xml:space="preserve">电    话：0906-8822274           </w:t>
      </w:r>
      <w:r>
        <w:rPr>
          <w:rFonts w:hAnsi="宋体" w:eastAsia="宋体"/>
          <w:color w:val="auto"/>
          <w:szCs w:val="24"/>
        </w:rPr>
        <w:t xml:space="preserve"> </w:t>
      </w:r>
      <w:r>
        <w:rPr>
          <w:rFonts w:hint="eastAsia" w:hAnsi="宋体" w:eastAsia="宋体"/>
          <w:color w:val="auto"/>
          <w:szCs w:val="24"/>
        </w:rPr>
        <w:t>电  话：</w:t>
      </w:r>
    </w:p>
    <w:p w14:paraId="5288A124">
      <w:pPr>
        <w:pStyle w:val="113"/>
        <w:ind w:firstLine="480"/>
        <w:rPr>
          <w:rFonts w:hAnsi="宋体" w:eastAsia="宋体"/>
          <w:color w:val="auto"/>
          <w:szCs w:val="24"/>
        </w:rPr>
      </w:pPr>
      <w:r>
        <w:rPr>
          <w:rFonts w:hint="eastAsia" w:hAnsi="宋体" w:eastAsia="宋体"/>
          <w:color w:val="auto"/>
          <w:szCs w:val="24"/>
        </w:rPr>
        <w:t xml:space="preserve">传    真：0906-8824734           </w:t>
      </w:r>
      <w:r>
        <w:rPr>
          <w:rFonts w:hAnsi="宋体" w:eastAsia="宋体"/>
          <w:color w:val="auto"/>
          <w:szCs w:val="24"/>
        </w:rPr>
        <w:t xml:space="preserve"> </w:t>
      </w:r>
      <w:r>
        <w:rPr>
          <w:rFonts w:hint="eastAsia" w:hAnsi="宋体" w:eastAsia="宋体"/>
          <w:color w:val="auto"/>
          <w:szCs w:val="24"/>
        </w:rPr>
        <w:t>传  真：</w:t>
      </w:r>
    </w:p>
    <w:p w14:paraId="57E43C2A">
      <w:pPr>
        <w:pStyle w:val="113"/>
        <w:ind w:firstLine="480"/>
        <w:rPr>
          <w:rFonts w:hint="eastAsia" w:hAnsi="宋体" w:eastAsia="宋体"/>
          <w:color w:val="auto"/>
          <w:szCs w:val="24"/>
        </w:rPr>
      </w:pPr>
      <w:r>
        <w:rPr>
          <w:rFonts w:hint="eastAsia" w:hAnsi="宋体" w:eastAsia="宋体"/>
          <w:color w:val="auto"/>
          <w:szCs w:val="24"/>
        </w:rPr>
        <w:t xml:space="preserve">签订日期：  年   月   日 </w:t>
      </w:r>
      <w:r>
        <w:rPr>
          <w:rFonts w:hint="eastAsia" w:hAnsi="宋体" w:eastAsia="宋体"/>
          <w:color w:val="auto"/>
          <w:szCs w:val="24"/>
        </w:rPr>
        <w:tab/>
      </w:r>
      <w:r>
        <w:rPr>
          <w:rFonts w:hint="eastAsia" w:hAnsi="宋体" w:eastAsia="宋体"/>
          <w:color w:val="auto"/>
          <w:szCs w:val="24"/>
        </w:rPr>
        <w:tab/>
      </w:r>
      <w:r>
        <w:rPr>
          <w:rFonts w:hint="eastAsia" w:hAnsi="宋体" w:eastAsia="宋体"/>
          <w:color w:val="auto"/>
          <w:szCs w:val="24"/>
        </w:rPr>
        <w:tab/>
      </w:r>
      <w:r>
        <w:rPr>
          <w:rFonts w:hint="eastAsia" w:hAnsi="宋体" w:eastAsia="宋体"/>
          <w:color w:val="auto"/>
          <w:szCs w:val="24"/>
        </w:rPr>
        <w:t>签订日期：   年   月  日</w:t>
      </w:r>
    </w:p>
    <w:p w14:paraId="7D9AA2C2">
      <w:pPr>
        <w:pStyle w:val="113"/>
        <w:ind w:firstLine="480"/>
        <w:rPr>
          <w:rFonts w:hint="eastAsia" w:hAnsi="宋体" w:eastAsia="宋体"/>
          <w:color w:val="auto"/>
          <w:szCs w:val="24"/>
        </w:rPr>
      </w:pPr>
    </w:p>
    <w:p w14:paraId="2C47FC4D">
      <w:pPr>
        <w:pStyle w:val="113"/>
        <w:ind w:firstLine="480"/>
        <w:rPr>
          <w:rFonts w:hint="eastAsia" w:hAnsi="宋体" w:eastAsia="宋体"/>
          <w:color w:val="auto"/>
          <w:szCs w:val="24"/>
        </w:rPr>
      </w:pPr>
    </w:p>
    <w:p w14:paraId="5246888B">
      <w:pPr>
        <w:pStyle w:val="113"/>
        <w:ind w:firstLine="480"/>
        <w:rPr>
          <w:rFonts w:hint="eastAsia" w:hAnsi="宋体" w:eastAsia="宋体"/>
          <w:color w:val="auto"/>
          <w:szCs w:val="24"/>
        </w:rPr>
      </w:pPr>
    </w:p>
    <w:p w14:paraId="6FC11506">
      <w:pPr>
        <w:pStyle w:val="113"/>
        <w:ind w:firstLine="480"/>
        <w:rPr>
          <w:rFonts w:hint="eastAsia" w:hAnsi="宋体" w:eastAsia="宋体"/>
          <w:color w:val="auto"/>
          <w:szCs w:val="24"/>
        </w:rPr>
      </w:pPr>
    </w:p>
    <w:p w14:paraId="677D9E82">
      <w:pPr>
        <w:pStyle w:val="113"/>
        <w:ind w:firstLine="480"/>
        <w:rPr>
          <w:rFonts w:hint="eastAsia" w:hAnsi="宋体" w:eastAsia="宋体"/>
          <w:color w:val="auto"/>
          <w:szCs w:val="24"/>
        </w:rPr>
      </w:pPr>
    </w:p>
    <w:p w14:paraId="36FAACB2">
      <w:pPr>
        <w:pStyle w:val="113"/>
        <w:ind w:firstLine="480"/>
        <w:rPr>
          <w:rFonts w:hint="eastAsia" w:hAnsi="宋体" w:eastAsia="宋体"/>
          <w:color w:val="auto"/>
          <w:szCs w:val="24"/>
        </w:rPr>
      </w:pPr>
    </w:p>
    <w:p w14:paraId="23B93443">
      <w:pPr>
        <w:pStyle w:val="113"/>
        <w:ind w:firstLine="480"/>
        <w:rPr>
          <w:rFonts w:hint="eastAsia" w:hAnsi="宋体" w:eastAsia="宋体"/>
          <w:color w:val="auto"/>
          <w:szCs w:val="24"/>
        </w:rPr>
      </w:pPr>
    </w:p>
    <w:p w14:paraId="5F7E421D">
      <w:pPr>
        <w:pStyle w:val="113"/>
        <w:ind w:firstLine="480"/>
        <w:rPr>
          <w:rFonts w:hint="eastAsia" w:hAnsi="宋体" w:eastAsia="宋体"/>
          <w:color w:val="auto"/>
          <w:szCs w:val="24"/>
        </w:rPr>
      </w:pPr>
    </w:p>
    <w:p w14:paraId="121F3AEB">
      <w:pPr>
        <w:pStyle w:val="113"/>
        <w:ind w:firstLine="480"/>
        <w:rPr>
          <w:rFonts w:hint="eastAsia" w:hAnsi="宋体" w:eastAsia="宋体"/>
          <w:color w:val="auto"/>
          <w:szCs w:val="24"/>
        </w:rPr>
      </w:pPr>
    </w:p>
    <w:p w14:paraId="39E8BF6D">
      <w:pPr>
        <w:pStyle w:val="113"/>
        <w:ind w:firstLine="480"/>
        <w:rPr>
          <w:rFonts w:hint="eastAsia" w:hAnsi="宋体" w:eastAsia="宋体"/>
          <w:color w:val="auto"/>
          <w:szCs w:val="24"/>
        </w:rPr>
      </w:pPr>
    </w:p>
    <w:p w14:paraId="722E267B">
      <w:pPr>
        <w:pStyle w:val="113"/>
        <w:ind w:firstLine="480"/>
        <w:rPr>
          <w:rFonts w:hint="eastAsia" w:hAnsi="宋体" w:eastAsia="宋体"/>
          <w:color w:val="auto"/>
          <w:szCs w:val="24"/>
        </w:rPr>
      </w:pPr>
    </w:p>
    <w:p w14:paraId="0CE2DF7A">
      <w:pPr>
        <w:pStyle w:val="113"/>
        <w:ind w:firstLine="480"/>
        <w:rPr>
          <w:rFonts w:hint="eastAsia" w:hAnsi="宋体" w:eastAsia="宋体"/>
          <w:color w:val="auto"/>
          <w:szCs w:val="24"/>
        </w:rPr>
      </w:pPr>
    </w:p>
    <w:p w14:paraId="704E3098">
      <w:pPr>
        <w:pStyle w:val="113"/>
        <w:ind w:firstLine="480"/>
        <w:rPr>
          <w:rFonts w:hint="eastAsia" w:hAnsi="宋体" w:eastAsia="宋体"/>
          <w:color w:val="auto"/>
          <w:szCs w:val="24"/>
        </w:rPr>
      </w:pPr>
    </w:p>
    <w:p w14:paraId="5B0F3DBF">
      <w:pPr>
        <w:pStyle w:val="113"/>
        <w:ind w:firstLine="480"/>
        <w:rPr>
          <w:rFonts w:hint="eastAsia" w:hAnsi="宋体" w:eastAsia="宋体"/>
          <w:color w:val="auto"/>
          <w:szCs w:val="24"/>
        </w:rPr>
      </w:pPr>
    </w:p>
    <w:p w14:paraId="2034AC0A">
      <w:pPr>
        <w:pStyle w:val="113"/>
        <w:ind w:firstLine="480"/>
        <w:rPr>
          <w:rFonts w:hint="eastAsia" w:hAnsi="宋体" w:eastAsia="宋体"/>
          <w:color w:val="auto"/>
          <w:szCs w:val="24"/>
        </w:rPr>
      </w:pPr>
    </w:p>
    <w:p w14:paraId="2A5E1F9B">
      <w:pPr>
        <w:pStyle w:val="113"/>
        <w:ind w:firstLine="480"/>
        <w:rPr>
          <w:rFonts w:hint="eastAsia" w:hAnsi="宋体" w:eastAsia="宋体"/>
          <w:color w:val="auto"/>
          <w:szCs w:val="24"/>
        </w:rPr>
      </w:pPr>
    </w:p>
    <w:p w14:paraId="277A80B5">
      <w:pPr>
        <w:pStyle w:val="113"/>
        <w:ind w:firstLine="480"/>
        <w:rPr>
          <w:rFonts w:hint="eastAsia" w:hAnsi="宋体" w:eastAsia="宋体"/>
          <w:color w:val="auto"/>
          <w:szCs w:val="24"/>
        </w:rPr>
      </w:pPr>
    </w:p>
    <w:p w14:paraId="16222805">
      <w:pPr>
        <w:pStyle w:val="113"/>
        <w:ind w:firstLine="0" w:firstLineChars="0"/>
        <w:rPr>
          <w:rFonts w:hint="eastAsia" w:hAnsi="宋体" w:eastAsia="宋体" w:cs="华文仿宋"/>
          <w:b/>
          <w:bCs/>
          <w:color w:val="auto"/>
          <w:sz w:val="28"/>
          <w:szCs w:val="28"/>
        </w:rPr>
      </w:pPr>
      <w:r>
        <w:rPr>
          <w:rFonts w:hint="eastAsia" w:hAnsi="宋体" w:eastAsia="宋体" w:cs="华文仿宋"/>
          <w:b/>
          <w:bCs/>
          <w:color w:val="auto"/>
          <w:sz w:val="28"/>
          <w:szCs w:val="28"/>
        </w:rPr>
        <w:t>附件一</w:t>
      </w:r>
    </w:p>
    <w:p w14:paraId="36DA3A90">
      <w:pPr>
        <w:pStyle w:val="113"/>
        <w:ind w:firstLine="0" w:firstLineChars="0"/>
        <w:rPr>
          <w:rFonts w:hint="eastAsia" w:hAnsi="宋体" w:eastAsia="宋体" w:cs="华文仿宋"/>
          <w:b/>
          <w:bCs/>
          <w:color w:val="auto"/>
          <w:sz w:val="28"/>
          <w:szCs w:val="28"/>
        </w:rPr>
      </w:pPr>
    </w:p>
    <w:p w14:paraId="417B3FDB">
      <w:pPr>
        <w:pStyle w:val="113"/>
        <w:spacing w:line="700" w:lineRule="exact"/>
        <w:ind w:firstLine="0" w:firstLineChars="0"/>
        <w:jc w:val="center"/>
        <w:rPr>
          <w:rFonts w:hint="eastAsia" w:hAnsi="宋体" w:eastAsia="宋体" w:cs="华文仿宋"/>
          <w:b/>
          <w:bCs/>
          <w:color w:val="auto"/>
          <w:sz w:val="48"/>
          <w:szCs w:val="48"/>
        </w:rPr>
      </w:pPr>
      <w:r>
        <w:rPr>
          <w:rFonts w:hint="eastAsia" w:hAnsi="宋体" w:eastAsia="宋体" w:cs="华文仿宋"/>
          <w:b/>
          <w:bCs/>
          <w:color w:val="auto"/>
          <w:sz w:val="48"/>
          <w:szCs w:val="48"/>
        </w:rPr>
        <w:t>补充协议</w:t>
      </w:r>
    </w:p>
    <w:p w14:paraId="3C6AE5E0">
      <w:pPr>
        <w:pStyle w:val="113"/>
        <w:ind w:firstLine="0" w:firstLineChars="0"/>
        <w:jc w:val="center"/>
        <w:rPr>
          <w:rFonts w:hint="eastAsia" w:hAnsi="宋体" w:eastAsia="宋体" w:cs="华文仿宋"/>
          <w:b/>
          <w:bCs/>
          <w:color w:val="auto"/>
          <w:sz w:val="28"/>
          <w:szCs w:val="28"/>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500"/>
        <w:gridCol w:w="2566"/>
        <w:gridCol w:w="2517"/>
      </w:tblGrid>
      <w:tr w14:paraId="6422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37" w:type="dxa"/>
            <w:noWrap w:val="0"/>
            <w:vAlign w:val="center"/>
          </w:tcPr>
          <w:p w14:paraId="63E0EF1D">
            <w:pPr>
              <w:pStyle w:val="113"/>
              <w:ind w:firstLine="0" w:firstLineChars="0"/>
              <w:jc w:val="center"/>
              <w:rPr>
                <w:rFonts w:hint="eastAsia" w:hAnsi="宋体" w:eastAsia="宋体" w:cs="华文仿宋"/>
                <w:b/>
                <w:bCs/>
                <w:color w:val="auto"/>
                <w:sz w:val="28"/>
                <w:szCs w:val="28"/>
              </w:rPr>
            </w:pPr>
            <w:r>
              <w:rPr>
                <w:rFonts w:hint="eastAsia" w:hAnsi="宋体" w:eastAsia="宋体" w:cs="华文仿宋"/>
                <w:b/>
                <w:bCs/>
                <w:color w:val="auto"/>
                <w:sz w:val="28"/>
                <w:szCs w:val="28"/>
              </w:rPr>
              <w:t>序号</w:t>
            </w:r>
          </w:p>
        </w:tc>
        <w:tc>
          <w:tcPr>
            <w:tcW w:w="2500" w:type="dxa"/>
            <w:noWrap w:val="0"/>
            <w:vAlign w:val="center"/>
          </w:tcPr>
          <w:p w14:paraId="692AD555">
            <w:pPr>
              <w:pStyle w:val="113"/>
              <w:ind w:firstLine="0" w:firstLineChars="0"/>
              <w:jc w:val="center"/>
              <w:rPr>
                <w:rFonts w:hint="eastAsia" w:hAnsi="宋体" w:eastAsia="宋体" w:cs="华文仿宋"/>
                <w:b/>
                <w:bCs/>
                <w:color w:val="auto"/>
                <w:sz w:val="28"/>
                <w:szCs w:val="28"/>
              </w:rPr>
            </w:pPr>
            <w:r>
              <w:rPr>
                <w:rFonts w:hint="eastAsia" w:hAnsi="宋体" w:eastAsia="宋体" w:cs="华文仿宋"/>
                <w:b/>
                <w:bCs/>
                <w:color w:val="auto"/>
                <w:sz w:val="28"/>
                <w:szCs w:val="28"/>
              </w:rPr>
              <w:t>补充内容</w:t>
            </w:r>
          </w:p>
        </w:tc>
        <w:tc>
          <w:tcPr>
            <w:tcW w:w="2566" w:type="dxa"/>
            <w:noWrap w:val="0"/>
            <w:vAlign w:val="center"/>
          </w:tcPr>
          <w:p w14:paraId="3D56254A">
            <w:pPr>
              <w:pStyle w:val="113"/>
              <w:ind w:firstLine="0" w:firstLineChars="0"/>
              <w:jc w:val="center"/>
              <w:rPr>
                <w:rFonts w:hint="eastAsia" w:hAnsi="宋体" w:eastAsia="宋体" w:cs="华文仿宋"/>
                <w:b/>
                <w:bCs/>
                <w:color w:val="auto"/>
                <w:sz w:val="28"/>
                <w:szCs w:val="28"/>
              </w:rPr>
            </w:pPr>
            <w:r>
              <w:rPr>
                <w:rFonts w:hint="eastAsia" w:hAnsi="宋体" w:eastAsia="宋体" w:cs="华文仿宋"/>
                <w:b/>
                <w:bCs/>
                <w:color w:val="auto"/>
                <w:sz w:val="28"/>
                <w:szCs w:val="28"/>
              </w:rPr>
              <w:t>详细说明</w:t>
            </w:r>
          </w:p>
        </w:tc>
        <w:tc>
          <w:tcPr>
            <w:tcW w:w="2517" w:type="dxa"/>
            <w:noWrap w:val="0"/>
            <w:vAlign w:val="center"/>
          </w:tcPr>
          <w:p w14:paraId="4FC4AB4F">
            <w:pPr>
              <w:pStyle w:val="113"/>
              <w:ind w:firstLine="0" w:firstLineChars="0"/>
              <w:jc w:val="center"/>
              <w:rPr>
                <w:rFonts w:hint="eastAsia" w:hAnsi="宋体" w:eastAsia="宋体" w:cs="华文仿宋"/>
                <w:b/>
                <w:bCs/>
                <w:color w:val="auto"/>
                <w:sz w:val="28"/>
                <w:szCs w:val="28"/>
              </w:rPr>
            </w:pPr>
            <w:r>
              <w:rPr>
                <w:rFonts w:hint="eastAsia" w:hAnsi="宋体" w:eastAsia="宋体" w:cs="华文仿宋"/>
                <w:b/>
                <w:bCs/>
                <w:color w:val="auto"/>
                <w:sz w:val="28"/>
                <w:szCs w:val="28"/>
              </w:rPr>
              <w:t>备注</w:t>
            </w:r>
          </w:p>
        </w:tc>
      </w:tr>
      <w:tr w14:paraId="71A6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837" w:type="dxa"/>
            <w:noWrap w:val="0"/>
            <w:vAlign w:val="top"/>
          </w:tcPr>
          <w:p w14:paraId="5E07B1E1">
            <w:pPr>
              <w:pStyle w:val="113"/>
              <w:ind w:firstLine="0" w:firstLineChars="0"/>
              <w:jc w:val="center"/>
              <w:rPr>
                <w:rFonts w:hAnsi="宋体" w:eastAsia="宋体" w:cs="华文仿宋"/>
                <w:b/>
                <w:bCs/>
                <w:color w:val="auto"/>
                <w:sz w:val="28"/>
                <w:szCs w:val="28"/>
              </w:rPr>
            </w:pPr>
            <w:r>
              <w:rPr>
                <w:rFonts w:hint="eastAsia" w:hAnsi="宋体" w:eastAsia="宋体" w:cs="华文仿宋"/>
                <w:b/>
                <w:bCs/>
                <w:color w:val="auto"/>
                <w:sz w:val="28"/>
                <w:szCs w:val="28"/>
              </w:rPr>
              <w:t>1</w:t>
            </w:r>
          </w:p>
        </w:tc>
        <w:tc>
          <w:tcPr>
            <w:tcW w:w="2500" w:type="dxa"/>
            <w:noWrap w:val="0"/>
            <w:vAlign w:val="top"/>
          </w:tcPr>
          <w:p w14:paraId="1DE301FB">
            <w:pPr>
              <w:pStyle w:val="113"/>
              <w:ind w:firstLine="0" w:firstLineChars="0"/>
              <w:rPr>
                <w:rFonts w:hint="eastAsia" w:hAnsi="宋体" w:eastAsia="宋体" w:cs="华文仿宋"/>
                <w:b/>
                <w:bCs/>
                <w:color w:val="auto"/>
                <w:sz w:val="28"/>
                <w:szCs w:val="28"/>
              </w:rPr>
            </w:pPr>
          </w:p>
        </w:tc>
        <w:tc>
          <w:tcPr>
            <w:tcW w:w="2566" w:type="dxa"/>
            <w:noWrap w:val="0"/>
            <w:vAlign w:val="top"/>
          </w:tcPr>
          <w:p w14:paraId="4814DB74">
            <w:pPr>
              <w:pStyle w:val="113"/>
              <w:ind w:firstLine="0" w:firstLineChars="0"/>
              <w:rPr>
                <w:rFonts w:hint="eastAsia" w:hAnsi="宋体" w:eastAsia="宋体" w:cs="华文仿宋"/>
                <w:b/>
                <w:bCs/>
                <w:color w:val="auto"/>
                <w:sz w:val="28"/>
                <w:szCs w:val="28"/>
              </w:rPr>
            </w:pPr>
          </w:p>
        </w:tc>
        <w:tc>
          <w:tcPr>
            <w:tcW w:w="2517" w:type="dxa"/>
            <w:noWrap w:val="0"/>
            <w:vAlign w:val="top"/>
          </w:tcPr>
          <w:p w14:paraId="2068777F">
            <w:pPr>
              <w:pStyle w:val="113"/>
              <w:ind w:firstLine="0" w:firstLineChars="0"/>
              <w:rPr>
                <w:rFonts w:hint="eastAsia" w:hAnsi="宋体" w:eastAsia="宋体" w:cs="华文仿宋"/>
                <w:b/>
                <w:bCs/>
                <w:color w:val="auto"/>
                <w:sz w:val="28"/>
                <w:szCs w:val="28"/>
              </w:rPr>
            </w:pPr>
          </w:p>
        </w:tc>
      </w:tr>
      <w:tr w14:paraId="3728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837" w:type="dxa"/>
            <w:noWrap w:val="0"/>
            <w:vAlign w:val="top"/>
          </w:tcPr>
          <w:p w14:paraId="48F4B6B7">
            <w:pPr>
              <w:pStyle w:val="113"/>
              <w:ind w:firstLine="0" w:firstLineChars="0"/>
              <w:jc w:val="center"/>
              <w:rPr>
                <w:rFonts w:hAnsi="宋体" w:eastAsia="宋体" w:cs="华文仿宋"/>
                <w:b/>
                <w:bCs/>
                <w:color w:val="auto"/>
                <w:sz w:val="28"/>
                <w:szCs w:val="28"/>
              </w:rPr>
            </w:pPr>
            <w:r>
              <w:rPr>
                <w:rFonts w:hint="eastAsia" w:hAnsi="宋体" w:eastAsia="宋体" w:cs="华文仿宋"/>
                <w:b/>
                <w:bCs/>
                <w:color w:val="auto"/>
                <w:sz w:val="28"/>
                <w:szCs w:val="28"/>
              </w:rPr>
              <w:t>2</w:t>
            </w:r>
          </w:p>
        </w:tc>
        <w:tc>
          <w:tcPr>
            <w:tcW w:w="2500" w:type="dxa"/>
            <w:noWrap w:val="0"/>
            <w:vAlign w:val="top"/>
          </w:tcPr>
          <w:p w14:paraId="4A5AE163">
            <w:pPr>
              <w:pStyle w:val="113"/>
              <w:ind w:firstLine="0" w:firstLineChars="0"/>
              <w:rPr>
                <w:rFonts w:hint="eastAsia" w:hAnsi="宋体" w:eastAsia="宋体" w:cs="华文仿宋"/>
                <w:b/>
                <w:bCs/>
                <w:color w:val="auto"/>
                <w:sz w:val="28"/>
                <w:szCs w:val="28"/>
              </w:rPr>
            </w:pPr>
          </w:p>
        </w:tc>
        <w:tc>
          <w:tcPr>
            <w:tcW w:w="2566" w:type="dxa"/>
            <w:noWrap w:val="0"/>
            <w:vAlign w:val="top"/>
          </w:tcPr>
          <w:p w14:paraId="3AC44BD5">
            <w:pPr>
              <w:pStyle w:val="113"/>
              <w:ind w:firstLine="0" w:firstLineChars="0"/>
              <w:rPr>
                <w:rFonts w:hint="eastAsia" w:hAnsi="宋体" w:eastAsia="宋体" w:cs="华文仿宋"/>
                <w:b/>
                <w:bCs/>
                <w:color w:val="auto"/>
                <w:sz w:val="28"/>
                <w:szCs w:val="28"/>
              </w:rPr>
            </w:pPr>
          </w:p>
        </w:tc>
        <w:tc>
          <w:tcPr>
            <w:tcW w:w="2517" w:type="dxa"/>
            <w:noWrap w:val="0"/>
            <w:vAlign w:val="top"/>
          </w:tcPr>
          <w:p w14:paraId="68A050E0">
            <w:pPr>
              <w:pStyle w:val="113"/>
              <w:ind w:firstLine="0" w:firstLineChars="0"/>
              <w:rPr>
                <w:rFonts w:hint="eastAsia" w:hAnsi="宋体" w:eastAsia="宋体" w:cs="华文仿宋"/>
                <w:b/>
                <w:bCs/>
                <w:color w:val="auto"/>
                <w:sz w:val="28"/>
                <w:szCs w:val="28"/>
              </w:rPr>
            </w:pPr>
          </w:p>
        </w:tc>
      </w:tr>
      <w:tr w14:paraId="654B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837" w:type="dxa"/>
            <w:noWrap w:val="0"/>
            <w:vAlign w:val="top"/>
          </w:tcPr>
          <w:p w14:paraId="1B50F31C">
            <w:pPr>
              <w:pStyle w:val="113"/>
              <w:ind w:firstLine="0" w:firstLineChars="0"/>
              <w:jc w:val="center"/>
              <w:rPr>
                <w:rFonts w:hAnsi="宋体" w:eastAsia="宋体" w:cs="华文仿宋"/>
                <w:b/>
                <w:bCs/>
                <w:color w:val="auto"/>
                <w:sz w:val="28"/>
                <w:szCs w:val="28"/>
              </w:rPr>
            </w:pPr>
            <w:r>
              <w:rPr>
                <w:rFonts w:hint="eastAsia" w:hAnsi="宋体" w:eastAsia="宋体" w:cs="华文仿宋"/>
                <w:b/>
                <w:bCs/>
                <w:color w:val="auto"/>
                <w:sz w:val="28"/>
                <w:szCs w:val="28"/>
              </w:rPr>
              <w:t>3</w:t>
            </w:r>
          </w:p>
        </w:tc>
        <w:tc>
          <w:tcPr>
            <w:tcW w:w="2500" w:type="dxa"/>
            <w:noWrap w:val="0"/>
            <w:vAlign w:val="top"/>
          </w:tcPr>
          <w:p w14:paraId="54FDBCBF">
            <w:pPr>
              <w:pStyle w:val="113"/>
              <w:ind w:firstLine="0" w:firstLineChars="0"/>
              <w:rPr>
                <w:rFonts w:hint="eastAsia" w:hAnsi="宋体" w:eastAsia="宋体" w:cs="华文仿宋"/>
                <w:b/>
                <w:bCs/>
                <w:color w:val="auto"/>
                <w:sz w:val="28"/>
                <w:szCs w:val="28"/>
              </w:rPr>
            </w:pPr>
          </w:p>
        </w:tc>
        <w:tc>
          <w:tcPr>
            <w:tcW w:w="2566" w:type="dxa"/>
            <w:noWrap w:val="0"/>
            <w:vAlign w:val="top"/>
          </w:tcPr>
          <w:p w14:paraId="7F8CBF0C">
            <w:pPr>
              <w:pStyle w:val="113"/>
              <w:ind w:firstLine="0" w:firstLineChars="0"/>
              <w:rPr>
                <w:rFonts w:hint="eastAsia" w:hAnsi="宋体" w:eastAsia="宋体" w:cs="华文仿宋"/>
                <w:b/>
                <w:bCs/>
                <w:color w:val="auto"/>
                <w:sz w:val="28"/>
                <w:szCs w:val="28"/>
              </w:rPr>
            </w:pPr>
          </w:p>
        </w:tc>
        <w:tc>
          <w:tcPr>
            <w:tcW w:w="2517" w:type="dxa"/>
            <w:noWrap w:val="0"/>
            <w:vAlign w:val="top"/>
          </w:tcPr>
          <w:p w14:paraId="57ECEE56">
            <w:pPr>
              <w:pStyle w:val="113"/>
              <w:ind w:firstLine="0" w:firstLineChars="0"/>
              <w:rPr>
                <w:rFonts w:hint="eastAsia" w:hAnsi="宋体" w:eastAsia="宋体" w:cs="华文仿宋"/>
                <w:b/>
                <w:bCs/>
                <w:color w:val="auto"/>
                <w:sz w:val="28"/>
                <w:szCs w:val="28"/>
              </w:rPr>
            </w:pPr>
          </w:p>
        </w:tc>
      </w:tr>
      <w:tr w14:paraId="618F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837" w:type="dxa"/>
            <w:noWrap w:val="0"/>
            <w:vAlign w:val="top"/>
          </w:tcPr>
          <w:p w14:paraId="5D605153">
            <w:pPr>
              <w:pStyle w:val="113"/>
              <w:ind w:firstLine="0" w:firstLineChars="0"/>
              <w:jc w:val="center"/>
              <w:rPr>
                <w:rFonts w:hAnsi="宋体" w:eastAsia="宋体" w:cs="华文仿宋"/>
                <w:b/>
                <w:bCs/>
                <w:color w:val="auto"/>
                <w:sz w:val="28"/>
                <w:szCs w:val="28"/>
              </w:rPr>
            </w:pPr>
            <w:r>
              <w:rPr>
                <w:rFonts w:hint="eastAsia" w:hAnsi="宋体" w:eastAsia="宋体" w:cs="华文仿宋"/>
                <w:b/>
                <w:bCs/>
                <w:color w:val="auto"/>
                <w:sz w:val="28"/>
                <w:szCs w:val="28"/>
              </w:rPr>
              <w:t>4</w:t>
            </w:r>
          </w:p>
        </w:tc>
        <w:tc>
          <w:tcPr>
            <w:tcW w:w="2500" w:type="dxa"/>
            <w:noWrap w:val="0"/>
            <w:vAlign w:val="top"/>
          </w:tcPr>
          <w:p w14:paraId="5A33DA40">
            <w:pPr>
              <w:pStyle w:val="113"/>
              <w:ind w:firstLine="0" w:firstLineChars="0"/>
              <w:rPr>
                <w:rFonts w:hint="eastAsia" w:hAnsi="宋体" w:eastAsia="宋体" w:cs="华文仿宋"/>
                <w:b/>
                <w:bCs/>
                <w:color w:val="auto"/>
                <w:sz w:val="28"/>
                <w:szCs w:val="28"/>
              </w:rPr>
            </w:pPr>
          </w:p>
        </w:tc>
        <w:tc>
          <w:tcPr>
            <w:tcW w:w="2566" w:type="dxa"/>
            <w:noWrap w:val="0"/>
            <w:vAlign w:val="top"/>
          </w:tcPr>
          <w:p w14:paraId="010E35B2">
            <w:pPr>
              <w:pStyle w:val="113"/>
              <w:ind w:firstLine="0" w:firstLineChars="0"/>
              <w:rPr>
                <w:rFonts w:hint="eastAsia" w:hAnsi="宋体" w:eastAsia="宋体" w:cs="华文仿宋"/>
                <w:b/>
                <w:bCs/>
                <w:color w:val="auto"/>
                <w:sz w:val="28"/>
                <w:szCs w:val="28"/>
              </w:rPr>
            </w:pPr>
          </w:p>
        </w:tc>
        <w:tc>
          <w:tcPr>
            <w:tcW w:w="2517" w:type="dxa"/>
            <w:noWrap w:val="0"/>
            <w:vAlign w:val="top"/>
          </w:tcPr>
          <w:p w14:paraId="41451699">
            <w:pPr>
              <w:pStyle w:val="113"/>
              <w:ind w:firstLine="0" w:firstLineChars="0"/>
              <w:rPr>
                <w:rFonts w:hint="eastAsia" w:hAnsi="宋体" w:eastAsia="宋体" w:cs="华文仿宋"/>
                <w:b/>
                <w:bCs/>
                <w:color w:val="auto"/>
                <w:sz w:val="28"/>
                <w:szCs w:val="28"/>
              </w:rPr>
            </w:pPr>
          </w:p>
        </w:tc>
      </w:tr>
      <w:tr w14:paraId="701C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837" w:type="dxa"/>
            <w:noWrap w:val="0"/>
            <w:vAlign w:val="top"/>
          </w:tcPr>
          <w:p w14:paraId="14206500">
            <w:pPr>
              <w:pStyle w:val="113"/>
              <w:ind w:firstLine="0" w:firstLineChars="0"/>
              <w:jc w:val="center"/>
              <w:rPr>
                <w:rFonts w:hAnsi="宋体" w:eastAsia="宋体" w:cs="华文仿宋"/>
                <w:b/>
                <w:bCs/>
                <w:color w:val="auto"/>
                <w:sz w:val="28"/>
                <w:szCs w:val="28"/>
              </w:rPr>
            </w:pPr>
            <w:r>
              <w:rPr>
                <w:rFonts w:hint="eastAsia" w:hAnsi="宋体" w:eastAsia="宋体" w:cs="华文仿宋"/>
                <w:b/>
                <w:bCs/>
                <w:color w:val="auto"/>
                <w:sz w:val="28"/>
                <w:szCs w:val="28"/>
              </w:rPr>
              <w:t>5</w:t>
            </w:r>
          </w:p>
        </w:tc>
        <w:tc>
          <w:tcPr>
            <w:tcW w:w="2500" w:type="dxa"/>
            <w:noWrap w:val="0"/>
            <w:vAlign w:val="top"/>
          </w:tcPr>
          <w:p w14:paraId="737F87A6">
            <w:pPr>
              <w:pStyle w:val="113"/>
              <w:ind w:firstLine="0" w:firstLineChars="0"/>
              <w:rPr>
                <w:rFonts w:hint="eastAsia" w:hAnsi="宋体" w:eastAsia="宋体" w:cs="华文仿宋"/>
                <w:b/>
                <w:bCs/>
                <w:color w:val="auto"/>
                <w:sz w:val="28"/>
                <w:szCs w:val="28"/>
              </w:rPr>
            </w:pPr>
          </w:p>
        </w:tc>
        <w:tc>
          <w:tcPr>
            <w:tcW w:w="2566" w:type="dxa"/>
            <w:noWrap w:val="0"/>
            <w:vAlign w:val="top"/>
          </w:tcPr>
          <w:p w14:paraId="6A46F083">
            <w:pPr>
              <w:pStyle w:val="113"/>
              <w:ind w:firstLine="0" w:firstLineChars="0"/>
              <w:rPr>
                <w:rFonts w:hint="eastAsia" w:hAnsi="宋体" w:eastAsia="宋体" w:cs="华文仿宋"/>
                <w:b/>
                <w:bCs/>
                <w:color w:val="auto"/>
                <w:sz w:val="28"/>
                <w:szCs w:val="28"/>
              </w:rPr>
            </w:pPr>
          </w:p>
        </w:tc>
        <w:tc>
          <w:tcPr>
            <w:tcW w:w="2517" w:type="dxa"/>
            <w:noWrap w:val="0"/>
            <w:vAlign w:val="top"/>
          </w:tcPr>
          <w:p w14:paraId="5BB4D4CF">
            <w:pPr>
              <w:pStyle w:val="113"/>
              <w:ind w:firstLine="0" w:firstLineChars="0"/>
              <w:rPr>
                <w:rFonts w:hint="eastAsia" w:hAnsi="宋体" w:eastAsia="宋体" w:cs="华文仿宋"/>
                <w:b/>
                <w:bCs/>
                <w:color w:val="auto"/>
                <w:sz w:val="28"/>
                <w:szCs w:val="28"/>
              </w:rPr>
            </w:pPr>
          </w:p>
        </w:tc>
      </w:tr>
    </w:tbl>
    <w:p w14:paraId="5C91F013">
      <w:pPr>
        <w:pStyle w:val="113"/>
        <w:ind w:firstLine="0" w:firstLineChars="0"/>
        <w:jc w:val="center"/>
        <w:rPr>
          <w:rFonts w:hint="eastAsia" w:hAnsi="宋体" w:eastAsia="宋体" w:cs="华文仿宋"/>
          <w:b/>
          <w:bCs/>
          <w:color w:val="auto"/>
          <w:sz w:val="28"/>
          <w:szCs w:val="28"/>
        </w:rPr>
      </w:pPr>
    </w:p>
    <w:p w14:paraId="63C489FD">
      <w:pPr>
        <w:pStyle w:val="113"/>
        <w:ind w:firstLine="0" w:firstLineChars="0"/>
        <w:jc w:val="center"/>
        <w:rPr>
          <w:rFonts w:hint="eastAsia" w:hAnsi="宋体" w:eastAsia="宋体" w:cs="华文仿宋"/>
          <w:b/>
          <w:bCs/>
          <w:color w:val="auto"/>
          <w:sz w:val="28"/>
          <w:szCs w:val="28"/>
        </w:rPr>
      </w:pPr>
    </w:p>
    <w:p w14:paraId="76BD2604">
      <w:pPr>
        <w:pStyle w:val="113"/>
        <w:ind w:firstLine="0" w:firstLineChars="0"/>
        <w:rPr>
          <w:rFonts w:hint="eastAsia" w:hAnsi="宋体" w:eastAsia="宋体" w:cs="华文仿宋"/>
          <w:b/>
          <w:bCs/>
          <w:color w:val="auto"/>
          <w:sz w:val="28"/>
          <w:szCs w:val="28"/>
        </w:rPr>
      </w:pPr>
    </w:p>
    <w:p w14:paraId="1D62E015">
      <w:pPr>
        <w:pStyle w:val="113"/>
        <w:ind w:firstLine="0" w:firstLineChars="0"/>
        <w:jc w:val="left"/>
        <w:rPr>
          <w:rFonts w:hint="eastAsia" w:hAnsi="宋体" w:eastAsia="宋体" w:cs="华文仿宋"/>
          <w:b/>
          <w:bCs/>
          <w:color w:val="auto"/>
          <w:sz w:val="28"/>
          <w:szCs w:val="28"/>
        </w:rPr>
      </w:pPr>
      <w:r>
        <w:rPr>
          <w:rFonts w:hint="eastAsia" w:hAnsi="宋体" w:eastAsia="宋体" w:cs="华文仿宋"/>
          <w:b/>
          <w:bCs/>
          <w:color w:val="auto"/>
          <w:sz w:val="28"/>
          <w:szCs w:val="28"/>
        </w:rPr>
        <w:t xml:space="preserve">甲方：（盖章）                    乙方：（盖章） </w:t>
      </w:r>
    </w:p>
    <w:p w14:paraId="19641B25">
      <w:pPr>
        <w:pStyle w:val="113"/>
        <w:ind w:firstLine="0" w:firstLineChars="0"/>
        <w:jc w:val="left"/>
        <w:rPr>
          <w:rFonts w:hint="eastAsia" w:hAnsi="宋体" w:eastAsia="宋体" w:cs="华文仿宋"/>
          <w:b/>
          <w:bCs/>
          <w:color w:val="auto"/>
          <w:sz w:val="28"/>
          <w:szCs w:val="28"/>
        </w:rPr>
      </w:pPr>
    </w:p>
    <w:p w14:paraId="09363666">
      <w:pPr>
        <w:pStyle w:val="113"/>
        <w:ind w:firstLine="0" w:firstLineChars="0"/>
        <w:jc w:val="left"/>
        <w:rPr>
          <w:rFonts w:hint="eastAsia" w:hAnsi="宋体" w:eastAsia="宋体" w:cs="华文仿宋"/>
          <w:b/>
          <w:bCs/>
          <w:color w:val="auto"/>
          <w:sz w:val="28"/>
          <w:szCs w:val="28"/>
        </w:rPr>
      </w:pPr>
      <w:r>
        <w:rPr>
          <w:rFonts w:hint="eastAsia" w:hAnsi="宋体" w:eastAsia="宋体" w:cs="华文仿宋"/>
          <w:b/>
          <w:bCs/>
          <w:color w:val="auto"/>
          <w:sz w:val="28"/>
          <w:szCs w:val="28"/>
        </w:rPr>
        <w:t>法定代表人（授权代表）：          法定代表人（授权代表）：</w:t>
      </w:r>
    </w:p>
    <w:p w14:paraId="693B2A5B">
      <w:pPr>
        <w:pStyle w:val="113"/>
        <w:ind w:firstLine="0" w:firstLineChars="0"/>
        <w:jc w:val="left"/>
        <w:rPr>
          <w:rFonts w:hAnsi="宋体" w:eastAsia="宋体" w:cs="华文仿宋"/>
          <w:b/>
          <w:bCs/>
          <w:color w:val="auto"/>
          <w:sz w:val="28"/>
          <w:szCs w:val="28"/>
        </w:rPr>
      </w:pPr>
    </w:p>
    <w:p w14:paraId="0C4BF339">
      <w:pPr>
        <w:adjustRightInd w:val="0"/>
        <w:snapToGrid w:val="0"/>
        <w:jc w:val="center"/>
        <w:rPr>
          <w:rFonts w:hint="eastAsia" w:ascii="黑体" w:hAnsi="华文中宋" w:eastAsia="黑体"/>
          <w:b w:val="0"/>
          <w:bCs w:val="0"/>
          <w:color w:val="auto"/>
          <w:sz w:val="28"/>
          <w:szCs w:val="28"/>
          <w:highlight w:val="yellow"/>
        </w:rPr>
      </w:pPr>
      <w:r>
        <w:rPr>
          <w:rFonts w:ascii="宋体" w:hAnsi="宋体"/>
          <w:color w:val="auto"/>
          <w:sz w:val="21"/>
          <w:szCs w:val="21"/>
          <w:highlight w:val="none"/>
          <w:u w:val="single"/>
        </w:rPr>
        <w:br w:type="page"/>
      </w:r>
      <w:bookmarkStart w:id="570" w:name="_Toc20313"/>
    </w:p>
    <w:bookmarkEnd w:id="570"/>
    <w:p w14:paraId="279C9AF2">
      <w:pPr>
        <w:pStyle w:val="2"/>
        <w:keepNext/>
        <w:keepLines/>
        <w:pageBreakBefore w:val="0"/>
        <w:widowControl w:val="0"/>
        <w:kinsoku/>
        <w:wordWrap/>
        <w:overflowPunct/>
        <w:topLinePunct w:val="0"/>
        <w:autoSpaceDE/>
        <w:autoSpaceDN/>
        <w:bidi w:val="0"/>
        <w:adjustRightInd/>
        <w:snapToGrid/>
        <w:spacing w:before="220" w:after="220" w:line="480" w:lineRule="auto"/>
        <w:ind w:left="420" w:hanging="420"/>
        <w:jc w:val="center"/>
        <w:textAlignment w:val="auto"/>
        <w:rPr>
          <w:rFonts w:hint="eastAsia" w:ascii="宋体" w:hAnsi="宋体" w:eastAsia="宋体" w:cs="宋体"/>
          <w:color w:val="auto"/>
          <w:szCs w:val="24"/>
          <w:highlight w:val="none"/>
          <w:lang w:val="zh-CN"/>
        </w:rPr>
      </w:pPr>
      <w:bookmarkStart w:id="571" w:name="_Toc32301"/>
      <w:r>
        <w:rPr>
          <w:rFonts w:hint="eastAsia" w:ascii="宋体" w:hAnsi="宋体" w:eastAsia="宋体" w:cs="宋体"/>
          <w:bCs/>
          <w:color w:val="auto"/>
          <w:sz w:val="36"/>
          <w:szCs w:val="36"/>
          <w:highlight w:val="none"/>
        </w:rPr>
        <w:t>第七章 投标文件格式</w:t>
      </w:r>
      <w:bookmarkEnd w:id="532"/>
      <w:bookmarkEnd w:id="533"/>
      <w:bookmarkEnd w:id="571"/>
    </w:p>
    <w:p w14:paraId="4B73FCFC">
      <w:pPr>
        <w:ind w:firstLine="480" w:firstLineChars="200"/>
        <w:rPr>
          <w:rFonts w:hint="eastAsia" w:ascii="宋体" w:hAnsi="宋体" w:eastAsia="宋体" w:cs="宋体"/>
          <w:color w:val="auto"/>
          <w:szCs w:val="24"/>
          <w:highlight w:val="none"/>
          <w:lang w:val="zh-CN"/>
        </w:rPr>
      </w:pPr>
    </w:p>
    <w:p w14:paraId="6C6474A7">
      <w:pPr>
        <w:ind w:firstLine="480" w:firstLineChars="200"/>
        <w:rPr>
          <w:rFonts w:hint="eastAsia" w:ascii="宋体" w:hAnsi="宋体" w:eastAsia="宋体" w:cs="宋体"/>
          <w:color w:val="auto"/>
          <w:szCs w:val="24"/>
          <w:highlight w:val="none"/>
          <w:lang w:val="zh-CN"/>
        </w:rPr>
      </w:pPr>
    </w:p>
    <w:p w14:paraId="734F8A14">
      <w:pPr>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封面：</w:t>
      </w:r>
    </w:p>
    <w:p w14:paraId="50C68B4C">
      <w:pPr>
        <w:autoSpaceDE w:val="0"/>
        <w:autoSpaceDN w:val="0"/>
        <w:adjustRightInd w:val="0"/>
        <w:rPr>
          <w:rFonts w:hint="eastAsia" w:ascii="宋体" w:hAnsi="宋体" w:eastAsia="宋体" w:cs="宋体"/>
          <w:color w:val="auto"/>
          <w:sz w:val="21"/>
          <w:szCs w:val="24"/>
          <w:highlight w:val="none"/>
        </w:rPr>
      </w:pPr>
    </w:p>
    <w:p w14:paraId="77832209">
      <w:pPr>
        <w:autoSpaceDE w:val="0"/>
        <w:autoSpaceDN w:val="0"/>
        <w:adjustRightInd w:val="0"/>
        <w:rPr>
          <w:rFonts w:hint="eastAsia" w:ascii="宋体" w:hAnsi="宋体" w:eastAsia="宋体" w:cs="宋体"/>
          <w:color w:val="auto"/>
          <w:sz w:val="21"/>
          <w:szCs w:val="24"/>
          <w:highlight w:val="none"/>
        </w:rPr>
      </w:pPr>
    </w:p>
    <w:p w14:paraId="171DF858">
      <w:pPr>
        <w:autoSpaceDE w:val="0"/>
        <w:autoSpaceDN w:val="0"/>
        <w:adjustRightInd w:val="0"/>
        <w:jc w:val="center"/>
        <w:rPr>
          <w:rFonts w:hint="eastAsia" w:ascii="宋体" w:hAnsi="宋体" w:eastAsia="宋体" w:cs="宋体"/>
          <w:color w:val="auto"/>
          <w:sz w:val="21"/>
          <w:szCs w:val="24"/>
          <w:highlight w:val="none"/>
        </w:rPr>
      </w:pPr>
    </w:p>
    <w:p w14:paraId="6C07C9F7">
      <w:pPr>
        <w:jc w:val="center"/>
        <w:rPr>
          <w:rFonts w:hint="eastAsia" w:ascii="宋体" w:hAnsi="宋体" w:eastAsia="宋体" w:cs="宋体"/>
          <w:b/>
          <w:bCs/>
          <w:color w:val="auto"/>
          <w:sz w:val="112"/>
          <w:szCs w:val="96"/>
          <w:highlight w:val="none"/>
        </w:rPr>
      </w:pPr>
      <w:r>
        <w:rPr>
          <w:rFonts w:hint="eastAsia" w:ascii="宋体" w:hAnsi="宋体" w:eastAsia="宋体" w:cs="宋体"/>
          <w:b/>
          <w:bCs/>
          <w:color w:val="auto"/>
          <w:sz w:val="112"/>
          <w:szCs w:val="96"/>
          <w:highlight w:val="none"/>
          <w:lang w:eastAsia="zh-CN"/>
        </w:rPr>
        <w:t>投标</w:t>
      </w:r>
      <w:r>
        <w:rPr>
          <w:rFonts w:hint="eastAsia" w:ascii="宋体" w:hAnsi="宋体" w:eastAsia="宋体" w:cs="宋体"/>
          <w:b/>
          <w:bCs/>
          <w:color w:val="auto"/>
          <w:sz w:val="112"/>
          <w:szCs w:val="96"/>
          <w:highlight w:val="none"/>
        </w:rPr>
        <w:t>文件</w:t>
      </w:r>
    </w:p>
    <w:p w14:paraId="0A24F7B4">
      <w:pPr>
        <w:bidi w:val="0"/>
        <w:rPr>
          <w:rFonts w:hint="eastAsia" w:ascii="宋体" w:hAnsi="宋体" w:eastAsia="宋体" w:cs="宋体"/>
          <w:color w:val="auto"/>
          <w:highlight w:val="none"/>
        </w:rPr>
      </w:pPr>
    </w:p>
    <w:p w14:paraId="4B907AFD">
      <w:pPr>
        <w:autoSpaceDE w:val="0"/>
        <w:autoSpaceDN w:val="0"/>
        <w:adjustRightInd w:val="0"/>
        <w:rPr>
          <w:rFonts w:hint="eastAsia" w:ascii="宋体" w:hAnsi="宋体" w:eastAsia="宋体" w:cs="宋体"/>
          <w:b/>
          <w:bCs/>
          <w:color w:val="auto"/>
          <w:sz w:val="22"/>
          <w:highlight w:val="none"/>
        </w:rPr>
      </w:pPr>
    </w:p>
    <w:p w14:paraId="23B1ECF4">
      <w:pPr>
        <w:rPr>
          <w:rFonts w:hint="eastAsia" w:ascii="宋体" w:hAnsi="宋体" w:eastAsia="宋体" w:cs="宋体"/>
          <w:color w:val="auto"/>
          <w:highlight w:val="none"/>
        </w:rPr>
      </w:pPr>
    </w:p>
    <w:p w14:paraId="6E0D0FE4">
      <w:pPr>
        <w:autoSpaceDE w:val="0"/>
        <w:autoSpaceDN w:val="0"/>
        <w:adjustRightInd w:val="0"/>
        <w:rPr>
          <w:rFonts w:hint="eastAsia" w:ascii="宋体" w:hAnsi="宋体" w:eastAsia="宋体" w:cs="宋体"/>
          <w:color w:val="auto"/>
          <w:sz w:val="21"/>
          <w:szCs w:val="21"/>
          <w:highlight w:val="none"/>
        </w:rPr>
      </w:pPr>
    </w:p>
    <w:p w14:paraId="2A989A9C">
      <w:pPr>
        <w:autoSpaceDE w:val="0"/>
        <w:autoSpaceDN w:val="0"/>
        <w:adjustRightInd w:val="0"/>
        <w:rPr>
          <w:rFonts w:hint="eastAsia" w:ascii="宋体" w:hAnsi="宋体" w:eastAsia="宋体" w:cs="宋体"/>
          <w:color w:val="auto"/>
          <w:sz w:val="21"/>
          <w:szCs w:val="21"/>
          <w:highlight w:val="none"/>
        </w:rPr>
      </w:pPr>
    </w:p>
    <w:p w14:paraId="5D3B248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项目编号/包号：</w:t>
      </w:r>
      <w:r>
        <w:rPr>
          <w:rFonts w:hint="eastAsia" w:ascii="宋体" w:hAnsi="宋体" w:eastAsia="宋体" w:cs="宋体"/>
          <w:color w:val="auto"/>
          <w:sz w:val="36"/>
          <w:szCs w:val="36"/>
          <w:highlight w:val="none"/>
          <w:u w:val="single"/>
        </w:rPr>
        <w:t xml:space="preserve">                           </w:t>
      </w:r>
    </w:p>
    <w:p w14:paraId="7EAE59A1">
      <w:pPr>
        <w:ind w:left="420" w:leftChars="175"/>
        <w:rPr>
          <w:rFonts w:hint="eastAsia" w:ascii="宋体" w:hAnsi="宋体" w:eastAsia="宋体" w:cs="宋体"/>
          <w:color w:val="auto"/>
          <w:sz w:val="36"/>
          <w:szCs w:val="36"/>
          <w:highlight w:val="none"/>
          <w:u w:val="singl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p>
    <w:p w14:paraId="42F3761B">
      <w:pPr>
        <w:ind w:left="420" w:leftChars="175"/>
        <w:rPr>
          <w:rFonts w:hint="default" w:ascii="宋体" w:hAnsi="宋体" w:eastAsia="宋体" w:cs="宋体"/>
          <w:color w:val="auto"/>
          <w:sz w:val="36"/>
          <w:szCs w:val="36"/>
          <w:highlight w:val="none"/>
          <w:u w:val="single"/>
          <w:lang w:val="en-US" w:eastAsia="zh-CN"/>
        </w:rPr>
      </w:pPr>
      <w:r>
        <w:rPr>
          <w:rFonts w:hint="eastAsia" w:cs="宋体"/>
          <w:b w:val="0"/>
          <w:bCs w:val="0"/>
          <w:color w:val="auto"/>
          <w:sz w:val="36"/>
          <w:szCs w:val="36"/>
          <w:highlight w:val="none"/>
          <w:u w:val="none"/>
          <w:lang w:val="en-US" w:eastAsia="zh-CN"/>
        </w:rPr>
        <w:t>标项名称：</w:t>
      </w:r>
      <w:r>
        <w:rPr>
          <w:rFonts w:hint="eastAsia" w:ascii="宋体" w:hAnsi="宋体" w:eastAsia="宋体" w:cs="宋体"/>
          <w:color w:val="auto"/>
          <w:sz w:val="36"/>
          <w:szCs w:val="36"/>
          <w:highlight w:val="none"/>
          <w:u w:val="single"/>
        </w:rPr>
        <w:t xml:space="preserve">                                </w:t>
      </w:r>
    </w:p>
    <w:p w14:paraId="240B07E4">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 标 人：</w:t>
      </w:r>
      <w:r>
        <w:rPr>
          <w:rFonts w:hint="eastAsia" w:ascii="宋体" w:hAnsi="宋体" w:eastAsia="宋体" w:cs="宋体"/>
          <w:color w:val="auto"/>
          <w:sz w:val="36"/>
          <w:szCs w:val="36"/>
          <w:highlight w:val="none"/>
          <w:u w:val="single"/>
        </w:rPr>
        <w:t xml:space="preserve">                                </w:t>
      </w:r>
    </w:p>
    <w:p w14:paraId="1830D9C8">
      <w:pPr>
        <w:ind w:left="840" w:firstLine="420"/>
        <w:rPr>
          <w:rFonts w:hint="eastAsia" w:ascii="宋体" w:hAnsi="宋体" w:eastAsia="宋体" w:cs="宋体"/>
          <w:b/>
          <w:bCs/>
          <w:color w:val="auto"/>
          <w:sz w:val="28"/>
          <w:szCs w:val="28"/>
          <w:highlight w:val="none"/>
        </w:rPr>
      </w:pPr>
    </w:p>
    <w:p w14:paraId="211E14A8">
      <w:pPr>
        <w:ind w:left="840" w:firstLine="420"/>
        <w:rPr>
          <w:rFonts w:hint="eastAsia" w:ascii="宋体" w:hAnsi="宋体" w:eastAsia="宋体" w:cs="宋体"/>
          <w:b/>
          <w:bCs/>
          <w:color w:val="auto"/>
          <w:sz w:val="28"/>
          <w:szCs w:val="28"/>
          <w:highlight w:val="none"/>
        </w:rPr>
      </w:pPr>
    </w:p>
    <w:p w14:paraId="1D47EE5C">
      <w:pPr>
        <w:ind w:left="840" w:firstLine="420"/>
        <w:rPr>
          <w:rFonts w:hint="eastAsia" w:ascii="宋体" w:hAnsi="宋体" w:eastAsia="宋体" w:cs="宋体"/>
          <w:b/>
          <w:bCs/>
          <w:color w:val="auto"/>
          <w:sz w:val="28"/>
          <w:szCs w:val="28"/>
          <w:highlight w:val="none"/>
        </w:rPr>
      </w:pPr>
    </w:p>
    <w:p w14:paraId="2DFA025F">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156933D">
      <w:pPr>
        <w:jc w:val="center"/>
        <w:rPr>
          <w:rFonts w:hint="eastAsia" w:ascii="宋体" w:hAnsi="宋体" w:eastAsia="宋体" w:cs="宋体"/>
          <w:color w:val="auto"/>
          <w:sz w:val="32"/>
          <w:szCs w:val="32"/>
          <w:highlight w:val="none"/>
        </w:rPr>
      </w:pPr>
    </w:p>
    <w:p w14:paraId="79B33A53">
      <w:pPr>
        <w:pStyle w:val="15"/>
        <w:rPr>
          <w:rFonts w:hint="eastAsia" w:ascii="宋体" w:hAnsi="宋体" w:eastAsia="宋体" w:cs="宋体"/>
          <w:color w:val="auto"/>
          <w:highlight w:val="none"/>
        </w:rPr>
      </w:pPr>
    </w:p>
    <w:p w14:paraId="19E7E4AF">
      <w:pPr>
        <w:pStyle w:val="3"/>
        <w:bidi w:val="0"/>
        <w:jc w:val="both"/>
        <w:rPr>
          <w:rFonts w:hint="eastAsia" w:ascii="宋体" w:hAnsi="宋体" w:eastAsia="宋体" w:cs="宋体"/>
          <w:color w:val="auto"/>
          <w:highlight w:val="none"/>
          <w:lang w:val="en-US" w:eastAsia="zh-CN"/>
        </w:rPr>
      </w:pPr>
      <w:bookmarkStart w:id="572" w:name="_Toc20541"/>
      <w:bookmarkStart w:id="573" w:name="_Toc3692"/>
      <w:bookmarkStart w:id="574" w:name="_Toc155185927"/>
      <w:r>
        <w:rPr>
          <w:rFonts w:hint="eastAsia" w:ascii="宋体" w:hAnsi="宋体" w:eastAsia="宋体" w:cs="宋体"/>
          <w:color w:val="auto"/>
          <w:highlight w:val="none"/>
          <w:lang w:val="en-US" w:eastAsia="zh-CN"/>
        </w:rPr>
        <w:t>一、资格证明文件</w:t>
      </w:r>
    </w:p>
    <w:bookmarkEnd w:id="572"/>
    <w:bookmarkEnd w:id="573"/>
    <w:bookmarkEnd w:id="574"/>
    <w:p w14:paraId="20847158">
      <w:pPr>
        <w:pStyle w:val="3"/>
        <w:bidi w:val="0"/>
        <w:rPr>
          <w:rStyle w:val="30"/>
          <w:rFonts w:hint="eastAsia" w:ascii="宋体" w:hAnsi="宋体" w:eastAsia="宋体" w:cs="宋体"/>
          <w:b/>
          <w:i w:val="0"/>
          <w:caps w:val="0"/>
          <w:color w:val="auto"/>
          <w:spacing w:val="0"/>
          <w:w w:val="100"/>
          <w:kern w:val="0"/>
          <w:position w:val="0"/>
          <w:szCs w:val="24"/>
          <w:highlight w:val="none"/>
          <w:lang w:val="en-US" w:eastAsia="zh-CN" w:bidi="ar-SA"/>
        </w:rPr>
      </w:pPr>
      <w:bookmarkStart w:id="575" w:name="_Toc28741"/>
      <w:r>
        <w:rPr>
          <w:rStyle w:val="29"/>
          <w:rFonts w:hint="eastAsia" w:ascii="宋体" w:hAnsi="宋体" w:eastAsia="宋体" w:cs="宋体"/>
          <w:b/>
          <w:bCs/>
          <w:color w:val="auto"/>
          <w:highlight w:val="none"/>
          <w:lang w:val="en-US" w:eastAsia="zh-CN"/>
        </w:rPr>
        <w:t>1、《中华人民共和国政府采购法》第二十二条应当具备的</w:t>
      </w:r>
      <w:r>
        <w:rPr>
          <w:rStyle w:val="30"/>
          <w:rFonts w:hint="eastAsia" w:ascii="宋体" w:hAnsi="宋体" w:eastAsia="宋体" w:cs="宋体"/>
          <w:b/>
          <w:i w:val="0"/>
          <w:caps w:val="0"/>
          <w:color w:val="auto"/>
          <w:spacing w:val="0"/>
          <w:w w:val="100"/>
          <w:kern w:val="0"/>
          <w:position w:val="0"/>
          <w:szCs w:val="24"/>
          <w:highlight w:val="none"/>
          <w:lang w:val="en-US" w:eastAsia="zh-CN" w:bidi="ar-SA"/>
        </w:rPr>
        <w:t>条件；</w:t>
      </w:r>
      <w:bookmarkEnd w:id="575"/>
    </w:p>
    <w:p w14:paraId="362529F1">
      <w:pPr>
        <w:pStyle w:val="70"/>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t>①具有独立承担民事责任的能力；</w:t>
      </w:r>
    </w:p>
    <w:p w14:paraId="33700297">
      <w:pPr>
        <w:pStyle w:val="70"/>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t>②具有良好的商业信誉和健全的财务会计制度；</w:t>
      </w:r>
    </w:p>
    <w:p w14:paraId="740C80A3">
      <w:pPr>
        <w:pStyle w:val="70"/>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t>③具有履行合同所必需的设备和专业技术能力；</w:t>
      </w:r>
    </w:p>
    <w:p w14:paraId="49C4FEE1">
      <w:pPr>
        <w:pStyle w:val="70"/>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t>④有依法缴纳税收和社会保障资金的良好记录；</w:t>
      </w:r>
    </w:p>
    <w:p w14:paraId="0C10226E">
      <w:pPr>
        <w:pStyle w:val="70"/>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t>⑤参加政府采购活动前三年内，在经营活动中没有重大违法记录；</w:t>
      </w:r>
    </w:p>
    <w:p w14:paraId="16ADAB82">
      <w:pPr>
        <w:pStyle w:val="70"/>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t>⑥</w:t>
      </w: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法律、行政法规规定的其他条件;</w:t>
      </w:r>
    </w:p>
    <w:p w14:paraId="0EE20702">
      <w:pPr>
        <w:pStyle w:val="72"/>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30"/>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0"/>
          <w:position w:val="0"/>
          <w:sz w:val="24"/>
          <w:szCs w:val="24"/>
          <w:highlight w:val="none"/>
          <w:lang w:val="en-US" w:eastAsia="zh-CN" w:bidi="ar-SA"/>
        </w:rPr>
        <w:t>须提供以下资料：</w:t>
      </w:r>
    </w:p>
    <w:p w14:paraId="1E2F03BE">
      <w:pPr>
        <w:pStyle w:val="73"/>
        <w:pageBreakBefore w:val="0"/>
        <w:widowControl/>
        <w:shd w:val="clear" w:color="auto" w:fill="auto"/>
        <w:kinsoku/>
        <w:wordWrap/>
        <w:overflowPunct/>
        <w:topLinePunct w:val="0"/>
        <w:bidi w:val="0"/>
        <w:snapToGrid/>
        <w:spacing w:before="0" w:beforeAutospacing="0" w:after="0" w:afterAutospacing="0" w:line="440" w:lineRule="exact"/>
        <w:jc w:val="both"/>
        <w:textAlignment w:val="baseline"/>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1.1、具有独立承担民事责任的能力；须提供相关证明材料，其中：</w:t>
      </w:r>
    </w:p>
    <w:p w14:paraId="4C57848D">
      <w:pPr>
        <w:pStyle w:val="74"/>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供应商是企业（包括合伙企业）的，</w:t>
      </w: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须提供其在工商部门注册的有效“营业执照”的复印件（如 “三证合一”须提供工商行政管理部门核发加载统一社会信用代码的营业执照；如未“三证合一”则须提供供应商的营业执照、税务登记证书及组织机构代码证）；</w:t>
      </w:r>
    </w:p>
    <w:p w14:paraId="2857C04D">
      <w:pPr>
        <w:pStyle w:val="74"/>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供应商是事业单位的</w:t>
      </w: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，须提供其有效的“事业单位法人证书”复印件；</w:t>
      </w:r>
    </w:p>
    <w:p w14:paraId="6BB99AD7">
      <w:pPr>
        <w:pStyle w:val="74"/>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供应商是非企业专业服务机构的，</w:t>
      </w: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须提供其有效的执业许可证复印件；</w:t>
      </w:r>
    </w:p>
    <w:p w14:paraId="2C9CA7E9">
      <w:pPr>
        <w:pStyle w:val="74"/>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供应商是个体工商户的，</w:t>
      </w: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须提供其有效的“个体工商户营业执照” 复印件；</w:t>
      </w:r>
    </w:p>
    <w:p w14:paraId="2E0199E3">
      <w:pPr>
        <w:pStyle w:val="74"/>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以上复印件须加盖供应商公章。</w:t>
      </w:r>
    </w:p>
    <w:p w14:paraId="03180ED9">
      <w:pPr>
        <w:pStyle w:val="74"/>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供应商是自然人的，</w:t>
      </w: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应提供其有效的自然人身份证明；</w:t>
      </w:r>
    </w:p>
    <w:p w14:paraId="225840B0">
      <w:pPr>
        <w:pStyle w:val="73"/>
        <w:pageBreakBefore w:val="0"/>
        <w:widowControl/>
        <w:shd w:val="clear" w:color="auto" w:fill="auto"/>
        <w:kinsoku/>
        <w:wordWrap/>
        <w:overflowPunct/>
        <w:topLinePunct w:val="0"/>
        <w:bidi w:val="0"/>
        <w:snapToGrid/>
        <w:spacing w:before="0" w:beforeAutospacing="0" w:after="0" w:afterAutospacing="0" w:line="440" w:lineRule="exact"/>
        <w:jc w:val="both"/>
        <w:textAlignment w:val="baseline"/>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1.2、具有良好的商业信誉和健全的财务会计制度；须提供相关证明材料，其中：</w:t>
      </w:r>
    </w:p>
    <w:p w14:paraId="6D5966E3">
      <w:pPr>
        <w:pStyle w:val="74"/>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供应商是法人的，</w:t>
      </w:r>
      <w:r>
        <w:rPr>
          <w:rStyle w:val="30"/>
          <w:rFonts w:hint="eastAsia" w:ascii="宋体" w:hAnsi="宋体" w:eastAsia="宋体" w:cs="宋体"/>
          <w:b w:val="0"/>
          <w:bCs/>
          <w:i w:val="0"/>
          <w:caps w:val="0"/>
          <w:color w:val="auto"/>
          <w:spacing w:val="0"/>
          <w:w w:val="100"/>
          <w:position w:val="0"/>
          <w:sz w:val="24"/>
          <w:szCs w:val="24"/>
          <w:highlight w:val="none"/>
          <w:lang w:bidi="ar-SA"/>
        </w:rPr>
        <w:t>须提供近两年度（任意一年）经审计的财务审计报告（报告中须包括资产负债表、利润表、现金流量表等），或银行在开标日期前三个月内开具的资信证明</w:t>
      </w: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w:t>
      </w:r>
    </w:p>
    <w:p w14:paraId="6557483E">
      <w:pPr>
        <w:pStyle w:val="74"/>
        <w:pageBreakBefore w:val="0"/>
        <w:widowControl/>
        <w:shd w:val="clear" w:color="auto" w:fill="auto"/>
        <w:kinsoku/>
        <w:wordWrap/>
        <w:overflowPunct/>
        <w:topLinePunct w:val="0"/>
        <w:bidi w:val="0"/>
        <w:snapToGrid w:val="0"/>
        <w:spacing w:before="0" w:beforeAutospacing="0" w:after="0" w:afterAutospacing="0" w:line="240" w:lineRule="auto"/>
        <w:jc w:val="left"/>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 xml:space="preserve"> </w:t>
      </w:r>
    </w:p>
    <w:p w14:paraId="4B388A45">
      <w:pPr>
        <w:pStyle w:val="74"/>
        <w:pageBreakBefore w:val="0"/>
        <w:widowControl/>
        <w:shd w:val="clear" w:color="auto" w:fill="auto"/>
        <w:kinsoku/>
        <w:wordWrap/>
        <w:overflowPunct/>
        <w:topLinePunct w:val="0"/>
        <w:bidi w:val="0"/>
        <w:snapToGrid w:val="0"/>
        <w:spacing w:before="0" w:beforeAutospacing="0" w:after="0" w:afterAutospacing="0" w:line="240" w:lineRule="auto"/>
        <w:jc w:val="left"/>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1.3、具有履行合同所必需的设备和专业技术能力；须附相关证明材料或书面声明</w:t>
      </w:r>
    </w:p>
    <w:p w14:paraId="72AA9611">
      <w:pPr>
        <w:pStyle w:val="72"/>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t xml:space="preserve"> </w:t>
      </w:r>
    </w:p>
    <w:p w14:paraId="03379280">
      <w:pPr>
        <w:pStyle w:val="72"/>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t>书面声明格式：</w:t>
      </w:r>
    </w:p>
    <w:p w14:paraId="6371B867">
      <w:pPr>
        <w:pStyle w:val="92"/>
        <w:pageBreakBefore w:val="0"/>
        <w:shd w:val="clear" w:color="auto" w:fill="auto"/>
        <w:kinsoku/>
        <w:wordWrap/>
        <w:overflowPunct/>
        <w:topLinePunct w:val="0"/>
        <w:bidi w:val="0"/>
        <w:snapToGrid/>
        <w:spacing w:before="0" w:beforeAutospacing="0" w:after="0" w:afterAutospacing="0" w:line="240" w:lineRule="auto"/>
        <w:jc w:val="both"/>
        <w:textAlignment w:val="baseline"/>
        <w:rPr>
          <w:rStyle w:val="30"/>
          <w:rFonts w:hint="eastAsia" w:ascii="宋体" w:hAnsi="宋体" w:eastAsia="宋体" w:cs="宋体"/>
          <w:b w:val="0"/>
          <w:i w:val="0"/>
          <w:caps w:val="0"/>
          <w:color w:val="auto"/>
          <w:spacing w:val="0"/>
          <w:w w:val="100"/>
          <w:kern w:val="2"/>
          <w:position w:val="0"/>
          <w:sz w:val="21"/>
          <w:szCs w:val="22"/>
          <w:highlight w:val="none"/>
          <w:lang w:val="en-US" w:eastAsia="zh-CN" w:bidi="ar-SA"/>
        </w:rPr>
      </w:pPr>
      <w:r>
        <w:rPr>
          <w:rStyle w:val="30"/>
          <w:rFonts w:hint="eastAsia" w:ascii="宋体" w:hAnsi="宋体" w:eastAsia="宋体" w:cs="宋体"/>
          <w:b w:val="0"/>
          <w:i w:val="0"/>
          <w:caps w:val="0"/>
          <w:color w:val="auto"/>
          <w:spacing w:val="0"/>
          <w:w w:val="100"/>
          <w:kern w:val="2"/>
          <w:position w:val="0"/>
          <w:sz w:val="21"/>
          <w:szCs w:val="22"/>
          <w:highlight w:val="none"/>
          <w:lang w:val="en-US" w:eastAsia="zh-CN" w:bidi="ar-SA"/>
        </w:rPr>
        <w:t xml:space="preserve"> </w:t>
      </w:r>
    </w:p>
    <w:p w14:paraId="018A262A">
      <w:pPr>
        <w:pStyle w:val="72"/>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t>本供应商郑重声明：</w:t>
      </w:r>
    </w:p>
    <w:p w14:paraId="185DF65A">
      <w:pPr>
        <w:pStyle w:val="72"/>
        <w:pageBreakBefore w:val="0"/>
        <w:widowControl/>
        <w:shd w:val="clear" w:color="auto" w:fill="auto"/>
        <w:kinsoku/>
        <w:wordWrap/>
        <w:overflowPunct/>
        <w:topLinePunct w:val="0"/>
        <w:bidi w:val="0"/>
        <w:snapToGrid/>
        <w:spacing w:before="0" w:beforeAutospacing="0" w:after="0" w:afterAutospacing="0" w:line="240" w:lineRule="auto"/>
        <w:ind w:firstLine="480" w:firstLineChars="200"/>
        <w:jc w:val="left"/>
        <w:textAlignment w:val="baseline"/>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t>本公司（或单位）具备本项目履行合同所必需的设备和专业技术能力，特此声明。</w:t>
      </w:r>
    </w:p>
    <w:p w14:paraId="0F88BCD3">
      <w:pPr>
        <w:pStyle w:val="73"/>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30"/>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pP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供应商法定代表人（或法定代表人授权代表）签字或盖章：</w:t>
      </w:r>
    </w:p>
    <w:p w14:paraId="75683EEB">
      <w:pPr>
        <w:pStyle w:val="73"/>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30"/>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pP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供应商名称（加盖公章）：</w:t>
      </w:r>
    </w:p>
    <w:p w14:paraId="2B3280C6">
      <w:pPr>
        <w:pStyle w:val="74"/>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日期：   年   月   日</w:t>
      </w:r>
    </w:p>
    <w:p w14:paraId="54392E82">
      <w:pPr>
        <w:pStyle w:val="72"/>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t xml:space="preserve"> </w:t>
      </w:r>
    </w:p>
    <w:p w14:paraId="295159F2">
      <w:pPr>
        <w:pStyle w:val="74"/>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30"/>
          <w:rFonts w:hint="eastAsia" w:ascii="宋体" w:hAnsi="宋体" w:eastAsia="宋体" w:cs="宋体"/>
          <w:b w:val="0"/>
          <w:bCs/>
          <w:i w:val="0"/>
          <w:caps w:val="0"/>
          <w:color w:val="auto"/>
          <w:spacing w:val="0"/>
          <w:w w:val="100"/>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1.4、有依法缴纳税收和社会保障资金的良好记录；须提供</w:t>
      </w:r>
      <w:r>
        <w:rPr>
          <w:rStyle w:val="30"/>
          <w:rFonts w:hint="eastAsia" w:ascii="宋体" w:hAnsi="宋体" w:eastAsia="宋体" w:cs="宋体"/>
          <w:b w:val="0"/>
          <w:bCs/>
          <w:i w:val="0"/>
          <w:caps w:val="0"/>
          <w:color w:val="auto"/>
          <w:spacing w:val="0"/>
          <w:w w:val="100"/>
          <w:position w:val="0"/>
          <w:sz w:val="24"/>
          <w:szCs w:val="24"/>
          <w:highlight w:val="none"/>
          <w:lang w:val="en-US" w:eastAsia="zh-CN" w:bidi="ar-SA"/>
        </w:rPr>
        <w:t>依法缴纳税收和社会保障资金的证明材料，须提供开标前六个月内任意一个月的依法缴税和缴纳社会保险的证明材料（依法免税的应提供相应文件说明）；</w:t>
      </w:r>
    </w:p>
    <w:p w14:paraId="24E3286C">
      <w:pPr>
        <w:pStyle w:val="72"/>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t xml:space="preserve"> </w:t>
      </w:r>
    </w:p>
    <w:p w14:paraId="5BD652BE">
      <w:pPr>
        <w:pStyle w:val="72"/>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bCs w:val="0"/>
          <w:i w:val="0"/>
          <w:caps w:val="0"/>
          <w:color w:val="auto"/>
          <w:spacing w:val="0"/>
          <w:w w:val="100"/>
          <w:kern w:val="0"/>
          <w:position w:val="0"/>
          <w:sz w:val="24"/>
          <w:szCs w:val="24"/>
          <w:highlight w:val="none"/>
          <w:lang w:val="en-US" w:eastAsia="zh-CN" w:bidi="ar-SA"/>
        </w:rPr>
        <w:t xml:space="preserve"> </w:t>
      </w:r>
    </w:p>
    <w:p w14:paraId="67073A2E">
      <w:pPr>
        <w:pStyle w:val="72"/>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30"/>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1.</w:t>
      </w:r>
      <w:r>
        <w:rPr>
          <w:rStyle w:val="30"/>
          <w:rFonts w:hint="eastAsia" w:ascii="宋体" w:hAnsi="宋体" w:eastAsia="宋体" w:cs="宋体"/>
          <w:b/>
          <w:bCs/>
          <w:i w:val="0"/>
          <w:caps w:val="0"/>
          <w:color w:val="auto"/>
          <w:spacing w:val="0"/>
          <w:w w:val="100"/>
          <w:kern w:val="0"/>
          <w:position w:val="0"/>
          <w:sz w:val="24"/>
          <w:szCs w:val="24"/>
          <w:highlight w:val="none"/>
          <w:lang w:val="en-US" w:eastAsia="zh-CN" w:bidi="ar-SA"/>
        </w:rPr>
        <w:t>5、参加政府采购活动前三年内，在经营活动中没有重大违法记录；须提供书面声明</w:t>
      </w:r>
    </w:p>
    <w:p w14:paraId="0D316D1A">
      <w:pPr>
        <w:pStyle w:val="72"/>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30"/>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bCs/>
          <w:i w:val="0"/>
          <w:caps w:val="0"/>
          <w:color w:val="auto"/>
          <w:spacing w:val="0"/>
          <w:w w:val="100"/>
          <w:kern w:val="0"/>
          <w:position w:val="0"/>
          <w:sz w:val="24"/>
          <w:szCs w:val="24"/>
          <w:highlight w:val="none"/>
          <w:lang w:val="en-US" w:eastAsia="zh-CN" w:bidi="ar-SA"/>
        </w:rPr>
        <w:t xml:space="preserve"> </w:t>
      </w:r>
    </w:p>
    <w:p w14:paraId="54BD2D73">
      <w:pPr>
        <w:pStyle w:val="73"/>
        <w:pageBreakBefore w:val="0"/>
        <w:widowControl/>
        <w:shd w:val="clear" w:color="auto" w:fill="auto"/>
        <w:kinsoku/>
        <w:wordWrap/>
        <w:overflowPunct/>
        <w:topLinePunct w:val="0"/>
        <w:bidi w:val="0"/>
        <w:snapToGrid/>
        <w:spacing w:before="0" w:beforeAutospacing="0" w:after="0" w:afterAutospacing="0" w:line="360" w:lineRule="auto"/>
        <w:jc w:val="both"/>
        <w:textAlignment w:val="baseline"/>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t xml:space="preserve">我单位郑重声明： </w:t>
      </w:r>
    </w:p>
    <w:p w14:paraId="007DFBA4">
      <w:pPr>
        <w:pStyle w:val="73"/>
        <w:pageBreakBefore w:val="0"/>
        <w:widowControl/>
        <w:shd w:val="clear" w:color="auto" w:fill="auto"/>
        <w:kinsoku/>
        <w:wordWrap/>
        <w:overflowPunct/>
        <w:topLinePunct w:val="0"/>
        <w:bidi w:val="0"/>
        <w:snapToGrid/>
        <w:spacing w:before="0" w:beforeAutospacing="0" w:after="0" w:afterAutospacing="0" w:line="360" w:lineRule="auto"/>
        <w:ind w:firstLine="480" w:firstLineChars="200"/>
        <w:jc w:val="both"/>
        <w:textAlignment w:val="baseline"/>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14:paraId="16EFED64">
      <w:pPr>
        <w:pStyle w:val="73"/>
        <w:pageBreakBefore w:val="0"/>
        <w:widowControl/>
        <w:shd w:val="clear" w:color="auto" w:fill="auto"/>
        <w:kinsoku/>
        <w:wordWrap/>
        <w:overflowPunct/>
        <w:topLinePunct w:val="0"/>
        <w:bidi w:val="0"/>
        <w:snapToGrid/>
        <w:spacing w:before="0" w:beforeAutospacing="0" w:after="0" w:afterAutospacing="0" w:line="360" w:lineRule="auto"/>
        <w:ind w:firstLine="480" w:firstLineChars="200"/>
        <w:jc w:val="both"/>
        <w:textAlignment w:val="baseline"/>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t xml:space="preserve">如我公司声明与实际不符，我公司将承担因此引起的一切后果。 </w:t>
      </w:r>
    </w:p>
    <w:p w14:paraId="0699262C">
      <w:pPr>
        <w:pStyle w:val="74"/>
        <w:pageBreakBefore w:val="0"/>
        <w:widowControl/>
        <w:shd w:val="clear" w:color="auto" w:fill="auto"/>
        <w:kinsoku/>
        <w:wordWrap/>
        <w:overflowPunct/>
        <w:topLinePunct w:val="0"/>
        <w:bidi w:val="0"/>
        <w:snapToGrid w:val="0"/>
        <w:spacing w:before="0" w:beforeAutospacing="0" w:after="0" w:afterAutospacing="0" w:line="440" w:lineRule="exact"/>
        <w:ind w:firstLine="480" w:firstLineChars="200"/>
        <w:jc w:val="both"/>
        <w:textAlignment w:val="baseline"/>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 xml:space="preserve"> </w:t>
      </w:r>
    </w:p>
    <w:p w14:paraId="6DE43091">
      <w:pPr>
        <w:pStyle w:val="73"/>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30"/>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pP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供应商法定代表人（或法定代表人授权代表）签字或盖章：</w:t>
      </w:r>
    </w:p>
    <w:p w14:paraId="0BFEEAAC">
      <w:pPr>
        <w:pStyle w:val="73"/>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30"/>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pPr>
      <w:r>
        <w:rPr>
          <w:rStyle w:val="30"/>
          <w:rFonts w:hint="eastAsia" w:ascii="宋体" w:hAnsi="宋体" w:eastAsia="宋体" w:cs="宋体"/>
          <w:b w:val="0"/>
          <w:i w:val="0"/>
          <w:caps w:val="0"/>
          <w:color w:val="auto"/>
          <w:spacing w:val="0"/>
          <w:w w:val="100"/>
          <w:kern w:val="2"/>
          <w:position w:val="0"/>
          <w:sz w:val="24"/>
          <w:szCs w:val="24"/>
          <w:highlight w:val="none"/>
          <w:lang w:val="en-US" w:eastAsia="zh-CN" w:bidi="ar-SA"/>
        </w:rPr>
        <w:t>供应商名称（加盖公章）：</w:t>
      </w:r>
    </w:p>
    <w:p w14:paraId="705315F3">
      <w:pPr>
        <w:pStyle w:val="74"/>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30"/>
          <w:rFonts w:hint="eastAsia" w:ascii="宋体" w:hAnsi="宋体" w:eastAsia="宋体" w:cs="宋体"/>
          <w:b w:val="0"/>
          <w:i w:val="0"/>
          <w:caps w:val="0"/>
          <w:color w:val="auto"/>
          <w:spacing w:val="0"/>
          <w:w w:val="100"/>
          <w:kern w:val="0"/>
          <w:position w:val="0"/>
          <w:sz w:val="24"/>
          <w:szCs w:val="24"/>
          <w:highlight w:val="none"/>
          <w:lang w:val="en-US" w:eastAsia="zh-CN" w:bidi="ar-SA"/>
        </w:rPr>
        <w:t>日期：   年   月   日</w:t>
      </w:r>
    </w:p>
    <w:p w14:paraId="6677DE58">
      <w:pPr>
        <w:pStyle w:val="75"/>
        <w:pageBreakBefore w:val="0"/>
        <w:widowControl/>
        <w:shd w:val="clear" w:color="auto" w:fill="auto"/>
        <w:kinsoku/>
        <w:wordWrap/>
        <w:overflowPunct/>
        <w:topLinePunct w:val="0"/>
        <w:autoSpaceDE/>
        <w:autoSpaceDN/>
        <w:bidi w:val="0"/>
        <w:adjustRightInd/>
        <w:snapToGrid/>
        <w:spacing w:beforeAutospacing="0" w:afterAutospacing="0" w:line="440" w:lineRule="exact"/>
        <w:jc w:val="both"/>
        <w:textAlignment w:val="baseline"/>
        <w:rPr>
          <w:rStyle w:val="30"/>
          <w:rFonts w:hint="eastAsia" w:ascii="宋体" w:hAnsi="宋体" w:eastAsia="宋体" w:cs="宋体"/>
          <w:b/>
          <w:bCs/>
          <w:i w:val="0"/>
          <w:caps w:val="0"/>
          <w:color w:val="auto"/>
          <w:spacing w:val="0"/>
          <w:w w:val="100"/>
          <w:kern w:val="0"/>
          <w:position w:val="0"/>
          <w:sz w:val="24"/>
          <w:szCs w:val="24"/>
          <w:highlight w:val="none"/>
          <w:lang w:val="en-US" w:eastAsia="zh-CN" w:bidi="ar-SA"/>
        </w:rPr>
      </w:pPr>
    </w:p>
    <w:p w14:paraId="29CDF991">
      <w:pPr>
        <w:pStyle w:val="75"/>
        <w:pageBreakBefore w:val="0"/>
        <w:widowControl/>
        <w:shd w:val="clear" w:color="auto" w:fill="auto"/>
        <w:kinsoku/>
        <w:wordWrap/>
        <w:overflowPunct/>
        <w:topLinePunct w:val="0"/>
        <w:autoSpaceDE/>
        <w:autoSpaceDN/>
        <w:bidi w:val="0"/>
        <w:adjustRightInd/>
        <w:snapToGrid/>
        <w:spacing w:beforeAutospacing="0" w:afterAutospacing="0" w:line="440" w:lineRule="exact"/>
        <w:jc w:val="both"/>
        <w:textAlignment w:val="baseline"/>
        <w:rPr>
          <w:rFonts w:hint="eastAsia" w:ascii="宋体" w:hAnsi="宋体" w:eastAsia="宋体" w:cs="宋体"/>
          <w:b/>
          <w:bCs/>
          <w:color w:val="auto"/>
          <w:spacing w:val="0"/>
          <w:position w:val="0"/>
          <w:sz w:val="24"/>
          <w:szCs w:val="24"/>
          <w:highlight w:val="none"/>
          <w:lang w:val="en-US" w:eastAsia="zh-CN"/>
        </w:rPr>
      </w:pPr>
      <w:r>
        <w:rPr>
          <w:rStyle w:val="30"/>
          <w:rFonts w:hint="eastAsia" w:ascii="宋体" w:hAnsi="宋体" w:eastAsia="宋体" w:cs="宋体"/>
          <w:b/>
          <w:bCs/>
          <w:i w:val="0"/>
          <w:caps w:val="0"/>
          <w:color w:val="auto"/>
          <w:spacing w:val="0"/>
          <w:w w:val="100"/>
          <w:kern w:val="2"/>
          <w:position w:val="0"/>
          <w:sz w:val="24"/>
          <w:szCs w:val="24"/>
          <w:highlight w:val="none"/>
          <w:lang w:val="en-US" w:eastAsia="zh-CN" w:bidi="ar-SA"/>
        </w:rPr>
        <w:t>1.</w:t>
      </w:r>
      <w:r>
        <w:rPr>
          <w:rStyle w:val="30"/>
          <w:rFonts w:hint="eastAsia" w:ascii="宋体" w:hAnsi="宋体" w:eastAsia="宋体" w:cs="宋体"/>
          <w:b/>
          <w:bCs/>
          <w:i w:val="0"/>
          <w:caps w:val="0"/>
          <w:color w:val="auto"/>
          <w:spacing w:val="0"/>
          <w:w w:val="100"/>
          <w:kern w:val="0"/>
          <w:position w:val="0"/>
          <w:sz w:val="24"/>
          <w:szCs w:val="24"/>
          <w:highlight w:val="none"/>
          <w:lang w:val="en-US" w:eastAsia="zh-CN" w:bidi="ar-SA"/>
        </w:rPr>
        <w:t>6、法律、行政法规规定的其他条件</w:t>
      </w:r>
      <w:bookmarkStart w:id="576" w:name="_Toc3804"/>
      <w:r>
        <w:rPr>
          <w:rStyle w:val="30"/>
          <w:rFonts w:hint="eastAsia" w:ascii="宋体" w:hAnsi="宋体" w:eastAsia="宋体" w:cs="宋体"/>
          <w:b/>
          <w:bCs/>
          <w:i w:val="0"/>
          <w:caps w:val="0"/>
          <w:color w:val="auto"/>
          <w:spacing w:val="0"/>
          <w:w w:val="100"/>
          <w:kern w:val="0"/>
          <w:position w:val="0"/>
          <w:sz w:val="24"/>
          <w:szCs w:val="24"/>
          <w:highlight w:val="none"/>
          <w:lang w:val="en-US" w:eastAsia="zh-CN" w:bidi="ar-SA"/>
        </w:rPr>
        <w:t>：</w:t>
      </w:r>
      <w:r>
        <w:rPr>
          <w:rFonts w:hint="eastAsia" w:ascii="宋体" w:hAnsi="宋体" w:eastAsia="宋体" w:cs="宋体"/>
          <w:b/>
          <w:bCs/>
          <w:color w:val="auto"/>
          <w:spacing w:val="0"/>
          <w:position w:val="0"/>
          <w:sz w:val="24"/>
          <w:szCs w:val="24"/>
          <w:highlight w:val="none"/>
          <w:lang w:val="en-US" w:eastAsia="zh-CN"/>
        </w:rPr>
        <w:t>无</w:t>
      </w:r>
    </w:p>
    <w:p w14:paraId="24A5D8B2">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p>
    <w:bookmarkEnd w:id="576"/>
    <w:p w14:paraId="141D026B">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p>
    <w:p w14:paraId="7DFFF563">
      <w:pPr>
        <w:pStyle w:val="21"/>
        <w:shd w:val="clear" w:color="auto" w:fill="auto"/>
        <w:rPr>
          <w:rFonts w:hint="eastAsia" w:ascii="宋体" w:hAnsi="宋体" w:eastAsia="宋体" w:cs="宋体"/>
          <w:color w:val="auto"/>
          <w:highlight w:val="none"/>
          <w:lang w:val="en-US" w:eastAsia="zh-CN"/>
        </w:rPr>
      </w:pPr>
    </w:p>
    <w:p w14:paraId="7BEE2DF0">
      <w:pPr>
        <w:pStyle w:val="21"/>
        <w:shd w:val="clear" w:color="auto" w:fill="auto"/>
        <w:rPr>
          <w:rFonts w:hint="eastAsia" w:ascii="宋体" w:hAnsi="宋体" w:eastAsia="宋体" w:cs="宋体"/>
          <w:color w:val="auto"/>
          <w:highlight w:val="none"/>
          <w:lang w:val="en-US" w:eastAsia="zh-CN"/>
        </w:rPr>
      </w:pPr>
    </w:p>
    <w:p w14:paraId="27C922C4">
      <w:pPr>
        <w:pStyle w:val="21"/>
        <w:shd w:val="clear" w:color="auto" w:fill="auto"/>
        <w:rPr>
          <w:rFonts w:hint="eastAsia" w:ascii="宋体" w:hAnsi="宋体" w:eastAsia="宋体" w:cs="宋体"/>
          <w:color w:val="auto"/>
          <w:highlight w:val="none"/>
          <w:lang w:val="en-US" w:eastAsia="zh-CN"/>
        </w:rPr>
      </w:pPr>
    </w:p>
    <w:p w14:paraId="17A0C6F8">
      <w:pPr>
        <w:pStyle w:val="3"/>
        <w:bidi w:val="0"/>
        <w:rPr>
          <w:rFonts w:hint="eastAsia" w:ascii="宋体" w:hAnsi="宋体" w:eastAsia="宋体" w:cs="宋体"/>
          <w:color w:val="auto"/>
          <w:highlight w:val="none"/>
          <w:lang w:val="en-US" w:eastAsia="zh-CN"/>
        </w:rPr>
      </w:pPr>
      <w:bookmarkStart w:id="577" w:name="_Toc2565"/>
      <w:r>
        <w:rPr>
          <w:rFonts w:hint="eastAsia" w:ascii="宋体" w:hAnsi="宋体" w:eastAsia="宋体" w:cs="宋体"/>
          <w:color w:val="auto"/>
          <w:highlight w:val="none"/>
          <w:lang w:val="en-US" w:eastAsia="zh-CN"/>
        </w:rPr>
        <w:t>2、本项目特定资格要求</w:t>
      </w:r>
      <w:bookmarkEnd w:id="577"/>
    </w:p>
    <w:p w14:paraId="57ADCD95">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1）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属于第一类医疗器械的可提供医疗器械经营备案凭证或按照国家医疗器械经营监督管理办法规定无需备案的可不提供。</w:t>
      </w:r>
    </w:p>
    <w:p w14:paraId="558A4FF5">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2）根据《财政部关于在政府采购活动中查询及使用信用记录有关问题的通知》（财库〔2016〕125号）的规定，将在资格审查时通过“信用中国”网站、中国政府采购网等渠道查询供应商信用记录。被列入失信被执行人、重大税收违法案件当事人名单、政府采购严重违法失信行为记录名单的供应商，将被拒绝参与本项目政府采购活动。</w:t>
      </w:r>
      <w:r>
        <w:rPr>
          <w:rFonts w:hint="eastAsia" w:cs="宋体"/>
          <w:b/>
          <w:bCs/>
          <w:color w:val="auto"/>
          <w:spacing w:val="0"/>
          <w:position w:val="0"/>
          <w:sz w:val="24"/>
          <w:szCs w:val="24"/>
          <w:highlight w:val="none"/>
          <w:lang w:val="en-US" w:eastAsia="zh-CN"/>
        </w:rPr>
        <w:t>（投标人无需提供，有采购人或代理机构在资格审查现场查验）</w:t>
      </w:r>
    </w:p>
    <w:p w14:paraId="56AD39D2">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p>
    <w:p w14:paraId="0BB5ADCA">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p>
    <w:p w14:paraId="6D4BA3D1">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p>
    <w:p w14:paraId="15356860">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p>
    <w:p w14:paraId="6DE2F132">
      <w:pPr>
        <w:pStyle w:val="21"/>
        <w:shd w:val="clear" w:color="auto" w:fill="auto"/>
        <w:rPr>
          <w:rFonts w:hint="eastAsia" w:ascii="宋体" w:hAnsi="宋体" w:eastAsia="宋体" w:cs="宋体"/>
          <w:color w:val="auto"/>
          <w:highlight w:val="none"/>
          <w:lang w:val="en-US" w:eastAsia="zh-CN"/>
        </w:rPr>
      </w:pPr>
    </w:p>
    <w:p w14:paraId="696208F9">
      <w:pPr>
        <w:pStyle w:val="21"/>
        <w:shd w:val="clear" w:color="auto" w:fill="auto"/>
        <w:rPr>
          <w:rFonts w:hint="eastAsia" w:ascii="宋体" w:hAnsi="宋体" w:eastAsia="宋体" w:cs="宋体"/>
          <w:color w:val="auto"/>
          <w:highlight w:val="none"/>
          <w:lang w:val="en-US" w:eastAsia="zh-CN"/>
        </w:rPr>
      </w:pPr>
    </w:p>
    <w:p w14:paraId="66F1598E">
      <w:pPr>
        <w:pStyle w:val="21"/>
        <w:shd w:val="clear" w:color="auto" w:fill="auto"/>
        <w:rPr>
          <w:rFonts w:hint="eastAsia" w:ascii="宋体" w:hAnsi="宋体" w:eastAsia="宋体" w:cs="宋体"/>
          <w:color w:val="auto"/>
          <w:highlight w:val="none"/>
          <w:lang w:val="en-US" w:eastAsia="zh-CN"/>
        </w:rPr>
      </w:pPr>
    </w:p>
    <w:p w14:paraId="5B862C49">
      <w:pPr>
        <w:pStyle w:val="21"/>
        <w:shd w:val="clear" w:color="auto" w:fill="auto"/>
        <w:rPr>
          <w:rFonts w:hint="eastAsia" w:ascii="宋体" w:hAnsi="宋体" w:eastAsia="宋体" w:cs="宋体"/>
          <w:color w:val="auto"/>
          <w:highlight w:val="none"/>
          <w:lang w:val="en-US" w:eastAsia="zh-CN"/>
        </w:rPr>
      </w:pPr>
    </w:p>
    <w:p w14:paraId="65E554A2">
      <w:pPr>
        <w:pStyle w:val="21"/>
        <w:shd w:val="clear" w:color="auto" w:fill="auto"/>
        <w:rPr>
          <w:rFonts w:hint="eastAsia" w:ascii="宋体" w:hAnsi="宋体" w:eastAsia="宋体" w:cs="宋体"/>
          <w:color w:val="auto"/>
          <w:highlight w:val="none"/>
          <w:lang w:val="en-US" w:eastAsia="zh-CN"/>
        </w:rPr>
      </w:pPr>
    </w:p>
    <w:p w14:paraId="2EA56EA5">
      <w:pPr>
        <w:pStyle w:val="21"/>
        <w:shd w:val="clear" w:color="auto" w:fill="auto"/>
        <w:rPr>
          <w:rFonts w:hint="eastAsia" w:ascii="宋体" w:hAnsi="宋体" w:eastAsia="宋体" w:cs="宋体"/>
          <w:color w:val="auto"/>
          <w:highlight w:val="none"/>
          <w:lang w:val="en-US" w:eastAsia="zh-CN"/>
        </w:rPr>
      </w:pPr>
    </w:p>
    <w:p w14:paraId="5EC6CF67">
      <w:pPr>
        <w:pStyle w:val="3"/>
        <w:bidi w:val="0"/>
        <w:rPr>
          <w:rFonts w:hint="eastAsia" w:ascii="宋体" w:hAnsi="宋体" w:eastAsia="宋体" w:cs="宋体"/>
          <w:color w:val="auto"/>
          <w:highlight w:val="none"/>
          <w:lang w:val="en-US" w:eastAsia="zh-CN"/>
        </w:rPr>
      </w:pPr>
      <w:bookmarkStart w:id="578" w:name="_Toc12383"/>
      <w:r>
        <w:rPr>
          <w:rFonts w:hint="eastAsia" w:ascii="宋体" w:hAnsi="宋体" w:eastAsia="宋体" w:cs="宋体"/>
          <w:color w:val="auto"/>
          <w:highlight w:val="none"/>
          <w:lang w:val="en-US" w:eastAsia="zh-CN"/>
        </w:rPr>
        <w:t>3、投标保证金</w:t>
      </w:r>
      <w:bookmarkEnd w:id="578"/>
    </w:p>
    <w:p w14:paraId="72AAC88D">
      <w:pPr>
        <w:pStyle w:val="93"/>
        <w:shd w:val="clear" w:color="auto" w:fil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此处须附</w:t>
      </w:r>
      <w:r>
        <w:rPr>
          <w:rFonts w:hint="eastAsia" w:cs="宋体"/>
          <w:i w:val="0"/>
          <w:iCs w:val="0"/>
          <w:color w:val="auto"/>
          <w:highlight w:val="none"/>
          <w:lang w:val="en-US" w:eastAsia="zh-CN"/>
        </w:rPr>
        <w:t>投标</w:t>
      </w:r>
      <w:r>
        <w:rPr>
          <w:rFonts w:hint="eastAsia" w:ascii="宋体" w:hAnsi="宋体" w:eastAsia="宋体" w:cs="宋体"/>
          <w:i w:val="0"/>
          <w:iCs w:val="0"/>
          <w:color w:val="auto"/>
          <w:highlight w:val="none"/>
          <w:lang w:val="en-US" w:eastAsia="zh-CN"/>
        </w:rPr>
        <w:t>保证金缴纳凭证。</w:t>
      </w:r>
    </w:p>
    <w:p w14:paraId="22F365D4">
      <w:pPr>
        <w:shd w:val="clear" w:color="auto" w:fill="auto"/>
        <w:bidi w:val="0"/>
        <w:rPr>
          <w:rFonts w:hint="eastAsia" w:ascii="宋体" w:hAnsi="宋体" w:eastAsia="宋体" w:cs="宋体"/>
          <w:color w:val="auto"/>
          <w:highlight w:val="none"/>
          <w:lang w:val="en-US" w:eastAsia="zh-CN"/>
        </w:rPr>
      </w:pPr>
    </w:p>
    <w:p w14:paraId="404A9B0C">
      <w:pPr>
        <w:pStyle w:val="21"/>
        <w:shd w:val="clear" w:color="auto" w:fill="auto"/>
        <w:rPr>
          <w:rFonts w:hint="eastAsia" w:ascii="宋体" w:hAnsi="宋体" w:eastAsia="宋体" w:cs="宋体"/>
          <w:color w:val="auto"/>
          <w:highlight w:val="none"/>
          <w:lang w:val="en-US" w:eastAsia="zh-CN"/>
        </w:rPr>
      </w:pPr>
    </w:p>
    <w:p w14:paraId="66C2E867">
      <w:pPr>
        <w:pStyle w:val="21"/>
        <w:shd w:val="clear" w:color="auto" w:fill="auto"/>
        <w:rPr>
          <w:rFonts w:hint="eastAsia" w:ascii="宋体" w:hAnsi="宋体" w:eastAsia="宋体" w:cs="宋体"/>
          <w:color w:val="auto"/>
          <w:highlight w:val="none"/>
          <w:lang w:val="en-US" w:eastAsia="zh-CN"/>
        </w:rPr>
      </w:pPr>
    </w:p>
    <w:p w14:paraId="6A07C25A">
      <w:pPr>
        <w:pStyle w:val="21"/>
        <w:shd w:val="clear" w:color="auto" w:fill="auto"/>
        <w:rPr>
          <w:rFonts w:hint="eastAsia" w:ascii="宋体" w:hAnsi="宋体" w:eastAsia="宋体" w:cs="宋体"/>
          <w:color w:val="auto"/>
          <w:highlight w:val="none"/>
          <w:lang w:val="en-US" w:eastAsia="zh-CN"/>
        </w:rPr>
      </w:pPr>
    </w:p>
    <w:p w14:paraId="404DDA5B">
      <w:pPr>
        <w:pStyle w:val="21"/>
        <w:shd w:val="clear" w:color="auto" w:fill="auto"/>
        <w:rPr>
          <w:rFonts w:hint="eastAsia" w:ascii="宋体" w:hAnsi="宋体" w:eastAsia="宋体" w:cs="宋体"/>
          <w:color w:val="auto"/>
          <w:highlight w:val="none"/>
          <w:lang w:val="en-US" w:eastAsia="zh-CN"/>
        </w:rPr>
      </w:pPr>
    </w:p>
    <w:p w14:paraId="7B4778E3">
      <w:pPr>
        <w:pStyle w:val="21"/>
        <w:shd w:val="clear" w:color="auto" w:fill="auto"/>
        <w:rPr>
          <w:rFonts w:hint="eastAsia" w:ascii="宋体" w:hAnsi="宋体" w:eastAsia="宋体" w:cs="宋体"/>
          <w:color w:val="auto"/>
          <w:highlight w:val="none"/>
          <w:lang w:val="en-US" w:eastAsia="zh-CN"/>
        </w:rPr>
      </w:pPr>
    </w:p>
    <w:p w14:paraId="77B71DAB">
      <w:pPr>
        <w:pStyle w:val="21"/>
        <w:shd w:val="clear" w:color="auto" w:fill="auto"/>
        <w:rPr>
          <w:rFonts w:hint="eastAsia" w:ascii="宋体" w:hAnsi="宋体" w:eastAsia="宋体" w:cs="宋体"/>
          <w:color w:val="auto"/>
          <w:highlight w:val="none"/>
          <w:lang w:val="en-US" w:eastAsia="zh-CN"/>
        </w:rPr>
      </w:pPr>
    </w:p>
    <w:p w14:paraId="583F84EF">
      <w:pPr>
        <w:pStyle w:val="21"/>
        <w:shd w:val="clear" w:color="auto" w:fill="auto"/>
        <w:rPr>
          <w:rFonts w:hint="eastAsia" w:ascii="宋体" w:hAnsi="宋体" w:eastAsia="宋体" w:cs="宋体"/>
          <w:color w:val="auto"/>
          <w:highlight w:val="none"/>
          <w:lang w:val="en-US" w:eastAsia="zh-CN"/>
        </w:rPr>
      </w:pPr>
    </w:p>
    <w:p w14:paraId="11923969">
      <w:pPr>
        <w:pStyle w:val="21"/>
        <w:shd w:val="clear" w:color="auto" w:fill="auto"/>
        <w:rPr>
          <w:rFonts w:hint="eastAsia" w:ascii="宋体" w:hAnsi="宋体" w:eastAsia="宋体" w:cs="宋体"/>
          <w:color w:val="auto"/>
          <w:highlight w:val="none"/>
          <w:lang w:val="en-US" w:eastAsia="zh-CN"/>
        </w:rPr>
      </w:pPr>
    </w:p>
    <w:p w14:paraId="2E1D7F5F">
      <w:pPr>
        <w:pStyle w:val="21"/>
        <w:shd w:val="clear" w:color="auto" w:fill="auto"/>
        <w:rPr>
          <w:rFonts w:hint="eastAsia" w:ascii="宋体" w:hAnsi="宋体" w:eastAsia="宋体" w:cs="宋体"/>
          <w:color w:val="auto"/>
          <w:highlight w:val="none"/>
          <w:lang w:val="en-US" w:eastAsia="zh-CN"/>
        </w:rPr>
      </w:pPr>
    </w:p>
    <w:p w14:paraId="5CF8F18E">
      <w:pPr>
        <w:pStyle w:val="21"/>
        <w:shd w:val="clear" w:color="auto" w:fill="auto"/>
        <w:rPr>
          <w:rFonts w:hint="eastAsia" w:ascii="宋体" w:hAnsi="宋体" w:eastAsia="宋体" w:cs="宋体"/>
          <w:color w:val="auto"/>
          <w:highlight w:val="none"/>
          <w:lang w:val="en-US" w:eastAsia="zh-CN"/>
        </w:rPr>
      </w:pPr>
    </w:p>
    <w:p w14:paraId="7F469AFD">
      <w:pPr>
        <w:pStyle w:val="21"/>
        <w:shd w:val="clear" w:color="auto" w:fill="auto"/>
        <w:rPr>
          <w:rFonts w:hint="eastAsia" w:ascii="宋体" w:hAnsi="宋体" w:eastAsia="宋体" w:cs="宋体"/>
          <w:color w:val="auto"/>
          <w:highlight w:val="none"/>
          <w:lang w:val="en-US" w:eastAsia="zh-CN"/>
        </w:rPr>
      </w:pPr>
    </w:p>
    <w:p w14:paraId="5C354040">
      <w:pPr>
        <w:pStyle w:val="21"/>
        <w:shd w:val="clear" w:color="auto" w:fill="auto"/>
        <w:rPr>
          <w:rFonts w:hint="eastAsia" w:ascii="宋体" w:hAnsi="宋体" w:eastAsia="宋体" w:cs="宋体"/>
          <w:color w:val="auto"/>
          <w:highlight w:val="none"/>
          <w:lang w:val="en-US" w:eastAsia="zh-CN"/>
        </w:rPr>
      </w:pPr>
    </w:p>
    <w:p w14:paraId="2FB473AB">
      <w:pPr>
        <w:pStyle w:val="21"/>
        <w:shd w:val="clear" w:color="auto" w:fill="auto"/>
        <w:rPr>
          <w:rFonts w:hint="eastAsia" w:ascii="宋体" w:hAnsi="宋体" w:eastAsia="宋体" w:cs="宋体"/>
          <w:color w:val="auto"/>
          <w:highlight w:val="none"/>
          <w:lang w:val="en-US" w:eastAsia="zh-CN"/>
        </w:rPr>
      </w:pPr>
    </w:p>
    <w:p w14:paraId="0812A8C1">
      <w:pPr>
        <w:pStyle w:val="21"/>
        <w:shd w:val="clear" w:color="auto" w:fill="auto"/>
        <w:rPr>
          <w:rFonts w:hint="eastAsia" w:ascii="宋体" w:hAnsi="宋体" w:eastAsia="宋体" w:cs="宋体"/>
          <w:color w:val="auto"/>
          <w:highlight w:val="none"/>
          <w:lang w:val="en-US" w:eastAsia="zh-CN"/>
        </w:rPr>
      </w:pPr>
    </w:p>
    <w:p w14:paraId="6CA736F5">
      <w:pPr>
        <w:pStyle w:val="21"/>
        <w:shd w:val="clear" w:color="auto" w:fill="auto"/>
        <w:rPr>
          <w:rFonts w:hint="eastAsia" w:ascii="宋体" w:hAnsi="宋体" w:eastAsia="宋体" w:cs="宋体"/>
          <w:color w:val="auto"/>
          <w:highlight w:val="none"/>
          <w:lang w:val="en-US" w:eastAsia="zh-CN"/>
        </w:rPr>
      </w:pPr>
    </w:p>
    <w:p w14:paraId="2B0FF5A8">
      <w:pPr>
        <w:pStyle w:val="21"/>
        <w:shd w:val="clear" w:color="auto" w:fill="auto"/>
        <w:rPr>
          <w:rFonts w:hint="eastAsia" w:ascii="宋体" w:hAnsi="宋体" w:eastAsia="宋体" w:cs="宋体"/>
          <w:color w:val="auto"/>
          <w:highlight w:val="none"/>
          <w:lang w:val="en-US" w:eastAsia="zh-CN"/>
        </w:rPr>
      </w:pPr>
    </w:p>
    <w:p w14:paraId="0245DCC3">
      <w:pPr>
        <w:pStyle w:val="21"/>
        <w:shd w:val="clear" w:color="auto" w:fill="auto"/>
        <w:rPr>
          <w:rFonts w:hint="eastAsia" w:ascii="宋体" w:hAnsi="宋体" w:eastAsia="宋体" w:cs="宋体"/>
          <w:color w:val="auto"/>
          <w:highlight w:val="none"/>
          <w:lang w:val="en-US" w:eastAsia="zh-CN"/>
        </w:rPr>
      </w:pPr>
    </w:p>
    <w:p w14:paraId="73BB25D5">
      <w:pPr>
        <w:pStyle w:val="21"/>
        <w:shd w:val="clear" w:color="auto" w:fill="auto"/>
        <w:rPr>
          <w:rFonts w:hint="eastAsia" w:ascii="宋体" w:hAnsi="宋体" w:eastAsia="宋体" w:cs="宋体"/>
          <w:color w:val="auto"/>
          <w:highlight w:val="none"/>
          <w:lang w:val="en-US" w:eastAsia="zh-CN"/>
        </w:rPr>
      </w:pPr>
    </w:p>
    <w:p w14:paraId="5C09A10A">
      <w:pPr>
        <w:rPr>
          <w:rFonts w:hint="eastAsia" w:ascii="宋体" w:hAnsi="宋体" w:eastAsia="宋体" w:cs="宋体"/>
          <w:b/>
          <w:bCs/>
          <w:color w:val="auto"/>
          <w:spacing w:val="0"/>
          <w:position w:val="0"/>
          <w:sz w:val="24"/>
          <w:szCs w:val="24"/>
          <w:highlight w:val="none"/>
          <w:lang w:eastAsia="zh-CN"/>
        </w:rPr>
      </w:pPr>
      <w:r>
        <w:rPr>
          <w:rFonts w:hint="eastAsia" w:ascii="宋体" w:hAnsi="宋体" w:eastAsia="宋体" w:cs="宋体"/>
          <w:b/>
          <w:bCs/>
          <w:color w:val="auto"/>
          <w:spacing w:val="0"/>
          <w:position w:val="0"/>
          <w:sz w:val="24"/>
          <w:szCs w:val="24"/>
          <w:highlight w:val="none"/>
          <w:lang w:eastAsia="zh-CN"/>
        </w:rPr>
        <w:br w:type="page"/>
      </w:r>
    </w:p>
    <w:p w14:paraId="7441F1FA">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二、报价文件</w:t>
      </w:r>
    </w:p>
    <w:p w14:paraId="5FB81D9B">
      <w:pPr>
        <w:rPr>
          <w:rFonts w:hint="eastAsia" w:ascii="宋体" w:hAnsi="宋体" w:eastAsia="宋体" w:cs="宋体"/>
          <w:color w:val="auto"/>
          <w:highlight w:val="none"/>
        </w:rPr>
      </w:pPr>
    </w:p>
    <w:p w14:paraId="47DCEB85">
      <w:pPr>
        <w:bidi w:val="0"/>
        <w:rPr>
          <w:rFonts w:hint="eastAsia"/>
          <w:color w:val="auto"/>
          <w:highlight w:val="none"/>
          <w:lang w:val="en-US" w:eastAsia="zh-CN"/>
        </w:rPr>
      </w:pPr>
    </w:p>
    <w:p w14:paraId="4BD2021E">
      <w:pPr>
        <w:pStyle w:val="3"/>
        <w:keepNext/>
        <w:keepLines/>
        <w:pageBreakBefore w:val="0"/>
        <w:widowControl w:val="0"/>
        <w:numPr>
          <w:ilvl w:val="0"/>
          <w:numId w:val="0"/>
        </w:numPr>
        <w:bidi w:val="0"/>
        <w:spacing w:before="100" w:after="100" w:line="360" w:lineRule="auto"/>
        <w:ind w:left="420" w:hanging="420"/>
        <w:jc w:val="center"/>
        <w:rPr>
          <w:rFonts w:hint="eastAsia" w:cs="Times New Roman"/>
          <w:b/>
          <w:bCs/>
          <w:color w:val="auto"/>
          <w:sz w:val="32"/>
          <w:szCs w:val="32"/>
          <w:highlight w:val="none"/>
          <w:lang w:val="en-US" w:eastAsia="zh-CN" w:bidi="ar-SA"/>
        </w:rPr>
      </w:pPr>
      <w:bookmarkStart w:id="579" w:name="_Toc4687"/>
      <w:r>
        <w:rPr>
          <w:rFonts w:hint="eastAsia" w:cs="Times New Roman"/>
          <w:b/>
          <w:bCs/>
          <w:color w:val="auto"/>
          <w:sz w:val="32"/>
          <w:szCs w:val="32"/>
          <w:highlight w:val="none"/>
          <w:lang w:val="en-US" w:eastAsia="zh-CN" w:bidi="ar-SA"/>
        </w:rPr>
        <w:t>1、开标一览表</w:t>
      </w:r>
      <w:bookmarkEnd w:id="579"/>
    </w:p>
    <w:p w14:paraId="269AE11A">
      <w:pPr>
        <w:spacing w:line="300" w:lineRule="auto"/>
        <w:rPr>
          <w:rFonts w:cs="仿宋_GB2312"/>
          <w:color w:val="auto"/>
          <w:szCs w:val="24"/>
          <w:highlight w:val="none"/>
        </w:rPr>
      </w:pPr>
    </w:p>
    <w:p w14:paraId="3C1D81CE">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p>
    <w:p w14:paraId="3A268770">
      <w:pPr>
        <w:rPr>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798"/>
        <w:gridCol w:w="1653"/>
        <w:gridCol w:w="1998"/>
        <w:gridCol w:w="1998"/>
      </w:tblGrid>
      <w:tr w14:paraId="280F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629" w:type="pct"/>
            <w:noWrap w:val="0"/>
            <w:vAlign w:val="center"/>
          </w:tcPr>
          <w:p w14:paraId="7EEA6E4B">
            <w:pPr>
              <w:widowControl/>
              <w:spacing w:line="240" w:lineRule="auto"/>
              <w:jc w:val="center"/>
              <w:rPr>
                <w:color w:val="auto"/>
                <w:sz w:val="24"/>
                <w:szCs w:val="24"/>
                <w:highlight w:val="none"/>
              </w:rPr>
            </w:pPr>
            <w:r>
              <w:rPr>
                <w:rFonts w:hint="eastAsia"/>
                <w:color w:val="auto"/>
                <w:sz w:val="24"/>
                <w:szCs w:val="24"/>
                <w:highlight w:val="none"/>
              </w:rPr>
              <w:t>序号</w:t>
            </w:r>
          </w:p>
        </w:tc>
        <w:tc>
          <w:tcPr>
            <w:tcW w:w="1055" w:type="pct"/>
            <w:noWrap w:val="0"/>
            <w:vAlign w:val="center"/>
          </w:tcPr>
          <w:p w14:paraId="3A8C26B0">
            <w:pPr>
              <w:widowControl/>
              <w:spacing w:line="240" w:lineRule="auto"/>
              <w:ind w:left="851" w:hanging="851"/>
              <w:jc w:val="center"/>
              <w:rPr>
                <w:color w:val="auto"/>
                <w:sz w:val="24"/>
                <w:szCs w:val="24"/>
                <w:highlight w:val="none"/>
              </w:rPr>
            </w:pPr>
            <w:r>
              <w:rPr>
                <w:rFonts w:hint="eastAsia"/>
                <w:color w:val="auto"/>
                <w:sz w:val="24"/>
                <w:szCs w:val="24"/>
                <w:highlight w:val="none"/>
              </w:rPr>
              <w:t>投标报价</w:t>
            </w:r>
          </w:p>
        </w:tc>
        <w:tc>
          <w:tcPr>
            <w:tcW w:w="970" w:type="pct"/>
            <w:noWrap w:val="0"/>
            <w:vAlign w:val="center"/>
          </w:tcPr>
          <w:p w14:paraId="47B414BC">
            <w:pPr>
              <w:widowControl/>
              <w:spacing w:line="240" w:lineRule="auto"/>
              <w:ind w:left="851" w:hanging="851"/>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交付时间</w:t>
            </w:r>
          </w:p>
        </w:tc>
        <w:tc>
          <w:tcPr>
            <w:tcW w:w="1172" w:type="pct"/>
            <w:noWrap w:val="0"/>
            <w:vAlign w:val="center"/>
          </w:tcPr>
          <w:p w14:paraId="5C3E8812">
            <w:pPr>
              <w:widowControl/>
              <w:spacing w:line="240" w:lineRule="auto"/>
              <w:ind w:left="851" w:hanging="851"/>
              <w:jc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质保期</w:t>
            </w:r>
          </w:p>
        </w:tc>
        <w:tc>
          <w:tcPr>
            <w:tcW w:w="1172" w:type="pct"/>
            <w:noWrap w:val="0"/>
            <w:vAlign w:val="center"/>
          </w:tcPr>
          <w:p w14:paraId="2264007D">
            <w:pPr>
              <w:widowControl/>
              <w:spacing w:line="240" w:lineRule="auto"/>
              <w:jc w:val="center"/>
              <w:rPr>
                <w:color w:val="auto"/>
                <w:sz w:val="24"/>
                <w:szCs w:val="24"/>
                <w:highlight w:val="none"/>
              </w:rPr>
            </w:pPr>
            <w:r>
              <w:rPr>
                <w:rFonts w:hint="eastAsia"/>
                <w:color w:val="auto"/>
                <w:sz w:val="24"/>
                <w:szCs w:val="24"/>
                <w:highlight w:val="none"/>
              </w:rPr>
              <w:t>备注（如有）</w:t>
            </w:r>
          </w:p>
        </w:tc>
      </w:tr>
      <w:tr w14:paraId="7347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629" w:type="pct"/>
            <w:noWrap w:val="0"/>
            <w:vAlign w:val="center"/>
          </w:tcPr>
          <w:p w14:paraId="334E9AE9">
            <w:pPr>
              <w:widowControl/>
              <w:spacing w:line="240" w:lineRule="auto"/>
              <w:ind w:left="851" w:hanging="851"/>
              <w:jc w:val="center"/>
              <w:rPr>
                <w:rFonts w:hint="eastAsia"/>
                <w:color w:val="auto"/>
                <w:sz w:val="24"/>
                <w:szCs w:val="24"/>
                <w:highlight w:val="none"/>
              </w:rPr>
            </w:pPr>
          </w:p>
        </w:tc>
        <w:tc>
          <w:tcPr>
            <w:tcW w:w="1055" w:type="pct"/>
            <w:noWrap w:val="0"/>
            <w:vAlign w:val="center"/>
          </w:tcPr>
          <w:p w14:paraId="1EE356EC">
            <w:pPr>
              <w:widowControl/>
              <w:shd w:val="clear" w:color="auto" w:fill="auto"/>
              <w:spacing w:line="240" w:lineRule="auto"/>
              <w:ind w:left="851" w:hanging="851"/>
              <w:jc w:val="both"/>
              <w:rPr>
                <w:rFonts w:hint="eastAsia"/>
                <w:color w:val="auto"/>
                <w:sz w:val="24"/>
                <w:szCs w:val="24"/>
                <w:highlight w:val="none"/>
                <w:lang w:val="en-US" w:eastAsia="zh-CN"/>
              </w:rPr>
            </w:pPr>
            <w:r>
              <w:rPr>
                <w:rFonts w:hint="eastAsia"/>
                <w:color w:val="auto"/>
                <w:sz w:val="24"/>
                <w:szCs w:val="24"/>
                <w:highlight w:val="none"/>
                <w:lang w:val="en-US" w:eastAsia="zh-CN"/>
              </w:rPr>
              <w:t>小写：</w:t>
            </w:r>
          </w:p>
          <w:p w14:paraId="20CB550F">
            <w:pPr>
              <w:widowControl/>
              <w:shd w:val="clear" w:color="auto" w:fill="auto"/>
              <w:spacing w:line="240" w:lineRule="auto"/>
              <w:ind w:left="851" w:hanging="851"/>
              <w:jc w:val="both"/>
              <w:rPr>
                <w:rFonts w:hint="default"/>
                <w:color w:val="auto"/>
                <w:sz w:val="24"/>
                <w:szCs w:val="24"/>
                <w:highlight w:val="none"/>
                <w:lang w:val="en-US" w:eastAsia="zh-CN"/>
              </w:rPr>
            </w:pPr>
            <w:r>
              <w:rPr>
                <w:rFonts w:hint="eastAsia"/>
                <w:color w:val="auto"/>
                <w:sz w:val="24"/>
                <w:szCs w:val="24"/>
                <w:highlight w:val="none"/>
                <w:lang w:val="en-US" w:eastAsia="zh-CN"/>
              </w:rPr>
              <w:t>大写：</w:t>
            </w:r>
          </w:p>
        </w:tc>
        <w:tc>
          <w:tcPr>
            <w:tcW w:w="970" w:type="pct"/>
            <w:noWrap w:val="0"/>
            <w:vAlign w:val="center"/>
          </w:tcPr>
          <w:p w14:paraId="549B0BDC">
            <w:pPr>
              <w:widowControl/>
              <w:spacing w:line="240" w:lineRule="auto"/>
              <w:ind w:left="851" w:hanging="851"/>
              <w:jc w:val="center"/>
              <w:rPr>
                <w:rFonts w:hint="eastAsia"/>
                <w:color w:val="auto"/>
                <w:sz w:val="24"/>
                <w:szCs w:val="24"/>
                <w:highlight w:val="none"/>
              </w:rPr>
            </w:pPr>
          </w:p>
        </w:tc>
        <w:tc>
          <w:tcPr>
            <w:tcW w:w="1172" w:type="pct"/>
            <w:noWrap w:val="0"/>
            <w:vAlign w:val="center"/>
          </w:tcPr>
          <w:p w14:paraId="4AC85942">
            <w:pPr>
              <w:widowControl/>
              <w:spacing w:line="240" w:lineRule="auto"/>
              <w:ind w:left="851" w:hanging="851"/>
              <w:jc w:val="center"/>
              <w:rPr>
                <w:rFonts w:hint="eastAsia"/>
                <w:color w:val="auto"/>
                <w:sz w:val="24"/>
                <w:szCs w:val="24"/>
                <w:highlight w:val="none"/>
              </w:rPr>
            </w:pPr>
          </w:p>
        </w:tc>
        <w:tc>
          <w:tcPr>
            <w:tcW w:w="1172" w:type="pct"/>
            <w:noWrap w:val="0"/>
            <w:vAlign w:val="center"/>
          </w:tcPr>
          <w:p w14:paraId="42C18C48">
            <w:pPr>
              <w:widowControl/>
              <w:spacing w:line="240" w:lineRule="auto"/>
              <w:ind w:left="851" w:hanging="851"/>
              <w:jc w:val="center"/>
              <w:rPr>
                <w:rFonts w:hint="eastAsia"/>
                <w:color w:val="auto"/>
                <w:sz w:val="24"/>
                <w:szCs w:val="24"/>
                <w:highlight w:val="none"/>
              </w:rPr>
            </w:pPr>
          </w:p>
        </w:tc>
      </w:tr>
    </w:tbl>
    <w:p w14:paraId="43AAAD68">
      <w:pPr>
        <w:spacing w:line="300" w:lineRule="auto"/>
        <w:rPr>
          <w:rFonts w:ascii="Arial" w:hAnsi="Arial" w:cs="Arial"/>
          <w:color w:val="auto"/>
          <w:szCs w:val="21"/>
          <w:highlight w:val="none"/>
          <w:u w:val="single"/>
        </w:rPr>
      </w:pPr>
    </w:p>
    <w:p w14:paraId="78AB01AE">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ascii="宋体" w:hAnsi="宋体" w:cs="宋体"/>
          <w:color w:val="auto"/>
          <w:sz w:val="24"/>
          <w:highlight w:val="none"/>
          <w:lang w:val="zh-CN"/>
        </w:rPr>
        <w:t>)</w:t>
      </w:r>
      <w:r>
        <w:rPr>
          <w:rFonts w:ascii="Arial" w:hAnsi="Arial" w:cs="Arial"/>
          <w:color w:val="auto"/>
          <w:szCs w:val="21"/>
          <w:highlight w:val="none"/>
        </w:rPr>
        <w:t>：</w:t>
      </w:r>
    </w:p>
    <w:p w14:paraId="018EB604">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12DBD2DC">
      <w:pPr>
        <w:rPr>
          <w:rFonts w:cs="Arial"/>
          <w:color w:val="auto"/>
          <w:szCs w:val="24"/>
          <w:highlight w:val="none"/>
        </w:rPr>
      </w:pPr>
    </w:p>
    <w:p w14:paraId="4FA50BAF">
      <w:pPr>
        <w:pStyle w:val="10"/>
        <w:rPr>
          <w:rFonts w:cs="Arial"/>
          <w:color w:val="auto"/>
          <w:szCs w:val="24"/>
          <w:highlight w:val="none"/>
        </w:rPr>
      </w:pPr>
    </w:p>
    <w:p w14:paraId="39E03F45">
      <w:pPr>
        <w:pStyle w:val="10"/>
        <w:rPr>
          <w:rFonts w:cs="Arial"/>
          <w:color w:val="auto"/>
          <w:szCs w:val="24"/>
          <w:highlight w:val="none"/>
        </w:rPr>
      </w:pPr>
    </w:p>
    <w:p w14:paraId="3124E083">
      <w:pPr>
        <w:pStyle w:val="10"/>
        <w:rPr>
          <w:rFonts w:cs="Arial"/>
          <w:color w:val="auto"/>
          <w:szCs w:val="24"/>
          <w:highlight w:val="none"/>
        </w:rPr>
      </w:pPr>
    </w:p>
    <w:p w14:paraId="69EC5617">
      <w:pPr>
        <w:pStyle w:val="10"/>
        <w:rPr>
          <w:rFonts w:cs="Arial"/>
          <w:color w:val="auto"/>
          <w:szCs w:val="24"/>
          <w:highlight w:val="none"/>
        </w:rPr>
      </w:pPr>
    </w:p>
    <w:p w14:paraId="57F0D813">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13C55315">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032F150F">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45A194D5">
      <w:pPr>
        <w:pStyle w:val="1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4FE77DA5">
      <w:pPr>
        <w:pStyle w:val="10"/>
        <w:ind w:firstLine="480"/>
        <w:rPr>
          <w:rFonts w:hint="eastAsia" w:ascii="宋体" w:hAnsi="宋体" w:eastAsia="宋体" w:cs="宋体"/>
          <w:color w:val="auto"/>
          <w:sz w:val="24"/>
          <w:szCs w:val="24"/>
          <w:highlight w:val="none"/>
        </w:rPr>
      </w:pPr>
    </w:p>
    <w:p w14:paraId="0626E486">
      <w:pPr>
        <w:pStyle w:val="10"/>
        <w:ind w:firstLine="480"/>
        <w:rPr>
          <w:rFonts w:hint="eastAsia" w:ascii="宋体" w:hAnsi="宋体" w:eastAsia="宋体" w:cs="宋体"/>
          <w:color w:val="auto"/>
          <w:sz w:val="24"/>
          <w:szCs w:val="24"/>
          <w:highlight w:val="none"/>
        </w:rPr>
      </w:pPr>
    </w:p>
    <w:p w14:paraId="03A740E4">
      <w:pPr>
        <w:pStyle w:val="10"/>
        <w:ind w:firstLine="480"/>
        <w:rPr>
          <w:rFonts w:hint="eastAsia" w:ascii="宋体" w:hAnsi="宋体" w:eastAsia="宋体" w:cs="宋体"/>
          <w:color w:val="auto"/>
          <w:sz w:val="24"/>
          <w:szCs w:val="24"/>
          <w:highlight w:val="none"/>
        </w:rPr>
      </w:pPr>
    </w:p>
    <w:p w14:paraId="725C0730">
      <w:pPr>
        <w:pStyle w:val="3"/>
        <w:keepNext/>
        <w:keepLines/>
        <w:pageBreakBefore w:val="0"/>
        <w:widowControl w:val="0"/>
        <w:numPr>
          <w:ilvl w:val="0"/>
          <w:numId w:val="0"/>
        </w:numPr>
        <w:bidi w:val="0"/>
        <w:spacing w:before="100" w:after="100" w:line="360" w:lineRule="auto"/>
        <w:ind w:left="420" w:hanging="420"/>
        <w:jc w:val="center"/>
        <w:rPr>
          <w:rFonts w:hint="eastAsia" w:cs="Times New Roman"/>
          <w:b/>
          <w:bCs/>
          <w:color w:val="auto"/>
          <w:sz w:val="32"/>
          <w:szCs w:val="32"/>
          <w:highlight w:val="none"/>
          <w:lang w:val="en-US" w:eastAsia="zh-CN" w:bidi="ar-SA"/>
        </w:rPr>
        <w:sectPr>
          <w:headerReference r:id="rId5" w:type="default"/>
          <w:footerReference r:id="rId6" w:type="default"/>
          <w:pgSz w:w="11906" w:h="16838"/>
          <w:pgMar w:top="1440" w:right="1800" w:bottom="1440" w:left="1800" w:header="851" w:footer="992" w:gutter="0"/>
          <w:pgNumType w:fmt="decimal"/>
          <w:cols w:space="720" w:num="1"/>
        </w:sectPr>
      </w:pPr>
    </w:p>
    <w:p w14:paraId="68263B61">
      <w:pPr>
        <w:pStyle w:val="3"/>
        <w:keepNext/>
        <w:keepLines/>
        <w:pageBreakBefore w:val="0"/>
        <w:widowControl w:val="0"/>
        <w:numPr>
          <w:ilvl w:val="0"/>
          <w:numId w:val="0"/>
        </w:numPr>
        <w:bidi w:val="0"/>
        <w:spacing w:before="100" w:after="100" w:line="360" w:lineRule="auto"/>
        <w:ind w:left="420" w:hanging="420"/>
        <w:jc w:val="center"/>
        <w:rPr>
          <w:rFonts w:hint="eastAsia" w:cs="Times New Roman"/>
          <w:b/>
          <w:bCs/>
          <w:color w:val="auto"/>
          <w:sz w:val="32"/>
          <w:szCs w:val="32"/>
          <w:highlight w:val="none"/>
          <w:lang w:val="en-US" w:eastAsia="zh-CN" w:bidi="ar-SA"/>
        </w:rPr>
      </w:pPr>
      <w:bookmarkStart w:id="580" w:name="_Toc20408"/>
      <w:r>
        <w:rPr>
          <w:rFonts w:hint="eastAsia" w:cs="Times New Roman"/>
          <w:b/>
          <w:bCs/>
          <w:color w:val="auto"/>
          <w:sz w:val="32"/>
          <w:szCs w:val="32"/>
          <w:highlight w:val="none"/>
          <w:lang w:val="en-US" w:eastAsia="zh-CN" w:bidi="ar-SA"/>
        </w:rPr>
        <w:t>2、分项报价表</w:t>
      </w:r>
      <w:bookmarkEnd w:id="580"/>
    </w:p>
    <w:p w14:paraId="7541674B">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p>
    <w:p w14:paraId="3670071E">
      <w:pPr>
        <w:rPr>
          <w:rFonts w:hint="eastAsia"/>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r>
        <w:rPr>
          <w:rFonts w:hint="eastAsia"/>
          <w:b w:val="0"/>
          <w:bCs/>
          <w:color w:val="auto"/>
          <w:szCs w:val="21"/>
          <w:highlight w:val="none"/>
          <w:lang w:val="zh-CN"/>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1000"/>
        <w:gridCol w:w="1001"/>
        <w:gridCol w:w="976"/>
        <w:gridCol w:w="1298"/>
        <w:gridCol w:w="946"/>
        <w:gridCol w:w="1374"/>
        <w:gridCol w:w="962"/>
        <w:gridCol w:w="810"/>
        <w:gridCol w:w="1243"/>
        <w:gridCol w:w="963"/>
        <w:gridCol w:w="866"/>
        <w:gridCol w:w="866"/>
        <w:gridCol w:w="1024"/>
      </w:tblGrid>
      <w:tr w14:paraId="3692A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1887415C">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序号</w:t>
            </w:r>
          </w:p>
        </w:tc>
        <w:tc>
          <w:tcPr>
            <w:tcW w:w="1000" w:type="dxa"/>
            <w:noWrap w:val="0"/>
            <w:vAlign w:val="center"/>
          </w:tcPr>
          <w:p w14:paraId="6AB93AE2">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分项</w:t>
            </w:r>
            <w:r>
              <w:rPr>
                <w:rFonts w:hint="eastAsia" w:ascii="宋体" w:hAnsi="宋体" w:eastAsia="宋体" w:cs="宋体"/>
                <w:b w:val="0"/>
                <w:bCs/>
                <w:color w:val="auto"/>
                <w:sz w:val="21"/>
                <w:szCs w:val="21"/>
                <w:highlight w:val="none"/>
              </w:rPr>
              <w:t>名称</w:t>
            </w:r>
          </w:p>
        </w:tc>
        <w:tc>
          <w:tcPr>
            <w:tcW w:w="1001" w:type="dxa"/>
            <w:noWrap w:val="0"/>
            <w:vAlign w:val="center"/>
          </w:tcPr>
          <w:p w14:paraId="49801D26">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制造商</w:t>
            </w:r>
          </w:p>
        </w:tc>
        <w:tc>
          <w:tcPr>
            <w:tcW w:w="976" w:type="dxa"/>
            <w:noWrap w:val="0"/>
            <w:vAlign w:val="center"/>
          </w:tcPr>
          <w:p w14:paraId="6A9284E7">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产地/国别</w:t>
            </w:r>
          </w:p>
        </w:tc>
        <w:tc>
          <w:tcPr>
            <w:tcW w:w="1298" w:type="dxa"/>
            <w:noWrap w:val="0"/>
            <w:vAlign w:val="center"/>
          </w:tcPr>
          <w:p w14:paraId="3607DDA8">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制造商</w:t>
            </w:r>
          </w:p>
          <w:p w14:paraId="33D1145D">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统一社会信用代码</w:t>
            </w:r>
          </w:p>
        </w:tc>
        <w:tc>
          <w:tcPr>
            <w:tcW w:w="946" w:type="dxa"/>
            <w:noWrap w:val="0"/>
            <w:vAlign w:val="center"/>
          </w:tcPr>
          <w:p w14:paraId="22A4356A">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制造商规模</w:t>
            </w:r>
          </w:p>
        </w:tc>
        <w:tc>
          <w:tcPr>
            <w:tcW w:w="1374" w:type="dxa"/>
            <w:noWrap w:val="0"/>
            <w:vAlign w:val="center"/>
          </w:tcPr>
          <w:p w14:paraId="47BD90F1">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en-US"/>
              </w:rPr>
            </w:pPr>
            <w:r>
              <w:rPr>
                <w:rFonts w:hint="eastAsia" w:ascii="宋体" w:hAnsi="宋体" w:eastAsia="宋体" w:cs="宋体"/>
                <w:b w:val="0"/>
                <w:bCs/>
                <w:color w:val="auto"/>
                <w:sz w:val="21"/>
                <w:szCs w:val="21"/>
                <w:highlight w:val="none"/>
                <w:lang w:val="en-US" w:eastAsia="zh-CN"/>
              </w:rPr>
              <w:t>制造商实际控制人性别</w:t>
            </w:r>
          </w:p>
        </w:tc>
        <w:tc>
          <w:tcPr>
            <w:tcW w:w="962" w:type="dxa"/>
            <w:noWrap w:val="0"/>
            <w:vAlign w:val="center"/>
          </w:tcPr>
          <w:p w14:paraId="1DA5B15B">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外商投资类型</w:t>
            </w:r>
          </w:p>
        </w:tc>
        <w:tc>
          <w:tcPr>
            <w:tcW w:w="810" w:type="dxa"/>
            <w:noWrap w:val="0"/>
            <w:vAlign w:val="center"/>
          </w:tcPr>
          <w:p w14:paraId="76398A57">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品牌</w:t>
            </w:r>
          </w:p>
        </w:tc>
        <w:tc>
          <w:tcPr>
            <w:tcW w:w="1243" w:type="dxa"/>
            <w:noWrap w:val="0"/>
            <w:vAlign w:val="center"/>
          </w:tcPr>
          <w:p w14:paraId="489655C9">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lang w:val="en-US" w:eastAsia="zh-CN"/>
              </w:rPr>
              <w:t>规格、</w:t>
            </w:r>
            <w:r>
              <w:rPr>
                <w:rFonts w:hint="eastAsia" w:ascii="宋体" w:hAnsi="宋体" w:eastAsia="宋体" w:cs="宋体"/>
                <w:b w:val="0"/>
                <w:bCs/>
                <w:color w:val="auto"/>
                <w:sz w:val="21"/>
                <w:szCs w:val="21"/>
                <w:highlight w:val="none"/>
              </w:rPr>
              <w:t>型号</w:t>
            </w:r>
          </w:p>
        </w:tc>
        <w:tc>
          <w:tcPr>
            <w:tcW w:w="963" w:type="dxa"/>
            <w:noWrap w:val="0"/>
            <w:vAlign w:val="center"/>
          </w:tcPr>
          <w:p w14:paraId="14D86560">
            <w:pPr>
              <w:spacing w:line="24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单价</w:t>
            </w:r>
          </w:p>
          <w:p w14:paraId="6913DB88">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（元）</w:t>
            </w:r>
          </w:p>
        </w:tc>
        <w:tc>
          <w:tcPr>
            <w:tcW w:w="866" w:type="dxa"/>
            <w:noWrap w:val="0"/>
            <w:vAlign w:val="center"/>
          </w:tcPr>
          <w:p w14:paraId="3440AF9C">
            <w:pPr>
              <w:keepNext w:val="0"/>
              <w:keepLines w:val="0"/>
              <w:pageBreakBefore w:val="0"/>
              <w:widowControl w:val="0"/>
              <w:bidi w:val="0"/>
              <w:spacing w:line="240" w:lineRule="auto"/>
              <w:jc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单位</w:t>
            </w:r>
          </w:p>
        </w:tc>
        <w:tc>
          <w:tcPr>
            <w:tcW w:w="866" w:type="dxa"/>
            <w:noWrap w:val="0"/>
            <w:vAlign w:val="center"/>
          </w:tcPr>
          <w:p w14:paraId="631C9786">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数量</w:t>
            </w:r>
          </w:p>
        </w:tc>
        <w:tc>
          <w:tcPr>
            <w:tcW w:w="1024" w:type="dxa"/>
            <w:noWrap w:val="0"/>
            <w:vAlign w:val="center"/>
          </w:tcPr>
          <w:p w14:paraId="78C97B68">
            <w:pPr>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合价</w:t>
            </w:r>
          </w:p>
          <w:p w14:paraId="3C539774">
            <w:pPr>
              <w:keepNext w:val="0"/>
              <w:keepLines w:val="0"/>
              <w:pageBreakBefore w:val="0"/>
              <w:widowControl w:val="0"/>
              <w:bidi w:val="0"/>
              <w:spacing w:line="240" w:lineRule="auto"/>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rPr>
              <w:t>（元）</w:t>
            </w:r>
          </w:p>
        </w:tc>
      </w:tr>
      <w:tr w14:paraId="5BC3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74DA894A">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1</w:t>
            </w:r>
          </w:p>
        </w:tc>
        <w:tc>
          <w:tcPr>
            <w:tcW w:w="1000" w:type="dxa"/>
            <w:noWrap w:val="0"/>
            <w:vAlign w:val="center"/>
          </w:tcPr>
          <w:p w14:paraId="0715E45C">
            <w:pPr>
              <w:jc w:val="center"/>
              <w:rPr>
                <w:rFonts w:hint="eastAsia" w:ascii="宋体" w:hAnsi="宋体" w:eastAsia="宋体" w:cs="宋体"/>
                <w:b w:val="0"/>
                <w:bCs/>
                <w:color w:val="auto"/>
                <w:sz w:val="21"/>
                <w:szCs w:val="21"/>
                <w:highlight w:val="none"/>
                <w:u w:val="none"/>
                <w:vertAlign w:val="baseline"/>
                <w:lang w:val="zh-CN"/>
              </w:rPr>
            </w:pPr>
          </w:p>
        </w:tc>
        <w:tc>
          <w:tcPr>
            <w:tcW w:w="1001" w:type="dxa"/>
            <w:noWrap w:val="0"/>
            <w:vAlign w:val="center"/>
          </w:tcPr>
          <w:p w14:paraId="59230860">
            <w:pPr>
              <w:jc w:val="center"/>
              <w:rPr>
                <w:rFonts w:hint="eastAsia" w:ascii="宋体" w:hAnsi="宋体" w:eastAsia="宋体" w:cs="宋体"/>
                <w:b w:val="0"/>
                <w:bCs/>
                <w:color w:val="auto"/>
                <w:sz w:val="21"/>
                <w:szCs w:val="21"/>
                <w:highlight w:val="none"/>
                <w:u w:val="none"/>
                <w:vertAlign w:val="baseline"/>
                <w:lang w:val="zh-CN"/>
              </w:rPr>
            </w:pPr>
          </w:p>
        </w:tc>
        <w:tc>
          <w:tcPr>
            <w:tcW w:w="976" w:type="dxa"/>
            <w:noWrap w:val="0"/>
            <w:vAlign w:val="center"/>
          </w:tcPr>
          <w:p w14:paraId="7A22306D">
            <w:pPr>
              <w:jc w:val="center"/>
              <w:rPr>
                <w:rFonts w:hint="eastAsia" w:ascii="宋体" w:hAnsi="宋体" w:eastAsia="宋体" w:cs="宋体"/>
                <w:b w:val="0"/>
                <w:bCs/>
                <w:color w:val="auto"/>
                <w:sz w:val="21"/>
                <w:szCs w:val="21"/>
                <w:highlight w:val="none"/>
                <w:u w:val="none"/>
                <w:vertAlign w:val="baseline"/>
                <w:lang w:val="zh-CN"/>
              </w:rPr>
            </w:pPr>
          </w:p>
        </w:tc>
        <w:tc>
          <w:tcPr>
            <w:tcW w:w="1298" w:type="dxa"/>
            <w:noWrap w:val="0"/>
            <w:vAlign w:val="center"/>
          </w:tcPr>
          <w:p w14:paraId="3F8B3FDF">
            <w:pPr>
              <w:jc w:val="center"/>
              <w:rPr>
                <w:rFonts w:hint="eastAsia" w:ascii="宋体" w:hAnsi="宋体" w:eastAsia="宋体" w:cs="宋体"/>
                <w:b w:val="0"/>
                <w:bCs/>
                <w:color w:val="auto"/>
                <w:sz w:val="21"/>
                <w:szCs w:val="21"/>
                <w:highlight w:val="none"/>
                <w:u w:val="none"/>
                <w:vertAlign w:val="baseline"/>
                <w:lang w:val="zh-CN"/>
              </w:rPr>
            </w:pPr>
          </w:p>
        </w:tc>
        <w:tc>
          <w:tcPr>
            <w:tcW w:w="946" w:type="dxa"/>
            <w:noWrap w:val="0"/>
            <w:vAlign w:val="center"/>
          </w:tcPr>
          <w:p w14:paraId="7891D4A1">
            <w:pPr>
              <w:jc w:val="center"/>
              <w:rPr>
                <w:rFonts w:hint="eastAsia" w:ascii="宋体" w:hAnsi="宋体" w:eastAsia="宋体" w:cs="宋体"/>
                <w:b w:val="0"/>
                <w:bCs/>
                <w:color w:val="auto"/>
                <w:sz w:val="21"/>
                <w:szCs w:val="21"/>
                <w:highlight w:val="none"/>
                <w:u w:val="none"/>
                <w:vertAlign w:val="baseline"/>
                <w:lang w:val="zh-CN"/>
              </w:rPr>
            </w:pPr>
          </w:p>
        </w:tc>
        <w:tc>
          <w:tcPr>
            <w:tcW w:w="1374" w:type="dxa"/>
            <w:noWrap w:val="0"/>
            <w:vAlign w:val="center"/>
          </w:tcPr>
          <w:p w14:paraId="3352273D">
            <w:pPr>
              <w:jc w:val="center"/>
              <w:rPr>
                <w:rFonts w:hint="eastAsia" w:ascii="宋体" w:hAnsi="宋体" w:eastAsia="宋体" w:cs="宋体"/>
                <w:b w:val="0"/>
                <w:bCs/>
                <w:color w:val="auto"/>
                <w:sz w:val="21"/>
                <w:szCs w:val="21"/>
                <w:highlight w:val="none"/>
                <w:u w:val="none"/>
                <w:vertAlign w:val="baseline"/>
                <w:lang w:val="zh-CN"/>
              </w:rPr>
            </w:pPr>
          </w:p>
        </w:tc>
        <w:tc>
          <w:tcPr>
            <w:tcW w:w="962" w:type="dxa"/>
            <w:noWrap w:val="0"/>
            <w:vAlign w:val="center"/>
          </w:tcPr>
          <w:p w14:paraId="254E2207">
            <w:pPr>
              <w:jc w:val="center"/>
              <w:rPr>
                <w:rFonts w:hint="eastAsia" w:ascii="宋体" w:hAnsi="宋体" w:eastAsia="宋体" w:cs="宋体"/>
                <w:b w:val="0"/>
                <w:bCs/>
                <w:color w:val="auto"/>
                <w:sz w:val="21"/>
                <w:szCs w:val="21"/>
                <w:highlight w:val="none"/>
                <w:u w:val="none"/>
                <w:vertAlign w:val="baseline"/>
                <w:lang w:val="zh-CN"/>
              </w:rPr>
            </w:pPr>
          </w:p>
        </w:tc>
        <w:tc>
          <w:tcPr>
            <w:tcW w:w="810" w:type="dxa"/>
            <w:noWrap w:val="0"/>
            <w:vAlign w:val="center"/>
          </w:tcPr>
          <w:p w14:paraId="590C2483">
            <w:pPr>
              <w:jc w:val="center"/>
              <w:rPr>
                <w:rFonts w:hint="eastAsia" w:ascii="宋体" w:hAnsi="宋体" w:eastAsia="宋体" w:cs="宋体"/>
                <w:b w:val="0"/>
                <w:bCs/>
                <w:color w:val="auto"/>
                <w:sz w:val="21"/>
                <w:szCs w:val="21"/>
                <w:highlight w:val="none"/>
                <w:u w:val="none"/>
                <w:vertAlign w:val="baseline"/>
                <w:lang w:val="zh-CN"/>
              </w:rPr>
            </w:pPr>
          </w:p>
        </w:tc>
        <w:tc>
          <w:tcPr>
            <w:tcW w:w="1243" w:type="dxa"/>
            <w:noWrap w:val="0"/>
            <w:vAlign w:val="center"/>
          </w:tcPr>
          <w:p w14:paraId="2D181A55">
            <w:pPr>
              <w:jc w:val="center"/>
              <w:rPr>
                <w:rFonts w:hint="eastAsia" w:ascii="宋体" w:hAnsi="宋体" w:eastAsia="宋体" w:cs="宋体"/>
                <w:b w:val="0"/>
                <w:bCs/>
                <w:color w:val="auto"/>
                <w:sz w:val="21"/>
                <w:szCs w:val="21"/>
                <w:highlight w:val="none"/>
                <w:u w:val="none"/>
                <w:vertAlign w:val="baseline"/>
                <w:lang w:val="zh-CN"/>
              </w:rPr>
            </w:pPr>
          </w:p>
        </w:tc>
        <w:tc>
          <w:tcPr>
            <w:tcW w:w="963" w:type="dxa"/>
            <w:noWrap w:val="0"/>
            <w:vAlign w:val="center"/>
          </w:tcPr>
          <w:p w14:paraId="238B3209">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0A1177C5">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3E8A7F6F">
            <w:pPr>
              <w:jc w:val="center"/>
              <w:rPr>
                <w:rFonts w:hint="eastAsia" w:ascii="宋体" w:hAnsi="宋体" w:eastAsia="宋体" w:cs="宋体"/>
                <w:b w:val="0"/>
                <w:bCs/>
                <w:color w:val="auto"/>
                <w:sz w:val="21"/>
                <w:szCs w:val="21"/>
                <w:highlight w:val="none"/>
                <w:u w:val="none"/>
                <w:vertAlign w:val="baseline"/>
                <w:lang w:val="zh-CN"/>
              </w:rPr>
            </w:pPr>
          </w:p>
        </w:tc>
        <w:tc>
          <w:tcPr>
            <w:tcW w:w="1024" w:type="dxa"/>
            <w:noWrap w:val="0"/>
            <w:vAlign w:val="center"/>
          </w:tcPr>
          <w:p w14:paraId="7513FD0F">
            <w:pPr>
              <w:jc w:val="center"/>
              <w:rPr>
                <w:rFonts w:hint="eastAsia" w:ascii="宋体" w:hAnsi="宋体" w:eastAsia="宋体" w:cs="宋体"/>
                <w:b w:val="0"/>
                <w:bCs/>
                <w:color w:val="auto"/>
                <w:sz w:val="21"/>
                <w:szCs w:val="21"/>
                <w:highlight w:val="none"/>
                <w:u w:val="none"/>
                <w:vertAlign w:val="baseline"/>
                <w:lang w:val="zh-CN"/>
              </w:rPr>
            </w:pPr>
          </w:p>
        </w:tc>
      </w:tr>
      <w:tr w14:paraId="5507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661EED3B">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2</w:t>
            </w:r>
          </w:p>
        </w:tc>
        <w:tc>
          <w:tcPr>
            <w:tcW w:w="1000" w:type="dxa"/>
            <w:noWrap w:val="0"/>
            <w:vAlign w:val="center"/>
          </w:tcPr>
          <w:p w14:paraId="68DEEBFD">
            <w:pPr>
              <w:jc w:val="center"/>
              <w:rPr>
                <w:rFonts w:hint="eastAsia" w:ascii="宋体" w:hAnsi="宋体" w:eastAsia="宋体" w:cs="宋体"/>
                <w:b w:val="0"/>
                <w:bCs/>
                <w:color w:val="auto"/>
                <w:sz w:val="21"/>
                <w:szCs w:val="21"/>
                <w:highlight w:val="none"/>
                <w:u w:val="none"/>
                <w:vertAlign w:val="baseline"/>
                <w:lang w:val="zh-CN"/>
              </w:rPr>
            </w:pPr>
          </w:p>
        </w:tc>
        <w:tc>
          <w:tcPr>
            <w:tcW w:w="1001" w:type="dxa"/>
            <w:noWrap w:val="0"/>
            <w:vAlign w:val="center"/>
          </w:tcPr>
          <w:p w14:paraId="3930248D">
            <w:pPr>
              <w:jc w:val="center"/>
              <w:rPr>
                <w:rFonts w:hint="eastAsia" w:ascii="宋体" w:hAnsi="宋体" w:eastAsia="宋体" w:cs="宋体"/>
                <w:b w:val="0"/>
                <w:bCs/>
                <w:color w:val="auto"/>
                <w:sz w:val="21"/>
                <w:szCs w:val="21"/>
                <w:highlight w:val="none"/>
                <w:u w:val="none"/>
                <w:vertAlign w:val="baseline"/>
                <w:lang w:val="zh-CN"/>
              </w:rPr>
            </w:pPr>
          </w:p>
        </w:tc>
        <w:tc>
          <w:tcPr>
            <w:tcW w:w="976" w:type="dxa"/>
            <w:noWrap w:val="0"/>
            <w:vAlign w:val="center"/>
          </w:tcPr>
          <w:p w14:paraId="62370338">
            <w:pPr>
              <w:jc w:val="center"/>
              <w:rPr>
                <w:rFonts w:hint="eastAsia" w:ascii="宋体" w:hAnsi="宋体" w:eastAsia="宋体" w:cs="宋体"/>
                <w:b w:val="0"/>
                <w:bCs/>
                <w:color w:val="auto"/>
                <w:sz w:val="21"/>
                <w:szCs w:val="21"/>
                <w:highlight w:val="none"/>
                <w:u w:val="none"/>
                <w:vertAlign w:val="baseline"/>
                <w:lang w:val="zh-CN"/>
              </w:rPr>
            </w:pPr>
          </w:p>
        </w:tc>
        <w:tc>
          <w:tcPr>
            <w:tcW w:w="1298" w:type="dxa"/>
            <w:noWrap w:val="0"/>
            <w:vAlign w:val="center"/>
          </w:tcPr>
          <w:p w14:paraId="39B06643">
            <w:pPr>
              <w:jc w:val="center"/>
              <w:rPr>
                <w:rFonts w:hint="eastAsia" w:ascii="宋体" w:hAnsi="宋体" w:eastAsia="宋体" w:cs="宋体"/>
                <w:b w:val="0"/>
                <w:bCs/>
                <w:color w:val="auto"/>
                <w:sz w:val="21"/>
                <w:szCs w:val="21"/>
                <w:highlight w:val="none"/>
                <w:u w:val="none"/>
                <w:vertAlign w:val="baseline"/>
                <w:lang w:val="zh-CN"/>
              </w:rPr>
            </w:pPr>
          </w:p>
        </w:tc>
        <w:tc>
          <w:tcPr>
            <w:tcW w:w="946" w:type="dxa"/>
            <w:noWrap w:val="0"/>
            <w:vAlign w:val="center"/>
          </w:tcPr>
          <w:p w14:paraId="45106795">
            <w:pPr>
              <w:jc w:val="center"/>
              <w:rPr>
                <w:rFonts w:hint="eastAsia" w:ascii="宋体" w:hAnsi="宋体" w:eastAsia="宋体" w:cs="宋体"/>
                <w:b w:val="0"/>
                <w:bCs/>
                <w:color w:val="auto"/>
                <w:sz w:val="21"/>
                <w:szCs w:val="21"/>
                <w:highlight w:val="none"/>
                <w:u w:val="none"/>
                <w:vertAlign w:val="baseline"/>
                <w:lang w:val="zh-CN"/>
              </w:rPr>
            </w:pPr>
          </w:p>
        </w:tc>
        <w:tc>
          <w:tcPr>
            <w:tcW w:w="1374" w:type="dxa"/>
            <w:noWrap w:val="0"/>
            <w:vAlign w:val="center"/>
          </w:tcPr>
          <w:p w14:paraId="3D9DA375">
            <w:pPr>
              <w:jc w:val="center"/>
              <w:rPr>
                <w:rFonts w:hint="eastAsia" w:ascii="宋体" w:hAnsi="宋体" w:eastAsia="宋体" w:cs="宋体"/>
                <w:b w:val="0"/>
                <w:bCs/>
                <w:color w:val="auto"/>
                <w:sz w:val="21"/>
                <w:szCs w:val="21"/>
                <w:highlight w:val="none"/>
                <w:u w:val="none"/>
                <w:vertAlign w:val="baseline"/>
                <w:lang w:val="zh-CN"/>
              </w:rPr>
            </w:pPr>
          </w:p>
        </w:tc>
        <w:tc>
          <w:tcPr>
            <w:tcW w:w="962" w:type="dxa"/>
            <w:noWrap w:val="0"/>
            <w:vAlign w:val="center"/>
          </w:tcPr>
          <w:p w14:paraId="48B68E07">
            <w:pPr>
              <w:jc w:val="center"/>
              <w:rPr>
                <w:rFonts w:hint="eastAsia" w:ascii="宋体" w:hAnsi="宋体" w:eastAsia="宋体" w:cs="宋体"/>
                <w:b w:val="0"/>
                <w:bCs/>
                <w:color w:val="auto"/>
                <w:sz w:val="21"/>
                <w:szCs w:val="21"/>
                <w:highlight w:val="none"/>
                <w:u w:val="none"/>
                <w:vertAlign w:val="baseline"/>
                <w:lang w:val="zh-CN"/>
              </w:rPr>
            </w:pPr>
          </w:p>
        </w:tc>
        <w:tc>
          <w:tcPr>
            <w:tcW w:w="810" w:type="dxa"/>
            <w:noWrap w:val="0"/>
            <w:vAlign w:val="center"/>
          </w:tcPr>
          <w:p w14:paraId="199F8D08">
            <w:pPr>
              <w:jc w:val="center"/>
              <w:rPr>
                <w:rFonts w:hint="eastAsia" w:ascii="宋体" w:hAnsi="宋体" w:eastAsia="宋体" w:cs="宋体"/>
                <w:b w:val="0"/>
                <w:bCs/>
                <w:color w:val="auto"/>
                <w:sz w:val="21"/>
                <w:szCs w:val="21"/>
                <w:highlight w:val="none"/>
                <w:u w:val="none"/>
                <w:vertAlign w:val="baseline"/>
                <w:lang w:val="zh-CN"/>
              </w:rPr>
            </w:pPr>
          </w:p>
        </w:tc>
        <w:tc>
          <w:tcPr>
            <w:tcW w:w="1243" w:type="dxa"/>
            <w:noWrap w:val="0"/>
            <w:vAlign w:val="center"/>
          </w:tcPr>
          <w:p w14:paraId="6878590B">
            <w:pPr>
              <w:jc w:val="center"/>
              <w:rPr>
                <w:rFonts w:hint="eastAsia" w:ascii="宋体" w:hAnsi="宋体" w:eastAsia="宋体" w:cs="宋体"/>
                <w:b w:val="0"/>
                <w:bCs/>
                <w:color w:val="auto"/>
                <w:sz w:val="21"/>
                <w:szCs w:val="21"/>
                <w:highlight w:val="none"/>
                <w:u w:val="none"/>
                <w:vertAlign w:val="baseline"/>
                <w:lang w:val="zh-CN"/>
              </w:rPr>
            </w:pPr>
          </w:p>
        </w:tc>
        <w:tc>
          <w:tcPr>
            <w:tcW w:w="963" w:type="dxa"/>
            <w:noWrap w:val="0"/>
            <w:vAlign w:val="center"/>
          </w:tcPr>
          <w:p w14:paraId="31575C26">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5A3A1BFD">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7C69AAA0">
            <w:pPr>
              <w:jc w:val="center"/>
              <w:rPr>
                <w:rFonts w:hint="eastAsia" w:ascii="宋体" w:hAnsi="宋体" w:eastAsia="宋体" w:cs="宋体"/>
                <w:b w:val="0"/>
                <w:bCs/>
                <w:color w:val="auto"/>
                <w:sz w:val="21"/>
                <w:szCs w:val="21"/>
                <w:highlight w:val="none"/>
                <w:u w:val="none"/>
                <w:vertAlign w:val="baseline"/>
                <w:lang w:val="zh-CN"/>
              </w:rPr>
            </w:pPr>
          </w:p>
        </w:tc>
        <w:tc>
          <w:tcPr>
            <w:tcW w:w="1024" w:type="dxa"/>
            <w:noWrap w:val="0"/>
            <w:vAlign w:val="center"/>
          </w:tcPr>
          <w:p w14:paraId="095DC8AA">
            <w:pPr>
              <w:jc w:val="center"/>
              <w:rPr>
                <w:rFonts w:hint="eastAsia" w:ascii="宋体" w:hAnsi="宋体" w:eastAsia="宋体" w:cs="宋体"/>
                <w:b w:val="0"/>
                <w:bCs/>
                <w:color w:val="auto"/>
                <w:sz w:val="21"/>
                <w:szCs w:val="21"/>
                <w:highlight w:val="none"/>
                <w:u w:val="none"/>
                <w:vertAlign w:val="baseline"/>
                <w:lang w:val="zh-CN"/>
              </w:rPr>
            </w:pPr>
          </w:p>
        </w:tc>
      </w:tr>
      <w:tr w14:paraId="132F9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0198C1C1">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3</w:t>
            </w:r>
          </w:p>
        </w:tc>
        <w:tc>
          <w:tcPr>
            <w:tcW w:w="1000" w:type="dxa"/>
            <w:noWrap w:val="0"/>
            <w:vAlign w:val="center"/>
          </w:tcPr>
          <w:p w14:paraId="6A220C0C">
            <w:pPr>
              <w:jc w:val="center"/>
              <w:rPr>
                <w:rFonts w:hint="eastAsia" w:ascii="宋体" w:hAnsi="宋体" w:eastAsia="宋体" w:cs="宋体"/>
                <w:b w:val="0"/>
                <w:bCs/>
                <w:color w:val="auto"/>
                <w:sz w:val="21"/>
                <w:szCs w:val="21"/>
                <w:highlight w:val="none"/>
                <w:u w:val="none"/>
                <w:vertAlign w:val="baseline"/>
                <w:lang w:val="zh-CN"/>
              </w:rPr>
            </w:pPr>
          </w:p>
        </w:tc>
        <w:tc>
          <w:tcPr>
            <w:tcW w:w="1001" w:type="dxa"/>
            <w:noWrap w:val="0"/>
            <w:vAlign w:val="center"/>
          </w:tcPr>
          <w:p w14:paraId="380EDC42">
            <w:pPr>
              <w:jc w:val="center"/>
              <w:rPr>
                <w:rFonts w:hint="eastAsia" w:ascii="宋体" w:hAnsi="宋体" w:eastAsia="宋体" w:cs="宋体"/>
                <w:b w:val="0"/>
                <w:bCs/>
                <w:color w:val="auto"/>
                <w:sz w:val="21"/>
                <w:szCs w:val="21"/>
                <w:highlight w:val="none"/>
                <w:u w:val="none"/>
                <w:vertAlign w:val="baseline"/>
                <w:lang w:val="zh-CN"/>
              </w:rPr>
            </w:pPr>
          </w:p>
        </w:tc>
        <w:tc>
          <w:tcPr>
            <w:tcW w:w="976" w:type="dxa"/>
            <w:noWrap w:val="0"/>
            <w:vAlign w:val="center"/>
          </w:tcPr>
          <w:p w14:paraId="62C45074">
            <w:pPr>
              <w:jc w:val="center"/>
              <w:rPr>
                <w:rFonts w:hint="eastAsia" w:ascii="宋体" w:hAnsi="宋体" w:eastAsia="宋体" w:cs="宋体"/>
                <w:b w:val="0"/>
                <w:bCs/>
                <w:color w:val="auto"/>
                <w:sz w:val="21"/>
                <w:szCs w:val="21"/>
                <w:highlight w:val="none"/>
                <w:u w:val="none"/>
                <w:vertAlign w:val="baseline"/>
                <w:lang w:val="zh-CN"/>
              </w:rPr>
            </w:pPr>
          </w:p>
        </w:tc>
        <w:tc>
          <w:tcPr>
            <w:tcW w:w="1298" w:type="dxa"/>
            <w:noWrap w:val="0"/>
            <w:vAlign w:val="center"/>
          </w:tcPr>
          <w:p w14:paraId="32812F0D">
            <w:pPr>
              <w:jc w:val="center"/>
              <w:rPr>
                <w:rFonts w:hint="eastAsia" w:ascii="宋体" w:hAnsi="宋体" w:eastAsia="宋体" w:cs="宋体"/>
                <w:b w:val="0"/>
                <w:bCs/>
                <w:color w:val="auto"/>
                <w:sz w:val="21"/>
                <w:szCs w:val="21"/>
                <w:highlight w:val="none"/>
                <w:u w:val="none"/>
                <w:vertAlign w:val="baseline"/>
                <w:lang w:val="zh-CN"/>
              </w:rPr>
            </w:pPr>
          </w:p>
        </w:tc>
        <w:tc>
          <w:tcPr>
            <w:tcW w:w="946" w:type="dxa"/>
            <w:noWrap w:val="0"/>
            <w:vAlign w:val="center"/>
          </w:tcPr>
          <w:p w14:paraId="77B5C3CB">
            <w:pPr>
              <w:jc w:val="center"/>
              <w:rPr>
                <w:rFonts w:hint="eastAsia" w:ascii="宋体" w:hAnsi="宋体" w:eastAsia="宋体" w:cs="宋体"/>
                <w:b w:val="0"/>
                <w:bCs/>
                <w:color w:val="auto"/>
                <w:sz w:val="21"/>
                <w:szCs w:val="21"/>
                <w:highlight w:val="none"/>
                <w:u w:val="none"/>
                <w:vertAlign w:val="baseline"/>
                <w:lang w:val="zh-CN"/>
              </w:rPr>
            </w:pPr>
          </w:p>
        </w:tc>
        <w:tc>
          <w:tcPr>
            <w:tcW w:w="1374" w:type="dxa"/>
            <w:noWrap w:val="0"/>
            <w:vAlign w:val="center"/>
          </w:tcPr>
          <w:p w14:paraId="46541F59">
            <w:pPr>
              <w:jc w:val="center"/>
              <w:rPr>
                <w:rFonts w:hint="eastAsia" w:ascii="宋体" w:hAnsi="宋体" w:eastAsia="宋体" w:cs="宋体"/>
                <w:b w:val="0"/>
                <w:bCs/>
                <w:color w:val="auto"/>
                <w:sz w:val="21"/>
                <w:szCs w:val="21"/>
                <w:highlight w:val="none"/>
                <w:u w:val="none"/>
                <w:vertAlign w:val="baseline"/>
                <w:lang w:val="zh-CN"/>
              </w:rPr>
            </w:pPr>
          </w:p>
        </w:tc>
        <w:tc>
          <w:tcPr>
            <w:tcW w:w="962" w:type="dxa"/>
            <w:noWrap w:val="0"/>
            <w:vAlign w:val="center"/>
          </w:tcPr>
          <w:p w14:paraId="618D060A">
            <w:pPr>
              <w:jc w:val="center"/>
              <w:rPr>
                <w:rFonts w:hint="eastAsia" w:ascii="宋体" w:hAnsi="宋体" w:eastAsia="宋体" w:cs="宋体"/>
                <w:b w:val="0"/>
                <w:bCs/>
                <w:color w:val="auto"/>
                <w:sz w:val="21"/>
                <w:szCs w:val="21"/>
                <w:highlight w:val="none"/>
                <w:u w:val="none"/>
                <w:vertAlign w:val="baseline"/>
                <w:lang w:val="zh-CN"/>
              </w:rPr>
            </w:pPr>
          </w:p>
        </w:tc>
        <w:tc>
          <w:tcPr>
            <w:tcW w:w="810" w:type="dxa"/>
            <w:noWrap w:val="0"/>
            <w:vAlign w:val="center"/>
          </w:tcPr>
          <w:p w14:paraId="346D50E0">
            <w:pPr>
              <w:jc w:val="center"/>
              <w:rPr>
                <w:rFonts w:hint="eastAsia" w:ascii="宋体" w:hAnsi="宋体" w:eastAsia="宋体" w:cs="宋体"/>
                <w:b w:val="0"/>
                <w:bCs/>
                <w:color w:val="auto"/>
                <w:sz w:val="21"/>
                <w:szCs w:val="21"/>
                <w:highlight w:val="none"/>
                <w:u w:val="none"/>
                <w:vertAlign w:val="baseline"/>
                <w:lang w:val="zh-CN"/>
              </w:rPr>
            </w:pPr>
          </w:p>
        </w:tc>
        <w:tc>
          <w:tcPr>
            <w:tcW w:w="1243" w:type="dxa"/>
            <w:noWrap w:val="0"/>
            <w:vAlign w:val="center"/>
          </w:tcPr>
          <w:p w14:paraId="4CFCD189">
            <w:pPr>
              <w:jc w:val="center"/>
              <w:rPr>
                <w:rFonts w:hint="eastAsia" w:ascii="宋体" w:hAnsi="宋体" w:eastAsia="宋体" w:cs="宋体"/>
                <w:b w:val="0"/>
                <w:bCs/>
                <w:color w:val="auto"/>
                <w:sz w:val="21"/>
                <w:szCs w:val="21"/>
                <w:highlight w:val="none"/>
                <w:u w:val="none"/>
                <w:vertAlign w:val="baseline"/>
                <w:lang w:val="zh-CN"/>
              </w:rPr>
            </w:pPr>
          </w:p>
        </w:tc>
        <w:tc>
          <w:tcPr>
            <w:tcW w:w="963" w:type="dxa"/>
            <w:noWrap w:val="0"/>
            <w:vAlign w:val="center"/>
          </w:tcPr>
          <w:p w14:paraId="7F70487E">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4909D64A">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1093CCEE">
            <w:pPr>
              <w:jc w:val="center"/>
              <w:rPr>
                <w:rFonts w:hint="eastAsia" w:ascii="宋体" w:hAnsi="宋体" w:eastAsia="宋体" w:cs="宋体"/>
                <w:b w:val="0"/>
                <w:bCs/>
                <w:color w:val="auto"/>
                <w:sz w:val="21"/>
                <w:szCs w:val="21"/>
                <w:highlight w:val="none"/>
                <w:u w:val="none"/>
                <w:vertAlign w:val="baseline"/>
                <w:lang w:val="zh-CN"/>
              </w:rPr>
            </w:pPr>
          </w:p>
        </w:tc>
        <w:tc>
          <w:tcPr>
            <w:tcW w:w="1024" w:type="dxa"/>
            <w:noWrap w:val="0"/>
            <w:vAlign w:val="center"/>
          </w:tcPr>
          <w:p w14:paraId="08B652B3">
            <w:pPr>
              <w:jc w:val="center"/>
              <w:rPr>
                <w:rFonts w:hint="eastAsia" w:ascii="宋体" w:hAnsi="宋体" w:eastAsia="宋体" w:cs="宋体"/>
                <w:b w:val="0"/>
                <w:bCs/>
                <w:color w:val="auto"/>
                <w:sz w:val="21"/>
                <w:szCs w:val="21"/>
                <w:highlight w:val="none"/>
                <w:u w:val="none"/>
                <w:vertAlign w:val="baseline"/>
                <w:lang w:val="zh-CN"/>
              </w:rPr>
            </w:pPr>
          </w:p>
        </w:tc>
      </w:tr>
      <w:tr w14:paraId="65868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2479E9EE">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4</w:t>
            </w:r>
          </w:p>
        </w:tc>
        <w:tc>
          <w:tcPr>
            <w:tcW w:w="1000" w:type="dxa"/>
            <w:noWrap w:val="0"/>
            <w:vAlign w:val="center"/>
          </w:tcPr>
          <w:p w14:paraId="30F402BF">
            <w:pPr>
              <w:jc w:val="center"/>
              <w:rPr>
                <w:rFonts w:hint="eastAsia" w:ascii="宋体" w:hAnsi="宋体" w:eastAsia="宋体" w:cs="宋体"/>
                <w:b w:val="0"/>
                <w:bCs/>
                <w:color w:val="auto"/>
                <w:sz w:val="21"/>
                <w:szCs w:val="21"/>
                <w:highlight w:val="none"/>
                <w:u w:val="none"/>
                <w:vertAlign w:val="baseline"/>
                <w:lang w:val="zh-CN"/>
              </w:rPr>
            </w:pPr>
          </w:p>
        </w:tc>
        <w:tc>
          <w:tcPr>
            <w:tcW w:w="1001" w:type="dxa"/>
            <w:noWrap w:val="0"/>
            <w:vAlign w:val="center"/>
          </w:tcPr>
          <w:p w14:paraId="7EB2DCD3">
            <w:pPr>
              <w:jc w:val="center"/>
              <w:rPr>
                <w:rFonts w:hint="eastAsia" w:ascii="宋体" w:hAnsi="宋体" w:eastAsia="宋体" w:cs="宋体"/>
                <w:b w:val="0"/>
                <w:bCs/>
                <w:color w:val="auto"/>
                <w:sz w:val="21"/>
                <w:szCs w:val="21"/>
                <w:highlight w:val="none"/>
                <w:u w:val="none"/>
                <w:vertAlign w:val="baseline"/>
                <w:lang w:val="zh-CN"/>
              </w:rPr>
            </w:pPr>
          </w:p>
        </w:tc>
        <w:tc>
          <w:tcPr>
            <w:tcW w:w="976" w:type="dxa"/>
            <w:noWrap w:val="0"/>
            <w:vAlign w:val="center"/>
          </w:tcPr>
          <w:p w14:paraId="6D0462DF">
            <w:pPr>
              <w:jc w:val="center"/>
              <w:rPr>
                <w:rFonts w:hint="eastAsia" w:ascii="宋体" w:hAnsi="宋体" w:eastAsia="宋体" w:cs="宋体"/>
                <w:b w:val="0"/>
                <w:bCs/>
                <w:color w:val="auto"/>
                <w:sz w:val="21"/>
                <w:szCs w:val="21"/>
                <w:highlight w:val="none"/>
                <w:u w:val="none"/>
                <w:vertAlign w:val="baseline"/>
                <w:lang w:val="zh-CN"/>
              </w:rPr>
            </w:pPr>
          </w:p>
        </w:tc>
        <w:tc>
          <w:tcPr>
            <w:tcW w:w="1298" w:type="dxa"/>
            <w:noWrap w:val="0"/>
            <w:vAlign w:val="center"/>
          </w:tcPr>
          <w:p w14:paraId="3A3EF13F">
            <w:pPr>
              <w:jc w:val="center"/>
              <w:rPr>
                <w:rFonts w:hint="eastAsia" w:ascii="宋体" w:hAnsi="宋体" w:eastAsia="宋体" w:cs="宋体"/>
                <w:b w:val="0"/>
                <w:bCs/>
                <w:color w:val="auto"/>
                <w:sz w:val="21"/>
                <w:szCs w:val="21"/>
                <w:highlight w:val="none"/>
                <w:u w:val="none"/>
                <w:vertAlign w:val="baseline"/>
                <w:lang w:val="zh-CN"/>
              </w:rPr>
            </w:pPr>
          </w:p>
        </w:tc>
        <w:tc>
          <w:tcPr>
            <w:tcW w:w="946" w:type="dxa"/>
            <w:noWrap w:val="0"/>
            <w:vAlign w:val="center"/>
          </w:tcPr>
          <w:p w14:paraId="07013CEA">
            <w:pPr>
              <w:jc w:val="center"/>
              <w:rPr>
                <w:rFonts w:hint="eastAsia" w:ascii="宋体" w:hAnsi="宋体" w:eastAsia="宋体" w:cs="宋体"/>
                <w:b w:val="0"/>
                <w:bCs/>
                <w:color w:val="auto"/>
                <w:sz w:val="21"/>
                <w:szCs w:val="21"/>
                <w:highlight w:val="none"/>
                <w:u w:val="none"/>
                <w:vertAlign w:val="baseline"/>
                <w:lang w:val="zh-CN"/>
              </w:rPr>
            </w:pPr>
          </w:p>
        </w:tc>
        <w:tc>
          <w:tcPr>
            <w:tcW w:w="1374" w:type="dxa"/>
            <w:noWrap w:val="0"/>
            <w:vAlign w:val="center"/>
          </w:tcPr>
          <w:p w14:paraId="4C524330">
            <w:pPr>
              <w:jc w:val="center"/>
              <w:rPr>
                <w:rFonts w:hint="eastAsia" w:ascii="宋体" w:hAnsi="宋体" w:eastAsia="宋体" w:cs="宋体"/>
                <w:b w:val="0"/>
                <w:bCs/>
                <w:color w:val="auto"/>
                <w:sz w:val="21"/>
                <w:szCs w:val="21"/>
                <w:highlight w:val="none"/>
                <w:u w:val="none"/>
                <w:vertAlign w:val="baseline"/>
                <w:lang w:val="zh-CN"/>
              </w:rPr>
            </w:pPr>
          </w:p>
        </w:tc>
        <w:tc>
          <w:tcPr>
            <w:tcW w:w="962" w:type="dxa"/>
            <w:noWrap w:val="0"/>
            <w:vAlign w:val="center"/>
          </w:tcPr>
          <w:p w14:paraId="73E9F3FA">
            <w:pPr>
              <w:jc w:val="center"/>
              <w:rPr>
                <w:rFonts w:hint="eastAsia" w:ascii="宋体" w:hAnsi="宋体" w:eastAsia="宋体" w:cs="宋体"/>
                <w:b w:val="0"/>
                <w:bCs/>
                <w:color w:val="auto"/>
                <w:sz w:val="21"/>
                <w:szCs w:val="21"/>
                <w:highlight w:val="none"/>
                <w:u w:val="none"/>
                <w:vertAlign w:val="baseline"/>
                <w:lang w:val="zh-CN"/>
              </w:rPr>
            </w:pPr>
          </w:p>
        </w:tc>
        <w:tc>
          <w:tcPr>
            <w:tcW w:w="810" w:type="dxa"/>
            <w:noWrap w:val="0"/>
            <w:vAlign w:val="center"/>
          </w:tcPr>
          <w:p w14:paraId="68816164">
            <w:pPr>
              <w:jc w:val="center"/>
              <w:rPr>
                <w:rFonts w:hint="eastAsia" w:ascii="宋体" w:hAnsi="宋体" w:eastAsia="宋体" w:cs="宋体"/>
                <w:b w:val="0"/>
                <w:bCs/>
                <w:color w:val="auto"/>
                <w:sz w:val="21"/>
                <w:szCs w:val="21"/>
                <w:highlight w:val="none"/>
                <w:u w:val="none"/>
                <w:vertAlign w:val="baseline"/>
                <w:lang w:val="zh-CN"/>
              </w:rPr>
            </w:pPr>
          </w:p>
        </w:tc>
        <w:tc>
          <w:tcPr>
            <w:tcW w:w="1243" w:type="dxa"/>
            <w:noWrap w:val="0"/>
            <w:vAlign w:val="center"/>
          </w:tcPr>
          <w:p w14:paraId="0E0BB943">
            <w:pPr>
              <w:jc w:val="center"/>
              <w:rPr>
                <w:rFonts w:hint="eastAsia" w:ascii="宋体" w:hAnsi="宋体" w:eastAsia="宋体" w:cs="宋体"/>
                <w:b w:val="0"/>
                <w:bCs/>
                <w:color w:val="auto"/>
                <w:sz w:val="21"/>
                <w:szCs w:val="21"/>
                <w:highlight w:val="none"/>
                <w:u w:val="none"/>
                <w:vertAlign w:val="baseline"/>
                <w:lang w:val="zh-CN"/>
              </w:rPr>
            </w:pPr>
          </w:p>
        </w:tc>
        <w:tc>
          <w:tcPr>
            <w:tcW w:w="963" w:type="dxa"/>
            <w:noWrap w:val="0"/>
            <w:vAlign w:val="center"/>
          </w:tcPr>
          <w:p w14:paraId="5AF62C8C">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6EE72797">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25D9BE46">
            <w:pPr>
              <w:jc w:val="center"/>
              <w:rPr>
                <w:rFonts w:hint="eastAsia" w:ascii="宋体" w:hAnsi="宋体" w:eastAsia="宋体" w:cs="宋体"/>
                <w:b w:val="0"/>
                <w:bCs/>
                <w:color w:val="auto"/>
                <w:sz w:val="21"/>
                <w:szCs w:val="21"/>
                <w:highlight w:val="none"/>
                <w:u w:val="none"/>
                <w:vertAlign w:val="baseline"/>
                <w:lang w:val="zh-CN"/>
              </w:rPr>
            </w:pPr>
          </w:p>
        </w:tc>
        <w:tc>
          <w:tcPr>
            <w:tcW w:w="1024" w:type="dxa"/>
            <w:noWrap w:val="0"/>
            <w:vAlign w:val="center"/>
          </w:tcPr>
          <w:p w14:paraId="11AB34F8">
            <w:pPr>
              <w:jc w:val="center"/>
              <w:rPr>
                <w:rFonts w:hint="eastAsia" w:ascii="宋体" w:hAnsi="宋体" w:eastAsia="宋体" w:cs="宋体"/>
                <w:b w:val="0"/>
                <w:bCs/>
                <w:color w:val="auto"/>
                <w:sz w:val="21"/>
                <w:szCs w:val="21"/>
                <w:highlight w:val="none"/>
                <w:u w:val="none"/>
                <w:vertAlign w:val="baseline"/>
                <w:lang w:val="zh-CN"/>
              </w:rPr>
            </w:pPr>
          </w:p>
        </w:tc>
      </w:tr>
      <w:tr w14:paraId="35EA6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29CA07D3">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5</w:t>
            </w:r>
          </w:p>
        </w:tc>
        <w:tc>
          <w:tcPr>
            <w:tcW w:w="1000" w:type="dxa"/>
            <w:noWrap w:val="0"/>
            <w:vAlign w:val="center"/>
          </w:tcPr>
          <w:p w14:paraId="50144795">
            <w:pPr>
              <w:jc w:val="center"/>
              <w:rPr>
                <w:rFonts w:hint="eastAsia" w:ascii="宋体" w:hAnsi="宋体" w:eastAsia="宋体" w:cs="宋体"/>
                <w:b w:val="0"/>
                <w:bCs/>
                <w:color w:val="auto"/>
                <w:sz w:val="21"/>
                <w:szCs w:val="21"/>
                <w:highlight w:val="none"/>
                <w:u w:val="none"/>
                <w:vertAlign w:val="baseline"/>
                <w:lang w:val="zh-CN"/>
              </w:rPr>
            </w:pPr>
          </w:p>
        </w:tc>
        <w:tc>
          <w:tcPr>
            <w:tcW w:w="1001" w:type="dxa"/>
            <w:noWrap w:val="0"/>
            <w:vAlign w:val="center"/>
          </w:tcPr>
          <w:p w14:paraId="5DE6B0FA">
            <w:pPr>
              <w:jc w:val="center"/>
              <w:rPr>
                <w:rFonts w:hint="eastAsia" w:ascii="宋体" w:hAnsi="宋体" w:eastAsia="宋体" w:cs="宋体"/>
                <w:b w:val="0"/>
                <w:bCs/>
                <w:color w:val="auto"/>
                <w:sz w:val="21"/>
                <w:szCs w:val="21"/>
                <w:highlight w:val="none"/>
                <w:u w:val="none"/>
                <w:vertAlign w:val="baseline"/>
                <w:lang w:val="zh-CN"/>
              </w:rPr>
            </w:pPr>
          </w:p>
        </w:tc>
        <w:tc>
          <w:tcPr>
            <w:tcW w:w="976" w:type="dxa"/>
            <w:noWrap w:val="0"/>
            <w:vAlign w:val="center"/>
          </w:tcPr>
          <w:p w14:paraId="704C3959">
            <w:pPr>
              <w:jc w:val="center"/>
              <w:rPr>
                <w:rFonts w:hint="eastAsia" w:ascii="宋体" w:hAnsi="宋体" w:eastAsia="宋体" w:cs="宋体"/>
                <w:b w:val="0"/>
                <w:bCs/>
                <w:color w:val="auto"/>
                <w:sz w:val="21"/>
                <w:szCs w:val="21"/>
                <w:highlight w:val="none"/>
                <w:u w:val="none"/>
                <w:vertAlign w:val="baseline"/>
                <w:lang w:val="zh-CN"/>
              </w:rPr>
            </w:pPr>
          </w:p>
        </w:tc>
        <w:tc>
          <w:tcPr>
            <w:tcW w:w="1298" w:type="dxa"/>
            <w:noWrap w:val="0"/>
            <w:vAlign w:val="center"/>
          </w:tcPr>
          <w:p w14:paraId="45175B9E">
            <w:pPr>
              <w:jc w:val="center"/>
              <w:rPr>
                <w:rFonts w:hint="eastAsia" w:ascii="宋体" w:hAnsi="宋体" w:eastAsia="宋体" w:cs="宋体"/>
                <w:b w:val="0"/>
                <w:bCs/>
                <w:color w:val="auto"/>
                <w:sz w:val="21"/>
                <w:szCs w:val="21"/>
                <w:highlight w:val="none"/>
                <w:u w:val="none"/>
                <w:vertAlign w:val="baseline"/>
                <w:lang w:val="zh-CN"/>
              </w:rPr>
            </w:pPr>
          </w:p>
        </w:tc>
        <w:tc>
          <w:tcPr>
            <w:tcW w:w="946" w:type="dxa"/>
            <w:noWrap w:val="0"/>
            <w:vAlign w:val="center"/>
          </w:tcPr>
          <w:p w14:paraId="729275F0">
            <w:pPr>
              <w:jc w:val="center"/>
              <w:rPr>
                <w:rFonts w:hint="eastAsia" w:ascii="宋体" w:hAnsi="宋体" w:eastAsia="宋体" w:cs="宋体"/>
                <w:b w:val="0"/>
                <w:bCs/>
                <w:color w:val="auto"/>
                <w:sz w:val="21"/>
                <w:szCs w:val="21"/>
                <w:highlight w:val="none"/>
                <w:u w:val="none"/>
                <w:vertAlign w:val="baseline"/>
                <w:lang w:val="zh-CN"/>
              </w:rPr>
            </w:pPr>
          </w:p>
        </w:tc>
        <w:tc>
          <w:tcPr>
            <w:tcW w:w="1374" w:type="dxa"/>
            <w:noWrap w:val="0"/>
            <w:vAlign w:val="center"/>
          </w:tcPr>
          <w:p w14:paraId="28A6A372">
            <w:pPr>
              <w:jc w:val="center"/>
              <w:rPr>
                <w:rFonts w:hint="eastAsia" w:ascii="宋体" w:hAnsi="宋体" w:eastAsia="宋体" w:cs="宋体"/>
                <w:b w:val="0"/>
                <w:bCs/>
                <w:color w:val="auto"/>
                <w:sz w:val="21"/>
                <w:szCs w:val="21"/>
                <w:highlight w:val="none"/>
                <w:u w:val="none"/>
                <w:vertAlign w:val="baseline"/>
                <w:lang w:val="zh-CN"/>
              </w:rPr>
            </w:pPr>
          </w:p>
        </w:tc>
        <w:tc>
          <w:tcPr>
            <w:tcW w:w="962" w:type="dxa"/>
            <w:noWrap w:val="0"/>
            <w:vAlign w:val="center"/>
          </w:tcPr>
          <w:p w14:paraId="1AB2FB8F">
            <w:pPr>
              <w:jc w:val="center"/>
              <w:rPr>
                <w:rFonts w:hint="eastAsia" w:ascii="宋体" w:hAnsi="宋体" w:eastAsia="宋体" w:cs="宋体"/>
                <w:b w:val="0"/>
                <w:bCs/>
                <w:color w:val="auto"/>
                <w:sz w:val="21"/>
                <w:szCs w:val="21"/>
                <w:highlight w:val="none"/>
                <w:u w:val="none"/>
                <w:vertAlign w:val="baseline"/>
                <w:lang w:val="zh-CN"/>
              </w:rPr>
            </w:pPr>
          </w:p>
        </w:tc>
        <w:tc>
          <w:tcPr>
            <w:tcW w:w="810" w:type="dxa"/>
            <w:noWrap w:val="0"/>
            <w:vAlign w:val="center"/>
          </w:tcPr>
          <w:p w14:paraId="17707643">
            <w:pPr>
              <w:jc w:val="center"/>
              <w:rPr>
                <w:rFonts w:hint="eastAsia" w:ascii="宋体" w:hAnsi="宋体" w:eastAsia="宋体" w:cs="宋体"/>
                <w:b w:val="0"/>
                <w:bCs/>
                <w:color w:val="auto"/>
                <w:sz w:val="21"/>
                <w:szCs w:val="21"/>
                <w:highlight w:val="none"/>
                <w:u w:val="none"/>
                <w:vertAlign w:val="baseline"/>
                <w:lang w:val="zh-CN"/>
              </w:rPr>
            </w:pPr>
          </w:p>
        </w:tc>
        <w:tc>
          <w:tcPr>
            <w:tcW w:w="1243" w:type="dxa"/>
            <w:noWrap w:val="0"/>
            <w:vAlign w:val="center"/>
          </w:tcPr>
          <w:p w14:paraId="06E776A7">
            <w:pPr>
              <w:jc w:val="center"/>
              <w:rPr>
                <w:rFonts w:hint="eastAsia" w:ascii="宋体" w:hAnsi="宋体" w:eastAsia="宋体" w:cs="宋体"/>
                <w:b w:val="0"/>
                <w:bCs/>
                <w:color w:val="auto"/>
                <w:sz w:val="21"/>
                <w:szCs w:val="21"/>
                <w:highlight w:val="none"/>
                <w:u w:val="none"/>
                <w:vertAlign w:val="baseline"/>
                <w:lang w:val="zh-CN"/>
              </w:rPr>
            </w:pPr>
          </w:p>
        </w:tc>
        <w:tc>
          <w:tcPr>
            <w:tcW w:w="963" w:type="dxa"/>
            <w:noWrap w:val="0"/>
            <w:vAlign w:val="center"/>
          </w:tcPr>
          <w:p w14:paraId="03977715">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55B5C57F">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797FB3DE">
            <w:pPr>
              <w:jc w:val="center"/>
              <w:rPr>
                <w:rFonts w:hint="eastAsia" w:ascii="宋体" w:hAnsi="宋体" w:eastAsia="宋体" w:cs="宋体"/>
                <w:b w:val="0"/>
                <w:bCs/>
                <w:color w:val="auto"/>
                <w:sz w:val="21"/>
                <w:szCs w:val="21"/>
                <w:highlight w:val="none"/>
                <w:u w:val="none"/>
                <w:vertAlign w:val="baseline"/>
                <w:lang w:val="zh-CN"/>
              </w:rPr>
            </w:pPr>
          </w:p>
        </w:tc>
        <w:tc>
          <w:tcPr>
            <w:tcW w:w="1024" w:type="dxa"/>
            <w:noWrap w:val="0"/>
            <w:vAlign w:val="center"/>
          </w:tcPr>
          <w:p w14:paraId="5EB56922">
            <w:pPr>
              <w:jc w:val="center"/>
              <w:rPr>
                <w:rFonts w:hint="eastAsia" w:ascii="宋体" w:hAnsi="宋体" w:eastAsia="宋体" w:cs="宋体"/>
                <w:b w:val="0"/>
                <w:bCs/>
                <w:color w:val="auto"/>
                <w:sz w:val="21"/>
                <w:szCs w:val="21"/>
                <w:highlight w:val="none"/>
                <w:u w:val="none"/>
                <w:vertAlign w:val="baseline"/>
                <w:lang w:val="zh-CN"/>
              </w:rPr>
            </w:pPr>
          </w:p>
        </w:tc>
      </w:tr>
      <w:tr w14:paraId="5D6D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156175D9">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6</w:t>
            </w:r>
          </w:p>
        </w:tc>
        <w:tc>
          <w:tcPr>
            <w:tcW w:w="1000" w:type="dxa"/>
            <w:noWrap w:val="0"/>
            <w:vAlign w:val="center"/>
          </w:tcPr>
          <w:p w14:paraId="371066E5">
            <w:pPr>
              <w:jc w:val="center"/>
              <w:rPr>
                <w:rFonts w:hint="eastAsia" w:ascii="宋体" w:hAnsi="宋体" w:eastAsia="宋体" w:cs="宋体"/>
                <w:b w:val="0"/>
                <w:bCs/>
                <w:color w:val="auto"/>
                <w:sz w:val="21"/>
                <w:szCs w:val="21"/>
                <w:highlight w:val="none"/>
                <w:u w:val="none"/>
                <w:vertAlign w:val="baseline"/>
                <w:lang w:val="zh-CN"/>
              </w:rPr>
            </w:pPr>
          </w:p>
        </w:tc>
        <w:tc>
          <w:tcPr>
            <w:tcW w:w="1001" w:type="dxa"/>
            <w:noWrap w:val="0"/>
            <w:vAlign w:val="center"/>
          </w:tcPr>
          <w:p w14:paraId="7436F252">
            <w:pPr>
              <w:jc w:val="center"/>
              <w:rPr>
                <w:rFonts w:hint="eastAsia" w:ascii="宋体" w:hAnsi="宋体" w:eastAsia="宋体" w:cs="宋体"/>
                <w:b w:val="0"/>
                <w:bCs/>
                <w:color w:val="auto"/>
                <w:sz w:val="21"/>
                <w:szCs w:val="21"/>
                <w:highlight w:val="none"/>
                <w:u w:val="none"/>
                <w:vertAlign w:val="baseline"/>
                <w:lang w:val="zh-CN"/>
              </w:rPr>
            </w:pPr>
          </w:p>
        </w:tc>
        <w:tc>
          <w:tcPr>
            <w:tcW w:w="976" w:type="dxa"/>
            <w:noWrap w:val="0"/>
            <w:vAlign w:val="center"/>
          </w:tcPr>
          <w:p w14:paraId="70B43C62">
            <w:pPr>
              <w:jc w:val="center"/>
              <w:rPr>
                <w:rFonts w:hint="eastAsia" w:ascii="宋体" w:hAnsi="宋体" w:eastAsia="宋体" w:cs="宋体"/>
                <w:b w:val="0"/>
                <w:bCs/>
                <w:color w:val="auto"/>
                <w:sz w:val="21"/>
                <w:szCs w:val="21"/>
                <w:highlight w:val="none"/>
                <w:u w:val="none"/>
                <w:vertAlign w:val="baseline"/>
                <w:lang w:val="zh-CN"/>
              </w:rPr>
            </w:pPr>
          </w:p>
        </w:tc>
        <w:tc>
          <w:tcPr>
            <w:tcW w:w="1298" w:type="dxa"/>
            <w:noWrap w:val="0"/>
            <w:vAlign w:val="center"/>
          </w:tcPr>
          <w:p w14:paraId="11EB6802">
            <w:pPr>
              <w:jc w:val="center"/>
              <w:rPr>
                <w:rFonts w:hint="eastAsia" w:ascii="宋体" w:hAnsi="宋体" w:eastAsia="宋体" w:cs="宋体"/>
                <w:b w:val="0"/>
                <w:bCs/>
                <w:color w:val="auto"/>
                <w:sz w:val="21"/>
                <w:szCs w:val="21"/>
                <w:highlight w:val="none"/>
                <w:u w:val="none"/>
                <w:vertAlign w:val="baseline"/>
                <w:lang w:val="zh-CN"/>
              </w:rPr>
            </w:pPr>
          </w:p>
        </w:tc>
        <w:tc>
          <w:tcPr>
            <w:tcW w:w="946" w:type="dxa"/>
            <w:noWrap w:val="0"/>
            <w:vAlign w:val="center"/>
          </w:tcPr>
          <w:p w14:paraId="50310992">
            <w:pPr>
              <w:jc w:val="center"/>
              <w:rPr>
                <w:rFonts w:hint="eastAsia" w:ascii="宋体" w:hAnsi="宋体" w:eastAsia="宋体" w:cs="宋体"/>
                <w:b w:val="0"/>
                <w:bCs/>
                <w:color w:val="auto"/>
                <w:sz w:val="21"/>
                <w:szCs w:val="21"/>
                <w:highlight w:val="none"/>
                <w:u w:val="none"/>
                <w:vertAlign w:val="baseline"/>
                <w:lang w:val="zh-CN"/>
              </w:rPr>
            </w:pPr>
          </w:p>
        </w:tc>
        <w:tc>
          <w:tcPr>
            <w:tcW w:w="1374" w:type="dxa"/>
            <w:noWrap w:val="0"/>
            <w:vAlign w:val="center"/>
          </w:tcPr>
          <w:p w14:paraId="08CFAFEC">
            <w:pPr>
              <w:jc w:val="center"/>
              <w:rPr>
                <w:rFonts w:hint="eastAsia" w:ascii="宋体" w:hAnsi="宋体" w:eastAsia="宋体" w:cs="宋体"/>
                <w:b w:val="0"/>
                <w:bCs/>
                <w:color w:val="auto"/>
                <w:sz w:val="21"/>
                <w:szCs w:val="21"/>
                <w:highlight w:val="none"/>
                <w:u w:val="none"/>
                <w:vertAlign w:val="baseline"/>
                <w:lang w:val="zh-CN"/>
              </w:rPr>
            </w:pPr>
          </w:p>
        </w:tc>
        <w:tc>
          <w:tcPr>
            <w:tcW w:w="962" w:type="dxa"/>
            <w:noWrap w:val="0"/>
            <w:vAlign w:val="center"/>
          </w:tcPr>
          <w:p w14:paraId="25E5B53F">
            <w:pPr>
              <w:jc w:val="center"/>
              <w:rPr>
                <w:rFonts w:hint="eastAsia" w:ascii="宋体" w:hAnsi="宋体" w:eastAsia="宋体" w:cs="宋体"/>
                <w:b w:val="0"/>
                <w:bCs/>
                <w:color w:val="auto"/>
                <w:sz w:val="21"/>
                <w:szCs w:val="21"/>
                <w:highlight w:val="none"/>
                <w:u w:val="none"/>
                <w:vertAlign w:val="baseline"/>
                <w:lang w:val="zh-CN"/>
              </w:rPr>
            </w:pPr>
          </w:p>
        </w:tc>
        <w:tc>
          <w:tcPr>
            <w:tcW w:w="810" w:type="dxa"/>
            <w:noWrap w:val="0"/>
            <w:vAlign w:val="center"/>
          </w:tcPr>
          <w:p w14:paraId="4FB59733">
            <w:pPr>
              <w:jc w:val="center"/>
              <w:rPr>
                <w:rFonts w:hint="eastAsia" w:ascii="宋体" w:hAnsi="宋体" w:eastAsia="宋体" w:cs="宋体"/>
                <w:b w:val="0"/>
                <w:bCs/>
                <w:color w:val="auto"/>
                <w:sz w:val="21"/>
                <w:szCs w:val="21"/>
                <w:highlight w:val="none"/>
                <w:u w:val="none"/>
                <w:vertAlign w:val="baseline"/>
                <w:lang w:val="zh-CN"/>
              </w:rPr>
            </w:pPr>
          </w:p>
        </w:tc>
        <w:tc>
          <w:tcPr>
            <w:tcW w:w="1243" w:type="dxa"/>
            <w:noWrap w:val="0"/>
            <w:vAlign w:val="center"/>
          </w:tcPr>
          <w:p w14:paraId="495A7ECB">
            <w:pPr>
              <w:jc w:val="center"/>
              <w:rPr>
                <w:rFonts w:hint="eastAsia" w:ascii="宋体" w:hAnsi="宋体" w:eastAsia="宋体" w:cs="宋体"/>
                <w:b w:val="0"/>
                <w:bCs/>
                <w:color w:val="auto"/>
                <w:sz w:val="21"/>
                <w:szCs w:val="21"/>
                <w:highlight w:val="none"/>
                <w:u w:val="none"/>
                <w:vertAlign w:val="baseline"/>
                <w:lang w:val="zh-CN"/>
              </w:rPr>
            </w:pPr>
          </w:p>
        </w:tc>
        <w:tc>
          <w:tcPr>
            <w:tcW w:w="963" w:type="dxa"/>
            <w:noWrap w:val="0"/>
            <w:vAlign w:val="center"/>
          </w:tcPr>
          <w:p w14:paraId="1F748394">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7F8259F5">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5B5666A0">
            <w:pPr>
              <w:jc w:val="center"/>
              <w:rPr>
                <w:rFonts w:hint="eastAsia" w:ascii="宋体" w:hAnsi="宋体" w:eastAsia="宋体" w:cs="宋体"/>
                <w:b w:val="0"/>
                <w:bCs/>
                <w:color w:val="auto"/>
                <w:sz w:val="21"/>
                <w:szCs w:val="21"/>
                <w:highlight w:val="none"/>
                <w:u w:val="none"/>
                <w:vertAlign w:val="baseline"/>
                <w:lang w:val="zh-CN"/>
              </w:rPr>
            </w:pPr>
          </w:p>
        </w:tc>
        <w:tc>
          <w:tcPr>
            <w:tcW w:w="1024" w:type="dxa"/>
            <w:noWrap w:val="0"/>
            <w:vAlign w:val="center"/>
          </w:tcPr>
          <w:p w14:paraId="73544583">
            <w:pPr>
              <w:jc w:val="center"/>
              <w:rPr>
                <w:rFonts w:hint="eastAsia" w:ascii="宋体" w:hAnsi="宋体" w:eastAsia="宋体" w:cs="宋体"/>
                <w:b w:val="0"/>
                <w:bCs/>
                <w:color w:val="auto"/>
                <w:sz w:val="21"/>
                <w:szCs w:val="21"/>
                <w:highlight w:val="none"/>
                <w:u w:val="none"/>
                <w:vertAlign w:val="baseline"/>
                <w:lang w:val="zh-CN"/>
              </w:rPr>
            </w:pPr>
          </w:p>
        </w:tc>
      </w:tr>
      <w:tr w14:paraId="76B5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6600D80E">
            <w:pPr>
              <w:jc w:val="center"/>
              <w:rPr>
                <w:rFonts w:hint="eastAsia" w:ascii="宋体" w:hAnsi="宋体" w:eastAsia="宋体" w:cs="宋体"/>
                <w:b w:val="0"/>
                <w:bCs/>
                <w:color w:val="auto"/>
                <w:sz w:val="21"/>
                <w:szCs w:val="21"/>
                <w:highlight w:val="none"/>
                <w:u w:val="none"/>
                <w:vertAlign w:val="baseline"/>
                <w:lang w:val="zh-CN"/>
              </w:rPr>
            </w:pPr>
            <w:r>
              <w:rPr>
                <w:rFonts w:hint="eastAsia" w:ascii="宋体" w:hAnsi="宋体" w:eastAsia="宋体" w:cs="宋体"/>
                <w:b w:val="0"/>
                <w:bCs/>
                <w:color w:val="auto"/>
                <w:sz w:val="21"/>
                <w:szCs w:val="21"/>
                <w:highlight w:val="none"/>
                <w:u w:val="none"/>
                <w:vertAlign w:val="baseline"/>
                <w:lang w:val="zh-CN"/>
              </w:rPr>
              <w:t>…</w:t>
            </w:r>
          </w:p>
        </w:tc>
        <w:tc>
          <w:tcPr>
            <w:tcW w:w="1000" w:type="dxa"/>
            <w:noWrap w:val="0"/>
            <w:vAlign w:val="center"/>
          </w:tcPr>
          <w:p w14:paraId="05DC1FCE">
            <w:pPr>
              <w:jc w:val="center"/>
              <w:rPr>
                <w:rFonts w:hint="eastAsia" w:ascii="宋体" w:hAnsi="宋体" w:eastAsia="宋体" w:cs="宋体"/>
                <w:b w:val="0"/>
                <w:bCs/>
                <w:color w:val="auto"/>
                <w:sz w:val="21"/>
                <w:szCs w:val="21"/>
                <w:highlight w:val="none"/>
                <w:u w:val="none"/>
                <w:vertAlign w:val="baseline"/>
                <w:lang w:val="zh-CN"/>
              </w:rPr>
            </w:pPr>
          </w:p>
        </w:tc>
        <w:tc>
          <w:tcPr>
            <w:tcW w:w="1001" w:type="dxa"/>
            <w:noWrap w:val="0"/>
            <w:vAlign w:val="center"/>
          </w:tcPr>
          <w:p w14:paraId="6D124347">
            <w:pPr>
              <w:jc w:val="center"/>
              <w:rPr>
                <w:rFonts w:hint="eastAsia" w:ascii="宋体" w:hAnsi="宋体" w:eastAsia="宋体" w:cs="宋体"/>
                <w:b w:val="0"/>
                <w:bCs/>
                <w:color w:val="auto"/>
                <w:sz w:val="21"/>
                <w:szCs w:val="21"/>
                <w:highlight w:val="none"/>
                <w:u w:val="none"/>
                <w:vertAlign w:val="baseline"/>
                <w:lang w:val="zh-CN"/>
              </w:rPr>
            </w:pPr>
          </w:p>
        </w:tc>
        <w:tc>
          <w:tcPr>
            <w:tcW w:w="976" w:type="dxa"/>
            <w:noWrap w:val="0"/>
            <w:vAlign w:val="center"/>
          </w:tcPr>
          <w:p w14:paraId="1A9BABE1">
            <w:pPr>
              <w:jc w:val="center"/>
              <w:rPr>
                <w:rFonts w:hint="eastAsia" w:ascii="宋体" w:hAnsi="宋体" w:eastAsia="宋体" w:cs="宋体"/>
                <w:b w:val="0"/>
                <w:bCs/>
                <w:color w:val="auto"/>
                <w:sz w:val="21"/>
                <w:szCs w:val="21"/>
                <w:highlight w:val="none"/>
                <w:u w:val="none"/>
                <w:vertAlign w:val="baseline"/>
                <w:lang w:val="zh-CN"/>
              </w:rPr>
            </w:pPr>
          </w:p>
        </w:tc>
        <w:tc>
          <w:tcPr>
            <w:tcW w:w="1298" w:type="dxa"/>
            <w:noWrap w:val="0"/>
            <w:vAlign w:val="center"/>
          </w:tcPr>
          <w:p w14:paraId="0E95FA79">
            <w:pPr>
              <w:jc w:val="center"/>
              <w:rPr>
                <w:rFonts w:hint="eastAsia" w:ascii="宋体" w:hAnsi="宋体" w:eastAsia="宋体" w:cs="宋体"/>
                <w:b w:val="0"/>
                <w:bCs/>
                <w:color w:val="auto"/>
                <w:sz w:val="21"/>
                <w:szCs w:val="21"/>
                <w:highlight w:val="none"/>
                <w:u w:val="none"/>
                <w:vertAlign w:val="baseline"/>
                <w:lang w:val="zh-CN"/>
              </w:rPr>
            </w:pPr>
          </w:p>
        </w:tc>
        <w:tc>
          <w:tcPr>
            <w:tcW w:w="946" w:type="dxa"/>
            <w:noWrap w:val="0"/>
            <w:vAlign w:val="center"/>
          </w:tcPr>
          <w:p w14:paraId="0E8721C5">
            <w:pPr>
              <w:jc w:val="center"/>
              <w:rPr>
                <w:rFonts w:hint="eastAsia" w:ascii="宋体" w:hAnsi="宋体" w:eastAsia="宋体" w:cs="宋体"/>
                <w:b w:val="0"/>
                <w:bCs/>
                <w:color w:val="auto"/>
                <w:sz w:val="21"/>
                <w:szCs w:val="21"/>
                <w:highlight w:val="none"/>
                <w:u w:val="none"/>
                <w:vertAlign w:val="baseline"/>
                <w:lang w:val="zh-CN"/>
              </w:rPr>
            </w:pPr>
          </w:p>
        </w:tc>
        <w:tc>
          <w:tcPr>
            <w:tcW w:w="1374" w:type="dxa"/>
            <w:noWrap w:val="0"/>
            <w:vAlign w:val="center"/>
          </w:tcPr>
          <w:p w14:paraId="71D814AB">
            <w:pPr>
              <w:jc w:val="center"/>
              <w:rPr>
                <w:rFonts w:hint="eastAsia" w:ascii="宋体" w:hAnsi="宋体" w:eastAsia="宋体" w:cs="宋体"/>
                <w:b w:val="0"/>
                <w:bCs/>
                <w:color w:val="auto"/>
                <w:sz w:val="21"/>
                <w:szCs w:val="21"/>
                <w:highlight w:val="none"/>
                <w:u w:val="none"/>
                <w:vertAlign w:val="baseline"/>
                <w:lang w:val="zh-CN"/>
              </w:rPr>
            </w:pPr>
          </w:p>
        </w:tc>
        <w:tc>
          <w:tcPr>
            <w:tcW w:w="962" w:type="dxa"/>
            <w:noWrap w:val="0"/>
            <w:vAlign w:val="center"/>
          </w:tcPr>
          <w:p w14:paraId="235F2D9C">
            <w:pPr>
              <w:jc w:val="center"/>
              <w:rPr>
                <w:rFonts w:hint="eastAsia" w:ascii="宋体" w:hAnsi="宋体" w:eastAsia="宋体" w:cs="宋体"/>
                <w:b w:val="0"/>
                <w:bCs/>
                <w:color w:val="auto"/>
                <w:sz w:val="21"/>
                <w:szCs w:val="21"/>
                <w:highlight w:val="none"/>
                <w:u w:val="none"/>
                <w:vertAlign w:val="baseline"/>
                <w:lang w:val="zh-CN"/>
              </w:rPr>
            </w:pPr>
          </w:p>
        </w:tc>
        <w:tc>
          <w:tcPr>
            <w:tcW w:w="810" w:type="dxa"/>
            <w:noWrap w:val="0"/>
            <w:vAlign w:val="center"/>
          </w:tcPr>
          <w:p w14:paraId="3D6F7125">
            <w:pPr>
              <w:jc w:val="center"/>
              <w:rPr>
                <w:rFonts w:hint="eastAsia" w:ascii="宋体" w:hAnsi="宋体" w:eastAsia="宋体" w:cs="宋体"/>
                <w:b w:val="0"/>
                <w:bCs/>
                <w:color w:val="auto"/>
                <w:sz w:val="21"/>
                <w:szCs w:val="21"/>
                <w:highlight w:val="none"/>
                <w:u w:val="none"/>
                <w:vertAlign w:val="baseline"/>
                <w:lang w:val="zh-CN"/>
              </w:rPr>
            </w:pPr>
          </w:p>
        </w:tc>
        <w:tc>
          <w:tcPr>
            <w:tcW w:w="1243" w:type="dxa"/>
            <w:noWrap w:val="0"/>
            <w:vAlign w:val="center"/>
          </w:tcPr>
          <w:p w14:paraId="2C19AD3F">
            <w:pPr>
              <w:jc w:val="center"/>
              <w:rPr>
                <w:rFonts w:hint="eastAsia" w:ascii="宋体" w:hAnsi="宋体" w:eastAsia="宋体" w:cs="宋体"/>
                <w:b w:val="0"/>
                <w:bCs/>
                <w:color w:val="auto"/>
                <w:sz w:val="21"/>
                <w:szCs w:val="21"/>
                <w:highlight w:val="none"/>
                <w:u w:val="none"/>
                <w:vertAlign w:val="baseline"/>
                <w:lang w:val="zh-CN"/>
              </w:rPr>
            </w:pPr>
          </w:p>
        </w:tc>
        <w:tc>
          <w:tcPr>
            <w:tcW w:w="963" w:type="dxa"/>
            <w:noWrap w:val="0"/>
            <w:vAlign w:val="center"/>
          </w:tcPr>
          <w:p w14:paraId="6C42BD62">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0BFF14C1">
            <w:pPr>
              <w:jc w:val="center"/>
              <w:rPr>
                <w:rFonts w:hint="eastAsia" w:ascii="宋体" w:hAnsi="宋体" w:eastAsia="宋体" w:cs="宋体"/>
                <w:b w:val="0"/>
                <w:bCs/>
                <w:color w:val="auto"/>
                <w:sz w:val="21"/>
                <w:szCs w:val="21"/>
                <w:highlight w:val="none"/>
                <w:u w:val="none"/>
                <w:vertAlign w:val="baseline"/>
                <w:lang w:val="zh-CN"/>
              </w:rPr>
            </w:pPr>
          </w:p>
        </w:tc>
        <w:tc>
          <w:tcPr>
            <w:tcW w:w="866" w:type="dxa"/>
            <w:noWrap w:val="0"/>
            <w:vAlign w:val="center"/>
          </w:tcPr>
          <w:p w14:paraId="360B23BC">
            <w:pPr>
              <w:jc w:val="center"/>
              <w:rPr>
                <w:rFonts w:hint="eastAsia" w:ascii="宋体" w:hAnsi="宋体" w:eastAsia="宋体" w:cs="宋体"/>
                <w:b w:val="0"/>
                <w:bCs/>
                <w:color w:val="auto"/>
                <w:sz w:val="21"/>
                <w:szCs w:val="21"/>
                <w:highlight w:val="none"/>
                <w:u w:val="none"/>
                <w:vertAlign w:val="baseline"/>
                <w:lang w:val="zh-CN"/>
              </w:rPr>
            </w:pPr>
          </w:p>
        </w:tc>
        <w:tc>
          <w:tcPr>
            <w:tcW w:w="1024" w:type="dxa"/>
            <w:noWrap w:val="0"/>
            <w:vAlign w:val="center"/>
          </w:tcPr>
          <w:p w14:paraId="4CA7988F">
            <w:pPr>
              <w:jc w:val="center"/>
              <w:rPr>
                <w:rFonts w:hint="eastAsia" w:ascii="宋体" w:hAnsi="宋体" w:eastAsia="宋体" w:cs="宋体"/>
                <w:b w:val="0"/>
                <w:bCs/>
                <w:color w:val="auto"/>
                <w:sz w:val="21"/>
                <w:szCs w:val="21"/>
                <w:highlight w:val="none"/>
                <w:u w:val="none"/>
                <w:vertAlign w:val="baseline"/>
                <w:lang w:val="zh-CN"/>
              </w:rPr>
            </w:pPr>
          </w:p>
        </w:tc>
      </w:tr>
      <w:tr w14:paraId="7784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6DEC1739">
            <w:pPr>
              <w:jc w:val="center"/>
              <w:rPr>
                <w:rFonts w:hint="eastAsia" w:ascii="宋体" w:hAnsi="宋体" w:eastAsia="宋体" w:cs="宋体"/>
                <w:b w:val="0"/>
                <w:bCs/>
                <w:color w:val="auto"/>
                <w:sz w:val="21"/>
                <w:szCs w:val="21"/>
                <w:highlight w:val="none"/>
                <w:u w:val="none"/>
                <w:vertAlign w:val="baseline"/>
                <w:lang w:val="en-US" w:eastAsia="zh-CN"/>
              </w:rPr>
            </w:pPr>
          </w:p>
        </w:tc>
        <w:tc>
          <w:tcPr>
            <w:tcW w:w="12305" w:type="dxa"/>
            <w:gridSpan w:val="12"/>
            <w:noWrap w:val="0"/>
            <w:vAlign w:val="center"/>
          </w:tcPr>
          <w:p w14:paraId="2AD79848">
            <w:pPr>
              <w:jc w:val="center"/>
              <w:rPr>
                <w:rFonts w:hint="eastAsia" w:ascii="宋体" w:hAnsi="宋体" w:eastAsia="宋体" w:cs="宋体"/>
                <w:b w:val="0"/>
                <w:bCs/>
                <w:color w:val="auto"/>
                <w:sz w:val="21"/>
                <w:szCs w:val="21"/>
                <w:highlight w:val="none"/>
                <w:u w:val="none"/>
                <w:vertAlign w:val="baseline"/>
                <w:lang w:val="en-US" w:eastAsia="zh-CN"/>
              </w:rPr>
            </w:pPr>
            <w:r>
              <w:rPr>
                <w:rFonts w:hint="eastAsia" w:ascii="宋体" w:hAnsi="宋体" w:eastAsia="宋体" w:cs="宋体"/>
                <w:b w:val="0"/>
                <w:bCs/>
                <w:color w:val="auto"/>
                <w:sz w:val="21"/>
                <w:szCs w:val="21"/>
                <w:highlight w:val="none"/>
                <w:u w:val="none"/>
                <w:vertAlign w:val="baseline"/>
                <w:lang w:val="en-US" w:eastAsia="zh-CN"/>
              </w:rPr>
              <w:t>总价</w:t>
            </w:r>
            <w:r>
              <w:rPr>
                <w:rFonts w:hint="eastAsia" w:ascii="宋体" w:hAnsi="宋体" w:eastAsia="宋体" w:cs="宋体"/>
                <w:b w:val="0"/>
                <w:bCs/>
                <w:color w:val="auto"/>
                <w:sz w:val="21"/>
                <w:szCs w:val="21"/>
                <w:highlight w:val="none"/>
              </w:rPr>
              <w:t>（元）</w:t>
            </w:r>
          </w:p>
        </w:tc>
        <w:tc>
          <w:tcPr>
            <w:tcW w:w="1024" w:type="dxa"/>
            <w:noWrap w:val="0"/>
            <w:vAlign w:val="center"/>
          </w:tcPr>
          <w:p w14:paraId="414D9981">
            <w:pPr>
              <w:jc w:val="center"/>
              <w:rPr>
                <w:rFonts w:hint="eastAsia" w:ascii="宋体" w:hAnsi="宋体" w:eastAsia="宋体" w:cs="宋体"/>
                <w:b w:val="0"/>
                <w:bCs/>
                <w:color w:val="auto"/>
                <w:sz w:val="21"/>
                <w:szCs w:val="21"/>
                <w:highlight w:val="none"/>
                <w:u w:val="none"/>
                <w:vertAlign w:val="baseline"/>
                <w:lang w:val="zh-CN"/>
              </w:rPr>
            </w:pPr>
          </w:p>
        </w:tc>
      </w:tr>
    </w:tbl>
    <w:p w14:paraId="4557C3CB">
      <w:pPr>
        <w:spacing w:line="300" w:lineRule="auto"/>
        <w:rPr>
          <w:rFonts w:ascii="Arial" w:hAnsi="Arial" w:cs="Arial"/>
          <w:color w:val="auto"/>
          <w:szCs w:val="21"/>
          <w:highlight w:val="none"/>
        </w:rPr>
      </w:pPr>
    </w:p>
    <w:p w14:paraId="1BACCAE2">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ascii="宋体" w:hAnsi="宋体" w:cs="宋体"/>
          <w:color w:val="auto"/>
          <w:sz w:val="24"/>
          <w:highlight w:val="none"/>
          <w:lang w:val="zh-CN"/>
        </w:rPr>
        <w:t>)</w:t>
      </w:r>
      <w:r>
        <w:rPr>
          <w:rFonts w:ascii="Arial" w:hAnsi="Arial" w:cs="Arial"/>
          <w:color w:val="auto"/>
          <w:szCs w:val="21"/>
          <w:highlight w:val="none"/>
        </w:rPr>
        <w:t>：</w:t>
      </w:r>
    </w:p>
    <w:p w14:paraId="181A46C7">
      <w:pPr>
        <w:spacing w:line="300" w:lineRule="auto"/>
        <w:rPr>
          <w:rFonts w:ascii="Arial" w:hAnsi="Arial" w:cs="Arial"/>
          <w:color w:val="auto"/>
          <w:szCs w:val="21"/>
          <w:highlight w:val="none"/>
        </w:rPr>
      </w:pPr>
      <w:r>
        <w:rPr>
          <w:rFonts w:ascii="Arial" w:hAnsi="Arial" w:cs="Arial"/>
          <w:color w:val="auto"/>
          <w:szCs w:val="21"/>
          <w:highlight w:val="none"/>
        </w:rPr>
        <w:t>日期：</w:t>
      </w:r>
    </w:p>
    <w:p w14:paraId="1CE18CF9">
      <w:pPr>
        <w:spacing w:line="300" w:lineRule="auto"/>
        <w:rPr>
          <w:rFonts w:hint="eastAsia" w:ascii="宋体" w:hAnsi="宋体" w:eastAsia="宋体" w:cs="宋体"/>
          <w:color w:val="auto"/>
          <w:sz w:val="24"/>
          <w:szCs w:val="24"/>
          <w:highlight w:val="none"/>
        </w:rPr>
      </w:pPr>
    </w:p>
    <w:p w14:paraId="057E686E">
      <w:pPr>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eastAsia="zh-CN"/>
        </w:rPr>
        <w:t>注：</w:t>
      </w: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w:t>
      </w:r>
      <w:r>
        <w:rPr>
          <w:rFonts w:hint="eastAsia" w:cs="宋体"/>
          <w:color w:val="auto"/>
          <w:sz w:val="21"/>
          <w:szCs w:val="21"/>
          <w:highlight w:val="none"/>
          <w:lang w:val="en-US" w:eastAsia="zh-CN"/>
        </w:rPr>
        <w:t>总</w:t>
      </w:r>
      <w:r>
        <w:rPr>
          <w:rFonts w:hint="default" w:ascii="宋体" w:hAnsi="宋体" w:eastAsia="宋体" w:cs="宋体"/>
          <w:color w:val="auto"/>
          <w:sz w:val="21"/>
          <w:szCs w:val="21"/>
          <w:highlight w:val="none"/>
          <w:lang w:val="en-US" w:eastAsia="zh-CN"/>
        </w:rPr>
        <w:t>价填写到</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开标</w:t>
      </w:r>
      <w:r>
        <w:rPr>
          <w:rFonts w:hint="eastAsia" w:ascii="宋体" w:hAnsi="宋体" w:eastAsia="宋体" w:cs="宋体"/>
          <w:color w:val="auto"/>
          <w:sz w:val="21"/>
          <w:szCs w:val="21"/>
          <w:highlight w:val="none"/>
          <w:lang w:val="en-US" w:eastAsia="zh-CN"/>
        </w:rPr>
        <w:t>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“投标报价”</w:t>
      </w:r>
      <w:r>
        <w:rPr>
          <w:rFonts w:hint="default" w:ascii="宋体" w:hAnsi="宋体" w:eastAsia="宋体" w:cs="宋体"/>
          <w:color w:val="auto"/>
          <w:sz w:val="21"/>
          <w:szCs w:val="21"/>
          <w:highlight w:val="none"/>
          <w:lang w:val="en-US" w:eastAsia="zh-CN"/>
        </w:rPr>
        <w:t>栏中。</w:t>
      </w:r>
    </w:p>
    <w:p w14:paraId="030C13E0">
      <w:pPr>
        <w:spacing w:line="360" w:lineRule="auto"/>
        <w:ind w:firstLine="42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.表中所列货物为对应本项目需求的全部货物及所需附件购置费、包装费、运输费、人工费、保险费、安装调试费、各种税费、资料费、售后服务费及完成项目应有的全部费用。如有漏项或缺项，</w:t>
      </w: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rPr>
        <w:t>承担全部责任。</w:t>
      </w:r>
    </w:p>
    <w:p w14:paraId="4DE71B09">
      <w:pPr>
        <w:keepNext w:val="0"/>
        <w:keepLines w:val="0"/>
        <w:pageBreakBefore w:val="0"/>
        <w:widowControl w:val="0"/>
        <w:bidi w:val="0"/>
        <w:spacing w:line="360" w:lineRule="auto"/>
        <w:ind w:firstLine="420"/>
        <w:jc w:val="both"/>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.表中须明确列出所投产品的</w:t>
      </w:r>
      <w:r>
        <w:rPr>
          <w:rFonts w:hint="eastAsia" w:cs="宋体"/>
          <w:color w:val="auto"/>
          <w:sz w:val="21"/>
          <w:szCs w:val="21"/>
          <w:highlight w:val="none"/>
          <w:lang w:val="en-US" w:eastAsia="zh-CN"/>
        </w:rPr>
        <w:t>分项</w:t>
      </w:r>
      <w:r>
        <w:rPr>
          <w:rFonts w:hint="eastAsia" w:ascii="宋体" w:hAnsi="宋体" w:eastAsia="宋体" w:cs="宋体"/>
          <w:color w:val="auto"/>
          <w:sz w:val="21"/>
          <w:szCs w:val="21"/>
          <w:highlight w:val="none"/>
        </w:rPr>
        <w:t>名称、</w:t>
      </w:r>
      <w:r>
        <w:rPr>
          <w:rFonts w:hint="eastAsia" w:cs="宋体"/>
          <w:color w:val="auto"/>
          <w:sz w:val="21"/>
          <w:szCs w:val="21"/>
          <w:highlight w:val="none"/>
          <w:lang w:val="en-US" w:eastAsia="zh-CN"/>
        </w:rPr>
        <w:t>制造商、</w:t>
      </w:r>
      <w:r>
        <w:rPr>
          <w:rFonts w:hint="eastAsia" w:cs="宋体"/>
          <w:b w:val="0"/>
          <w:bCs/>
          <w:color w:val="auto"/>
          <w:sz w:val="21"/>
          <w:szCs w:val="21"/>
          <w:highlight w:val="none"/>
          <w:lang w:val="en-US" w:eastAsia="zh-CN"/>
        </w:rPr>
        <w:t>产地/国别、</w:t>
      </w:r>
      <w:r>
        <w:rPr>
          <w:rFonts w:hint="eastAsia" w:ascii="宋体" w:hAnsi="宋体" w:eastAsia="宋体" w:cs="宋体"/>
          <w:b w:val="0"/>
          <w:bCs/>
          <w:color w:val="auto"/>
          <w:sz w:val="21"/>
          <w:szCs w:val="21"/>
          <w:highlight w:val="none"/>
          <w:lang w:val="en-US" w:eastAsia="zh-CN"/>
        </w:rPr>
        <w:t>制造商统一社会信用代码</w:t>
      </w:r>
      <w:r>
        <w:rPr>
          <w:rFonts w:hint="eastAsia"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en-US" w:eastAsia="zh-CN"/>
        </w:rPr>
        <w:t>制造商规模</w:t>
      </w:r>
      <w:r>
        <w:rPr>
          <w:rFonts w:hint="eastAsia" w:cs="宋体"/>
          <w:b w:val="0"/>
          <w:bCs/>
          <w:color w:val="auto"/>
          <w:sz w:val="21"/>
          <w:szCs w:val="21"/>
          <w:highlight w:val="none"/>
          <w:lang w:val="en-US" w:eastAsia="zh-CN"/>
        </w:rPr>
        <w:t>、制造商所属性别、外商投资类型、</w:t>
      </w:r>
      <w:r>
        <w:rPr>
          <w:rFonts w:hint="eastAsia" w:ascii="宋体" w:hAnsi="宋体" w:eastAsia="宋体" w:cs="宋体"/>
          <w:color w:val="auto"/>
          <w:sz w:val="21"/>
          <w:szCs w:val="21"/>
          <w:highlight w:val="none"/>
        </w:rPr>
        <w:t>品牌、</w:t>
      </w:r>
      <w:r>
        <w:rPr>
          <w:rFonts w:hint="eastAsia" w:cs="宋体"/>
          <w:color w:val="auto"/>
          <w:sz w:val="21"/>
          <w:szCs w:val="21"/>
          <w:highlight w:val="none"/>
          <w:lang w:eastAsia="zh-CN"/>
        </w:rPr>
        <w:t>规格、</w:t>
      </w:r>
      <w:r>
        <w:rPr>
          <w:rFonts w:hint="eastAsia" w:ascii="宋体" w:hAnsi="宋体" w:eastAsia="宋体" w:cs="宋体"/>
          <w:color w:val="auto"/>
          <w:sz w:val="21"/>
          <w:szCs w:val="21"/>
          <w:highlight w:val="none"/>
        </w:rPr>
        <w:t>型号、</w:t>
      </w:r>
      <w:r>
        <w:rPr>
          <w:rFonts w:hint="eastAsia" w:cs="宋体"/>
          <w:color w:val="auto"/>
          <w:sz w:val="21"/>
          <w:szCs w:val="21"/>
          <w:highlight w:val="none"/>
          <w:lang w:eastAsia="zh-CN"/>
        </w:rPr>
        <w:t>单价、数量、</w:t>
      </w:r>
      <w:r>
        <w:rPr>
          <w:rFonts w:hint="eastAsia" w:cs="宋体"/>
          <w:color w:val="auto"/>
          <w:sz w:val="21"/>
          <w:szCs w:val="21"/>
          <w:highlight w:val="none"/>
          <w:lang w:val="en-US" w:eastAsia="zh-CN"/>
        </w:rPr>
        <w:t>合价等</w:t>
      </w:r>
      <w:r>
        <w:rPr>
          <w:rFonts w:hint="eastAsia" w:ascii="宋体" w:hAnsi="宋体" w:eastAsia="宋体" w:cs="宋体"/>
          <w:color w:val="auto"/>
          <w:sz w:val="21"/>
          <w:szCs w:val="21"/>
          <w:highlight w:val="none"/>
        </w:rPr>
        <w:t>，否则可能导致</w:t>
      </w:r>
      <w:r>
        <w:rPr>
          <w:rFonts w:hint="eastAsia" w:ascii="宋体" w:hAnsi="宋体" w:eastAsia="宋体" w:cs="宋体"/>
          <w:b/>
          <w:bCs/>
          <w:color w:val="auto"/>
          <w:sz w:val="21"/>
          <w:szCs w:val="21"/>
          <w:highlight w:val="none"/>
        </w:rPr>
        <w:t>响应无效</w:t>
      </w:r>
      <w:r>
        <w:rPr>
          <w:rFonts w:hint="eastAsia" w:ascii="宋体" w:hAnsi="宋体" w:eastAsia="宋体" w:cs="宋体"/>
          <w:color w:val="auto"/>
          <w:sz w:val="21"/>
          <w:szCs w:val="21"/>
          <w:highlight w:val="none"/>
        </w:rPr>
        <w:t>。</w:t>
      </w:r>
    </w:p>
    <w:p w14:paraId="7C0775D3">
      <w:pPr>
        <w:keepNext w:val="0"/>
        <w:keepLines w:val="0"/>
        <w:widowControl/>
        <w:suppressLineNumbers w:val="0"/>
        <w:jc w:val="left"/>
        <w:rPr>
          <w:rFonts w:hint="eastAsia" w:ascii="宋体" w:hAnsi="宋体" w:eastAsia="宋体" w:cs="宋体"/>
          <w:b/>
          <w:bCs/>
          <w:i w:val="0"/>
          <w:iCs w:val="0"/>
          <w:color w:val="auto"/>
          <w:sz w:val="21"/>
          <w:szCs w:val="21"/>
          <w:highlight w:val="none"/>
          <w:lang w:val="en-US" w:eastAsia="zh-CN" w:bidi="ar"/>
        </w:rPr>
      </w:pPr>
    </w:p>
    <w:p w14:paraId="4CD4BA4C">
      <w:pPr>
        <w:keepNext w:val="0"/>
        <w:keepLines w:val="0"/>
        <w:widowControl/>
        <w:suppressLineNumbers w:val="0"/>
        <w:jc w:val="left"/>
        <w:rPr>
          <w:rFonts w:hint="eastAsia" w:ascii="宋体" w:hAnsi="宋体" w:eastAsia="宋体" w:cs="宋体"/>
          <w:b w:val="0"/>
          <w:bCs w:val="0"/>
          <w:i w:val="0"/>
          <w:iCs w:val="0"/>
          <w:color w:val="auto"/>
          <w:sz w:val="21"/>
          <w:szCs w:val="21"/>
          <w:highlight w:val="none"/>
          <w:lang w:val="en-US" w:eastAsia="zh-CN" w:bidi="ar"/>
        </w:rPr>
      </w:pPr>
      <w:r>
        <w:rPr>
          <w:rFonts w:hint="eastAsia" w:ascii="宋体" w:hAnsi="宋体" w:eastAsia="宋体" w:cs="宋体"/>
          <w:b/>
          <w:bCs/>
          <w:i w:val="0"/>
          <w:iCs w:val="0"/>
          <w:color w:val="auto"/>
          <w:sz w:val="21"/>
          <w:szCs w:val="21"/>
          <w:highlight w:val="none"/>
          <w:lang w:val="en-US" w:eastAsia="zh-CN" w:bidi="ar"/>
        </w:rPr>
        <w:t>填写说明：</w:t>
      </w:r>
      <w:r>
        <w:rPr>
          <w:rFonts w:hint="eastAsia" w:ascii="宋体" w:hAnsi="宋体" w:eastAsia="宋体" w:cs="宋体"/>
          <w:b w:val="0"/>
          <w:bCs w:val="0"/>
          <w:i w:val="0"/>
          <w:iCs w:val="0"/>
          <w:color w:val="auto"/>
          <w:sz w:val="21"/>
          <w:szCs w:val="21"/>
          <w:highlight w:val="none"/>
          <w:lang w:val="en-US" w:eastAsia="zh-CN" w:bidi="ar"/>
        </w:rPr>
        <w:t>1、</w:t>
      </w:r>
      <w:r>
        <w:rPr>
          <w:rFonts w:hint="eastAsia" w:cs="宋体"/>
          <w:b w:val="0"/>
          <w:bCs w:val="0"/>
          <w:i w:val="0"/>
          <w:iCs w:val="0"/>
          <w:color w:val="auto"/>
          <w:sz w:val="21"/>
          <w:szCs w:val="21"/>
          <w:highlight w:val="none"/>
          <w:lang w:val="en-US" w:eastAsia="zh-CN" w:bidi="ar"/>
        </w:rPr>
        <w:t>“</w:t>
      </w:r>
      <w:r>
        <w:rPr>
          <w:rFonts w:hint="eastAsia" w:ascii="宋体" w:hAnsi="宋体" w:eastAsia="宋体" w:cs="宋体"/>
          <w:b w:val="0"/>
          <w:bCs w:val="0"/>
          <w:i w:val="0"/>
          <w:iCs w:val="0"/>
          <w:color w:val="auto"/>
          <w:sz w:val="21"/>
          <w:szCs w:val="21"/>
          <w:highlight w:val="none"/>
          <w:lang w:val="en-US" w:eastAsia="zh-CN" w:bidi="ar"/>
        </w:rPr>
        <w:t>制造商规模</w:t>
      </w:r>
      <w:r>
        <w:rPr>
          <w:rFonts w:hint="eastAsia" w:cs="宋体"/>
          <w:b w:val="0"/>
          <w:bCs w:val="0"/>
          <w:i w:val="0"/>
          <w:iCs w:val="0"/>
          <w:color w:val="auto"/>
          <w:sz w:val="21"/>
          <w:szCs w:val="21"/>
          <w:highlight w:val="none"/>
          <w:lang w:val="en-US" w:eastAsia="zh-CN" w:bidi="ar"/>
        </w:rPr>
        <w:t>”</w:t>
      </w:r>
      <w:r>
        <w:rPr>
          <w:rFonts w:hint="eastAsia" w:ascii="宋体" w:hAnsi="宋体" w:eastAsia="宋体" w:cs="宋体"/>
          <w:b w:val="0"/>
          <w:bCs w:val="0"/>
          <w:i w:val="0"/>
          <w:iCs w:val="0"/>
          <w:color w:val="auto"/>
          <w:sz w:val="21"/>
          <w:szCs w:val="21"/>
          <w:highlight w:val="none"/>
          <w:lang w:val="en-US" w:eastAsia="zh-CN" w:bidi="ar"/>
        </w:rPr>
        <w:t>请填写“大型”、“中型”、“小型”、“微型”或“其他”，且不应与《中小企业声明函》或《拟分包情况说明》中内容矛盾。</w:t>
      </w:r>
    </w:p>
    <w:p w14:paraId="7A49A9F9">
      <w:pPr>
        <w:keepNext w:val="0"/>
        <w:keepLines w:val="0"/>
        <w:widowControl/>
        <w:suppressLineNumbers w:val="0"/>
        <w:ind w:firstLine="1050"/>
        <w:jc w:val="left"/>
        <w:rPr>
          <w:rFonts w:hint="eastAsia" w:ascii="宋体" w:hAnsi="宋体" w:eastAsia="宋体" w:cs="宋体"/>
          <w:b w:val="0"/>
          <w:bCs w:val="0"/>
          <w:i w:val="0"/>
          <w:iCs w:val="0"/>
          <w:color w:val="auto"/>
          <w:sz w:val="21"/>
          <w:szCs w:val="21"/>
          <w:highlight w:val="none"/>
        </w:rPr>
      </w:pPr>
      <w:r>
        <w:rPr>
          <w:rFonts w:hint="eastAsia" w:ascii="宋体" w:hAnsi="宋体" w:eastAsia="宋体" w:cs="宋体"/>
          <w:b w:val="0"/>
          <w:bCs w:val="0"/>
          <w:i w:val="0"/>
          <w:iCs w:val="0"/>
          <w:color w:val="auto"/>
          <w:sz w:val="21"/>
          <w:szCs w:val="21"/>
          <w:highlight w:val="none"/>
          <w:lang w:val="en-US" w:eastAsia="zh-CN" w:bidi="ar"/>
        </w:rPr>
        <w:t>2、</w:t>
      </w:r>
      <w:r>
        <w:rPr>
          <w:rFonts w:hint="eastAsia" w:cs="宋体"/>
          <w:b w:val="0"/>
          <w:bCs w:val="0"/>
          <w:i w:val="0"/>
          <w:iCs w:val="0"/>
          <w:color w:val="auto"/>
          <w:sz w:val="21"/>
          <w:szCs w:val="21"/>
          <w:highlight w:val="none"/>
          <w:lang w:val="en-US" w:eastAsia="zh-CN" w:bidi="ar"/>
        </w:rPr>
        <w:t>“制造</w:t>
      </w:r>
      <w:r>
        <w:rPr>
          <w:rFonts w:hint="eastAsia" w:ascii="宋体" w:hAnsi="宋体" w:eastAsia="宋体" w:cs="宋体"/>
          <w:b w:val="0"/>
          <w:bCs w:val="0"/>
          <w:i w:val="0"/>
          <w:iCs w:val="0"/>
          <w:color w:val="auto"/>
          <w:sz w:val="21"/>
          <w:szCs w:val="21"/>
          <w:highlight w:val="none"/>
          <w:lang w:val="en-US" w:eastAsia="zh-CN" w:bidi="ar"/>
        </w:rPr>
        <w:t>商实际控制人性别</w:t>
      </w:r>
      <w:r>
        <w:rPr>
          <w:rFonts w:hint="eastAsia" w:cs="宋体"/>
          <w:b w:val="0"/>
          <w:bCs w:val="0"/>
          <w:i w:val="0"/>
          <w:iCs w:val="0"/>
          <w:color w:val="auto"/>
          <w:sz w:val="21"/>
          <w:szCs w:val="21"/>
          <w:highlight w:val="none"/>
          <w:lang w:val="en-US" w:eastAsia="zh-CN" w:bidi="ar"/>
        </w:rPr>
        <w:t>”</w:t>
      </w:r>
      <w:r>
        <w:rPr>
          <w:rFonts w:hint="eastAsia" w:ascii="宋体" w:hAnsi="宋体" w:eastAsia="宋体" w:cs="宋体"/>
          <w:b w:val="0"/>
          <w:bCs w:val="0"/>
          <w:i w:val="0"/>
          <w:iCs w:val="0"/>
          <w:color w:val="auto"/>
          <w:sz w:val="21"/>
          <w:szCs w:val="21"/>
          <w:highlight w:val="none"/>
          <w:lang w:val="en-US" w:eastAsia="zh-CN" w:bidi="ar"/>
        </w:rPr>
        <w:t>按</w:t>
      </w:r>
      <w:r>
        <w:rPr>
          <w:rFonts w:hint="eastAsia" w:cs="宋体"/>
          <w:b w:val="0"/>
          <w:bCs w:val="0"/>
          <w:i w:val="0"/>
          <w:iCs w:val="0"/>
          <w:color w:val="auto"/>
          <w:sz w:val="21"/>
          <w:szCs w:val="21"/>
          <w:highlight w:val="none"/>
          <w:lang w:val="en-US" w:eastAsia="zh-CN" w:bidi="ar"/>
        </w:rPr>
        <w:t>制造</w:t>
      </w:r>
      <w:r>
        <w:rPr>
          <w:rFonts w:hint="eastAsia" w:ascii="宋体" w:hAnsi="宋体" w:eastAsia="宋体" w:cs="宋体"/>
          <w:b w:val="0"/>
          <w:bCs w:val="0"/>
          <w:i w:val="0"/>
          <w:iCs w:val="0"/>
          <w:color w:val="auto"/>
          <w:sz w:val="21"/>
          <w:szCs w:val="21"/>
          <w:highlight w:val="none"/>
          <w:lang w:val="en-US" w:eastAsia="zh-CN" w:bidi="ar"/>
        </w:rPr>
        <w:t>商实际控制人性别划分请填写“男”或“女”，指拥有</w:t>
      </w:r>
      <w:r>
        <w:rPr>
          <w:rFonts w:hint="eastAsia" w:cs="宋体"/>
          <w:b w:val="0"/>
          <w:bCs w:val="0"/>
          <w:i w:val="0"/>
          <w:iCs w:val="0"/>
          <w:color w:val="auto"/>
          <w:sz w:val="21"/>
          <w:szCs w:val="21"/>
          <w:highlight w:val="none"/>
          <w:lang w:val="en-US" w:eastAsia="zh-CN" w:bidi="ar"/>
        </w:rPr>
        <w:t>制造商</w:t>
      </w:r>
      <w:r>
        <w:rPr>
          <w:rFonts w:hint="eastAsia" w:ascii="宋体" w:hAnsi="宋体" w:eastAsia="宋体" w:cs="宋体"/>
          <w:b w:val="0"/>
          <w:bCs w:val="0"/>
          <w:i w:val="0"/>
          <w:iCs w:val="0"/>
          <w:color w:val="auto"/>
          <w:sz w:val="21"/>
          <w:szCs w:val="21"/>
          <w:highlight w:val="none"/>
          <w:lang w:val="en-US" w:eastAsia="zh-CN" w:bidi="ar"/>
        </w:rPr>
        <w:t xml:space="preserve"> 51%以上绝对所有权的性别；绝对所有权拥有者可以是一个人，也可以是多人合计计算。 </w:t>
      </w:r>
    </w:p>
    <w:p w14:paraId="2744C4F4">
      <w:pPr>
        <w:spacing w:line="300" w:lineRule="auto"/>
        <w:ind w:firstLine="1050"/>
        <w:rPr>
          <w:rFonts w:hint="eastAsia" w:ascii="宋体" w:hAnsi="宋体" w:eastAsia="宋体" w:cs="宋体"/>
          <w:b w:val="0"/>
          <w:bCs w:val="0"/>
          <w:i w:val="0"/>
          <w:iCs w:val="0"/>
          <w:color w:val="auto"/>
          <w:sz w:val="21"/>
          <w:szCs w:val="21"/>
          <w:highlight w:val="none"/>
          <w:lang w:val="en-US" w:eastAsia="zh-CN" w:bidi="ar"/>
        </w:rPr>
        <w:sectPr>
          <w:pgSz w:w="16838" w:h="11906" w:orient="landscape"/>
          <w:pgMar w:top="1803" w:right="1440" w:bottom="1803" w:left="1440" w:header="851" w:footer="992" w:gutter="0"/>
          <w:pgNumType w:fmt="decimal"/>
          <w:cols w:space="720" w:num="1"/>
        </w:sectPr>
      </w:pPr>
      <w:r>
        <w:rPr>
          <w:rFonts w:hint="eastAsia" w:ascii="宋体" w:hAnsi="宋体" w:eastAsia="宋体" w:cs="宋体"/>
          <w:b w:val="0"/>
          <w:bCs w:val="0"/>
          <w:i w:val="0"/>
          <w:iCs w:val="0"/>
          <w:color w:val="auto"/>
          <w:sz w:val="21"/>
          <w:szCs w:val="21"/>
          <w:highlight w:val="none"/>
          <w:lang w:val="en-US" w:eastAsia="zh-CN" w:bidi="ar"/>
        </w:rPr>
        <w:t>3、</w:t>
      </w:r>
      <w:r>
        <w:rPr>
          <w:rFonts w:hint="eastAsia" w:cs="宋体"/>
          <w:b w:val="0"/>
          <w:bCs w:val="0"/>
          <w:i w:val="0"/>
          <w:iCs w:val="0"/>
          <w:color w:val="auto"/>
          <w:sz w:val="21"/>
          <w:szCs w:val="21"/>
          <w:highlight w:val="none"/>
          <w:lang w:val="en-US" w:eastAsia="zh-CN" w:bidi="ar"/>
        </w:rPr>
        <w:t>“</w:t>
      </w:r>
      <w:r>
        <w:rPr>
          <w:rFonts w:hint="eastAsia" w:ascii="宋体" w:hAnsi="宋体" w:eastAsia="宋体" w:cs="宋体"/>
          <w:b w:val="0"/>
          <w:bCs w:val="0"/>
          <w:i w:val="0"/>
          <w:iCs w:val="0"/>
          <w:color w:val="auto"/>
          <w:sz w:val="21"/>
          <w:szCs w:val="21"/>
          <w:highlight w:val="none"/>
          <w:lang w:val="en-US" w:eastAsia="zh-CN" w:bidi="ar"/>
        </w:rPr>
        <w:t>外商投资类型</w:t>
      </w:r>
      <w:r>
        <w:rPr>
          <w:rFonts w:hint="eastAsia" w:cs="宋体"/>
          <w:b w:val="0"/>
          <w:bCs w:val="0"/>
          <w:i w:val="0"/>
          <w:iCs w:val="0"/>
          <w:color w:val="auto"/>
          <w:sz w:val="21"/>
          <w:szCs w:val="21"/>
          <w:highlight w:val="none"/>
          <w:lang w:val="en-US" w:eastAsia="zh-CN" w:bidi="ar"/>
        </w:rPr>
        <w:t>”</w:t>
      </w:r>
      <w:r>
        <w:rPr>
          <w:rFonts w:hint="eastAsia" w:ascii="宋体" w:hAnsi="宋体" w:eastAsia="宋体" w:cs="宋体"/>
          <w:b w:val="0"/>
          <w:bCs w:val="0"/>
          <w:i w:val="0"/>
          <w:iCs w:val="0"/>
          <w:color w:val="auto"/>
          <w:sz w:val="21"/>
          <w:szCs w:val="21"/>
          <w:highlight w:val="none"/>
          <w:lang w:val="en-US" w:eastAsia="zh-CN" w:bidi="ar"/>
        </w:rPr>
        <w:t>请填写“外商单独投资”、“外商部分投资”或“内资”。</w:t>
      </w:r>
    </w:p>
    <w:p w14:paraId="250A4725">
      <w:pPr>
        <w:pStyle w:val="3"/>
        <w:keepNext/>
        <w:keepLines/>
        <w:pageBreakBefore w:val="0"/>
        <w:widowControl w:val="0"/>
        <w:numPr>
          <w:ilvl w:val="0"/>
          <w:numId w:val="0"/>
        </w:numPr>
        <w:bidi w:val="0"/>
        <w:spacing w:before="100" w:after="100" w:line="360" w:lineRule="auto"/>
        <w:ind w:left="420" w:hanging="420"/>
        <w:jc w:val="center"/>
        <w:rPr>
          <w:rFonts w:hint="eastAsia" w:cs="Times New Roman"/>
          <w:b/>
          <w:bCs/>
          <w:color w:val="auto"/>
          <w:sz w:val="32"/>
          <w:szCs w:val="32"/>
          <w:highlight w:val="none"/>
          <w:lang w:val="en-US" w:eastAsia="zh-CN" w:bidi="ar-SA"/>
        </w:rPr>
      </w:pPr>
      <w:bookmarkStart w:id="581" w:name="_Toc31878"/>
      <w:r>
        <w:rPr>
          <w:rFonts w:hint="eastAsia" w:cs="Times New Roman"/>
          <w:b/>
          <w:bCs/>
          <w:color w:val="auto"/>
          <w:sz w:val="32"/>
          <w:szCs w:val="32"/>
          <w:highlight w:val="none"/>
          <w:lang w:val="en-US" w:eastAsia="zh-CN" w:bidi="ar-SA"/>
        </w:rPr>
        <w:t>3、关于符合本国产品标准的声明函或财政部规定的其他</w:t>
      </w:r>
      <w:bookmarkEnd w:id="581"/>
      <w:bookmarkStart w:id="582" w:name="_Toc28398"/>
      <w:r>
        <w:rPr>
          <w:rFonts w:hint="eastAsia" w:cs="Times New Roman"/>
          <w:b/>
          <w:bCs/>
          <w:color w:val="auto"/>
          <w:sz w:val="32"/>
          <w:szCs w:val="32"/>
          <w:highlight w:val="none"/>
          <w:lang w:val="en-US" w:eastAsia="zh-CN" w:bidi="ar-SA"/>
        </w:rPr>
        <w:t>证明文件</w:t>
      </w:r>
      <w:bookmarkEnd w:id="582"/>
      <w:r>
        <w:rPr>
          <w:rFonts w:hint="eastAsia" w:cs="Times New Roman"/>
          <w:b/>
          <w:bCs/>
          <w:color w:val="auto"/>
          <w:sz w:val="32"/>
          <w:szCs w:val="32"/>
          <w:highlight w:val="none"/>
          <w:lang w:val="en-US" w:eastAsia="zh-CN" w:bidi="ar-SA"/>
        </w:rPr>
        <w:t>（如适用）</w:t>
      </w:r>
    </w:p>
    <w:p w14:paraId="41B6ABD5">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附件1</w:t>
      </w:r>
    </w:p>
    <w:p w14:paraId="53EB4941">
      <w:pPr>
        <w:keepNext w:val="0"/>
        <w:keepLines w:val="0"/>
        <w:widowControl/>
        <w:suppressLineNumbers w:val="0"/>
        <w:ind w:firstLine="482"/>
        <w:jc w:val="center"/>
        <w:rPr>
          <w:rFonts w:hint="eastAsia" w:ascii="宋体" w:hAnsi="宋体" w:eastAsia="宋体" w:cs="宋体"/>
          <w:color w:val="auto"/>
          <w:sz w:val="24"/>
          <w:szCs w:val="24"/>
          <w:highlight w:val="none"/>
          <w:lang w:val="en-US" w:eastAsia="zh-CN" w:bidi="ar"/>
        </w:rPr>
      </w:pPr>
      <w:r>
        <w:rPr>
          <w:rFonts w:hint="eastAsia" w:cs="宋体"/>
          <w:b/>
          <w:bCs/>
          <w:color w:val="auto"/>
          <w:sz w:val="24"/>
          <w:szCs w:val="24"/>
          <w:highlight w:val="none"/>
          <w:lang w:val="en-US" w:eastAsia="zh-CN" w:bidi="ar"/>
        </w:rPr>
        <w:t>（一）</w:t>
      </w:r>
      <w:r>
        <w:rPr>
          <w:rFonts w:hint="eastAsia" w:ascii="宋体" w:hAnsi="宋体" w:eastAsia="宋体" w:cs="宋体"/>
          <w:b/>
          <w:bCs/>
          <w:color w:val="auto"/>
          <w:sz w:val="24"/>
          <w:szCs w:val="24"/>
          <w:highlight w:val="none"/>
          <w:lang w:val="en-US" w:eastAsia="zh-CN" w:bidi="ar"/>
        </w:rPr>
        <w:t>关于符合本国产品标准的声明函</w:t>
      </w:r>
    </w:p>
    <w:p w14:paraId="6B576DFE">
      <w:pPr>
        <w:keepNext w:val="0"/>
        <w:keepLines w:val="0"/>
        <w:widowControl/>
        <w:suppressLineNumbers w:val="0"/>
        <w:ind w:firstLine="420"/>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4FCE5413">
      <w:pPr>
        <w:keepNext w:val="0"/>
        <w:keepLines w:val="0"/>
        <w:widowControl/>
        <w:suppressLineNumbers w:val="0"/>
        <w:ind w:firstLine="420"/>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u w:val="single"/>
          <w:lang w:val="en-US" w:eastAsia="zh-CN" w:bidi="ar"/>
        </w:rPr>
        <w:t>（产品名称1）</w:t>
      </w:r>
      <w:r>
        <w:rPr>
          <w:rFonts w:hint="eastAsia" w:ascii="宋体" w:hAnsi="宋体" w:eastAsia="宋体" w:cs="宋体"/>
          <w:color w:val="auto"/>
          <w:sz w:val="21"/>
          <w:szCs w:val="21"/>
          <w:highlight w:val="none"/>
          <w:lang w:val="en-US" w:eastAsia="zh-CN" w:bidi="ar"/>
        </w:rPr>
        <w:t>1，生产厂为</w:t>
      </w:r>
      <w:r>
        <w:rPr>
          <w:rFonts w:hint="eastAsia" w:ascii="宋体" w:hAnsi="宋体" w:eastAsia="宋体" w:cs="宋体"/>
          <w:color w:val="auto"/>
          <w:sz w:val="21"/>
          <w:szCs w:val="21"/>
          <w:highlight w:val="none"/>
          <w:u w:val="single"/>
          <w:lang w:val="en-US" w:eastAsia="zh-CN" w:bidi="ar"/>
        </w:rPr>
        <w:t>（厂名）</w:t>
      </w:r>
      <w:r>
        <w:rPr>
          <w:rFonts w:hint="eastAsia" w:ascii="宋体" w:hAnsi="宋体" w:eastAsia="宋体" w:cs="宋体"/>
          <w:color w:val="auto"/>
          <w:sz w:val="21"/>
          <w:szCs w:val="21"/>
          <w:highlight w:val="none"/>
          <w:lang w:val="en-US" w:eastAsia="zh-CN" w:bidi="ar"/>
        </w:rPr>
        <w:t>2，厂址为</w:t>
      </w:r>
      <w:r>
        <w:rPr>
          <w:rFonts w:hint="eastAsia" w:ascii="宋体" w:hAnsi="宋体" w:eastAsia="宋体" w:cs="宋体"/>
          <w:color w:val="auto"/>
          <w:sz w:val="21"/>
          <w:szCs w:val="21"/>
          <w:highlight w:val="none"/>
          <w:u w:val="single"/>
          <w:lang w:val="en-US" w:eastAsia="zh-CN" w:bidi="ar"/>
        </w:rPr>
        <w:t>（生产厂址）</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u w:val="single"/>
          <w:lang w:val="en-US" w:eastAsia="zh-CN" w:bidi="ar"/>
        </w:rPr>
        <w:t>（产品名称1）</w:t>
      </w:r>
      <w:r>
        <w:rPr>
          <w:rFonts w:hint="eastAsia" w:ascii="宋体" w:hAnsi="宋体" w:eastAsia="宋体" w:cs="宋体"/>
          <w:color w:val="auto"/>
          <w:sz w:val="21"/>
          <w:szCs w:val="21"/>
          <w:highlight w:val="none"/>
          <w:lang w:val="en-US" w:eastAsia="zh-CN" w:bidi="ar"/>
        </w:rPr>
        <w:t>的中国境内生产的组件成本占比≥</w:t>
      </w:r>
      <w:r>
        <w:rPr>
          <w:rFonts w:hint="eastAsia" w:ascii="宋体" w:hAnsi="宋体" w:eastAsia="宋体" w:cs="宋体"/>
          <w:color w:val="auto"/>
          <w:sz w:val="21"/>
          <w:szCs w:val="21"/>
          <w:highlight w:val="none"/>
          <w:u w:val="single"/>
          <w:lang w:val="en-US" w:eastAsia="zh-CN" w:bidi="ar"/>
        </w:rPr>
        <w:t>（规定比例）</w:t>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u w:val="single"/>
          <w:lang w:val="en-US" w:eastAsia="zh-CN" w:bidi="ar"/>
        </w:rPr>
        <w:t>（产品名称1）</w:t>
      </w:r>
      <w:r>
        <w:rPr>
          <w:rFonts w:hint="eastAsia" w:ascii="宋体" w:hAnsi="宋体" w:eastAsia="宋体" w:cs="宋体"/>
          <w:color w:val="auto"/>
          <w:sz w:val="21"/>
          <w:szCs w:val="21"/>
          <w:highlight w:val="none"/>
          <w:lang w:val="en-US" w:eastAsia="zh-CN" w:bidi="ar"/>
        </w:rPr>
        <w:t>的</w:t>
      </w:r>
      <w:r>
        <w:rPr>
          <w:rFonts w:hint="eastAsia" w:ascii="宋体" w:hAnsi="宋体" w:eastAsia="宋体" w:cs="宋体"/>
          <w:color w:val="auto"/>
          <w:sz w:val="21"/>
          <w:szCs w:val="21"/>
          <w:highlight w:val="none"/>
          <w:u w:val="single"/>
          <w:lang w:val="en-US" w:eastAsia="zh-CN" w:bidi="ar"/>
        </w:rPr>
        <w:t>（关键组件）</w:t>
      </w:r>
      <w:r>
        <w:rPr>
          <w:rFonts w:hint="eastAsia" w:ascii="宋体" w:hAnsi="宋体" w:eastAsia="宋体" w:cs="宋体"/>
          <w:color w:val="auto"/>
          <w:sz w:val="21"/>
          <w:szCs w:val="21"/>
          <w:highlight w:val="none"/>
          <w:lang w:val="en-US" w:eastAsia="zh-CN" w:bidi="ar"/>
        </w:rPr>
        <w:t>4在中国境内生产。</w:t>
      </w:r>
      <w:r>
        <w:rPr>
          <w:rFonts w:hint="eastAsia" w:ascii="宋体" w:hAnsi="宋体" w:eastAsia="宋体" w:cs="宋体"/>
          <w:color w:val="auto"/>
          <w:sz w:val="21"/>
          <w:szCs w:val="21"/>
          <w:highlight w:val="none"/>
          <w:u w:val="single"/>
          <w:lang w:val="en-US" w:eastAsia="zh-CN" w:bidi="ar"/>
        </w:rPr>
        <w:t>（产品名称1）</w:t>
      </w:r>
      <w:r>
        <w:rPr>
          <w:rFonts w:hint="eastAsia" w:ascii="宋体" w:hAnsi="宋体" w:eastAsia="宋体" w:cs="宋体"/>
          <w:color w:val="auto"/>
          <w:sz w:val="21"/>
          <w:szCs w:val="21"/>
          <w:highlight w:val="none"/>
          <w:lang w:val="en-US" w:eastAsia="zh-CN" w:bidi="ar"/>
        </w:rPr>
        <w:t>的</w:t>
      </w:r>
      <w:r>
        <w:rPr>
          <w:rFonts w:hint="eastAsia" w:ascii="宋体" w:hAnsi="宋体" w:eastAsia="宋体" w:cs="宋体"/>
          <w:color w:val="auto"/>
          <w:sz w:val="21"/>
          <w:szCs w:val="21"/>
          <w:highlight w:val="none"/>
          <w:u w:val="single"/>
          <w:lang w:val="en-US" w:eastAsia="zh-CN" w:bidi="ar"/>
        </w:rPr>
        <w:t>（关键工序）</w:t>
      </w:r>
      <w:r>
        <w:rPr>
          <w:rFonts w:hint="eastAsia" w:ascii="宋体" w:hAnsi="宋体" w:eastAsia="宋体" w:cs="宋体"/>
          <w:color w:val="auto"/>
          <w:sz w:val="21"/>
          <w:szCs w:val="21"/>
          <w:highlight w:val="none"/>
          <w:lang w:val="en-US" w:eastAsia="zh-CN" w:bidi="ar"/>
        </w:rPr>
        <w:t>5在中国境内完成。</w:t>
      </w:r>
    </w:p>
    <w:p w14:paraId="1DE02AE8">
      <w:pPr>
        <w:keepNext w:val="0"/>
        <w:keepLines w:val="0"/>
        <w:widowControl/>
        <w:suppressLineNumbers w:val="0"/>
        <w:ind w:firstLine="420"/>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u w:val="single"/>
          <w:lang w:val="en-US" w:eastAsia="zh-CN" w:bidi="ar"/>
        </w:rPr>
        <w:t>（产品名称2）</w:t>
      </w:r>
      <w:r>
        <w:rPr>
          <w:rFonts w:hint="eastAsia" w:ascii="宋体" w:hAnsi="宋体" w:eastAsia="宋体" w:cs="宋体"/>
          <w:color w:val="auto"/>
          <w:sz w:val="21"/>
          <w:szCs w:val="21"/>
          <w:highlight w:val="none"/>
          <w:lang w:val="en-US" w:eastAsia="zh-CN" w:bidi="ar"/>
        </w:rPr>
        <w:t>，生产厂为</w:t>
      </w:r>
      <w:r>
        <w:rPr>
          <w:rFonts w:hint="eastAsia" w:ascii="宋体" w:hAnsi="宋体" w:eastAsia="宋体" w:cs="宋体"/>
          <w:color w:val="auto"/>
          <w:sz w:val="21"/>
          <w:szCs w:val="21"/>
          <w:highlight w:val="none"/>
          <w:u w:val="single"/>
          <w:lang w:val="en-US" w:eastAsia="zh-CN" w:bidi="ar"/>
        </w:rPr>
        <w:t>（厂名）</w:t>
      </w:r>
      <w:r>
        <w:rPr>
          <w:rFonts w:hint="eastAsia" w:ascii="宋体" w:hAnsi="宋体" w:eastAsia="宋体" w:cs="宋体"/>
          <w:color w:val="auto"/>
          <w:sz w:val="21"/>
          <w:szCs w:val="21"/>
          <w:highlight w:val="none"/>
          <w:lang w:val="en-US" w:eastAsia="zh-CN" w:bidi="ar"/>
        </w:rPr>
        <w:t>，厂址为</w:t>
      </w:r>
      <w:r>
        <w:rPr>
          <w:rFonts w:hint="eastAsia" w:ascii="宋体" w:hAnsi="宋体" w:eastAsia="宋体" w:cs="宋体"/>
          <w:color w:val="auto"/>
          <w:sz w:val="21"/>
          <w:szCs w:val="21"/>
          <w:highlight w:val="none"/>
          <w:u w:val="single"/>
          <w:lang w:val="en-US" w:eastAsia="zh-CN" w:bidi="ar"/>
        </w:rPr>
        <w:t>（生产厂址）</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u w:val="single"/>
          <w:lang w:val="en-US" w:eastAsia="zh-CN" w:bidi="ar"/>
        </w:rPr>
        <w:t>（产品名称2）</w:t>
      </w:r>
      <w:r>
        <w:rPr>
          <w:rFonts w:hint="eastAsia" w:ascii="宋体" w:hAnsi="宋体" w:eastAsia="宋体" w:cs="宋体"/>
          <w:color w:val="auto"/>
          <w:sz w:val="21"/>
          <w:szCs w:val="21"/>
          <w:highlight w:val="none"/>
          <w:lang w:val="en-US" w:eastAsia="zh-CN" w:bidi="ar"/>
        </w:rPr>
        <w:t>的中国境内生产的组件成本占比≥</w:t>
      </w:r>
      <w:r>
        <w:rPr>
          <w:rFonts w:hint="eastAsia" w:ascii="宋体" w:hAnsi="宋体" w:eastAsia="宋体" w:cs="宋体"/>
          <w:color w:val="auto"/>
          <w:sz w:val="21"/>
          <w:szCs w:val="21"/>
          <w:highlight w:val="none"/>
          <w:u w:val="single"/>
          <w:lang w:val="en-US" w:eastAsia="zh-CN" w:bidi="ar"/>
        </w:rPr>
        <w:t>（规定比例）</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u w:val="single"/>
          <w:lang w:val="en-US" w:eastAsia="zh-CN" w:bidi="ar"/>
        </w:rPr>
        <w:t>（产品名称2）</w:t>
      </w:r>
      <w:r>
        <w:rPr>
          <w:rFonts w:hint="eastAsia" w:ascii="宋体" w:hAnsi="宋体" w:eastAsia="宋体" w:cs="宋体"/>
          <w:color w:val="auto"/>
          <w:sz w:val="21"/>
          <w:szCs w:val="21"/>
          <w:highlight w:val="none"/>
          <w:lang w:val="en-US" w:eastAsia="zh-CN" w:bidi="ar"/>
        </w:rPr>
        <w:t>的</w:t>
      </w:r>
      <w:r>
        <w:rPr>
          <w:rFonts w:hint="eastAsia" w:ascii="宋体" w:hAnsi="宋体" w:eastAsia="宋体" w:cs="宋体"/>
          <w:color w:val="auto"/>
          <w:sz w:val="21"/>
          <w:szCs w:val="21"/>
          <w:highlight w:val="none"/>
          <w:u w:val="single"/>
          <w:lang w:val="en-US" w:eastAsia="zh-CN" w:bidi="ar"/>
        </w:rPr>
        <w:t>（关键组件）</w:t>
      </w:r>
      <w:r>
        <w:rPr>
          <w:rFonts w:hint="eastAsia" w:ascii="宋体" w:hAnsi="宋体" w:eastAsia="宋体" w:cs="宋体"/>
          <w:color w:val="auto"/>
          <w:sz w:val="21"/>
          <w:szCs w:val="21"/>
          <w:highlight w:val="none"/>
          <w:lang w:val="en-US" w:eastAsia="zh-CN" w:bidi="ar"/>
        </w:rPr>
        <w:t>在中国境内生产。</w:t>
      </w:r>
      <w:r>
        <w:rPr>
          <w:rFonts w:hint="eastAsia" w:ascii="宋体" w:hAnsi="宋体" w:eastAsia="宋体" w:cs="宋体"/>
          <w:color w:val="auto"/>
          <w:sz w:val="21"/>
          <w:szCs w:val="21"/>
          <w:highlight w:val="none"/>
          <w:u w:val="single"/>
          <w:lang w:val="en-US" w:eastAsia="zh-CN" w:bidi="ar"/>
        </w:rPr>
        <w:t>（产品名称2）</w:t>
      </w:r>
      <w:r>
        <w:rPr>
          <w:rFonts w:hint="eastAsia" w:ascii="宋体" w:hAnsi="宋体" w:eastAsia="宋体" w:cs="宋体"/>
          <w:color w:val="auto"/>
          <w:sz w:val="21"/>
          <w:szCs w:val="21"/>
          <w:highlight w:val="none"/>
          <w:lang w:val="en-US" w:eastAsia="zh-CN" w:bidi="ar"/>
        </w:rPr>
        <w:t>的（关键工序）在中国境内完成。</w:t>
      </w:r>
    </w:p>
    <w:p w14:paraId="0727DB1B">
      <w:pPr>
        <w:keepNext w:val="0"/>
        <w:keepLines w:val="0"/>
        <w:widowControl/>
        <w:suppressLineNumbers w:val="0"/>
        <w:ind w:firstLine="420"/>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w:t>
      </w:r>
    </w:p>
    <w:p w14:paraId="5C4093C4">
      <w:pPr>
        <w:keepNext w:val="0"/>
        <w:keepLines w:val="0"/>
        <w:widowControl/>
        <w:suppressLineNumbers w:val="0"/>
        <w:ind w:firstLine="420"/>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本公司（单位）对上述声明内容的真实性负责。如有虚假，愿承担相应法律责任。</w:t>
      </w:r>
    </w:p>
    <w:p w14:paraId="13F9D071">
      <w:pPr>
        <w:keepNext w:val="0"/>
        <w:keepLines w:val="0"/>
        <w:widowControl/>
        <w:suppressLineNumbers w:val="0"/>
        <w:ind w:firstLine="420"/>
        <w:jc w:val="both"/>
        <w:rPr>
          <w:rFonts w:hint="eastAsia" w:ascii="宋体" w:hAnsi="宋体" w:eastAsia="宋体" w:cs="宋体"/>
          <w:color w:val="auto"/>
          <w:sz w:val="21"/>
          <w:szCs w:val="21"/>
          <w:highlight w:val="none"/>
          <w:lang w:val="en-US" w:eastAsia="zh-CN" w:bidi="ar"/>
        </w:rPr>
      </w:pPr>
    </w:p>
    <w:p w14:paraId="7A0FB95B">
      <w:pPr>
        <w:keepNext w:val="0"/>
        <w:keepLines w:val="0"/>
        <w:widowControl/>
        <w:suppressLineNumbers w:val="0"/>
        <w:ind w:firstLine="420"/>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公司（单位）名称（盖章）：　        </w:t>
      </w:r>
    </w:p>
    <w:p w14:paraId="5611B353">
      <w:pPr>
        <w:keepNext w:val="0"/>
        <w:keepLines w:val="0"/>
        <w:widowControl/>
        <w:suppressLineNumbers w:val="0"/>
        <w:ind w:firstLine="420"/>
        <w:jc w:val="both"/>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日期：　     年　  月　  日         </w:t>
      </w:r>
    </w:p>
    <w:p w14:paraId="78F73EC7">
      <w:pPr>
        <w:keepNext w:val="0"/>
        <w:keepLines w:val="0"/>
        <w:widowControl/>
        <w:suppressLineNumbers w:val="0"/>
        <w:ind w:firstLine="420"/>
        <w:jc w:val="left"/>
        <w:rPr>
          <w:rFonts w:hint="eastAsia" w:ascii="宋体" w:hAnsi="宋体" w:eastAsia="宋体" w:cs="宋体"/>
          <w:color w:val="auto"/>
          <w:sz w:val="21"/>
          <w:szCs w:val="21"/>
          <w:highlight w:val="none"/>
          <w:lang w:val="en-US" w:eastAsia="zh-CN" w:bidi="ar"/>
        </w:rPr>
      </w:pPr>
    </w:p>
    <w:p w14:paraId="301377C3">
      <w:pPr>
        <w:keepNext w:val="0"/>
        <w:keepLines w:val="0"/>
        <w:widowControl/>
        <w:suppressLineNumbers w:val="0"/>
        <w:jc w:val="left"/>
        <w:rPr>
          <w:rFonts w:hint="eastAsia" w:ascii="宋体" w:hAnsi="宋体" w:eastAsia="宋体" w:cs="宋体"/>
          <w:color w:val="auto"/>
          <w:sz w:val="21"/>
          <w:szCs w:val="21"/>
          <w:highlight w:val="none"/>
          <w:lang w:val="en-US" w:eastAsia="zh-CN" w:bidi="ar"/>
        </w:rPr>
      </w:pPr>
      <w:r>
        <w:rPr>
          <w:rFonts w:hint="eastAsia" w:cs="宋体"/>
          <w:b/>
          <w:bCs/>
          <w:color w:val="auto"/>
          <w:sz w:val="21"/>
          <w:szCs w:val="21"/>
          <w:highlight w:val="none"/>
          <w:lang w:val="en-US" w:eastAsia="zh-CN" w:bidi="ar"/>
        </w:rPr>
        <w:t>注：</w:t>
      </w:r>
      <w:r>
        <w:rPr>
          <w:rFonts w:hint="eastAsia" w:ascii="宋体" w:hAnsi="宋体" w:eastAsia="宋体" w:cs="宋体"/>
          <w:color w:val="auto"/>
          <w:sz w:val="21"/>
          <w:szCs w:val="21"/>
          <w:highlight w:val="none"/>
          <w:lang w:val="en-US" w:eastAsia="zh-CN" w:bidi="ar"/>
        </w:rPr>
        <w:t>1.产品如有型号，请在“产品名称”栏一并填写。</w:t>
      </w:r>
    </w:p>
    <w:p w14:paraId="636AC30C">
      <w:pPr>
        <w:keepNext w:val="0"/>
        <w:keepLines w:val="0"/>
        <w:widowControl/>
        <w:suppressLineNumbers w:val="0"/>
        <w:ind w:firstLine="42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2.生产厂名与厂址应与生产厂营业执照载明的相关信息保持一致。</w:t>
      </w:r>
    </w:p>
    <w:p w14:paraId="28937EAB">
      <w:pPr>
        <w:keepNext w:val="0"/>
        <w:keepLines w:val="0"/>
        <w:widowControl/>
        <w:suppressLineNumbers w:val="0"/>
        <w:ind w:firstLine="42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3.该产品的中国境内生产的组件成本占比相关要求实施前，“规定比例”栏可不填，下同。</w:t>
      </w:r>
    </w:p>
    <w:p w14:paraId="46FBE6D1">
      <w:pPr>
        <w:keepNext w:val="0"/>
        <w:keepLines w:val="0"/>
        <w:widowControl/>
        <w:suppressLineNumbers w:val="0"/>
        <w:ind w:firstLine="42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4.该产品的关键组件要求实施前，“关键组件”栏可不填，下同。</w:t>
      </w:r>
    </w:p>
    <w:p w14:paraId="099065DC">
      <w:pPr>
        <w:keepNext w:val="0"/>
        <w:keepLines w:val="0"/>
        <w:widowControl/>
        <w:suppressLineNumbers w:val="0"/>
        <w:ind w:firstLine="42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5.该产品的关键工序要求实施前，“关键工序”栏可不填，下同。</w:t>
      </w:r>
    </w:p>
    <w:p w14:paraId="7EAAF4EE">
      <w:pPr>
        <w:rPr>
          <w:rFonts w:hint="eastAsia" w:ascii="宋体" w:hAnsi="宋体" w:eastAsia="宋体" w:cs="宋体"/>
          <w:b w:val="0"/>
          <w:bCs w:val="0"/>
          <w:i w:val="0"/>
          <w:iCs w:val="0"/>
          <w:color w:val="auto"/>
          <w:sz w:val="21"/>
          <w:szCs w:val="21"/>
          <w:highlight w:val="none"/>
          <w:lang w:val="en-US" w:eastAsia="zh-CN" w:bidi="ar"/>
        </w:rPr>
      </w:pPr>
      <w:r>
        <w:rPr>
          <w:rFonts w:hint="eastAsia" w:ascii="宋体" w:hAnsi="宋体" w:eastAsia="宋体" w:cs="宋体"/>
          <w:b w:val="0"/>
          <w:bCs w:val="0"/>
          <w:i w:val="0"/>
          <w:iCs w:val="0"/>
          <w:color w:val="auto"/>
          <w:sz w:val="21"/>
          <w:szCs w:val="21"/>
          <w:highlight w:val="none"/>
          <w:lang w:val="en-US" w:eastAsia="zh-CN" w:bidi="ar"/>
        </w:rPr>
        <w:br w:type="page" w:clear="all"/>
      </w:r>
    </w:p>
    <w:p w14:paraId="25A458B7">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Times New Roman" w:hAnsi="Times New Roman" w:eastAsia="宋体" w:cs="Times New Roman"/>
          <w:lang w:val="en-US" w:eastAsia="zh-CN"/>
        </w:rPr>
      </w:pPr>
      <w:bookmarkStart w:id="583" w:name="_Toc30057"/>
      <w:r>
        <w:rPr>
          <w:rFonts w:hint="eastAsia" w:ascii="Times New Roman" w:hAnsi="Times New Roman" w:eastAsia="宋体" w:cs="Times New Roman"/>
          <w:lang w:val="en-US" w:eastAsia="zh-CN"/>
        </w:rPr>
        <w:t>三、商务技术文件</w:t>
      </w:r>
      <w:bookmarkEnd w:id="583"/>
    </w:p>
    <w:p w14:paraId="25A0C6EE">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584" w:name="_Toc109899908"/>
      <w:bookmarkStart w:id="585" w:name="_Toc140132831"/>
      <w:bookmarkStart w:id="586" w:name="_Toc109899489"/>
      <w:bookmarkStart w:id="587" w:name="_Toc25402"/>
      <w:bookmarkStart w:id="588" w:name="_Toc163492915"/>
      <w:bookmarkStart w:id="589" w:name="_Toc12368"/>
      <w:bookmarkStart w:id="590" w:name="_Toc109900327"/>
      <w:bookmarkStart w:id="591" w:name="_Toc3577"/>
      <w:bookmarkStart w:id="592" w:name="_Toc155185921"/>
      <w:r>
        <w:rPr>
          <w:rFonts w:hint="eastAsia" w:ascii="Cambria" w:hAnsi="Cambria" w:eastAsia="宋体" w:cs="Times New Roman"/>
          <w:b/>
          <w:bCs/>
          <w:color w:val="auto"/>
          <w:sz w:val="32"/>
          <w:szCs w:val="32"/>
          <w:highlight w:val="none"/>
          <w:lang w:val="en-US" w:eastAsia="zh-CN" w:bidi="ar-SA"/>
        </w:rPr>
        <w:t>1、投标函</w:t>
      </w:r>
      <w:bookmarkEnd w:id="584"/>
      <w:bookmarkEnd w:id="585"/>
      <w:bookmarkEnd w:id="586"/>
      <w:bookmarkEnd w:id="587"/>
      <w:bookmarkEnd w:id="588"/>
      <w:bookmarkEnd w:id="589"/>
      <w:bookmarkEnd w:id="590"/>
      <w:bookmarkEnd w:id="591"/>
      <w:bookmarkEnd w:id="592"/>
    </w:p>
    <w:p w14:paraId="227DF718">
      <w:pPr>
        <w:rPr>
          <w:color w:val="auto"/>
          <w:highlight w:val="none"/>
        </w:rPr>
      </w:pPr>
      <w:r>
        <w:rPr>
          <w:rFonts w:hint="eastAsia"/>
          <w:color w:val="auto"/>
          <w:highlight w:val="none"/>
        </w:rPr>
        <w:t>致：（采购人）</w:t>
      </w:r>
    </w:p>
    <w:p w14:paraId="26DB824F">
      <w:pPr>
        <w:ind w:firstLine="48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5CD8097B">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649C878F">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1A956A88">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4340616C">
      <w:pPr>
        <w:spacing w:line="324" w:lineRule="auto"/>
        <w:ind w:firstLine="480"/>
        <w:rPr>
          <w:rFonts w:cs="Arial"/>
          <w:color w:val="auto"/>
          <w:szCs w:val="24"/>
          <w:highlight w:val="none"/>
        </w:rPr>
      </w:pPr>
      <w:r>
        <w:rPr>
          <w:rFonts w:cs="Arial"/>
          <w:color w:val="auto"/>
          <w:szCs w:val="24"/>
          <w:highlight w:val="none"/>
        </w:rPr>
        <w:t>根据此函，签字代表宣布同意如下：</w:t>
      </w:r>
    </w:p>
    <w:p w14:paraId="06A138C2">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1.</w:t>
      </w:r>
      <w:r>
        <w:rPr>
          <w:rFonts w:cs="Arial"/>
          <w:color w:val="auto"/>
          <w:szCs w:val="24"/>
          <w:highlight w:val="none"/>
        </w:rPr>
        <w:t>所附投标价格表中规定的应提交和交付的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lang w:val="en-US" w:eastAsia="zh-CN"/>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77D3F98C">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60AD9378">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已详细审查全部招标文件，包括第</w:t>
      </w:r>
      <w:r>
        <w:rPr>
          <w:rFonts w:cs="Arial"/>
          <w:i w:val="0"/>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06AA306D">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4.</w:t>
      </w:r>
      <w:r>
        <w:rPr>
          <w:rFonts w:hint="eastAsia" w:cs="Arial"/>
          <w:color w:val="auto"/>
          <w:szCs w:val="24"/>
          <w:highlight w:val="none"/>
        </w:rPr>
        <w:t>投标有效期为自提交投标文件的截止之日起</w:t>
      </w:r>
      <w:r>
        <w:rPr>
          <w:rFonts w:hint="eastAsia" w:cs="Arial"/>
          <w:i/>
          <w:color w:val="auto"/>
          <w:szCs w:val="24"/>
          <w:highlight w:val="none"/>
          <w:u w:val="single"/>
        </w:rPr>
        <w:t xml:space="preserve"> </w:t>
      </w:r>
      <w:r>
        <w:rPr>
          <w:rFonts w:hint="eastAsia" w:cs="Arial"/>
          <w:i w:val="0"/>
          <w:iCs/>
          <w:color w:val="auto"/>
          <w:szCs w:val="24"/>
          <w:highlight w:val="none"/>
          <w:u w:val="single"/>
        </w:rPr>
        <w:t>（由投标人填写）</w:t>
      </w:r>
      <w:r>
        <w:rPr>
          <w:rFonts w:cs="Arial"/>
          <w:color w:val="auto"/>
          <w:szCs w:val="24"/>
          <w:highlight w:val="none"/>
        </w:rPr>
        <w:t>个日历天。</w:t>
      </w:r>
    </w:p>
    <w:p w14:paraId="0EE3296A">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5.</w:t>
      </w:r>
      <w:r>
        <w:rPr>
          <w:rFonts w:hint="eastAsia" w:cs="Arial"/>
          <w:color w:val="auto"/>
          <w:szCs w:val="24"/>
          <w:highlight w:val="none"/>
        </w:rPr>
        <w:t>我方</w:t>
      </w:r>
      <w:r>
        <w:rPr>
          <w:rFonts w:cs="Arial"/>
          <w:color w:val="auto"/>
          <w:szCs w:val="24"/>
          <w:highlight w:val="none"/>
        </w:rPr>
        <w:t>同意提供按照贵方</w:t>
      </w:r>
      <w:r>
        <w:rPr>
          <w:rFonts w:hint="eastAsia" w:cs="Arial"/>
          <w:color w:val="auto"/>
          <w:szCs w:val="24"/>
          <w:highlight w:val="none"/>
          <w:lang w:val="en-US" w:eastAsia="zh-CN"/>
        </w:rPr>
        <w:t>招标</w:t>
      </w:r>
      <w:r>
        <w:rPr>
          <w:rFonts w:hint="eastAsia" w:cs="Arial"/>
          <w:color w:val="auto"/>
          <w:szCs w:val="24"/>
          <w:highlight w:val="none"/>
        </w:rPr>
        <w:t>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616B846B">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6.</w:t>
      </w:r>
      <w:r>
        <w:rPr>
          <w:rFonts w:hint="eastAsia" w:cs="Arial"/>
          <w:color w:val="auto"/>
          <w:szCs w:val="24"/>
          <w:highlight w:val="none"/>
        </w:rPr>
        <w:t>本项目如由中标人支付采购代理服务费，我方同意按投标人须知前附表中规定向采购代理机构支付采购代理服务费。</w:t>
      </w:r>
    </w:p>
    <w:p w14:paraId="5B8FAD54">
      <w:pPr>
        <w:numPr>
          <w:ilvl w:val="0"/>
          <w:numId w:val="0"/>
        </w:numPr>
        <w:spacing w:line="324" w:lineRule="auto"/>
        <w:ind w:firstLine="480"/>
        <w:jc w:val="both"/>
        <w:rPr>
          <w:rFonts w:cs="Arial"/>
          <w:color w:val="auto"/>
          <w:szCs w:val="24"/>
          <w:highlight w:val="none"/>
        </w:rPr>
      </w:pPr>
      <w:r>
        <w:rPr>
          <w:rFonts w:hint="eastAsia" w:ascii="宋体" w:hAnsi="宋体" w:eastAsia="宋体" w:cs="Arial"/>
          <w:color w:val="auto"/>
          <w:sz w:val="24"/>
          <w:szCs w:val="24"/>
          <w:highlight w:val="none"/>
          <w:lang w:val="en-US" w:eastAsia="zh-CN" w:bidi="ar-SA"/>
        </w:rPr>
        <w:t>7.</w:t>
      </w:r>
      <w:r>
        <w:rPr>
          <w:rFonts w:hint="eastAsia" w:cs="Arial"/>
          <w:color w:val="auto"/>
          <w:szCs w:val="24"/>
          <w:highlight w:val="none"/>
        </w:rPr>
        <w:t>重要声明：</w:t>
      </w:r>
    </w:p>
    <w:p w14:paraId="0DD76A44">
      <w:pPr>
        <w:spacing w:line="324" w:lineRule="auto"/>
        <w:ind w:firstLine="480"/>
        <w:rPr>
          <w:color w:val="auto"/>
          <w:szCs w:val="24"/>
          <w:highlight w:val="none"/>
        </w:rPr>
      </w:pPr>
      <w:r>
        <w:rPr>
          <w:rFonts w:hint="eastAsia"/>
          <w:color w:val="auto"/>
          <w:szCs w:val="24"/>
          <w:highlight w:val="none"/>
        </w:rPr>
        <w:t>1）与我方单位负责人为同一人的其他单位名称：</w:t>
      </w:r>
    </w:p>
    <w:p w14:paraId="6F94727C">
      <w:pPr>
        <w:spacing w:line="324" w:lineRule="auto"/>
        <w:ind w:left="456" w:firstLine="355"/>
        <w:rPr>
          <w:i w:val="0"/>
          <w:iCs/>
          <w:color w:val="auto"/>
          <w:szCs w:val="24"/>
          <w:highlight w:val="none"/>
        </w:rPr>
      </w:pPr>
      <w:r>
        <w:rPr>
          <w:rFonts w:hint="eastAsia"/>
          <w:color w:val="auto"/>
          <w:szCs w:val="24"/>
          <w:highlight w:val="none"/>
          <w:lang w:eastAsia="zh-CN"/>
        </w:rPr>
        <w:t>□</w:t>
      </w:r>
      <w:r>
        <w:rPr>
          <w:rFonts w:hint="eastAsia"/>
          <w:color w:val="auto"/>
          <w:szCs w:val="24"/>
          <w:highlight w:val="none"/>
        </w:rPr>
        <w:t>无；</w:t>
      </w:r>
      <w:r>
        <w:rPr>
          <w:rFonts w:hint="eastAsia"/>
          <w:color w:val="auto"/>
          <w:szCs w:val="24"/>
          <w:highlight w:val="none"/>
          <w:lang w:eastAsia="zh-CN"/>
        </w:rPr>
        <w:t>□</w:t>
      </w:r>
      <w:r>
        <w:rPr>
          <w:rFonts w:hint="eastAsia"/>
          <w:color w:val="auto"/>
          <w:szCs w:val="24"/>
          <w:highlight w:val="none"/>
        </w:rPr>
        <w:t>有，具体单位名称为：</w:t>
      </w:r>
      <w:r>
        <w:rPr>
          <w:rFonts w:hint="eastAsia" w:cs="Arial"/>
          <w:i w:val="0"/>
          <w:iCs/>
          <w:color w:val="auto"/>
          <w:szCs w:val="24"/>
          <w:highlight w:val="none"/>
          <w:u w:val="single"/>
        </w:rPr>
        <w:t>（由投标人如实填写）</w:t>
      </w:r>
      <w:r>
        <w:rPr>
          <w:rFonts w:hint="eastAsia"/>
          <w:i w:val="0"/>
          <w:iCs/>
          <w:color w:val="auto"/>
          <w:szCs w:val="24"/>
          <w:highlight w:val="none"/>
        </w:rPr>
        <w:t>。</w:t>
      </w:r>
    </w:p>
    <w:p w14:paraId="79D50AB6">
      <w:pPr>
        <w:spacing w:line="324" w:lineRule="auto"/>
        <w:ind w:firstLine="480"/>
        <w:rPr>
          <w:i w:val="0"/>
          <w:iCs/>
          <w:color w:val="auto"/>
          <w:szCs w:val="24"/>
          <w:highlight w:val="none"/>
        </w:rPr>
      </w:pPr>
      <w:r>
        <w:rPr>
          <w:rFonts w:hint="eastAsia"/>
          <w:i w:val="0"/>
          <w:iCs/>
          <w:color w:val="auto"/>
          <w:szCs w:val="24"/>
          <w:highlight w:val="none"/>
        </w:rPr>
        <w:t>2）与我方存在控股、管理关系的其他单位的名称：</w:t>
      </w:r>
    </w:p>
    <w:p w14:paraId="52B80541">
      <w:pPr>
        <w:spacing w:line="324" w:lineRule="auto"/>
        <w:ind w:left="456" w:firstLine="355"/>
        <w:rPr>
          <w:color w:val="auto"/>
          <w:szCs w:val="24"/>
          <w:highlight w:val="none"/>
        </w:rPr>
      </w:pPr>
      <w:r>
        <w:rPr>
          <w:rFonts w:hint="eastAsia"/>
          <w:i w:val="0"/>
          <w:iCs/>
          <w:color w:val="auto"/>
          <w:szCs w:val="24"/>
          <w:highlight w:val="none"/>
          <w:lang w:eastAsia="zh-CN"/>
        </w:rPr>
        <w:t>□</w:t>
      </w:r>
      <w:r>
        <w:rPr>
          <w:rFonts w:hint="eastAsia"/>
          <w:i w:val="0"/>
          <w:iCs/>
          <w:color w:val="auto"/>
          <w:szCs w:val="24"/>
          <w:highlight w:val="none"/>
        </w:rPr>
        <w:t xml:space="preserve">无；□有，具体单位名称为： </w:t>
      </w:r>
      <w:r>
        <w:rPr>
          <w:rFonts w:hint="eastAsia" w:cs="Arial"/>
          <w:i w:val="0"/>
          <w:iCs/>
          <w:color w:val="auto"/>
          <w:szCs w:val="24"/>
          <w:highlight w:val="none"/>
          <w:u w:val="single"/>
        </w:rPr>
        <w:t>（由投标人如实填写）</w:t>
      </w:r>
      <w:r>
        <w:rPr>
          <w:rFonts w:hint="eastAsia"/>
          <w:color w:val="auto"/>
          <w:szCs w:val="24"/>
          <w:highlight w:val="none"/>
        </w:rPr>
        <w:t>。</w:t>
      </w:r>
    </w:p>
    <w:p w14:paraId="16346EDA">
      <w:pPr>
        <w:spacing w:line="324" w:lineRule="auto"/>
        <w:ind w:firstLine="480"/>
        <w:rPr>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55EA1520">
      <w:pPr>
        <w:spacing w:line="324" w:lineRule="auto"/>
        <w:ind w:left="456" w:firstLine="355"/>
        <w:rPr>
          <w:color w:val="auto"/>
          <w:szCs w:val="24"/>
          <w:highlight w:val="none"/>
        </w:rPr>
      </w:pPr>
      <w:r>
        <w:rPr>
          <w:rFonts w:hint="eastAsia"/>
          <w:color w:val="auto"/>
          <w:szCs w:val="24"/>
          <w:highlight w:val="none"/>
          <w:lang w:eastAsia="zh-CN"/>
        </w:rPr>
        <w:t>□</w:t>
      </w:r>
      <w:r>
        <w:rPr>
          <w:rFonts w:hint="eastAsia"/>
          <w:color w:val="auto"/>
          <w:szCs w:val="24"/>
          <w:highlight w:val="none"/>
        </w:rPr>
        <w:t>无；□有，已提供的具体服务内容为：</w:t>
      </w:r>
      <w:r>
        <w:rPr>
          <w:rFonts w:hint="eastAsia"/>
          <w:i w:val="0"/>
          <w:iCs w:val="0"/>
          <w:color w:val="auto"/>
          <w:szCs w:val="24"/>
          <w:highlight w:val="none"/>
        </w:rPr>
        <w:t xml:space="preserve"> </w:t>
      </w:r>
      <w:r>
        <w:rPr>
          <w:rFonts w:hint="eastAsia" w:cs="Arial"/>
          <w:i w:val="0"/>
          <w:iCs w:val="0"/>
          <w:color w:val="auto"/>
          <w:szCs w:val="24"/>
          <w:highlight w:val="none"/>
          <w:u w:val="single"/>
        </w:rPr>
        <w:t>（由投标人如实填写）</w:t>
      </w:r>
      <w:r>
        <w:rPr>
          <w:rFonts w:hint="eastAsia"/>
          <w:color w:val="auto"/>
          <w:szCs w:val="24"/>
          <w:highlight w:val="none"/>
        </w:rPr>
        <w:t>。</w:t>
      </w:r>
    </w:p>
    <w:p w14:paraId="6CF6043F">
      <w:pPr>
        <w:spacing w:line="324" w:lineRule="auto"/>
        <w:ind w:firstLine="48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7CD668B7">
      <w:pPr>
        <w:spacing w:line="324" w:lineRule="auto"/>
        <w:ind w:firstLine="48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39BCF48">
      <w:pPr>
        <w:spacing w:line="324" w:lineRule="auto"/>
        <w:ind w:firstLine="480"/>
        <w:rPr>
          <w:color w:val="auto"/>
          <w:szCs w:val="24"/>
          <w:highlight w:val="none"/>
        </w:rPr>
      </w:pPr>
      <w:r>
        <w:rPr>
          <w:rFonts w:hint="eastAsia"/>
          <w:color w:val="auto"/>
          <w:szCs w:val="24"/>
          <w:highlight w:val="none"/>
        </w:rPr>
        <w:t>5）</w:t>
      </w:r>
      <w:bookmarkStart w:id="593" w:name="_Hlk161604053"/>
      <w:r>
        <w:rPr>
          <w:rFonts w:hint="eastAsia"/>
          <w:color w:val="auto"/>
          <w:szCs w:val="24"/>
          <w:highlight w:val="none"/>
        </w:rPr>
        <w:t>我方承诺本《投标函》的签章对本投标文件全部内容具有约束力并承担法律责任。</w:t>
      </w:r>
      <w:bookmarkEnd w:id="593"/>
    </w:p>
    <w:p w14:paraId="7097821C">
      <w:pPr>
        <w:spacing w:line="300" w:lineRule="auto"/>
        <w:rPr>
          <w:rFonts w:cs="Arial"/>
          <w:color w:val="auto"/>
          <w:szCs w:val="24"/>
          <w:highlight w:val="none"/>
        </w:rPr>
      </w:pPr>
    </w:p>
    <w:p w14:paraId="1CC98B96">
      <w:pPr>
        <w:spacing w:line="300" w:lineRule="auto"/>
        <w:rPr>
          <w:rFonts w:cs="Arial"/>
          <w:color w:val="auto"/>
          <w:szCs w:val="24"/>
          <w:highlight w:val="none"/>
        </w:rPr>
      </w:pPr>
    </w:p>
    <w:p w14:paraId="45348F61">
      <w:pPr>
        <w:spacing w:line="300" w:lineRule="auto"/>
        <w:rPr>
          <w:rFonts w:cs="Arial"/>
          <w:color w:val="auto"/>
          <w:szCs w:val="24"/>
          <w:highlight w:val="none"/>
        </w:rPr>
      </w:pPr>
    </w:p>
    <w:p w14:paraId="732B8128">
      <w:pPr>
        <w:ind w:firstLine="480"/>
        <w:rPr>
          <w:rFonts w:hint="eastAsia" w:ascii="宋体" w:hAnsi="宋体" w:cs="宋体"/>
          <w:color w:val="auto"/>
          <w:sz w:val="24"/>
          <w:highlight w:val="none"/>
          <w:lang w:val="zh-CN"/>
        </w:rPr>
      </w:pPr>
      <w:r>
        <w:rPr>
          <w:rFonts w:hint="eastAsia" w:ascii="宋体" w:hAnsi="宋体" w:eastAsia="宋体" w:cs="宋体"/>
          <w:color w:val="auto"/>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ascii="宋体" w:hAnsi="宋体" w:cs="宋体"/>
          <w:color w:val="auto"/>
          <w:sz w:val="24"/>
          <w:highlight w:val="none"/>
          <w:lang w:val="zh-CN"/>
        </w:rPr>
        <w:t>：</w:t>
      </w:r>
    </w:p>
    <w:p w14:paraId="3AECA97A">
      <w:pPr>
        <w:ind w:firstLine="48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法定代表人或授权代表（签字或印章）：</w:t>
      </w:r>
    </w:p>
    <w:p w14:paraId="5F852D81">
      <w:pPr>
        <w:ind w:firstLine="480"/>
        <w:rPr>
          <w:rFonts w:cs="宋体"/>
          <w:color w:val="auto"/>
          <w:highlight w:val="none"/>
        </w:rPr>
      </w:pPr>
      <w:r>
        <w:rPr>
          <w:rFonts w:hint="eastAsia" w:cs="宋体"/>
          <w:color w:val="auto"/>
          <w:highlight w:val="none"/>
        </w:rPr>
        <w:t>通  讯  地  址：</w:t>
      </w:r>
    </w:p>
    <w:p w14:paraId="3CF71843">
      <w:pPr>
        <w:ind w:firstLine="48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2D3855C2">
      <w:pPr>
        <w:ind w:firstLine="480"/>
        <w:rPr>
          <w:rFonts w:cs="宋体"/>
          <w:color w:val="auto"/>
          <w:highlight w:val="none"/>
        </w:rPr>
      </w:pPr>
      <w:r>
        <w:rPr>
          <w:rFonts w:hint="eastAsia" w:cs="宋体"/>
          <w:color w:val="auto"/>
          <w:highlight w:val="none"/>
        </w:rPr>
        <w:t>电          话：</w:t>
      </w:r>
    </w:p>
    <w:p w14:paraId="68BCE515">
      <w:pPr>
        <w:ind w:firstLine="48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43156813">
      <w:pPr>
        <w:rPr>
          <w:rFonts w:cs="Arial"/>
          <w:color w:val="auto"/>
          <w:szCs w:val="24"/>
          <w:highlight w:val="none"/>
          <w:u w:val="single"/>
        </w:rPr>
      </w:pPr>
    </w:p>
    <w:p w14:paraId="7B6D882B">
      <w:pPr>
        <w:rPr>
          <w:rFonts w:cs="Arial"/>
          <w:color w:val="auto"/>
          <w:szCs w:val="24"/>
          <w:highlight w:val="none"/>
          <w:u w:val="single"/>
        </w:rPr>
      </w:pPr>
    </w:p>
    <w:p w14:paraId="1ACD54FF">
      <w:pPr>
        <w:rPr>
          <w:rFonts w:cs="Arial"/>
          <w:color w:val="auto"/>
          <w:szCs w:val="24"/>
          <w:highlight w:val="none"/>
          <w:u w:val="single"/>
        </w:rPr>
      </w:pPr>
    </w:p>
    <w:p w14:paraId="42D4B92F">
      <w:pPr>
        <w:rPr>
          <w:rFonts w:cs="Arial"/>
          <w:color w:val="auto"/>
          <w:szCs w:val="24"/>
          <w:highlight w:val="none"/>
          <w:u w:val="single"/>
        </w:rPr>
      </w:pPr>
    </w:p>
    <w:p w14:paraId="2B09C113">
      <w:pPr>
        <w:rPr>
          <w:rFonts w:cs="Arial"/>
          <w:color w:val="auto"/>
          <w:szCs w:val="24"/>
          <w:highlight w:val="none"/>
          <w:u w:val="single"/>
        </w:rPr>
      </w:pPr>
    </w:p>
    <w:p w14:paraId="58E5C589">
      <w:pPr>
        <w:rPr>
          <w:rFonts w:cs="Arial"/>
          <w:color w:val="auto"/>
          <w:szCs w:val="24"/>
          <w:highlight w:val="none"/>
          <w:u w:val="single"/>
        </w:rPr>
      </w:pPr>
    </w:p>
    <w:p w14:paraId="774560F3">
      <w:pPr>
        <w:rPr>
          <w:rFonts w:cs="Arial"/>
          <w:color w:val="auto"/>
          <w:szCs w:val="24"/>
          <w:highlight w:val="none"/>
          <w:u w:val="single"/>
        </w:rPr>
      </w:pPr>
    </w:p>
    <w:p w14:paraId="38CF0694">
      <w:pPr>
        <w:rPr>
          <w:rFonts w:cs="Arial"/>
          <w:color w:val="auto"/>
          <w:szCs w:val="24"/>
          <w:highlight w:val="none"/>
          <w:u w:val="single"/>
        </w:rPr>
      </w:pPr>
    </w:p>
    <w:p w14:paraId="395B0C9E">
      <w:pPr>
        <w:rPr>
          <w:rFonts w:cs="Arial"/>
          <w:color w:val="auto"/>
          <w:szCs w:val="24"/>
          <w:highlight w:val="none"/>
          <w:u w:val="single"/>
        </w:rPr>
      </w:pPr>
    </w:p>
    <w:p w14:paraId="600D7CFC">
      <w:pPr>
        <w:rPr>
          <w:rFonts w:cs="Arial"/>
          <w:color w:val="auto"/>
          <w:szCs w:val="24"/>
          <w:highlight w:val="none"/>
          <w:u w:val="single"/>
        </w:rPr>
      </w:pPr>
    </w:p>
    <w:p w14:paraId="77DA8E04">
      <w:pPr>
        <w:rPr>
          <w:rFonts w:cs="Arial"/>
          <w:color w:val="auto"/>
          <w:szCs w:val="24"/>
          <w:highlight w:val="none"/>
          <w:u w:val="single"/>
        </w:rPr>
      </w:pPr>
    </w:p>
    <w:p w14:paraId="5D5EF78C">
      <w:pPr>
        <w:rPr>
          <w:rFonts w:cs="Arial"/>
          <w:color w:val="auto"/>
          <w:szCs w:val="24"/>
          <w:highlight w:val="none"/>
          <w:u w:val="single"/>
        </w:rPr>
      </w:pPr>
    </w:p>
    <w:p w14:paraId="23CBCE06">
      <w:pPr>
        <w:rPr>
          <w:rFonts w:cs="Arial"/>
          <w:color w:val="auto"/>
          <w:szCs w:val="24"/>
          <w:highlight w:val="none"/>
          <w:u w:val="single"/>
        </w:rPr>
      </w:pPr>
    </w:p>
    <w:p w14:paraId="0F2CF4E4">
      <w:pPr>
        <w:rPr>
          <w:rFonts w:cs="Arial"/>
          <w:color w:val="auto"/>
          <w:szCs w:val="24"/>
          <w:highlight w:val="none"/>
          <w:u w:val="single"/>
        </w:rPr>
      </w:pPr>
    </w:p>
    <w:p w14:paraId="2D9A8DCA">
      <w:pPr>
        <w:rPr>
          <w:rFonts w:cs="Arial"/>
          <w:color w:val="auto"/>
          <w:szCs w:val="24"/>
          <w:highlight w:val="none"/>
          <w:u w:val="single"/>
        </w:rPr>
      </w:pPr>
    </w:p>
    <w:p w14:paraId="728B7807">
      <w:pPr>
        <w:rPr>
          <w:rFonts w:cs="Arial"/>
          <w:color w:val="auto"/>
          <w:szCs w:val="24"/>
          <w:highlight w:val="none"/>
          <w:u w:val="single"/>
        </w:rPr>
      </w:pPr>
    </w:p>
    <w:p w14:paraId="21DCA2CF">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594" w:name="_Toc155185924"/>
      <w:bookmarkStart w:id="595" w:name="_Toc163492918"/>
      <w:bookmarkStart w:id="596" w:name="_Toc7750"/>
      <w:r>
        <w:rPr>
          <w:rFonts w:hint="eastAsia" w:cs="Times New Roman"/>
          <w:b/>
          <w:bCs/>
          <w:color w:val="auto"/>
          <w:sz w:val="32"/>
          <w:szCs w:val="32"/>
          <w:highlight w:val="none"/>
          <w:lang w:val="en-US" w:eastAsia="zh-CN" w:bidi="ar-SA"/>
        </w:rPr>
        <w:t>2</w:t>
      </w:r>
      <w:r>
        <w:rPr>
          <w:rFonts w:hint="eastAsia" w:ascii="Cambria" w:hAnsi="Cambria" w:eastAsia="宋体" w:cs="Times New Roman"/>
          <w:b/>
          <w:bCs/>
          <w:color w:val="auto"/>
          <w:sz w:val="32"/>
          <w:szCs w:val="32"/>
          <w:highlight w:val="none"/>
          <w:lang w:val="en-US" w:eastAsia="zh-CN" w:bidi="ar-SA"/>
        </w:rPr>
        <w:t>、法定代表人（单位负责人）身份证明</w:t>
      </w:r>
      <w:bookmarkEnd w:id="594"/>
      <w:bookmarkEnd w:id="595"/>
      <w:bookmarkEnd w:id="596"/>
    </w:p>
    <w:p w14:paraId="34D5527E">
      <w:pPr>
        <w:spacing w:line="480" w:lineRule="auto"/>
        <w:ind w:firstLine="48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7524FEE2">
      <w:pPr>
        <w:spacing w:line="480" w:lineRule="auto"/>
        <w:ind w:firstLine="96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030D1CD">
      <w:pPr>
        <w:spacing w:line="480" w:lineRule="auto"/>
        <w:ind w:firstLine="48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4BB75FF1">
      <w:pPr>
        <w:spacing w:line="480" w:lineRule="auto"/>
        <w:ind w:firstLine="48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66570EF0">
      <w:pPr>
        <w:spacing w:line="480" w:lineRule="auto"/>
        <w:ind w:firstLine="48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1E76887">
      <w:pPr>
        <w:spacing w:line="480" w:lineRule="auto"/>
        <w:ind w:firstLine="480"/>
        <w:rPr>
          <w:rFonts w:cs="仿宋_GB2312"/>
          <w:color w:val="auto"/>
          <w:szCs w:val="24"/>
          <w:highlight w:val="none"/>
        </w:rPr>
      </w:pPr>
    </w:p>
    <w:p w14:paraId="6C08B570">
      <w:pPr>
        <w:rPr>
          <w:rFonts w:cs="Arial"/>
          <w:color w:val="auto"/>
          <w:sz w:val="21"/>
          <w:szCs w:val="21"/>
          <w:highlight w:val="none"/>
        </w:rPr>
      </w:pPr>
    </w:p>
    <w:tbl>
      <w:tblPr>
        <w:tblStyle w:val="2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0861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noWrap w:val="0"/>
            <w:vAlign w:val="top"/>
          </w:tcPr>
          <w:p w14:paraId="4624C58C">
            <w:pPr>
              <w:rPr>
                <w:rFonts w:cs="Arial"/>
                <w:color w:val="auto"/>
                <w:highlight w:val="none"/>
              </w:rPr>
            </w:pPr>
          </w:p>
        </w:tc>
      </w:tr>
    </w:tbl>
    <w:p w14:paraId="365EEDCF">
      <w:pPr>
        <w:ind w:firstLine="840"/>
        <w:jc w:val="center"/>
        <w:rPr>
          <w:rFonts w:cs="Arial"/>
          <w:color w:val="auto"/>
          <w:highlight w:val="none"/>
        </w:rPr>
      </w:pPr>
    </w:p>
    <w:p w14:paraId="498A4FF9">
      <w:pPr>
        <w:keepNext w:val="0"/>
        <w:keepLines w:val="0"/>
        <w:widowControl/>
        <w:suppressLineNumbers w:val="0"/>
        <w:jc w:val="left"/>
        <w:rPr>
          <w:color w:val="auto"/>
          <w:highlight w:val="none"/>
        </w:rPr>
      </w:pPr>
      <w:r>
        <w:rPr>
          <w:rFonts w:hint="eastAsia" w:ascii="宋体" w:hAnsi="宋体" w:eastAsia="宋体" w:cs="宋体"/>
          <w:color w:val="auto"/>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bidi="ar"/>
        </w:rPr>
        <w:t>：</w:t>
      </w:r>
      <w:r>
        <w:rPr>
          <w:rFonts w:ascii="DejaVuSans" w:hAnsi="DejaVuSans" w:eastAsia="DejaVuSans" w:cs="DejaVuSans"/>
          <w:color w:val="auto"/>
          <w:sz w:val="24"/>
          <w:szCs w:val="24"/>
          <w:highlight w:val="none"/>
          <w:lang w:val="en-US" w:eastAsia="zh-CN" w:bidi="ar"/>
        </w:rPr>
        <w:t xml:space="preserve">________________ </w:t>
      </w:r>
    </w:p>
    <w:p w14:paraId="587738D2">
      <w:pPr>
        <w:keepNext w:val="0"/>
        <w:keepLines w:val="0"/>
        <w:widowControl/>
        <w:suppressLineNumbers w:val="0"/>
        <w:jc w:val="left"/>
        <w:rPr>
          <w:color w:val="auto"/>
          <w:highlight w:val="none"/>
        </w:rPr>
      </w:pPr>
      <w:r>
        <w:rPr>
          <w:rFonts w:hint="eastAsia" w:ascii="宋体" w:hAnsi="宋体" w:eastAsia="宋体" w:cs="宋体"/>
          <w:color w:val="auto"/>
          <w:sz w:val="24"/>
          <w:szCs w:val="24"/>
          <w:highlight w:val="none"/>
          <w:lang w:val="en-US" w:eastAsia="zh-CN" w:bidi="ar"/>
        </w:rPr>
        <w:t>法定代表人（单位负责人）（签字或</w:t>
      </w:r>
      <w:r>
        <w:rPr>
          <w:rFonts w:hint="eastAsia" w:cs="宋体"/>
          <w:color w:val="auto"/>
          <w:sz w:val="24"/>
          <w:szCs w:val="24"/>
          <w:highlight w:val="none"/>
          <w:lang w:eastAsia="zh-CN"/>
        </w:rPr>
        <w:t>盖</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lang w:val="en-US" w:eastAsia="zh-CN" w:bidi="ar"/>
        </w:rPr>
        <w:t>）：</w:t>
      </w:r>
      <w:r>
        <w:rPr>
          <w:rFonts w:hint="default" w:ascii="DejaVuSans" w:hAnsi="DejaVuSans" w:eastAsia="DejaVuSans" w:cs="DejaVuSans"/>
          <w:color w:val="auto"/>
          <w:sz w:val="24"/>
          <w:szCs w:val="24"/>
          <w:highlight w:val="none"/>
          <w:lang w:val="en-US" w:eastAsia="zh-CN" w:bidi="ar"/>
        </w:rPr>
        <w:t xml:space="preserve">_______ </w:t>
      </w:r>
    </w:p>
    <w:p w14:paraId="6CF78243">
      <w:pPr>
        <w:keepNext w:val="0"/>
        <w:keepLines w:val="0"/>
        <w:widowControl/>
        <w:suppressLineNumbers w:val="0"/>
        <w:jc w:val="left"/>
        <w:rPr>
          <w:rFonts w:hint="eastAsia" w:ascii="宋体" w:hAnsi="宋体" w:eastAsia="宋体" w:cs="宋体"/>
          <w:color w:val="auto"/>
          <w:sz w:val="24"/>
          <w:szCs w:val="24"/>
          <w:highlight w:val="none"/>
          <w:lang w:val="en-US" w:eastAsia="zh-CN" w:bidi="ar"/>
        </w:rPr>
      </w:pPr>
    </w:p>
    <w:p w14:paraId="17E02E96">
      <w:pPr>
        <w:keepNext w:val="0"/>
        <w:keepLines w:val="0"/>
        <w:widowControl/>
        <w:suppressLineNumbers w:val="0"/>
        <w:jc w:val="left"/>
        <w:rPr>
          <w:color w:val="auto"/>
          <w:highlight w:val="none"/>
        </w:rPr>
      </w:pPr>
      <w:r>
        <w:rPr>
          <w:rFonts w:hint="eastAsia" w:ascii="宋体" w:hAnsi="宋体" w:eastAsia="宋体" w:cs="宋体"/>
          <w:color w:val="auto"/>
          <w:sz w:val="24"/>
          <w:szCs w:val="24"/>
          <w:highlight w:val="none"/>
          <w:lang w:val="en-US" w:eastAsia="zh-CN" w:bidi="ar"/>
        </w:rPr>
        <w:t>日期：</w:t>
      </w:r>
      <w:r>
        <w:rPr>
          <w:rFonts w:hint="default" w:ascii="DejaVuSans" w:hAnsi="DejaVuSans" w:eastAsia="DejaVuSans" w:cs="DejaVuSans"/>
          <w:color w:val="auto"/>
          <w:sz w:val="24"/>
          <w:szCs w:val="24"/>
          <w:highlight w:val="none"/>
          <w:lang w:val="en-US" w:eastAsia="zh-CN" w:bidi="ar"/>
        </w:rPr>
        <w:t>_____</w:t>
      </w:r>
      <w:r>
        <w:rPr>
          <w:rFonts w:hint="eastAsia" w:ascii="宋体" w:hAnsi="宋体" w:eastAsia="宋体" w:cs="宋体"/>
          <w:color w:val="auto"/>
          <w:sz w:val="24"/>
          <w:szCs w:val="24"/>
          <w:highlight w:val="none"/>
          <w:lang w:val="en-US" w:eastAsia="zh-CN" w:bidi="ar"/>
        </w:rPr>
        <w:t>年</w:t>
      </w:r>
      <w:r>
        <w:rPr>
          <w:rFonts w:hint="default" w:ascii="DejaVuSans" w:hAnsi="DejaVuSans" w:eastAsia="DejaVuSans" w:cs="DejaVuSans"/>
          <w:color w:val="auto"/>
          <w:sz w:val="24"/>
          <w:szCs w:val="24"/>
          <w:highlight w:val="none"/>
          <w:lang w:val="en-US" w:eastAsia="zh-CN" w:bidi="ar"/>
        </w:rPr>
        <w:t>______</w:t>
      </w:r>
      <w:r>
        <w:rPr>
          <w:rFonts w:hint="eastAsia" w:ascii="宋体" w:hAnsi="宋体" w:eastAsia="宋体" w:cs="宋体"/>
          <w:color w:val="auto"/>
          <w:sz w:val="24"/>
          <w:szCs w:val="24"/>
          <w:highlight w:val="none"/>
          <w:lang w:val="en-US" w:eastAsia="zh-CN" w:bidi="ar"/>
        </w:rPr>
        <w:t>月</w:t>
      </w:r>
      <w:r>
        <w:rPr>
          <w:rFonts w:hint="default" w:ascii="DejaVuSans" w:hAnsi="DejaVuSans" w:eastAsia="DejaVuSans" w:cs="DejaVuSans"/>
          <w:color w:val="auto"/>
          <w:sz w:val="24"/>
          <w:szCs w:val="24"/>
          <w:highlight w:val="none"/>
          <w:lang w:val="en-US" w:eastAsia="zh-CN" w:bidi="ar"/>
        </w:rPr>
        <w:t>______</w:t>
      </w:r>
      <w:r>
        <w:rPr>
          <w:rFonts w:hint="eastAsia" w:ascii="宋体" w:hAnsi="宋体" w:eastAsia="宋体" w:cs="宋体"/>
          <w:color w:val="auto"/>
          <w:sz w:val="24"/>
          <w:szCs w:val="24"/>
          <w:highlight w:val="none"/>
          <w:lang w:val="en-US" w:eastAsia="zh-CN" w:bidi="ar"/>
        </w:rPr>
        <w:t>日</w:t>
      </w:r>
    </w:p>
    <w:p w14:paraId="3A73B42A">
      <w:pPr>
        <w:rPr>
          <w:b/>
          <w:color w:val="auto"/>
          <w:sz w:val="28"/>
          <w:szCs w:val="28"/>
          <w:highlight w:val="none"/>
        </w:rPr>
      </w:pPr>
    </w:p>
    <w:p w14:paraId="2D9B7F5A">
      <w:pPr>
        <w:rPr>
          <w:b/>
          <w:color w:val="auto"/>
          <w:sz w:val="28"/>
          <w:szCs w:val="28"/>
          <w:highlight w:val="none"/>
        </w:rPr>
      </w:pPr>
      <w:r>
        <w:rPr>
          <w:b/>
          <w:color w:val="auto"/>
          <w:sz w:val="28"/>
          <w:szCs w:val="28"/>
          <w:highlight w:val="none"/>
        </w:rPr>
        <w:br w:type="page" w:clear="all"/>
      </w:r>
    </w:p>
    <w:p w14:paraId="2E0258C9">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597" w:name="_Toc163492919"/>
      <w:bookmarkStart w:id="598" w:name="_Toc155185925"/>
      <w:bookmarkStart w:id="599" w:name="_Toc6993"/>
      <w:r>
        <w:rPr>
          <w:rFonts w:hint="eastAsia" w:cs="Times New Roman"/>
          <w:b/>
          <w:bCs/>
          <w:color w:val="auto"/>
          <w:sz w:val="32"/>
          <w:szCs w:val="32"/>
          <w:highlight w:val="none"/>
          <w:lang w:val="en-US" w:eastAsia="zh-CN" w:bidi="ar-SA"/>
        </w:rPr>
        <w:t>3</w:t>
      </w:r>
      <w:r>
        <w:rPr>
          <w:rFonts w:hint="eastAsia" w:ascii="Cambria" w:hAnsi="Cambria" w:eastAsia="宋体" w:cs="Times New Roman"/>
          <w:b/>
          <w:bCs/>
          <w:color w:val="auto"/>
          <w:sz w:val="32"/>
          <w:szCs w:val="32"/>
          <w:highlight w:val="none"/>
          <w:lang w:val="en-US" w:eastAsia="zh-CN" w:bidi="ar-SA"/>
        </w:rPr>
        <w:t>、授权委托书</w:t>
      </w:r>
      <w:bookmarkEnd w:id="597"/>
      <w:bookmarkEnd w:id="598"/>
      <w:bookmarkEnd w:id="599"/>
    </w:p>
    <w:p w14:paraId="4BABB1F2">
      <w:pPr>
        <w:ind w:firstLine="48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5F5824D">
      <w:pPr>
        <w:ind w:firstLine="48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2996A8B2">
      <w:pPr>
        <w:ind w:firstLine="480"/>
        <w:rPr>
          <w:rFonts w:cs="仿宋_GB2312"/>
          <w:color w:val="auto"/>
          <w:szCs w:val="24"/>
          <w:highlight w:val="none"/>
        </w:rPr>
      </w:pPr>
      <w:r>
        <w:rPr>
          <w:rFonts w:hint="eastAsia" w:cs="仿宋_GB2312"/>
          <w:color w:val="auto"/>
          <w:szCs w:val="24"/>
          <w:highlight w:val="none"/>
        </w:rPr>
        <w:t>代理人无转委托权。</w:t>
      </w:r>
    </w:p>
    <w:p w14:paraId="64B50B2F">
      <w:pPr>
        <w:keepNext w:val="0"/>
        <w:keepLines w:val="0"/>
        <w:pageBreakBefore w:val="0"/>
        <w:widowControl w:val="0"/>
        <w:bidi w:val="0"/>
        <w:spacing w:line="240" w:lineRule="exact"/>
        <w:ind w:firstLine="480"/>
        <w:rPr>
          <w:rFonts w:hint="eastAsia" w:cs="仿宋_GB2312"/>
          <w:color w:val="auto"/>
          <w:szCs w:val="24"/>
          <w:highlight w:val="none"/>
        </w:rPr>
      </w:pPr>
    </w:p>
    <w:p w14:paraId="4B2E7C56">
      <w:pPr>
        <w:keepNext w:val="0"/>
        <w:keepLines w:val="0"/>
        <w:pageBreakBefore w:val="0"/>
        <w:widowControl/>
        <w:suppressLineNumbers w:val="0"/>
        <w:bidi w:val="0"/>
        <w:jc w:val="left"/>
        <w:rPr>
          <w:color w:val="auto"/>
          <w:highlight w:val="none"/>
        </w:rPr>
      </w:pPr>
      <w:r>
        <w:rPr>
          <w:rFonts w:hint="eastAsia" w:ascii="宋体" w:hAnsi="宋体" w:eastAsia="宋体" w:cs="宋体"/>
          <w:color w:val="auto"/>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bidi="ar"/>
        </w:rPr>
        <w:t>：</w:t>
      </w:r>
      <w:r>
        <w:rPr>
          <w:rFonts w:ascii="DejaVuSans" w:hAnsi="DejaVuSans" w:eastAsia="DejaVuSans" w:cs="DejaVuSans"/>
          <w:color w:val="auto"/>
          <w:sz w:val="24"/>
          <w:szCs w:val="24"/>
          <w:highlight w:val="none"/>
          <w:lang w:val="en-US" w:eastAsia="zh-CN" w:bidi="ar"/>
        </w:rPr>
        <w:t xml:space="preserve">________________ </w:t>
      </w:r>
    </w:p>
    <w:p w14:paraId="107F354B">
      <w:pPr>
        <w:keepNext w:val="0"/>
        <w:keepLines w:val="0"/>
        <w:pageBreakBefore w:val="0"/>
        <w:widowControl/>
        <w:suppressLineNumbers w:val="0"/>
        <w:bidi w:val="0"/>
        <w:jc w:val="left"/>
        <w:rPr>
          <w:color w:val="auto"/>
          <w:highlight w:val="none"/>
        </w:rPr>
      </w:pPr>
      <w:r>
        <w:rPr>
          <w:rFonts w:hint="eastAsia" w:ascii="宋体" w:hAnsi="宋体" w:eastAsia="宋体" w:cs="宋体"/>
          <w:color w:val="auto"/>
          <w:sz w:val="24"/>
          <w:szCs w:val="24"/>
          <w:highlight w:val="none"/>
          <w:lang w:val="en-US" w:eastAsia="zh-CN" w:bidi="ar"/>
        </w:rPr>
        <w:t>法定代表人（单位负责人）（签字或</w:t>
      </w:r>
      <w:r>
        <w:rPr>
          <w:rFonts w:hint="eastAsia" w:cs="宋体"/>
          <w:color w:val="auto"/>
          <w:sz w:val="24"/>
          <w:szCs w:val="24"/>
          <w:highlight w:val="none"/>
          <w:lang w:eastAsia="zh-CN"/>
        </w:rPr>
        <w:t>盖</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bidi="ar"/>
        </w:rPr>
        <w:t>：</w:t>
      </w:r>
      <w:r>
        <w:rPr>
          <w:rFonts w:hint="default" w:ascii="DejaVuSans" w:hAnsi="DejaVuSans" w:eastAsia="DejaVuSans" w:cs="DejaVuSans"/>
          <w:color w:val="auto"/>
          <w:sz w:val="24"/>
          <w:szCs w:val="24"/>
          <w:highlight w:val="none"/>
          <w:lang w:val="en-US" w:eastAsia="zh-CN" w:bidi="ar"/>
        </w:rPr>
        <w:t xml:space="preserve">________________ </w:t>
      </w:r>
    </w:p>
    <w:p w14:paraId="6D1A7A0A">
      <w:pPr>
        <w:keepNext w:val="0"/>
        <w:keepLines w:val="0"/>
        <w:pageBreakBefore w:val="0"/>
        <w:widowControl/>
        <w:suppressLineNumbers w:val="0"/>
        <w:bidi w:val="0"/>
        <w:jc w:val="left"/>
        <w:rPr>
          <w:rFonts w:hint="default"/>
          <w:color w:val="auto"/>
          <w:highlight w:val="none"/>
          <w:lang w:val="en-US"/>
        </w:rPr>
      </w:pPr>
      <w:r>
        <w:rPr>
          <w:rFonts w:hint="eastAsia" w:ascii="宋体" w:hAnsi="宋体" w:eastAsia="宋体" w:cs="宋体"/>
          <w:color w:val="auto"/>
          <w:sz w:val="24"/>
          <w:szCs w:val="24"/>
          <w:highlight w:val="none"/>
          <w:lang w:val="en-US" w:eastAsia="zh-CN" w:bidi="ar"/>
        </w:rPr>
        <w:t>委托代理人（签字或</w:t>
      </w:r>
      <w:r>
        <w:rPr>
          <w:rFonts w:hint="eastAsia" w:cs="宋体"/>
          <w:color w:val="auto"/>
          <w:sz w:val="24"/>
          <w:szCs w:val="24"/>
          <w:highlight w:val="none"/>
          <w:lang w:eastAsia="zh-CN"/>
        </w:rPr>
        <w:t>盖</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bidi="ar"/>
        </w:rPr>
        <w:t>：</w:t>
      </w:r>
      <w:r>
        <w:rPr>
          <w:rFonts w:hint="default" w:ascii="DejaVuSans" w:hAnsi="DejaVuSans" w:eastAsia="DejaVuSans" w:cs="DejaVuSans"/>
          <w:color w:val="auto"/>
          <w:sz w:val="24"/>
          <w:szCs w:val="24"/>
          <w:highlight w:val="none"/>
          <w:lang w:val="en-US" w:eastAsia="zh-CN" w:bidi="ar"/>
        </w:rPr>
        <w:t xml:space="preserve">________________ </w:t>
      </w:r>
      <w:r>
        <w:rPr>
          <w:rFonts w:hint="eastAsia" w:ascii="DejaVuSans" w:hAnsi="DejaVuSans" w:eastAsia="DejaVuSans" w:cs="DejaVuSans"/>
          <w:color w:val="auto"/>
          <w:sz w:val="24"/>
          <w:szCs w:val="24"/>
          <w:highlight w:val="none"/>
          <w:lang w:val="en-US" w:eastAsia="zh-CN" w:bidi="ar"/>
        </w:rPr>
        <w:t xml:space="preserve">   联系电话：</w:t>
      </w:r>
      <w:r>
        <w:rPr>
          <w:rFonts w:hint="default" w:ascii="DejaVuSans" w:hAnsi="DejaVuSans" w:eastAsia="DejaVuSans" w:cs="DejaVuSans"/>
          <w:color w:val="auto"/>
          <w:sz w:val="24"/>
          <w:szCs w:val="24"/>
          <w:highlight w:val="none"/>
          <w:lang w:val="en-US" w:eastAsia="zh-CN" w:bidi="ar"/>
        </w:rPr>
        <w:t>________</w:t>
      </w:r>
    </w:p>
    <w:p w14:paraId="3F6BFFD3">
      <w:pPr>
        <w:keepNext w:val="0"/>
        <w:keepLines w:val="0"/>
        <w:pageBreakBefore w:val="0"/>
        <w:widowControl/>
        <w:suppressLineNumbers w:val="0"/>
        <w:bidi w:val="0"/>
        <w:jc w:val="left"/>
        <w:rPr>
          <w:color w:val="auto"/>
          <w:highlight w:val="none"/>
        </w:rPr>
      </w:pPr>
      <w:r>
        <w:rPr>
          <w:rFonts w:hint="eastAsia" w:ascii="宋体" w:hAnsi="宋体" w:eastAsia="宋体" w:cs="宋体"/>
          <w:color w:val="auto"/>
          <w:sz w:val="24"/>
          <w:szCs w:val="24"/>
          <w:highlight w:val="none"/>
          <w:lang w:val="en-US" w:eastAsia="zh-CN" w:bidi="ar"/>
        </w:rPr>
        <w:t>日期：</w:t>
      </w:r>
      <w:r>
        <w:rPr>
          <w:rFonts w:hint="default" w:ascii="DejaVuSans" w:hAnsi="DejaVuSans" w:eastAsia="DejaVuSans" w:cs="DejaVuSans"/>
          <w:color w:val="auto"/>
          <w:sz w:val="24"/>
          <w:szCs w:val="24"/>
          <w:highlight w:val="none"/>
          <w:lang w:val="en-US" w:eastAsia="zh-CN" w:bidi="ar"/>
        </w:rPr>
        <w:t>_____</w:t>
      </w:r>
      <w:r>
        <w:rPr>
          <w:rFonts w:hint="eastAsia" w:ascii="宋体" w:hAnsi="宋体" w:eastAsia="宋体" w:cs="宋体"/>
          <w:color w:val="auto"/>
          <w:sz w:val="24"/>
          <w:szCs w:val="24"/>
          <w:highlight w:val="none"/>
          <w:lang w:val="en-US" w:eastAsia="zh-CN" w:bidi="ar"/>
        </w:rPr>
        <w:t>年</w:t>
      </w:r>
      <w:r>
        <w:rPr>
          <w:rFonts w:hint="default" w:ascii="DejaVuSans" w:hAnsi="DejaVuSans" w:eastAsia="DejaVuSans" w:cs="DejaVuSans"/>
          <w:color w:val="auto"/>
          <w:sz w:val="24"/>
          <w:szCs w:val="24"/>
          <w:highlight w:val="none"/>
          <w:lang w:val="en-US" w:eastAsia="zh-CN" w:bidi="ar"/>
        </w:rPr>
        <w:t>______</w:t>
      </w:r>
      <w:r>
        <w:rPr>
          <w:rFonts w:hint="eastAsia" w:ascii="宋体" w:hAnsi="宋体" w:eastAsia="宋体" w:cs="宋体"/>
          <w:color w:val="auto"/>
          <w:sz w:val="24"/>
          <w:szCs w:val="24"/>
          <w:highlight w:val="none"/>
          <w:lang w:val="en-US" w:eastAsia="zh-CN" w:bidi="ar"/>
        </w:rPr>
        <w:t>月</w:t>
      </w:r>
      <w:r>
        <w:rPr>
          <w:rFonts w:hint="default" w:ascii="DejaVuSans" w:hAnsi="DejaVuSans" w:eastAsia="DejaVuSans" w:cs="DejaVuSans"/>
          <w:color w:val="auto"/>
          <w:sz w:val="24"/>
          <w:szCs w:val="24"/>
          <w:highlight w:val="none"/>
          <w:lang w:val="en-US" w:eastAsia="zh-CN" w:bidi="ar"/>
        </w:rPr>
        <w:t>______</w:t>
      </w:r>
      <w:r>
        <w:rPr>
          <w:rFonts w:hint="eastAsia" w:ascii="宋体" w:hAnsi="宋体" w:eastAsia="宋体" w:cs="宋体"/>
          <w:color w:val="auto"/>
          <w:sz w:val="24"/>
          <w:szCs w:val="24"/>
          <w:highlight w:val="none"/>
          <w:lang w:val="en-US" w:eastAsia="zh-CN" w:bidi="ar"/>
        </w:rPr>
        <w:t xml:space="preserve">日 </w:t>
      </w:r>
    </w:p>
    <w:p w14:paraId="2319F298">
      <w:pPr>
        <w:keepNext w:val="0"/>
        <w:keepLines w:val="0"/>
        <w:pageBreakBefore w:val="0"/>
        <w:widowControl w:val="0"/>
        <w:bidi w:val="0"/>
        <w:spacing w:line="240" w:lineRule="exact"/>
        <w:ind w:firstLine="480"/>
        <w:rPr>
          <w:rFonts w:hint="eastAsia" w:cs="仿宋_GB2312"/>
          <w:color w:val="auto"/>
          <w:szCs w:val="24"/>
          <w:highlight w:val="none"/>
          <w:lang w:val="en-US" w:eastAsia="zh-CN"/>
        </w:rPr>
      </w:pPr>
    </w:p>
    <w:p w14:paraId="59FD30AA">
      <w:pPr>
        <w:keepNext w:val="0"/>
        <w:keepLines w:val="0"/>
        <w:pageBreakBefore w:val="0"/>
        <w:widowControl/>
        <w:suppressLineNumbers w:val="0"/>
        <w:bidi w:val="0"/>
        <w:jc w:val="left"/>
        <w:rPr>
          <w:color w:val="auto"/>
          <w:highlight w:val="none"/>
        </w:rPr>
      </w:pPr>
      <w:r>
        <w:rPr>
          <w:rFonts w:hint="eastAsia" w:ascii="宋体" w:hAnsi="宋体" w:eastAsia="宋体" w:cs="宋体"/>
          <w:color w:val="auto"/>
          <w:sz w:val="24"/>
          <w:szCs w:val="24"/>
          <w:highlight w:val="none"/>
          <w:lang w:val="en-US" w:eastAsia="zh-CN" w:bidi="ar"/>
        </w:rPr>
        <w:t xml:space="preserve">附：法定代表人及委托代理人身份证明文件电子件： </w:t>
      </w:r>
    </w:p>
    <w:tbl>
      <w:tblPr>
        <w:tblStyle w:val="2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0D8D4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noWrap w:val="0"/>
            <w:vAlign w:val="top"/>
          </w:tcPr>
          <w:p w14:paraId="0DB97E52">
            <w:pPr>
              <w:rPr>
                <w:rFonts w:cs="Arial"/>
                <w:color w:val="auto"/>
                <w:highlight w:val="none"/>
              </w:rPr>
            </w:pPr>
          </w:p>
        </w:tc>
      </w:tr>
    </w:tbl>
    <w:p w14:paraId="4B646C17">
      <w:pPr>
        <w:ind w:firstLine="48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5EB50393">
      <w:pPr>
        <w:ind w:firstLine="48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3516E264">
      <w:pPr>
        <w:ind w:firstLine="48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B314AFE">
      <w:pPr>
        <w:ind w:firstLine="48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73BCDAB9">
      <w:pPr>
        <w:ind w:firstLine="48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68760A7B">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600" w:name="_Toc155185934"/>
      <w:bookmarkStart w:id="601" w:name="_Toc163492928"/>
      <w:bookmarkStart w:id="602" w:name="_Toc9885"/>
      <w:r>
        <w:rPr>
          <w:rFonts w:hint="eastAsia" w:ascii="Cambria" w:hAnsi="Cambria" w:eastAsia="宋体" w:cs="Times New Roman"/>
          <w:b/>
          <w:bCs/>
          <w:color w:val="auto"/>
          <w:sz w:val="32"/>
          <w:szCs w:val="32"/>
          <w:highlight w:val="none"/>
          <w:lang w:val="en-US" w:eastAsia="zh-CN" w:bidi="ar-SA"/>
        </w:rPr>
        <w:t>4、</w:t>
      </w:r>
      <w:bookmarkEnd w:id="600"/>
      <w:bookmarkEnd w:id="601"/>
      <w:bookmarkStart w:id="603" w:name="_Toc163492929"/>
      <w:r>
        <w:rPr>
          <w:rFonts w:hint="eastAsia" w:ascii="Cambria" w:hAnsi="Cambria" w:eastAsia="宋体" w:cs="Times New Roman"/>
          <w:b/>
          <w:bCs/>
          <w:color w:val="auto"/>
          <w:sz w:val="32"/>
          <w:szCs w:val="32"/>
          <w:highlight w:val="none"/>
          <w:lang w:val="zh-CN" w:eastAsia="zh-CN" w:bidi="ar-SA"/>
        </w:rPr>
        <w:t>政府采购</w:t>
      </w:r>
      <w:r>
        <w:rPr>
          <w:rFonts w:hint="eastAsia" w:ascii="Cambria" w:hAnsi="Cambria" w:eastAsia="宋体" w:cs="Times New Roman"/>
          <w:b/>
          <w:bCs/>
          <w:color w:val="auto"/>
          <w:sz w:val="32"/>
          <w:szCs w:val="32"/>
          <w:highlight w:val="none"/>
          <w:lang w:val="en-US" w:eastAsia="zh-CN" w:bidi="ar-SA"/>
        </w:rPr>
        <w:t>投标人</w:t>
      </w:r>
      <w:r>
        <w:rPr>
          <w:rFonts w:hint="eastAsia" w:ascii="Cambria" w:hAnsi="Cambria" w:eastAsia="宋体" w:cs="Times New Roman"/>
          <w:b/>
          <w:bCs/>
          <w:color w:val="auto"/>
          <w:sz w:val="32"/>
          <w:szCs w:val="32"/>
          <w:highlight w:val="none"/>
          <w:lang w:val="zh-CN" w:eastAsia="zh-CN" w:bidi="ar-SA"/>
        </w:rPr>
        <w:t>廉洁自律承诺书</w:t>
      </w:r>
      <w:bookmarkEnd w:id="602"/>
    </w:p>
    <w:p w14:paraId="6A9BF7EC">
      <w:pPr>
        <w:pStyle w:val="10"/>
        <w:rPr>
          <w:color w:val="auto"/>
          <w:highlight w:val="none"/>
        </w:rPr>
      </w:pPr>
    </w:p>
    <w:p w14:paraId="3B7D316C">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sz w:val="24"/>
          <w:szCs w:val="24"/>
          <w:highlight w:val="none"/>
          <w:lang w:val="zh-CN"/>
        </w:rPr>
        <w:t>：</w:t>
      </w:r>
    </w:p>
    <w:p w14:paraId="3DF50B69">
      <w:pPr>
        <w:spacing w:line="360" w:lineRule="auto"/>
        <w:ind w:left="2" w:firstLine="48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sz w:val="24"/>
          <w:szCs w:val="24"/>
          <w:highlight w:val="none"/>
          <w:lang w:val="zh-CN"/>
        </w:rPr>
        <w:t>项目招标</w:t>
      </w:r>
      <w:r>
        <w:rPr>
          <w:rFonts w:hint="eastAsia" w:ascii="宋体" w:hAnsi="宋体" w:cs="宋体"/>
          <w:color w:val="auto"/>
          <w:sz w:val="24"/>
          <w:szCs w:val="24"/>
          <w:highlight w:val="none"/>
          <w:lang w:val="en-US" w:eastAsia="zh-CN"/>
        </w:rPr>
        <w:t>文件</w:t>
      </w:r>
      <w:r>
        <w:rPr>
          <w:rFonts w:hint="eastAsia" w:ascii="宋体" w:hAnsi="宋体" w:cs="宋体"/>
          <w:color w:val="auto"/>
          <w:sz w:val="24"/>
          <w:szCs w:val="24"/>
          <w:highlight w:val="none"/>
          <w:lang w:val="zh-CN"/>
        </w:rPr>
        <w:t>要求参加投标。在这次投标过程中和中标后，我们将严格遵守国家法律法规要求，并郑重承诺：</w:t>
      </w:r>
    </w:p>
    <w:p w14:paraId="6FA0AE24">
      <w:pPr>
        <w:spacing w:line="360" w:lineRule="auto"/>
        <w:ind w:left="2" w:firstLine="48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一、不向项目有关人员及部门赠送礼金礼物、有价证券、回扣以及中介费、介绍费、咨询费等好处费； </w:t>
      </w:r>
    </w:p>
    <w:p w14:paraId="091B4A37">
      <w:pPr>
        <w:spacing w:line="360" w:lineRule="auto"/>
        <w:ind w:left="2" w:firstLine="48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二、不为项目有关人员及部门报销应由你方单位或个人支付的费用； </w:t>
      </w:r>
    </w:p>
    <w:p w14:paraId="75A7CDD8">
      <w:pPr>
        <w:spacing w:line="360" w:lineRule="auto"/>
        <w:ind w:left="2" w:firstLine="48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三、不向项目有关人员及部门提供有可能影响公正的宴请和健身娱乐等活动；</w:t>
      </w:r>
    </w:p>
    <w:p w14:paraId="7936872A">
      <w:pPr>
        <w:spacing w:line="360" w:lineRule="auto"/>
        <w:ind w:left="2" w:firstLine="48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四、不为项目有关人员及部门出国（境）、旅游等提供方便；</w:t>
      </w:r>
    </w:p>
    <w:p w14:paraId="4BFBCE80">
      <w:pPr>
        <w:spacing w:line="360" w:lineRule="auto"/>
        <w:ind w:left="2" w:firstLine="48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五、不为项目有关人员个人装修住房、婚丧嫁娶、配偶子女工作安排等提供好处；</w:t>
      </w:r>
    </w:p>
    <w:p w14:paraId="5C71EE54">
      <w:pPr>
        <w:spacing w:line="360" w:lineRule="auto"/>
        <w:ind w:left="2" w:firstLine="48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六、严格遵守《中华人民共和国政府采购法》《中华人民共和国政府采购法</w:t>
      </w:r>
      <w:r>
        <w:rPr>
          <w:rFonts w:hint="eastAsia" w:cs="宋体"/>
          <w:color w:val="auto"/>
          <w:sz w:val="24"/>
          <w:szCs w:val="24"/>
          <w:highlight w:val="none"/>
          <w:lang w:val="en-US" w:eastAsia="zh-CN"/>
        </w:rPr>
        <w:t>实施条例</w:t>
      </w:r>
      <w:r>
        <w:rPr>
          <w:rFonts w:hint="eastAsia" w:ascii="宋体" w:hAnsi="宋体" w:cs="宋体"/>
          <w:color w:val="auto"/>
          <w:sz w:val="24"/>
          <w:szCs w:val="24"/>
          <w:highlight w:val="none"/>
          <w:lang w:val="zh-CN"/>
        </w:rPr>
        <w:t xml:space="preserve">》《中华人民共和国民法典》等法律法规，诚实守信，合法经营，坚决抵制各种违法违纪行为。 </w:t>
      </w:r>
    </w:p>
    <w:p w14:paraId="42A3754A">
      <w:pPr>
        <w:spacing w:line="360" w:lineRule="auto"/>
        <w:ind w:left="2" w:firstLine="48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cs="宋体"/>
          <w:color w:val="auto"/>
          <w:sz w:val="24"/>
          <w:szCs w:val="24"/>
          <w:highlight w:val="none"/>
          <w:lang w:val="en-US" w:eastAsia="zh-CN"/>
        </w:rPr>
        <w:t>兵团</w:t>
      </w:r>
      <w:r>
        <w:rPr>
          <w:rFonts w:hint="eastAsia" w:ascii="宋体" w:hAnsi="宋体" w:cs="宋体"/>
          <w:color w:val="auto"/>
          <w:sz w:val="24"/>
          <w:szCs w:val="24"/>
          <w:highlight w:val="none"/>
          <w:lang w:val="zh-CN"/>
        </w:rPr>
        <w:t>财政局。由此引起的相应损失均由我单位承担。</w:t>
      </w:r>
    </w:p>
    <w:p w14:paraId="0FCBF3C3">
      <w:pPr>
        <w:spacing w:line="360" w:lineRule="auto"/>
        <w:ind w:left="2"/>
        <w:jc w:val="left"/>
        <w:rPr>
          <w:rFonts w:ascii="宋体" w:hAnsi="宋体" w:cs="宋体"/>
          <w:color w:val="auto"/>
          <w:sz w:val="24"/>
          <w:szCs w:val="24"/>
          <w:highlight w:val="none"/>
          <w:lang w:val="zh-CN"/>
        </w:rPr>
      </w:pPr>
    </w:p>
    <w:p w14:paraId="290C09DF">
      <w:pPr>
        <w:spacing w:line="360" w:lineRule="auto"/>
        <w:ind w:left="2"/>
        <w:jc w:val="left"/>
        <w:rPr>
          <w:rFonts w:ascii="宋体" w:hAnsi="宋体" w:cs="宋体"/>
          <w:color w:val="auto"/>
          <w:sz w:val="24"/>
          <w:szCs w:val="24"/>
          <w:highlight w:val="none"/>
          <w:lang w:val="zh-CN"/>
        </w:rPr>
      </w:pPr>
    </w:p>
    <w:p w14:paraId="7BDB54E6">
      <w:pPr>
        <w:spacing w:line="360" w:lineRule="auto"/>
        <w:ind w:left="2"/>
        <w:jc w:val="left"/>
        <w:rPr>
          <w:rFonts w:ascii="宋体" w:hAnsi="宋体" w:cs="宋体"/>
          <w:color w:val="auto"/>
          <w:sz w:val="24"/>
          <w:szCs w:val="24"/>
          <w:highlight w:val="none"/>
          <w:lang w:val="zh-CN"/>
        </w:rPr>
      </w:pPr>
    </w:p>
    <w:p w14:paraId="1FE2B461">
      <w:pPr>
        <w:spacing w:line="360" w:lineRule="auto"/>
        <w:ind w:left="2" w:right="1120" w:firstLine="456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ascii="宋体" w:hAnsi="宋体" w:cs="宋体"/>
          <w:color w:val="auto"/>
          <w:sz w:val="24"/>
          <w:szCs w:val="24"/>
          <w:highlight w:val="none"/>
          <w:lang w:val="zh-CN"/>
        </w:rPr>
        <w:t xml:space="preserve">：                                                                                                                                                                                                               </w:t>
      </w:r>
    </w:p>
    <w:p w14:paraId="3BE5F14F">
      <w:pPr>
        <w:ind w:firstLine="4560"/>
        <w:rPr>
          <w:rFonts w:hint="eastAsia" w:ascii="Cambria" w:hAnsi="Cambria" w:eastAsia="宋体" w:cs="Times New Roman"/>
          <w:b/>
          <w:bCs/>
          <w:color w:val="auto"/>
          <w:sz w:val="24"/>
          <w:szCs w:val="24"/>
          <w:highlight w:val="none"/>
          <w:lang w:val="en-US" w:eastAsia="zh-CN" w:bidi="ar-SA"/>
        </w:rPr>
      </w:pPr>
      <w:r>
        <w:rPr>
          <w:rFonts w:hint="eastAsia" w:ascii="宋体" w:hAnsi="宋体" w:cs="宋体"/>
          <w:color w:val="auto"/>
          <w:sz w:val="24"/>
          <w:szCs w:val="24"/>
          <w:highlight w:val="none"/>
          <w:lang w:val="zh-CN"/>
        </w:rPr>
        <w:t>日期</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 xml:space="preserve">   年   月   日</w:t>
      </w:r>
    </w:p>
    <w:p w14:paraId="73FC4E2F">
      <w:pPr>
        <w:rPr>
          <w:rFonts w:hint="eastAsia" w:ascii="Cambria" w:hAnsi="Cambria" w:eastAsia="宋体" w:cs="Times New Roman"/>
          <w:b/>
          <w:bCs/>
          <w:color w:val="auto"/>
          <w:sz w:val="24"/>
          <w:szCs w:val="24"/>
          <w:highlight w:val="none"/>
          <w:lang w:val="en-US" w:eastAsia="zh-CN" w:bidi="ar-SA"/>
        </w:rPr>
      </w:pPr>
    </w:p>
    <w:p w14:paraId="0F2EFBB4">
      <w:pPr>
        <w:rPr>
          <w:rFonts w:hint="eastAsia" w:ascii="Cambria" w:hAnsi="Cambria" w:eastAsia="宋体" w:cs="Times New Roman"/>
          <w:b/>
          <w:bCs/>
          <w:color w:val="auto"/>
          <w:sz w:val="24"/>
          <w:szCs w:val="24"/>
          <w:highlight w:val="none"/>
          <w:lang w:val="en-US" w:eastAsia="zh-CN" w:bidi="ar-SA"/>
        </w:rPr>
      </w:pPr>
    </w:p>
    <w:p w14:paraId="18B4AEA4">
      <w:pPr>
        <w:rPr>
          <w:rFonts w:hint="eastAsia" w:ascii="Cambria" w:hAnsi="Cambria" w:eastAsia="宋体" w:cs="Times New Roman"/>
          <w:b/>
          <w:bCs/>
          <w:color w:val="auto"/>
          <w:sz w:val="24"/>
          <w:szCs w:val="24"/>
          <w:highlight w:val="none"/>
          <w:lang w:val="en-US" w:eastAsia="zh-CN" w:bidi="ar-SA"/>
        </w:rPr>
      </w:pPr>
    </w:p>
    <w:p w14:paraId="22F76C86">
      <w:pPr>
        <w:rPr>
          <w:rFonts w:hint="eastAsia" w:ascii="Cambria" w:hAnsi="Cambria" w:eastAsia="宋体" w:cs="Times New Roman"/>
          <w:b/>
          <w:bCs/>
          <w:color w:val="auto"/>
          <w:sz w:val="24"/>
          <w:szCs w:val="24"/>
          <w:highlight w:val="none"/>
          <w:lang w:val="en-US" w:eastAsia="zh-CN" w:bidi="ar-SA"/>
        </w:rPr>
      </w:pPr>
    </w:p>
    <w:p w14:paraId="62581E58">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604" w:name="_Toc14309"/>
      <w:r>
        <w:rPr>
          <w:rFonts w:hint="eastAsia" w:ascii="Cambria" w:hAnsi="Cambria" w:eastAsia="宋体" w:cs="Times New Roman"/>
          <w:b/>
          <w:bCs/>
          <w:color w:val="auto"/>
          <w:sz w:val="32"/>
          <w:szCs w:val="32"/>
          <w:highlight w:val="none"/>
          <w:lang w:val="en-US" w:eastAsia="zh-CN" w:bidi="ar-SA"/>
        </w:rPr>
        <w:t>5、不参与围标串标承诺书</w:t>
      </w:r>
      <w:bookmarkEnd w:id="604"/>
    </w:p>
    <w:p w14:paraId="63A246CC">
      <w:pPr>
        <w:bidi w:val="0"/>
        <w:rPr>
          <w:rFonts w:hint="eastAsia"/>
          <w:color w:val="auto"/>
          <w:highlight w:val="none"/>
          <w:lang w:val="en-US" w:eastAsia="zh-CN"/>
        </w:rPr>
      </w:pPr>
    </w:p>
    <w:p w14:paraId="3B543BB5">
      <w:pPr>
        <w:jc w:val="center"/>
        <w:rPr>
          <w:rFonts w:hint="eastAsia"/>
          <w:color w:val="auto"/>
          <w:highlight w:val="none"/>
          <w:lang w:val="en-US" w:eastAsia="zh-CN"/>
        </w:rPr>
      </w:pPr>
      <w:r>
        <w:rPr>
          <w:rFonts w:hint="eastAsia" w:cs="Times New Roman"/>
          <w:b/>
          <w:bCs/>
          <w:color w:val="auto"/>
          <w:sz w:val="32"/>
          <w:szCs w:val="32"/>
          <w:highlight w:val="none"/>
          <w:lang w:val="en-US" w:eastAsia="zh-CN" w:bidi="ar-SA"/>
        </w:rPr>
        <w:t>不参与围标串标承诺书</w:t>
      </w:r>
    </w:p>
    <w:p w14:paraId="4C528CE7">
      <w:pPr>
        <w:rPr>
          <w:rFonts w:hint="eastAsia"/>
          <w:color w:val="auto"/>
          <w:highlight w:val="none"/>
          <w:lang w:val="en-US" w:eastAsia="zh-CN"/>
        </w:rPr>
      </w:pPr>
      <w:r>
        <w:rPr>
          <w:rFonts w:hint="eastAsia"/>
          <w:color w:val="auto"/>
          <w:highlight w:val="none"/>
          <w:lang w:val="en-US" w:eastAsia="zh-CN"/>
        </w:rPr>
        <w:t>  </w:t>
      </w:r>
    </w:p>
    <w:p w14:paraId="69E0EB92">
      <w:pPr>
        <w:keepNext w:val="0"/>
        <w:keepLines w:val="0"/>
        <w:pageBreakBefore w:val="0"/>
        <w:widowControl w:val="0"/>
        <w:bidi w:val="0"/>
        <w:ind w:firstLine="480"/>
        <w:rPr>
          <w:rFonts w:hint="eastAsia"/>
          <w:color w:val="auto"/>
          <w:highlight w:val="none"/>
          <w:lang w:val="en-US" w:eastAsia="zh-CN"/>
        </w:rPr>
      </w:pPr>
      <w:r>
        <w:rPr>
          <w:rFonts w:hint="eastAsia"/>
          <w:color w:val="auto"/>
          <w:highlight w:val="none"/>
          <w:lang w:val="en-US" w:eastAsia="zh-CN"/>
        </w:rPr>
        <w:t>本人作为经授权的投标人代表,清楚知晓我单位本项目投标活动,对以下事项作出承诺：</w:t>
      </w:r>
    </w:p>
    <w:p w14:paraId="6657A0F7">
      <w:pPr>
        <w:keepNext w:val="0"/>
        <w:keepLines w:val="0"/>
        <w:pageBreakBefore w:val="0"/>
        <w:widowControl w:val="0"/>
        <w:bidi w:val="0"/>
        <w:ind w:firstLine="480"/>
        <w:rPr>
          <w:rFonts w:hint="eastAsia"/>
          <w:color w:val="auto"/>
          <w:highlight w:val="none"/>
          <w:lang w:val="en-US" w:eastAsia="zh-CN"/>
        </w:rPr>
      </w:pPr>
    </w:p>
    <w:p w14:paraId="7E37223F">
      <w:pPr>
        <w:keepNext w:val="0"/>
        <w:keepLines w:val="0"/>
        <w:pageBreakBefore w:val="0"/>
        <w:widowControl w:val="0"/>
        <w:bidi w:val="0"/>
        <w:ind w:firstLine="480"/>
        <w:rPr>
          <w:rFonts w:hint="eastAsia"/>
          <w:color w:val="auto"/>
          <w:highlight w:val="none"/>
          <w:lang w:val="en-US" w:eastAsia="zh-CN"/>
        </w:rPr>
      </w:pPr>
      <w:r>
        <w:rPr>
          <w:rFonts w:hint="eastAsia"/>
          <w:color w:val="auto"/>
          <w:highlight w:val="none"/>
          <w:lang w:val="en-US" w:eastAsia="zh-CN"/>
        </w:rPr>
        <w:t>一、我单位和我本人遵循公开透明、公平竞争、公正和诚实信用的原则,依法依规参与本项目竞标。</w:t>
      </w:r>
    </w:p>
    <w:p w14:paraId="6AF3B2AD">
      <w:pPr>
        <w:keepNext w:val="0"/>
        <w:keepLines w:val="0"/>
        <w:pageBreakBefore w:val="0"/>
        <w:widowControl w:val="0"/>
        <w:bidi w:val="0"/>
        <w:ind w:firstLine="480"/>
        <w:rPr>
          <w:rFonts w:hint="eastAsia"/>
          <w:color w:val="auto"/>
          <w:highlight w:val="none"/>
          <w:lang w:val="en-US" w:eastAsia="zh-CN"/>
        </w:rPr>
      </w:pPr>
      <w:r>
        <w:rPr>
          <w:rFonts w:hint="eastAsia"/>
          <w:color w:val="auto"/>
          <w:highlight w:val="none"/>
          <w:lang w:val="en-US" w:eastAsia="zh-CN"/>
        </w:rPr>
        <w:t>二、我单位和我本人在本项目政府采购投标活动中,未参与围标串标。</w:t>
      </w:r>
    </w:p>
    <w:p w14:paraId="61D72617">
      <w:pPr>
        <w:keepNext w:val="0"/>
        <w:keepLines w:val="0"/>
        <w:pageBreakBefore w:val="0"/>
        <w:widowControl w:val="0"/>
        <w:bidi w:val="0"/>
        <w:ind w:firstLine="480"/>
        <w:rPr>
          <w:rFonts w:hint="eastAsia"/>
          <w:color w:val="auto"/>
          <w:highlight w:val="none"/>
          <w:lang w:val="en-US" w:eastAsia="zh-CN"/>
        </w:rPr>
      </w:pPr>
      <w:r>
        <w:rPr>
          <w:rFonts w:hint="eastAsia"/>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12D11351">
      <w:pPr>
        <w:pStyle w:val="10"/>
        <w:rPr>
          <w:rFonts w:hint="eastAsia"/>
          <w:color w:val="auto"/>
          <w:highlight w:val="none"/>
          <w:lang w:val="en-US" w:eastAsia="zh-CN"/>
        </w:rPr>
      </w:pPr>
    </w:p>
    <w:p w14:paraId="1EEAA40C">
      <w:pPr>
        <w:spacing w:line="560" w:lineRule="exact"/>
        <w:rPr>
          <w:rFonts w:hint="eastAsia" w:ascii="宋体" w:hAnsi="宋体" w:eastAsia="宋体" w:cs="宋体"/>
          <w:color w:val="auto"/>
          <w:sz w:val="24"/>
          <w:szCs w:val="24"/>
          <w:highlight w:val="none"/>
        </w:rPr>
      </w:pPr>
    </w:p>
    <w:p w14:paraId="5067BEBE">
      <w:pPr>
        <w:spacing w:line="560" w:lineRule="exact"/>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ascii="宋体" w:hAnsi="宋体" w:cs="宋体"/>
          <w:color w:val="auto"/>
          <w:sz w:val="24"/>
          <w:highlight w:val="none"/>
          <w:lang w:val="zh-CN"/>
        </w:rPr>
        <w:t>)</w:t>
      </w:r>
      <w:r>
        <w:rPr>
          <w:rFonts w:hint="eastAsia" w:ascii="宋体" w:hAnsi="宋体" w:eastAsia="宋体" w:cs="宋体"/>
          <w:color w:val="auto"/>
          <w:sz w:val="24"/>
          <w:szCs w:val="24"/>
          <w:highlight w:val="none"/>
        </w:rPr>
        <w:t>：</w:t>
      </w:r>
    </w:p>
    <w:p w14:paraId="13BFB585">
      <w:pP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或授权代表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签字或</w:t>
      </w:r>
      <w:r>
        <w:rPr>
          <w:rFonts w:hint="eastAsia" w:cs="宋体"/>
          <w:color w:val="auto"/>
          <w:sz w:val="24"/>
          <w:szCs w:val="24"/>
          <w:highlight w:val="none"/>
          <w:lang w:eastAsia="zh-CN"/>
        </w:rPr>
        <w:t>盖</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rPr>
        <w:t>：</w:t>
      </w:r>
    </w:p>
    <w:p w14:paraId="351EB009">
      <w:pP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5A7B626A">
      <w:pPr>
        <w:rPr>
          <w:rFonts w:hint="eastAsia" w:ascii="Cambria" w:hAnsi="Cambria" w:eastAsia="宋体" w:cs="Times New Roman"/>
          <w:b/>
          <w:bCs/>
          <w:color w:val="auto"/>
          <w:sz w:val="24"/>
          <w:szCs w:val="24"/>
          <w:highlight w:val="none"/>
          <w:lang w:val="en-US" w:eastAsia="zh-CN" w:bidi="ar-SA"/>
        </w:rPr>
      </w:pPr>
    </w:p>
    <w:p w14:paraId="3127A54E">
      <w:pPr>
        <w:pStyle w:val="10"/>
        <w:rPr>
          <w:rFonts w:hint="eastAsia" w:ascii="Cambria" w:hAnsi="Cambria" w:eastAsia="宋体" w:cs="Times New Roman"/>
          <w:b/>
          <w:bCs/>
          <w:color w:val="auto"/>
          <w:sz w:val="24"/>
          <w:szCs w:val="24"/>
          <w:highlight w:val="none"/>
          <w:lang w:val="en-US" w:eastAsia="zh-CN" w:bidi="ar-SA"/>
        </w:rPr>
      </w:pPr>
    </w:p>
    <w:p w14:paraId="6FBFFDA2">
      <w:pPr>
        <w:pStyle w:val="10"/>
        <w:rPr>
          <w:rFonts w:hint="eastAsia" w:ascii="Cambria" w:hAnsi="Cambria" w:eastAsia="宋体" w:cs="Times New Roman"/>
          <w:b/>
          <w:bCs/>
          <w:color w:val="auto"/>
          <w:sz w:val="24"/>
          <w:szCs w:val="24"/>
          <w:highlight w:val="none"/>
          <w:lang w:val="en-US" w:eastAsia="zh-CN" w:bidi="ar-SA"/>
        </w:rPr>
      </w:pPr>
    </w:p>
    <w:p w14:paraId="52D22664">
      <w:pPr>
        <w:pStyle w:val="10"/>
        <w:rPr>
          <w:rFonts w:hint="eastAsia" w:ascii="Cambria" w:hAnsi="Cambria" w:eastAsia="宋体" w:cs="Times New Roman"/>
          <w:b/>
          <w:bCs/>
          <w:color w:val="auto"/>
          <w:sz w:val="24"/>
          <w:szCs w:val="24"/>
          <w:highlight w:val="none"/>
          <w:lang w:val="en-US" w:eastAsia="zh-CN" w:bidi="ar-SA"/>
        </w:rPr>
      </w:pPr>
    </w:p>
    <w:p w14:paraId="697C08B6">
      <w:pPr>
        <w:pStyle w:val="10"/>
        <w:rPr>
          <w:rFonts w:hint="eastAsia" w:ascii="Cambria" w:hAnsi="Cambria" w:eastAsia="宋体" w:cs="Times New Roman"/>
          <w:b/>
          <w:bCs/>
          <w:color w:val="auto"/>
          <w:sz w:val="24"/>
          <w:szCs w:val="24"/>
          <w:highlight w:val="none"/>
          <w:lang w:val="en-US" w:eastAsia="zh-CN" w:bidi="ar-SA"/>
        </w:rPr>
      </w:pPr>
    </w:p>
    <w:p w14:paraId="004C0D25">
      <w:pPr>
        <w:pStyle w:val="10"/>
        <w:rPr>
          <w:rFonts w:hint="eastAsia" w:ascii="Cambria" w:hAnsi="Cambria" w:eastAsia="宋体" w:cs="Times New Roman"/>
          <w:b/>
          <w:bCs/>
          <w:color w:val="auto"/>
          <w:sz w:val="24"/>
          <w:szCs w:val="24"/>
          <w:highlight w:val="none"/>
          <w:lang w:val="en-US" w:eastAsia="zh-CN" w:bidi="ar-SA"/>
        </w:rPr>
      </w:pPr>
    </w:p>
    <w:p w14:paraId="40B686C0">
      <w:pPr>
        <w:pStyle w:val="10"/>
        <w:rPr>
          <w:rFonts w:hint="eastAsia" w:ascii="Cambria" w:hAnsi="Cambria" w:eastAsia="宋体" w:cs="Times New Roman"/>
          <w:b/>
          <w:bCs/>
          <w:color w:val="auto"/>
          <w:sz w:val="24"/>
          <w:szCs w:val="24"/>
          <w:highlight w:val="none"/>
          <w:lang w:val="en-US" w:eastAsia="zh-CN" w:bidi="ar-SA"/>
        </w:rPr>
      </w:pPr>
    </w:p>
    <w:p w14:paraId="019B6795">
      <w:pPr>
        <w:pStyle w:val="10"/>
        <w:rPr>
          <w:rFonts w:hint="eastAsia" w:ascii="Cambria" w:hAnsi="Cambria" w:eastAsia="宋体" w:cs="Times New Roman"/>
          <w:b/>
          <w:bCs/>
          <w:color w:val="auto"/>
          <w:sz w:val="24"/>
          <w:szCs w:val="24"/>
          <w:highlight w:val="none"/>
          <w:lang w:val="en-US" w:eastAsia="zh-CN" w:bidi="ar-SA"/>
        </w:rPr>
      </w:pPr>
    </w:p>
    <w:p w14:paraId="10C3845F">
      <w:pPr>
        <w:pStyle w:val="10"/>
        <w:rPr>
          <w:rFonts w:hint="eastAsia" w:ascii="Cambria" w:hAnsi="Cambria" w:eastAsia="宋体" w:cs="Times New Roman"/>
          <w:b/>
          <w:bCs/>
          <w:color w:val="auto"/>
          <w:sz w:val="24"/>
          <w:szCs w:val="24"/>
          <w:highlight w:val="none"/>
          <w:lang w:val="en-US" w:eastAsia="zh-CN" w:bidi="ar-SA"/>
        </w:rPr>
      </w:pPr>
    </w:p>
    <w:p w14:paraId="685FAA93">
      <w:pPr>
        <w:bidi w:val="0"/>
        <w:rPr>
          <w:rFonts w:hint="eastAsia"/>
          <w:color w:val="auto"/>
          <w:highlight w:val="none"/>
          <w:lang w:val="en-US" w:eastAsia="zh-CN"/>
        </w:rPr>
      </w:pPr>
    </w:p>
    <w:p w14:paraId="344BC524">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605" w:name="_Toc22959"/>
      <w:r>
        <w:rPr>
          <w:rFonts w:hint="eastAsia" w:cs="Times New Roman"/>
          <w:b/>
          <w:bCs/>
          <w:color w:val="auto"/>
          <w:sz w:val="32"/>
          <w:szCs w:val="32"/>
          <w:highlight w:val="none"/>
          <w:lang w:val="en-US" w:eastAsia="zh-CN" w:bidi="ar-SA"/>
        </w:rPr>
        <w:t>6</w:t>
      </w:r>
      <w:r>
        <w:rPr>
          <w:rFonts w:hint="eastAsia" w:ascii="Cambria" w:hAnsi="Cambria" w:eastAsia="宋体" w:cs="Times New Roman"/>
          <w:b/>
          <w:bCs/>
          <w:color w:val="auto"/>
          <w:sz w:val="32"/>
          <w:szCs w:val="32"/>
          <w:highlight w:val="none"/>
          <w:lang w:val="en-US" w:eastAsia="zh-CN" w:bidi="ar-SA"/>
        </w:rPr>
        <w:t>、商务响应偏离表</w:t>
      </w:r>
      <w:bookmarkEnd w:id="603"/>
      <w:bookmarkEnd w:id="605"/>
    </w:p>
    <w:p w14:paraId="487970EA">
      <w:pPr>
        <w:rPr>
          <w:rFonts w:cs="仿宋_GB2312"/>
          <w:color w:val="auto"/>
          <w:szCs w:val="24"/>
          <w:highlight w:val="none"/>
        </w:rPr>
      </w:pPr>
      <w:r>
        <w:rPr>
          <w:rFonts w:hint="eastAsia" w:cs="仿宋_GB2312"/>
          <w:color w:val="auto"/>
          <w:szCs w:val="24"/>
          <w:highlight w:val="none"/>
        </w:rPr>
        <w:t xml:space="preserve">项目名称：                                         </w:t>
      </w:r>
    </w:p>
    <w:p w14:paraId="5CCB25AD">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22"/>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4211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noWrap w:val="0"/>
            <w:vAlign w:val="center"/>
          </w:tcPr>
          <w:p w14:paraId="10532011">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noWrap w:val="0"/>
            <w:vAlign w:val="center"/>
          </w:tcPr>
          <w:p w14:paraId="2376699A">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noWrap w:val="0"/>
            <w:vAlign w:val="center"/>
          </w:tcPr>
          <w:p w14:paraId="70506EFB">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noWrap w:val="0"/>
            <w:vAlign w:val="center"/>
          </w:tcPr>
          <w:p w14:paraId="7D7A32D3">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noWrap w:val="0"/>
            <w:vAlign w:val="center"/>
          </w:tcPr>
          <w:p w14:paraId="1CD12099">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2A8D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6ADA74F1">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noWrap w:val="0"/>
            <w:vAlign w:val="center"/>
          </w:tcPr>
          <w:p w14:paraId="0901796E">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noWrap w:val="0"/>
            <w:vAlign w:val="center"/>
          </w:tcPr>
          <w:p w14:paraId="61856D46">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noWrap w:val="0"/>
            <w:vAlign w:val="center"/>
          </w:tcPr>
          <w:p w14:paraId="116585A7">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noWrap w:val="0"/>
            <w:vAlign w:val="center"/>
          </w:tcPr>
          <w:p w14:paraId="28270142">
            <w:pPr>
              <w:pStyle w:val="37"/>
              <w:jc w:val="center"/>
              <w:rPr>
                <w:rFonts w:hint="eastAsia" w:ascii="宋体" w:hAnsi="宋体" w:eastAsia="宋体" w:cs="宋体"/>
                <w:color w:val="auto"/>
                <w:sz w:val="21"/>
                <w:szCs w:val="21"/>
                <w:highlight w:val="none"/>
              </w:rPr>
            </w:pPr>
          </w:p>
        </w:tc>
      </w:tr>
      <w:tr w14:paraId="6C8C2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5C75EF8A">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noWrap w:val="0"/>
            <w:vAlign w:val="center"/>
          </w:tcPr>
          <w:p w14:paraId="1A1B1A02">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noWrap w:val="0"/>
            <w:vAlign w:val="center"/>
          </w:tcPr>
          <w:p w14:paraId="46D39712">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noWrap w:val="0"/>
            <w:vAlign w:val="center"/>
          </w:tcPr>
          <w:p w14:paraId="33735651">
            <w:pPr>
              <w:pStyle w:val="37"/>
              <w:jc w:val="center"/>
              <w:rPr>
                <w:rFonts w:hint="eastAsia" w:ascii="宋体" w:hAnsi="宋体" w:eastAsia="宋体" w:cs="宋体"/>
                <w:color w:val="auto"/>
                <w:sz w:val="21"/>
                <w:szCs w:val="21"/>
                <w:highlight w:val="none"/>
              </w:rPr>
            </w:pPr>
          </w:p>
        </w:tc>
        <w:tc>
          <w:tcPr>
            <w:tcW w:w="1090" w:type="pct"/>
            <w:noWrap w:val="0"/>
            <w:vAlign w:val="center"/>
          </w:tcPr>
          <w:p w14:paraId="5DA5FF4E">
            <w:pPr>
              <w:pStyle w:val="37"/>
              <w:jc w:val="center"/>
              <w:rPr>
                <w:rFonts w:hint="eastAsia" w:ascii="宋体" w:hAnsi="宋体" w:eastAsia="宋体" w:cs="宋体"/>
                <w:color w:val="auto"/>
                <w:sz w:val="21"/>
                <w:szCs w:val="21"/>
                <w:highlight w:val="none"/>
              </w:rPr>
            </w:pPr>
          </w:p>
        </w:tc>
      </w:tr>
      <w:tr w14:paraId="10946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296CFC7B">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noWrap w:val="0"/>
            <w:vAlign w:val="center"/>
          </w:tcPr>
          <w:p w14:paraId="61C5D65B">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noWrap w:val="0"/>
            <w:vAlign w:val="center"/>
          </w:tcPr>
          <w:p w14:paraId="2E042F31">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noWrap w:val="0"/>
            <w:vAlign w:val="center"/>
          </w:tcPr>
          <w:p w14:paraId="6977F94E">
            <w:pPr>
              <w:pStyle w:val="37"/>
              <w:jc w:val="center"/>
              <w:rPr>
                <w:rFonts w:hint="eastAsia" w:ascii="宋体" w:hAnsi="宋体" w:eastAsia="宋体" w:cs="宋体"/>
                <w:color w:val="auto"/>
                <w:sz w:val="21"/>
                <w:szCs w:val="21"/>
                <w:highlight w:val="none"/>
              </w:rPr>
            </w:pPr>
          </w:p>
        </w:tc>
        <w:tc>
          <w:tcPr>
            <w:tcW w:w="1090" w:type="pct"/>
            <w:noWrap w:val="0"/>
            <w:vAlign w:val="center"/>
          </w:tcPr>
          <w:p w14:paraId="083CF5D8">
            <w:pPr>
              <w:pStyle w:val="37"/>
              <w:jc w:val="center"/>
              <w:rPr>
                <w:rFonts w:hint="eastAsia" w:ascii="宋体" w:hAnsi="宋体" w:eastAsia="宋体" w:cs="宋体"/>
                <w:color w:val="auto"/>
                <w:sz w:val="21"/>
                <w:szCs w:val="21"/>
                <w:highlight w:val="none"/>
              </w:rPr>
            </w:pPr>
          </w:p>
        </w:tc>
      </w:tr>
      <w:tr w14:paraId="0E31E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3DF96C36">
            <w:pPr>
              <w:pStyle w:val="37"/>
              <w:jc w:val="center"/>
              <w:rPr>
                <w:rFonts w:hint="eastAsia" w:ascii="宋体" w:hAnsi="宋体" w:eastAsia="宋体" w:cs="宋体"/>
                <w:color w:val="auto"/>
                <w:sz w:val="21"/>
                <w:szCs w:val="21"/>
                <w:highlight w:val="none"/>
              </w:rPr>
            </w:pPr>
          </w:p>
        </w:tc>
        <w:tc>
          <w:tcPr>
            <w:tcW w:w="1395" w:type="pct"/>
            <w:noWrap w:val="0"/>
            <w:vAlign w:val="center"/>
          </w:tcPr>
          <w:p w14:paraId="71B7E0AE">
            <w:pPr>
              <w:pStyle w:val="37"/>
              <w:jc w:val="center"/>
              <w:rPr>
                <w:rFonts w:hint="eastAsia" w:ascii="宋体" w:hAnsi="宋体" w:eastAsia="宋体" w:cs="宋体"/>
                <w:color w:val="auto"/>
                <w:sz w:val="21"/>
                <w:szCs w:val="21"/>
                <w:highlight w:val="none"/>
              </w:rPr>
            </w:pPr>
          </w:p>
        </w:tc>
        <w:tc>
          <w:tcPr>
            <w:tcW w:w="1002" w:type="pct"/>
            <w:noWrap w:val="0"/>
            <w:vAlign w:val="center"/>
          </w:tcPr>
          <w:p w14:paraId="75891960">
            <w:pPr>
              <w:pStyle w:val="37"/>
              <w:jc w:val="center"/>
              <w:rPr>
                <w:rFonts w:hint="eastAsia" w:ascii="宋体" w:hAnsi="宋体" w:eastAsia="宋体" w:cs="宋体"/>
                <w:color w:val="auto"/>
                <w:sz w:val="21"/>
                <w:szCs w:val="21"/>
                <w:highlight w:val="none"/>
              </w:rPr>
            </w:pPr>
          </w:p>
        </w:tc>
        <w:tc>
          <w:tcPr>
            <w:tcW w:w="1090" w:type="pct"/>
            <w:noWrap w:val="0"/>
            <w:vAlign w:val="center"/>
          </w:tcPr>
          <w:p w14:paraId="295FCE93">
            <w:pPr>
              <w:pStyle w:val="37"/>
              <w:jc w:val="center"/>
              <w:rPr>
                <w:rFonts w:hint="eastAsia" w:ascii="宋体" w:hAnsi="宋体" w:eastAsia="宋体" w:cs="宋体"/>
                <w:color w:val="auto"/>
                <w:sz w:val="21"/>
                <w:szCs w:val="21"/>
                <w:highlight w:val="none"/>
              </w:rPr>
            </w:pPr>
          </w:p>
        </w:tc>
        <w:tc>
          <w:tcPr>
            <w:tcW w:w="1090" w:type="pct"/>
            <w:noWrap w:val="0"/>
            <w:vAlign w:val="center"/>
          </w:tcPr>
          <w:p w14:paraId="66BB4FF4">
            <w:pPr>
              <w:pStyle w:val="37"/>
              <w:jc w:val="center"/>
              <w:rPr>
                <w:rFonts w:hint="eastAsia" w:ascii="宋体" w:hAnsi="宋体" w:eastAsia="宋体" w:cs="宋体"/>
                <w:color w:val="auto"/>
                <w:sz w:val="21"/>
                <w:szCs w:val="21"/>
                <w:highlight w:val="none"/>
              </w:rPr>
            </w:pPr>
          </w:p>
        </w:tc>
      </w:tr>
      <w:tr w14:paraId="4EE3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069C3B09">
            <w:pPr>
              <w:pStyle w:val="37"/>
              <w:jc w:val="center"/>
              <w:rPr>
                <w:rFonts w:hint="eastAsia" w:ascii="宋体" w:hAnsi="宋体" w:eastAsia="宋体" w:cs="宋体"/>
                <w:color w:val="auto"/>
                <w:sz w:val="21"/>
                <w:szCs w:val="21"/>
                <w:highlight w:val="none"/>
              </w:rPr>
            </w:pPr>
          </w:p>
        </w:tc>
        <w:tc>
          <w:tcPr>
            <w:tcW w:w="1395" w:type="pct"/>
            <w:noWrap w:val="0"/>
            <w:vAlign w:val="center"/>
          </w:tcPr>
          <w:p w14:paraId="5B09F2BD">
            <w:pPr>
              <w:pStyle w:val="37"/>
              <w:jc w:val="center"/>
              <w:rPr>
                <w:rFonts w:hint="eastAsia" w:ascii="宋体" w:hAnsi="宋体" w:eastAsia="宋体" w:cs="宋体"/>
                <w:color w:val="auto"/>
                <w:sz w:val="21"/>
                <w:szCs w:val="21"/>
                <w:highlight w:val="none"/>
              </w:rPr>
            </w:pPr>
          </w:p>
        </w:tc>
        <w:tc>
          <w:tcPr>
            <w:tcW w:w="1002" w:type="pct"/>
            <w:noWrap w:val="0"/>
            <w:vAlign w:val="center"/>
          </w:tcPr>
          <w:p w14:paraId="054B3BC3">
            <w:pPr>
              <w:pStyle w:val="37"/>
              <w:jc w:val="center"/>
              <w:rPr>
                <w:rFonts w:hint="eastAsia" w:ascii="宋体" w:hAnsi="宋体" w:eastAsia="宋体" w:cs="宋体"/>
                <w:color w:val="auto"/>
                <w:sz w:val="21"/>
                <w:szCs w:val="21"/>
                <w:highlight w:val="none"/>
              </w:rPr>
            </w:pPr>
          </w:p>
        </w:tc>
        <w:tc>
          <w:tcPr>
            <w:tcW w:w="1090" w:type="pct"/>
            <w:noWrap w:val="0"/>
            <w:vAlign w:val="center"/>
          </w:tcPr>
          <w:p w14:paraId="35258073">
            <w:pPr>
              <w:pStyle w:val="37"/>
              <w:jc w:val="center"/>
              <w:rPr>
                <w:rFonts w:hint="eastAsia" w:ascii="宋体" w:hAnsi="宋体" w:eastAsia="宋体" w:cs="宋体"/>
                <w:color w:val="auto"/>
                <w:sz w:val="21"/>
                <w:szCs w:val="21"/>
                <w:highlight w:val="none"/>
              </w:rPr>
            </w:pPr>
          </w:p>
        </w:tc>
        <w:tc>
          <w:tcPr>
            <w:tcW w:w="1090" w:type="pct"/>
            <w:noWrap w:val="0"/>
            <w:vAlign w:val="center"/>
          </w:tcPr>
          <w:p w14:paraId="45C2F938">
            <w:pPr>
              <w:pStyle w:val="37"/>
              <w:jc w:val="center"/>
              <w:rPr>
                <w:rFonts w:hint="eastAsia" w:ascii="宋体" w:hAnsi="宋体" w:eastAsia="宋体" w:cs="宋体"/>
                <w:color w:val="auto"/>
                <w:sz w:val="21"/>
                <w:szCs w:val="21"/>
                <w:highlight w:val="none"/>
              </w:rPr>
            </w:pPr>
          </w:p>
        </w:tc>
      </w:tr>
      <w:tr w14:paraId="3AAE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71FCBDB9">
            <w:pPr>
              <w:pStyle w:val="37"/>
              <w:jc w:val="center"/>
              <w:rPr>
                <w:rFonts w:hint="eastAsia" w:ascii="宋体" w:hAnsi="宋体" w:eastAsia="宋体" w:cs="宋体"/>
                <w:color w:val="auto"/>
                <w:sz w:val="21"/>
                <w:szCs w:val="21"/>
                <w:highlight w:val="none"/>
              </w:rPr>
            </w:pPr>
          </w:p>
        </w:tc>
        <w:tc>
          <w:tcPr>
            <w:tcW w:w="1395" w:type="pct"/>
            <w:noWrap w:val="0"/>
            <w:vAlign w:val="center"/>
          </w:tcPr>
          <w:p w14:paraId="340192D2">
            <w:pPr>
              <w:pStyle w:val="37"/>
              <w:jc w:val="center"/>
              <w:rPr>
                <w:rFonts w:hint="eastAsia" w:ascii="宋体" w:hAnsi="宋体" w:eastAsia="宋体" w:cs="宋体"/>
                <w:color w:val="auto"/>
                <w:sz w:val="21"/>
                <w:szCs w:val="21"/>
                <w:highlight w:val="none"/>
              </w:rPr>
            </w:pPr>
          </w:p>
        </w:tc>
        <w:tc>
          <w:tcPr>
            <w:tcW w:w="1002" w:type="pct"/>
            <w:noWrap w:val="0"/>
            <w:vAlign w:val="center"/>
          </w:tcPr>
          <w:p w14:paraId="39E83394">
            <w:pPr>
              <w:pStyle w:val="37"/>
              <w:jc w:val="center"/>
              <w:rPr>
                <w:rFonts w:hint="eastAsia" w:ascii="宋体" w:hAnsi="宋体" w:eastAsia="宋体" w:cs="宋体"/>
                <w:color w:val="auto"/>
                <w:sz w:val="21"/>
                <w:szCs w:val="21"/>
                <w:highlight w:val="none"/>
              </w:rPr>
            </w:pPr>
          </w:p>
        </w:tc>
        <w:tc>
          <w:tcPr>
            <w:tcW w:w="1090" w:type="pct"/>
            <w:noWrap w:val="0"/>
            <w:vAlign w:val="center"/>
          </w:tcPr>
          <w:p w14:paraId="6076D8E4">
            <w:pPr>
              <w:pStyle w:val="37"/>
              <w:jc w:val="center"/>
              <w:rPr>
                <w:rFonts w:hint="eastAsia" w:ascii="宋体" w:hAnsi="宋体" w:eastAsia="宋体" w:cs="宋体"/>
                <w:color w:val="auto"/>
                <w:sz w:val="21"/>
                <w:szCs w:val="21"/>
                <w:highlight w:val="none"/>
              </w:rPr>
            </w:pPr>
          </w:p>
        </w:tc>
        <w:tc>
          <w:tcPr>
            <w:tcW w:w="1090" w:type="pct"/>
            <w:noWrap w:val="0"/>
            <w:vAlign w:val="center"/>
          </w:tcPr>
          <w:p w14:paraId="22C6C095">
            <w:pPr>
              <w:pStyle w:val="37"/>
              <w:jc w:val="center"/>
              <w:rPr>
                <w:rFonts w:hint="eastAsia" w:ascii="宋体" w:hAnsi="宋体" w:eastAsia="宋体" w:cs="宋体"/>
                <w:color w:val="auto"/>
                <w:sz w:val="21"/>
                <w:szCs w:val="21"/>
                <w:highlight w:val="none"/>
              </w:rPr>
            </w:pPr>
          </w:p>
        </w:tc>
      </w:tr>
      <w:tr w14:paraId="7F2C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7A81A42B">
            <w:pPr>
              <w:pStyle w:val="37"/>
              <w:jc w:val="center"/>
              <w:rPr>
                <w:rFonts w:hint="eastAsia" w:ascii="宋体" w:hAnsi="宋体" w:eastAsia="宋体" w:cs="宋体"/>
                <w:color w:val="auto"/>
                <w:sz w:val="21"/>
                <w:szCs w:val="21"/>
                <w:highlight w:val="none"/>
              </w:rPr>
            </w:pPr>
          </w:p>
        </w:tc>
        <w:tc>
          <w:tcPr>
            <w:tcW w:w="1395" w:type="pct"/>
            <w:noWrap w:val="0"/>
            <w:vAlign w:val="center"/>
          </w:tcPr>
          <w:p w14:paraId="48DA967C">
            <w:pPr>
              <w:pStyle w:val="37"/>
              <w:jc w:val="center"/>
              <w:rPr>
                <w:rFonts w:hint="eastAsia" w:ascii="宋体" w:hAnsi="宋体" w:eastAsia="宋体" w:cs="宋体"/>
                <w:color w:val="auto"/>
                <w:sz w:val="21"/>
                <w:szCs w:val="21"/>
                <w:highlight w:val="none"/>
              </w:rPr>
            </w:pPr>
          </w:p>
        </w:tc>
        <w:tc>
          <w:tcPr>
            <w:tcW w:w="1002" w:type="pct"/>
            <w:noWrap w:val="0"/>
            <w:vAlign w:val="center"/>
          </w:tcPr>
          <w:p w14:paraId="4CC9B0E5">
            <w:pPr>
              <w:pStyle w:val="37"/>
              <w:jc w:val="center"/>
              <w:rPr>
                <w:rFonts w:hint="eastAsia" w:ascii="宋体" w:hAnsi="宋体" w:eastAsia="宋体" w:cs="宋体"/>
                <w:color w:val="auto"/>
                <w:sz w:val="21"/>
                <w:szCs w:val="21"/>
                <w:highlight w:val="none"/>
              </w:rPr>
            </w:pPr>
          </w:p>
        </w:tc>
        <w:tc>
          <w:tcPr>
            <w:tcW w:w="1090" w:type="pct"/>
            <w:noWrap w:val="0"/>
            <w:vAlign w:val="center"/>
          </w:tcPr>
          <w:p w14:paraId="71547F4C">
            <w:pPr>
              <w:pStyle w:val="37"/>
              <w:jc w:val="center"/>
              <w:rPr>
                <w:rFonts w:hint="eastAsia" w:ascii="宋体" w:hAnsi="宋体" w:eastAsia="宋体" w:cs="宋体"/>
                <w:color w:val="auto"/>
                <w:sz w:val="21"/>
                <w:szCs w:val="21"/>
                <w:highlight w:val="none"/>
              </w:rPr>
            </w:pPr>
          </w:p>
        </w:tc>
        <w:tc>
          <w:tcPr>
            <w:tcW w:w="1090" w:type="pct"/>
            <w:noWrap w:val="0"/>
            <w:vAlign w:val="center"/>
          </w:tcPr>
          <w:p w14:paraId="5FE5C0DE">
            <w:pPr>
              <w:pStyle w:val="37"/>
              <w:jc w:val="center"/>
              <w:rPr>
                <w:rFonts w:hint="eastAsia" w:ascii="宋体" w:hAnsi="宋体" w:eastAsia="宋体" w:cs="宋体"/>
                <w:color w:val="auto"/>
                <w:sz w:val="21"/>
                <w:szCs w:val="21"/>
                <w:highlight w:val="none"/>
              </w:rPr>
            </w:pPr>
          </w:p>
        </w:tc>
      </w:tr>
      <w:tr w14:paraId="64A3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0A040D0B">
            <w:pPr>
              <w:pStyle w:val="37"/>
              <w:jc w:val="center"/>
              <w:rPr>
                <w:rFonts w:hint="eastAsia" w:ascii="宋体" w:hAnsi="宋体" w:eastAsia="宋体" w:cs="宋体"/>
                <w:color w:val="auto"/>
                <w:sz w:val="21"/>
                <w:szCs w:val="21"/>
                <w:highlight w:val="none"/>
              </w:rPr>
            </w:pPr>
          </w:p>
        </w:tc>
        <w:tc>
          <w:tcPr>
            <w:tcW w:w="1395" w:type="pct"/>
            <w:noWrap w:val="0"/>
            <w:vAlign w:val="center"/>
          </w:tcPr>
          <w:p w14:paraId="06086C01">
            <w:pPr>
              <w:pStyle w:val="37"/>
              <w:jc w:val="center"/>
              <w:rPr>
                <w:rFonts w:hint="eastAsia" w:ascii="宋体" w:hAnsi="宋体" w:eastAsia="宋体" w:cs="宋体"/>
                <w:color w:val="auto"/>
                <w:sz w:val="21"/>
                <w:szCs w:val="21"/>
                <w:highlight w:val="none"/>
              </w:rPr>
            </w:pPr>
          </w:p>
        </w:tc>
        <w:tc>
          <w:tcPr>
            <w:tcW w:w="1002" w:type="pct"/>
            <w:noWrap w:val="0"/>
            <w:vAlign w:val="center"/>
          </w:tcPr>
          <w:p w14:paraId="53CA13A0">
            <w:pPr>
              <w:pStyle w:val="37"/>
              <w:jc w:val="center"/>
              <w:rPr>
                <w:rFonts w:hint="eastAsia" w:ascii="宋体" w:hAnsi="宋体" w:eastAsia="宋体" w:cs="宋体"/>
                <w:color w:val="auto"/>
                <w:sz w:val="21"/>
                <w:szCs w:val="21"/>
                <w:highlight w:val="none"/>
              </w:rPr>
            </w:pPr>
          </w:p>
        </w:tc>
        <w:tc>
          <w:tcPr>
            <w:tcW w:w="1090" w:type="pct"/>
            <w:noWrap w:val="0"/>
            <w:vAlign w:val="center"/>
          </w:tcPr>
          <w:p w14:paraId="2FA35DD1">
            <w:pPr>
              <w:pStyle w:val="37"/>
              <w:jc w:val="center"/>
              <w:rPr>
                <w:rFonts w:hint="eastAsia" w:ascii="宋体" w:hAnsi="宋体" w:eastAsia="宋体" w:cs="宋体"/>
                <w:color w:val="auto"/>
                <w:sz w:val="21"/>
                <w:szCs w:val="21"/>
                <w:highlight w:val="none"/>
              </w:rPr>
            </w:pPr>
          </w:p>
        </w:tc>
        <w:tc>
          <w:tcPr>
            <w:tcW w:w="1090" w:type="pct"/>
            <w:noWrap w:val="0"/>
            <w:vAlign w:val="center"/>
          </w:tcPr>
          <w:p w14:paraId="60BF5CD4">
            <w:pPr>
              <w:pStyle w:val="37"/>
              <w:jc w:val="center"/>
              <w:rPr>
                <w:rFonts w:hint="eastAsia" w:ascii="宋体" w:hAnsi="宋体" w:eastAsia="宋体" w:cs="宋体"/>
                <w:color w:val="auto"/>
                <w:sz w:val="21"/>
                <w:szCs w:val="21"/>
                <w:highlight w:val="none"/>
              </w:rPr>
            </w:pPr>
          </w:p>
        </w:tc>
      </w:tr>
      <w:tr w14:paraId="7BDC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noWrap w:val="0"/>
            <w:vAlign w:val="center"/>
          </w:tcPr>
          <w:p w14:paraId="185423D1">
            <w:pPr>
              <w:pStyle w:val="37"/>
              <w:jc w:val="center"/>
              <w:rPr>
                <w:rFonts w:hint="eastAsia" w:ascii="宋体" w:hAnsi="宋体" w:eastAsia="宋体" w:cs="宋体"/>
                <w:color w:val="auto"/>
                <w:sz w:val="21"/>
                <w:szCs w:val="21"/>
                <w:highlight w:val="none"/>
              </w:rPr>
            </w:pPr>
          </w:p>
        </w:tc>
        <w:tc>
          <w:tcPr>
            <w:tcW w:w="1395" w:type="pct"/>
            <w:noWrap w:val="0"/>
            <w:vAlign w:val="center"/>
          </w:tcPr>
          <w:p w14:paraId="2E989747">
            <w:pPr>
              <w:pStyle w:val="37"/>
              <w:jc w:val="center"/>
              <w:rPr>
                <w:rFonts w:hint="eastAsia" w:ascii="宋体" w:hAnsi="宋体" w:eastAsia="宋体" w:cs="宋体"/>
                <w:color w:val="auto"/>
                <w:sz w:val="21"/>
                <w:szCs w:val="21"/>
                <w:highlight w:val="none"/>
              </w:rPr>
            </w:pPr>
          </w:p>
        </w:tc>
        <w:tc>
          <w:tcPr>
            <w:tcW w:w="1002" w:type="pct"/>
            <w:noWrap w:val="0"/>
            <w:vAlign w:val="center"/>
          </w:tcPr>
          <w:p w14:paraId="6A8B22E0">
            <w:pPr>
              <w:pStyle w:val="37"/>
              <w:jc w:val="center"/>
              <w:rPr>
                <w:rFonts w:hint="eastAsia" w:ascii="宋体" w:hAnsi="宋体" w:eastAsia="宋体" w:cs="宋体"/>
                <w:color w:val="auto"/>
                <w:sz w:val="21"/>
                <w:szCs w:val="21"/>
                <w:highlight w:val="none"/>
              </w:rPr>
            </w:pPr>
          </w:p>
        </w:tc>
        <w:tc>
          <w:tcPr>
            <w:tcW w:w="1090" w:type="pct"/>
            <w:noWrap w:val="0"/>
            <w:vAlign w:val="center"/>
          </w:tcPr>
          <w:p w14:paraId="47C10797">
            <w:pPr>
              <w:pStyle w:val="37"/>
              <w:jc w:val="center"/>
              <w:rPr>
                <w:rFonts w:hint="eastAsia" w:ascii="宋体" w:hAnsi="宋体" w:eastAsia="宋体" w:cs="宋体"/>
                <w:color w:val="auto"/>
                <w:sz w:val="21"/>
                <w:szCs w:val="21"/>
                <w:highlight w:val="none"/>
              </w:rPr>
            </w:pPr>
          </w:p>
        </w:tc>
        <w:tc>
          <w:tcPr>
            <w:tcW w:w="1090" w:type="pct"/>
            <w:noWrap w:val="0"/>
            <w:vAlign w:val="center"/>
          </w:tcPr>
          <w:p w14:paraId="2EC0DFEC">
            <w:pPr>
              <w:pStyle w:val="37"/>
              <w:jc w:val="center"/>
              <w:rPr>
                <w:rFonts w:hint="eastAsia" w:ascii="宋体" w:hAnsi="宋体" w:eastAsia="宋体" w:cs="宋体"/>
                <w:color w:val="auto"/>
                <w:sz w:val="21"/>
                <w:szCs w:val="21"/>
                <w:highlight w:val="none"/>
              </w:rPr>
            </w:pPr>
          </w:p>
        </w:tc>
      </w:tr>
      <w:tr w14:paraId="64AD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noWrap w:val="0"/>
            <w:vAlign w:val="center"/>
          </w:tcPr>
          <w:p w14:paraId="532B21A7">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noWrap w:val="0"/>
            <w:vAlign w:val="center"/>
          </w:tcPr>
          <w:p w14:paraId="7A71670E">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noWrap w:val="0"/>
            <w:vAlign w:val="center"/>
          </w:tcPr>
          <w:p w14:paraId="02AF8DC2">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noWrap w:val="0"/>
            <w:vAlign w:val="center"/>
          </w:tcPr>
          <w:p w14:paraId="52B18DE0">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noWrap w:val="0"/>
            <w:vAlign w:val="center"/>
          </w:tcPr>
          <w:p w14:paraId="09FC3876">
            <w:pPr>
              <w:pStyle w:val="37"/>
              <w:jc w:val="center"/>
              <w:rPr>
                <w:rFonts w:hint="eastAsia" w:ascii="宋体" w:hAnsi="宋体" w:eastAsia="宋体" w:cs="宋体"/>
                <w:color w:val="auto"/>
                <w:sz w:val="21"/>
                <w:szCs w:val="21"/>
                <w:highlight w:val="none"/>
              </w:rPr>
            </w:pPr>
          </w:p>
        </w:tc>
      </w:tr>
    </w:tbl>
    <w:p w14:paraId="7F0462E0">
      <w:pPr>
        <w:ind w:firstLine="420"/>
        <w:rPr>
          <w:rFonts w:hint="eastAsia" w:cs="仿宋_GB2312"/>
          <w:color w:val="auto"/>
          <w:sz w:val="21"/>
          <w:szCs w:val="21"/>
          <w:highlight w:val="none"/>
        </w:rPr>
      </w:pPr>
    </w:p>
    <w:p w14:paraId="1F6D03EB">
      <w:pPr>
        <w:ind w:firstLine="480"/>
        <w:rPr>
          <w:rFonts w:cs="仿宋_GB2312"/>
          <w:color w:val="auto"/>
          <w:szCs w:val="24"/>
          <w:highlight w:val="none"/>
        </w:rPr>
      </w:pPr>
    </w:p>
    <w:p w14:paraId="3E289734">
      <w:pPr>
        <w:ind w:firstLine="48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323E38EB">
      <w:pPr>
        <w:ind w:firstLine="420"/>
        <w:rPr>
          <w:rFonts w:cs="仿宋_GB2312"/>
          <w:color w:val="auto"/>
          <w:szCs w:val="24"/>
          <w:highlight w:val="none"/>
        </w:rPr>
      </w:pPr>
      <w:r>
        <w:rPr>
          <w:rFonts w:hint="eastAsia" w:cs="仿宋_GB2312"/>
          <w:color w:val="auto"/>
          <w:szCs w:val="24"/>
          <w:highlight w:val="none"/>
        </w:rPr>
        <w:t>日      期：</w:t>
      </w:r>
    </w:p>
    <w:p w14:paraId="621FC820">
      <w:pPr>
        <w:ind w:firstLine="420"/>
        <w:rPr>
          <w:rFonts w:hint="eastAsia" w:cs="仿宋_GB2312"/>
          <w:color w:val="auto"/>
          <w:sz w:val="21"/>
          <w:szCs w:val="21"/>
          <w:highlight w:val="none"/>
        </w:rPr>
      </w:pPr>
    </w:p>
    <w:p w14:paraId="794B213D">
      <w:pPr>
        <w:ind w:firstLine="42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73F7ADA7">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1.“招标文件的商务条款”栏应详细列明招标文件中的商务要求。 </w:t>
      </w:r>
    </w:p>
    <w:p w14:paraId="79FC3CB0">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61B8C5B6">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6CEC947A">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562D5235">
      <w:pPr>
        <w:ind w:firstLine="42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152EA405">
      <w:pPr>
        <w:ind w:firstLine="420"/>
        <w:rPr>
          <w:rFonts w:cs="仿宋_GB2312"/>
          <w:color w:val="auto"/>
          <w:szCs w:val="24"/>
          <w:highlight w:val="none"/>
        </w:rPr>
      </w:pPr>
      <w:r>
        <w:rPr>
          <w:rFonts w:cs="仿宋_GB2312"/>
          <w:color w:val="auto"/>
          <w:szCs w:val="24"/>
          <w:highlight w:val="none"/>
        </w:rPr>
        <w:br w:type="page" w:clear="all"/>
      </w:r>
    </w:p>
    <w:p w14:paraId="086FD045">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606" w:name="_Toc23338"/>
      <w:bookmarkStart w:id="607" w:name="_Toc163492930"/>
      <w:r>
        <w:rPr>
          <w:rFonts w:hint="eastAsia" w:cs="Times New Roman"/>
          <w:b/>
          <w:bCs/>
          <w:color w:val="auto"/>
          <w:sz w:val="32"/>
          <w:szCs w:val="32"/>
          <w:highlight w:val="none"/>
          <w:lang w:val="en-US" w:eastAsia="zh-CN" w:bidi="ar-SA"/>
        </w:rPr>
        <w:t>7</w:t>
      </w:r>
      <w:r>
        <w:rPr>
          <w:rFonts w:hint="eastAsia" w:ascii="Cambria" w:hAnsi="Cambria" w:eastAsia="宋体" w:cs="Times New Roman"/>
          <w:b/>
          <w:bCs/>
          <w:color w:val="auto"/>
          <w:sz w:val="32"/>
          <w:szCs w:val="32"/>
          <w:highlight w:val="none"/>
          <w:lang w:val="en-US" w:eastAsia="zh-CN" w:bidi="ar-SA"/>
        </w:rPr>
        <w:t>、业绩证明文件</w:t>
      </w:r>
      <w:bookmarkEnd w:id="606"/>
      <w:bookmarkEnd w:id="607"/>
    </w:p>
    <w:p w14:paraId="75E0009B">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279D7213">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22"/>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4A88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noWrap w:val="0"/>
            <w:vAlign w:val="center"/>
          </w:tcPr>
          <w:p w14:paraId="104FA619">
            <w:pPr>
              <w:jc w:val="center"/>
              <w:rPr>
                <w:rFonts w:hint="eastAsia" w:ascii="宋体" w:hAnsi="宋体" w:eastAsia="宋体" w:cs="宋体"/>
                <w:color w:val="auto"/>
                <w:sz w:val="21"/>
                <w:szCs w:val="21"/>
                <w:highlight w:val="none"/>
              </w:rPr>
            </w:pPr>
            <w:bookmarkStart w:id="608" w:name="_Hlk46779239"/>
            <w:r>
              <w:rPr>
                <w:rFonts w:hint="eastAsia" w:ascii="宋体" w:hAnsi="宋体" w:eastAsia="宋体" w:cs="宋体"/>
                <w:color w:val="auto"/>
                <w:sz w:val="21"/>
                <w:szCs w:val="21"/>
                <w:highlight w:val="none"/>
              </w:rPr>
              <w:t>序号</w:t>
            </w:r>
          </w:p>
        </w:tc>
        <w:tc>
          <w:tcPr>
            <w:tcW w:w="1560" w:type="dxa"/>
            <w:noWrap w:val="0"/>
            <w:vAlign w:val="center"/>
          </w:tcPr>
          <w:p w14:paraId="2F24746B">
            <w:pPr>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248" w:type="dxa"/>
            <w:noWrap w:val="0"/>
            <w:vAlign w:val="center"/>
          </w:tcPr>
          <w:p w14:paraId="2F8ACDA6">
            <w:pPr>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560" w:type="dxa"/>
            <w:noWrap w:val="0"/>
            <w:vAlign w:val="center"/>
          </w:tcPr>
          <w:p w14:paraId="5C8D58E8">
            <w:pPr>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44" w:type="dxa"/>
            <w:noWrap w:val="0"/>
            <w:vAlign w:val="center"/>
          </w:tcPr>
          <w:p w14:paraId="23F1DF32">
            <w:pPr>
              <w:spacing w:line="240" w:lineRule="auto"/>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25" w:type="dxa"/>
            <w:noWrap w:val="0"/>
            <w:vAlign w:val="center"/>
          </w:tcPr>
          <w:p w14:paraId="69014285">
            <w:pPr>
              <w:spacing w:line="240" w:lineRule="auto"/>
              <w:jc w:val="center"/>
              <w:rPr>
                <w:rFonts w:hint="default"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bidi="ar-SA"/>
              </w:rPr>
              <w:t>采购合同签订时间</w:t>
            </w:r>
          </w:p>
        </w:tc>
        <w:tc>
          <w:tcPr>
            <w:tcW w:w="1091" w:type="dxa"/>
            <w:noWrap w:val="0"/>
            <w:vAlign w:val="center"/>
          </w:tcPr>
          <w:p w14:paraId="23D37F64">
            <w:pPr>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备注</w:t>
            </w:r>
          </w:p>
        </w:tc>
      </w:tr>
      <w:tr w14:paraId="5627D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noWrap w:val="0"/>
            <w:vAlign w:val="center"/>
          </w:tcPr>
          <w:p w14:paraId="4BA9FFD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noWrap w:val="0"/>
            <w:vAlign w:val="center"/>
          </w:tcPr>
          <w:p w14:paraId="47B9F08A">
            <w:pPr>
              <w:rPr>
                <w:rFonts w:hint="eastAsia" w:ascii="宋体" w:hAnsi="宋体" w:eastAsia="宋体" w:cs="宋体"/>
                <w:color w:val="auto"/>
                <w:sz w:val="21"/>
                <w:szCs w:val="21"/>
                <w:highlight w:val="none"/>
              </w:rPr>
            </w:pPr>
          </w:p>
        </w:tc>
        <w:tc>
          <w:tcPr>
            <w:tcW w:w="1248" w:type="dxa"/>
            <w:noWrap w:val="0"/>
            <w:vAlign w:val="center"/>
          </w:tcPr>
          <w:p w14:paraId="714DE9A3">
            <w:pPr>
              <w:rPr>
                <w:rFonts w:hint="eastAsia" w:ascii="宋体" w:hAnsi="宋体" w:eastAsia="宋体" w:cs="宋体"/>
                <w:color w:val="auto"/>
                <w:sz w:val="21"/>
                <w:szCs w:val="21"/>
                <w:highlight w:val="none"/>
              </w:rPr>
            </w:pPr>
          </w:p>
        </w:tc>
        <w:tc>
          <w:tcPr>
            <w:tcW w:w="1560" w:type="dxa"/>
            <w:noWrap w:val="0"/>
            <w:vAlign w:val="center"/>
          </w:tcPr>
          <w:p w14:paraId="585A13B4">
            <w:pPr>
              <w:rPr>
                <w:rFonts w:hint="eastAsia" w:ascii="宋体" w:hAnsi="宋体" w:eastAsia="宋体" w:cs="宋体"/>
                <w:color w:val="auto"/>
                <w:sz w:val="21"/>
                <w:szCs w:val="21"/>
                <w:highlight w:val="none"/>
              </w:rPr>
            </w:pPr>
          </w:p>
        </w:tc>
        <w:tc>
          <w:tcPr>
            <w:tcW w:w="1344" w:type="dxa"/>
            <w:noWrap w:val="0"/>
            <w:vAlign w:val="center"/>
          </w:tcPr>
          <w:p w14:paraId="58B5F003">
            <w:pPr>
              <w:rPr>
                <w:rFonts w:hint="eastAsia" w:ascii="宋体" w:hAnsi="宋体" w:eastAsia="宋体" w:cs="宋体"/>
                <w:color w:val="auto"/>
                <w:sz w:val="21"/>
                <w:szCs w:val="21"/>
                <w:highlight w:val="none"/>
              </w:rPr>
            </w:pPr>
          </w:p>
        </w:tc>
        <w:tc>
          <w:tcPr>
            <w:tcW w:w="1525" w:type="dxa"/>
            <w:noWrap w:val="0"/>
            <w:vAlign w:val="center"/>
          </w:tcPr>
          <w:p w14:paraId="3F641504">
            <w:pPr>
              <w:rPr>
                <w:rFonts w:hint="eastAsia" w:ascii="宋体" w:hAnsi="宋体" w:eastAsia="宋体" w:cs="宋体"/>
                <w:color w:val="auto"/>
                <w:sz w:val="21"/>
                <w:szCs w:val="21"/>
                <w:highlight w:val="none"/>
              </w:rPr>
            </w:pPr>
          </w:p>
        </w:tc>
        <w:tc>
          <w:tcPr>
            <w:tcW w:w="1091" w:type="dxa"/>
            <w:noWrap w:val="0"/>
            <w:vAlign w:val="center"/>
          </w:tcPr>
          <w:p w14:paraId="5783B94E">
            <w:pPr>
              <w:rPr>
                <w:rFonts w:hint="eastAsia" w:ascii="宋体" w:hAnsi="宋体" w:eastAsia="宋体" w:cs="宋体"/>
                <w:color w:val="auto"/>
                <w:sz w:val="21"/>
                <w:szCs w:val="21"/>
                <w:highlight w:val="none"/>
              </w:rPr>
            </w:pPr>
          </w:p>
        </w:tc>
      </w:tr>
      <w:tr w14:paraId="55C2D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noWrap w:val="0"/>
            <w:vAlign w:val="center"/>
          </w:tcPr>
          <w:p w14:paraId="10578C0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noWrap w:val="0"/>
            <w:vAlign w:val="center"/>
          </w:tcPr>
          <w:p w14:paraId="15595666">
            <w:pPr>
              <w:rPr>
                <w:rFonts w:hint="eastAsia" w:ascii="宋体" w:hAnsi="宋体" w:eastAsia="宋体" w:cs="宋体"/>
                <w:color w:val="auto"/>
                <w:sz w:val="21"/>
                <w:szCs w:val="21"/>
                <w:highlight w:val="none"/>
              </w:rPr>
            </w:pPr>
          </w:p>
        </w:tc>
        <w:tc>
          <w:tcPr>
            <w:tcW w:w="1248" w:type="dxa"/>
            <w:noWrap w:val="0"/>
            <w:vAlign w:val="center"/>
          </w:tcPr>
          <w:p w14:paraId="5444F68B">
            <w:pPr>
              <w:rPr>
                <w:rFonts w:hint="eastAsia" w:ascii="宋体" w:hAnsi="宋体" w:eastAsia="宋体" w:cs="宋体"/>
                <w:color w:val="auto"/>
                <w:sz w:val="21"/>
                <w:szCs w:val="21"/>
                <w:highlight w:val="none"/>
              </w:rPr>
            </w:pPr>
          </w:p>
        </w:tc>
        <w:tc>
          <w:tcPr>
            <w:tcW w:w="1560" w:type="dxa"/>
            <w:noWrap w:val="0"/>
            <w:vAlign w:val="center"/>
          </w:tcPr>
          <w:p w14:paraId="357130C1">
            <w:pPr>
              <w:rPr>
                <w:rFonts w:hint="eastAsia" w:ascii="宋体" w:hAnsi="宋体" w:eastAsia="宋体" w:cs="宋体"/>
                <w:color w:val="auto"/>
                <w:sz w:val="21"/>
                <w:szCs w:val="21"/>
                <w:highlight w:val="none"/>
              </w:rPr>
            </w:pPr>
          </w:p>
        </w:tc>
        <w:tc>
          <w:tcPr>
            <w:tcW w:w="1344" w:type="dxa"/>
            <w:noWrap w:val="0"/>
            <w:vAlign w:val="center"/>
          </w:tcPr>
          <w:p w14:paraId="0229A6FD">
            <w:pPr>
              <w:rPr>
                <w:rFonts w:hint="eastAsia" w:ascii="宋体" w:hAnsi="宋体" w:eastAsia="宋体" w:cs="宋体"/>
                <w:color w:val="auto"/>
                <w:sz w:val="21"/>
                <w:szCs w:val="21"/>
                <w:highlight w:val="none"/>
              </w:rPr>
            </w:pPr>
          </w:p>
        </w:tc>
        <w:tc>
          <w:tcPr>
            <w:tcW w:w="1525" w:type="dxa"/>
            <w:noWrap w:val="0"/>
            <w:vAlign w:val="center"/>
          </w:tcPr>
          <w:p w14:paraId="690820F4">
            <w:pPr>
              <w:rPr>
                <w:rFonts w:hint="eastAsia" w:ascii="宋体" w:hAnsi="宋体" w:eastAsia="宋体" w:cs="宋体"/>
                <w:color w:val="auto"/>
                <w:sz w:val="21"/>
                <w:szCs w:val="21"/>
                <w:highlight w:val="none"/>
              </w:rPr>
            </w:pPr>
          </w:p>
        </w:tc>
        <w:tc>
          <w:tcPr>
            <w:tcW w:w="1091" w:type="dxa"/>
            <w:noWrap w:val="0"/>
            <w:vAlign w:val="center"/>
          </w:tcPr>
          <w:p w14:paraId="60C0F00D">
            <w:pPr>
              <w:rPr>
                <w:rFonts w:hint="eastAsia" w:ascii="宋体" w:hAnsi="宋体" w:eastAsia="宋体" w:cs="宋体"/>
                <w:color w:val="auto"/>
                <w:sz w:val="21"/>
                <w:szCs w:val="21"/>
                <w:highlight w:val="none"/>
              </w:rPr>
            </w:pPr>
          </w:p>
        </w:tc>
      </w:tr>
      <w:tr w14:paraId="4E16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noWrap w:val="0"/>
            <w:vAlign w:val="center"/>
          </w:tcPr>
          <w:p w14:paraId="2AE59B1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noWrap w:val="0"/>
            <w:vAlign w:val="center"/>
          </w:tcPr>
          <w:p w14:paraId="5F8FD2E0">
            <w:pPr>
              <w:rPr>
                <w:rFonts w:hint="eastAsia" w:ascii="宋体" w:hAnsi="宋体" w:eastAsia="宋体" w:cs="宋体"/>
                <w:color w:val="auto"/>
                <w:sz w:val="21"/>
                <w:szCs w:val="21"/>
                <w:highlight w:val="none"/>
              </w:rPr>
            </w:pPr>
          </w:p>
        </w:tc>
        <w:tc>
          <w:tcPr>
            <w:tcW w:w="1248" w:type="dxa"/>
            <w:noWrap w:val="0"/>
            <w:vAlign w:val="center"/>
          </w:tcPr>
          <w:p w14:paraId="6CB962D5">
            <w:pPr>
              <w:rPr>
                <w:rFonts w:hint="eastAsia" w:ascii="宋体" w:hAnsi="宋体" w:eastAsia="宋体" w:cs="宋体"/>
                <w:color w:val="auto"/>
                <w:sz w:val="21"/>
                <w:szCs w:val="21"/>
                <w:highlight w:val="none"/>
              </w:rPr>
            </w:pPr>
          </w:p>
        </w:tc>
        <w:tc>
          <w:tcPr>
            <w:tcW w:w="1560" w:type="dxa"/>
            <w:noWrap w:val="0"/>
            <w:vAlign w:val="center"/>
          </w:tcPr>
          <w:p w14:paraId="72222BD4">
            <w:pPr>
              <w:rPr>
                <w:rFonts w:hint="eastAsia" w:ascii="宋体" w:hAnsi="宋体" w:eastAsia="宋体" w:cs="宋体"/>
                <w:color w:val="auto"/>
                <w:sz w:val="21"/>
                <w:szCs w:val="21"/>
                <w:highlight w:val="none"/>
              </w:rPr>
            </w:pPr>
          </w:p>
        </w:tc>
        <w:tc>
          <w:tcPr>
            <w:tcW w:w="1344" w:type="dxa"/>
            <w:noWrap w:val="0"/>
            <w:vAlign w:val="center"/>
          </w:tcPr>
          <w:p w14:paraId="2F0554CD">
            <w:pPr>
              <w:rPr>
                <w:rFonts w:hint="eastAsia" w:ascii="宋体" w:hAnsi="宋体" w:eastAsia="宋体" w:cs="宋体"/>
                <w:color w:val="auto"/>
                <w:sz w:val="21"/>
                <w:szCs w:val="21"/>
                <w:highlight w:val="none"/>
              </w:rPr>
            </w:pPr>
          </w:p>
        </w:tc>
        <w:tc>
          <w:tcPr>
            <w:tcW w:w="1525" w:type="dxa"/>
            <w:noWrap w:val="0"/>
            <w:vAlign w:val="center"/>
          </w:tcPr>
          <w:p w14:paraId="786F80D6">
            <w:pPr>
              <w:rPr>
                <w:rFonts w:hint="eastAsia" w:ascii="宋体" w:hAnsi="宋体" w:eastAsia="宋体" w:cs="宋体"/>
                <w:color w:val="auto"/>
                <w:sz w:val="21"/>
                <w:szCs w:val="21"/>
                <w:highlight w:val="none"/>
              </w:rPr>
            </w:pPr>
          </w:p>
        </w:tc>
        <w:tc>
          <w:tcPr>
            <w:tcW w:w="1091" w:type="dxa"/>
            <w:noWrap w:val="0"/>
            <w:vAlign w:val="center"/>
          </w:tcPr>
          <w:p w14:paraId="17A480B1">
            <w:pPr>
              <w:rPr>
                <w:rFonts w:hint="eastAsia" w:ascii="宋体" w:hAnsi="宋体" w:eastAsia="宋体" w:cs="宋体"/>
                <w:color w:val="auto"/>
                <w:sz w:val="21"/>
                <w:szCs w:val="21"/>
                <w:highlight w:val="none"/>
              </w:rPr>
            </w:pPr>
          </w:p>
        </w:tc>
      </w:tr>
      <w:tr w14:paraId="527C8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noWrap w:val="0"/>
            <w:vAlign w:val="center"/>
          </w:tcPr>
          <w:p w14:paraId="24E6D22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60" w:type="dxa"/>
            <w:noWrap w:val="0"/>
            <w:vAlign w:val="center"/>
          </w:tcPr>
          <w:p w14:paraId="2016DA97">
            <w:pPr>
              <w:rPr>
                <w:rFonts w:hint="eastAsia" w:ascii="宋体" w:hAnsi="宋体" w:eastAsia="宋体" w:cs="宋体"/>
                <w:color w:val="auto"/>
                <w:sz w:val="21"/>
                <w:szCs w:val="21"/>
                <w:highlight w:val="none"/>
              </w:rPr>
            </w:pPr>
          </w:p>
        </w:tc>
        <w:tc>
          <w:tcPr>
            <w:tcW w:w="1248" w:type="dxa"/>
            <w:noWrap w:val="0"/>
            <w:vAlign w:val="center"/>
          </w:tcPr>
          <w:p w14:paraId="75AE98F3">
            <w:pPr>
              <w:rPr>
                <w:rFonts w:hint="eastAsia" w:ascii="宋体" w:hAnsi="宋体" w:eastAsia="宋体" w:cs="宋体"/>
                <w:color w:val="auto"/>
                <w:sz w:val="21"/>
                <w:szCs w:val="21"/>
                <w:highlight w:val="none"/>
              </w:rPr>
            </w:pPr>
          </w:p>
        </w:tc>
        <w:tc>
          <w:tcPr>
            <w:tcW w:w="1560" w:type="dxa"/>
            <w:noWrap w:val="0"/>
            <w:vAlign w:val="center"/>
          </w:tcPr>
          <w:p w14:paraId="548D037D">
            <w:pPr>
              <w:rPr>
                <w:rFonts w:hint="eastAsia" w:ascii="宋体" w:hAnsi="宋体" w:eastAsia="宋体" w:cs="宋体"/>
                <w:color w:val="auto"/>
                <w:sz w:val="21"/>
                <w:szCs w:val="21"/>
                <w:highlight w:val="none"/>
              </w:rPr>
            </w:pPr>
          </w:p>
        </w:tc>
        <w:tc>
          <w:tcPr>
            <w:tcW w:w="1344" w:type="dxa"/>
            <w:noWrap w:val="0"/>
            <w:vAlign w:val="center"/>
          </w:tcPr>
          <w:p w14:paraId="2B137DB5">
            <w:pPr>
              <w:rPr>
                <w:rFonts w:hint="eastAsia" w:ascii="宋体" w:hAnsi="宋体" w:eastAsia="宋体" w:cs="宋体"/>
                <w:color w:val="auto"/>
                <w:sz w:val="21"/>
                <w:szCs w:val="21"/>
                <w:highlight w:val="none"/>
              </w:rPr>
            </w:pPr>
          </w:p>
        </w:tc>
        <w:tc>
          <w:tcPr>
            <w:tcW w:w="1525" w:type="dxa"/>
            <w:noWrap w:val="0"/>
            <w:vAlign w:val="center"/>
          </w:tcPr>
          <w:p w14:paraId="42BBCED7">
            <w:pPr>
              <w:rPr>
                <w:rFonts w:hint="eastAsia" w:ascii="宋体" w:hAnsi="宋体" w:eastAsia="宋体" w:cs="宋体"/>
                <w:color w:val="auto"/>
                <w:sz w:val="21"/>
                <w:szCs w:val="21"/>
                <w:highlight w:val="none"/>
              </w:rPr>
            </w:pPr>
          </w:p>
        </w:tc>
        <w:tc>
          <w:tcPr>
            <w:tcW w:w="1091" w:type="dxa"/>
            <w:noWrap w:val="0"/>
            <w:vAlign w:val="center"/>
          </w:tcPr>
          <w:p w14:paraId="5FA361A2">
            <w:pPr>
              <w:rPr>
                <w:rFonts w:hint="eastAsia" w:ascii="宋体" w:hAnsi="宋体" w:eastAsia="宋体" w:cs="宋体"/>
                <w:color w:val="auto"/>
                <w:sz w:val="21"/>
                <w:szCs w:val="21"/>
                <w:highlight w:val="none"/>
              </w:rPr>
            </w:pPr>
          </w:p>
        </w:tc>
      </w:tr>
      <w:tr w14:paraId="5B8C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noWrap w:val="0"/>
            <w:vAlign w:val="center"/>
          </w:tcPr>
          <w:p w14:paraId="608EDBA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60" w:type="dxa"/>
            <w:noWrap w:val="0"/>
            <w:vAlign w:val="center"/>
          </w:tcPr>
          <w:p w14:paraId="49C9FDB6">
            <w:pPr>
              <w:rPr>
                <w:rFonts w:hint="eastAsia" w:ascii="宋体" w:hAnsi="宋体" w:eastAsia="宋体" w:cs="宋体"/>
                <w:color w:val="auto"/>
                <w:sz w:val="21"/>
                <w:szCs w:val="21"/>
                <w:highlight w:val="none"/>
              </w:rPr>
            </w:pPr>
          </w:p>
        </w:tc>
        <w:tc>
          <w:tcPr>
            <w:tcW w:w="1248" w:type="dxa"/>
            <w:noWrap w:val="0"/>
            <w:vAlign w:val="center"/>
          </w:tcPr>
          <w:p w14:paraId="589D2D82">
            <w:pPr>
              <w:rPr>
                <w:rFonts w:hint="eastAsia" w:ascii="宋体" w:hAnsi="宋体" w:eastAsia="宋体" w:cs="宋体"/>
                <w:color w:val="auto"/>
                <w:sz w:val="21"/>
                <w:szCs w:val="21"/>
                <w:highlight w:val="none"/>
              </w:rPr>
            </w:pPr>
          </w:p>
        </w:tc>
        <w:tc>
          <w:tcPr>
            <w:tcW w:w="1560" w:type="dxa"/>
            <w:noWrap w:val="0"/>
            <w:vAlign w:val="center"/>
          </w:tcPr>
          <w:p w14:paraId="30857FA2">
            <w:pPr>
              <w:rPr>
                <w:rFonts w:hint="eastAsia" w:ascii="宋体" w:hAnsi="宋体" w:eastAsia="宋体" w:cs="宋体"/>
                <w:color w:val="auto"/>
                <w:sz w:val="21"/>
                <w:szCs w:val="21"/>
                <w:highlight w:val="none"/>
              </w:rPr>
            </w:pPr>
          </w:p>
        </w:tc>
        <w:tc>
          <w:tcPr>
            <w:tcW w:w="1344" w:type="dxa"/>
            <w:noWrap w:val="0"/>
            <w:vAlign w:val="center"/>
          </w:tcPr>
          <w:p w14:paraId="764D946B">
            <w:pPr>
              <w:rPr>
                <w:rFonts w:hint="eastAsia" w:ascii="宋体" w:hAnsi="宋体" w:eastAsia="宋体" w:cs="宋体"/>
                <w:color w:val="auto"/>
                <w:sz w:val="21"/>
                <w:szCs w:val="21"/>
                <w:highlight w:val="none"/>
              </w:rPr>
            </w:pPr>
          </w:p>
        </w:tc>
        <w:tc>
          <w:tcPr>
            <w:tcW w:w="1525" w:type="dxa"/>
            <w:noWrap w:val="0"/>
            <w:vAlign w:val="center"/>
          </w:tcPr>
          <w:p w14:paraId="4D32314B">
            <w:pPr>
              <w:rPr>
                <w:rFonts w:hint="eastAsia" w:ascii="宋体" w:hAnsi="宋体" w:eastAsia="宋体" w:cs="宋体"/>
                <w:color w:val="auto"/>
                <w:sz w:val="21"/>
                <w:szCs w:val="21"/>
                <w:highlight w:val="none"/>
              </w:rPr>
            </w:pPr>
          </w:p>
        </w:tc>
        <w:tc>
          <w:tcPr>
            <w:tcW w:w="1091" w:type="dxa"/>
            <w:noWrap w:val="0"/>
            <w:vAlign w:val="center"/>
          </w:tcPr>
          <w:p w14:paraId="3DF8077D">
            <w:pPr>
              <w:rPr>
                <w:rFonts w:hint="eastAsia" w:ascii="宋体" w:hAnsi="宋体" w:eastAsia="宋体" w:cs="宋体"/>
                <w:color w:val="auto"/>
                <w:sz w:val="21"/>
                <w:szCs w:val="21"/>
                <w:highlight w:val="none"/>
              </w:rPr>
            </w:pPr>
          </w:p>
        </w:tc>
      </w:tr>
      <w:tr w14:paraId="50D2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noWrap w:val="0"/>
            <w:vAlign w:val="center"/>
          </w:tcPr>
          <w:p w14:paraId="19EE02C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0" w:type="dxa"/>
            <w:noWrap w:val="0"/>
            <w:vAlign w:val="center"/>
          </w:tcPr>
          <w:p w14:paraId="6B7E9136">
            <w:pPr>
              <w:rPr>
                <w:rFonts w:hint="eastAsia" w:ascii="宋体" w:hAnsi="宋体" w:eastAsia="宋体" w:cs="宋体"/>
                <w:color w:val="auto"/>
                <w:sz w:val="21"/>
                <w:szCs w:val="21"/>
                <w:highlight w:val="none"/>
              </w:rPr>
            </w:pPr>
          </w:p>
        </w:tc>
        <w:tc>
          <w:tcPr>
            <w:tcW w:w="1248" w:type="dxa"/>
            <w:noWrap w:val="0"/>
            <w:vAlign w:val="center"/>
          </w:tcPr>
          <w:p w14:paraId="1454CF75">
            <w:pPr>
              <w:rPr>
                <w:rFonts w:hint="eastAsia" w:ascii="宋体" w:hAnsi="宋体" w:eastAsia="宋体" w:cs="宋体"/>
                <w:color w:val="auto"/>
                <w:sz w:val="21"/>
                <w:szCs w:val="21"/>
                <w:highlight w:val="none"/>
              </w:rPr>
            </w:pPr>
          </w:p>
        </w:tc>
        <w:tc>
          <w:tcPr>
            <w:tcW w:w="1560" w:type="dxa"/>
            <w:noWrap w:val="0"/>
            <w:vAlign w:val="center"/>
          </w:tcPr>
          <w:p w14:paraId="06BE346C">
            <w:pPr>
              <w:rPr>
                <w:rFonts w:hint="eastAsia" w:ascii="宋体" w:hAnsi="宋体" w:eastAsia="宋体" w:cs="宋体"/>
                <w:color w:val="auto"/>
                <w:sz w:val="21"/>
                <w:szCs w:val="21"/>
                <w:highlight w:val="none"/>
              </w:rPr>
            </w:pPr>
          </w:p>
        </w:tc>
        <w:tc>
          <w:tcPr>
            <w:tcW w:w="1344" w:type="dxa"/>
            <w:noWrap w:val="0"/>
            <w:vAlign w:val="center"/>
          </w:tcPr>
          <w:p w14:paraId="1DA084CF">
            <w:pPr>
              <w:rPr>
                <w:rFonts w:hint="eastAsia" w:ascii="宋体" w:hAnsi="宋体" w:eastAsia="宋体" w:cs="宋体"/>
                <w:color w:val="auto"/>
                <w:sz w:val="21"/>
                <w:szCs w:val="21"/>
                <w:highlight w:val="none"/>
              </w:rPr>
            </w:pPr>
          </w:p>
        </w:tc>
        <w:tc>
          <w:tcPr>
            <w:tcW w:w="1525" w:type="dxa"/>
            <w:noWrap w:val="0"/>
            <w:vAlign w:val="center"/>
          </w:tcPr>
          <w:p w14:paraId="5707FF5A">
            <w:pPr>
              <w:rPr>
                <w:rFonts w:hint="eastAsia" w:ascii="宋体" w:hAnsi="宋体" w:eastAsia="宋体" w:cs="宋体"/>
                <w:color w:val="auto"/>
                <w:sz w:val="21"/>
                <w:szCs w:val="21"/>
                <w:highlight w:val="none"/>
              </w:rPr>
            </w:pPr>
          </w:p>
          <w:bookmarkEnd w:id="608"/>
        </w:tc>
        <w:tc>
          <w:tcPr>
            <w:tcW w:w="1091" w:type="dxa"/>
            <w:noWrap w:val="0"/>
            <w:vAlign w:val="center"/>
          </w:tcPr>
          <w:p w14:paraId="4210CE58">
            <w:pPr>
              <w:rPr>
                <w:rFonts w:hint="eastAsia" w:ascii="宋体" w:hAnsi="宋体" w:eastAsia="宋体" w:cs="宋体"/>
                <w:color w:val="auto"/>
                <w:sz w:val="21"/>
                <w:szCs w:val="21"/>
                <w:highlight w:val="none"/>
              </w:rPr>
            </w:pPr>
          </w:p>
        </w:tc>
      </w:tr>
    </w:tbl>
    <w:p w14:paraId="74508C0D">
      <w:pPr>
        <w:rPr>
          <w:rFonts w:hint="eastAsia" w:cs="仿宋_GB2312"/>
          <w:color w:val="auto"/>
          <w:szCs w:val="24"/>
          <w:highlight w:val="none"/>
        </w:rPr>
      </w:pPr>
    </w:p>
    <w:p w14:paraId="3D25DE50">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6E6539CE">
      <w:pPr>
        <w:widowControl/>
        <w:spacing w:before="100" w:beforeAutospacing="1" w:after="100" w:afterAutospacing="1"/>
        <w:rPr>
          <w:rFonts w:cs="Arial"/>
          <w:color w:val="auto"/>
          <w:szCs w:val="21"/>
          <w:highlight w:val="none"/>
        </w:rPr>
      </w:pPr>
    </w:p>
    <w:p w14:paraId="0DD5848E">
      <w:pPr>
        <w:ind w:firstLine="48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06AFC323">
      <w:pPr>
        <w:ind w:firstLine="420"/>
        <w:rPr>
          <w:rFonts w:cs="仿宋_GB2312"/>
          <w:color w:val="auto"/>
          <w:szCs w:val="24"/>
          <w:highlight w:val="none"/>
        </w:rPr>
      </w:pPr>
      <w:r>
        <w:rPr>
          <w:rFonts w:hint="eastAsia" w:cs="仿宋_GB2312"/>
          <w:color w:val="auto"/>
          <w:szCs w:val="24"/>
          <w:highlight w:val="none"/>
        </w:rPr>
        <w:t>日      期：</w:t>
      </w:r>
    </w:p>
    <w:p w14:paraId="1F2F7BEA">
      <w:pPr>
        <w:ind w:firstLine="420"/>
        <w:rPr>
          <w:rFonts w:cs="仿宋_GB2312"/>
          <w:color w:val="auto"/>
          <w:szCs w:val="24"/>
          <w:highlight w:val="none"/>
        </w:rPr>
      </w:pPr>
      <w:r>
        <w:rPr>
          <w:rFonts w:cs="仿宋_GB2312"/>
          <w:color w:val="auto"/>
          <w:szCs w:val="24"/>
          <w:highlight w:val="none"/>
        </w:rPr>
        <w:br w:type="page" w:clear="all"/>
      </w:r>
    </w:p>
    <w:p w14:paraId="7A6A3A35">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609" w:name="_Toc163492931"/>
      <w:bookmarkStart w:id="610" w:name="_Toc32135"/>
      <w:r>
        <w:rPr>
          <w:rFonts w:hint="eastAsia" w:cs="Times New Roman"/>
          <w:b/>
          <w:bCs/>
          <w:color w:val="auto"/>
          <w:sz w:val="32"/>
          <w:szCs w:val="32"/>
          <w:highlight w:val="none"/>
          <w:lang w:val="en-US" w:eastAsia="zh-CN" w:bidi="ar-SA"/>
        </w:rPr>
        <w:t>8</w:t>
      </w:r>
      <w:r>
        <w:rPr>
          <w:rFonts w:hint="eastAsia" w:ascii="Cambria" w:hAnsi="Cambria" w:eastAsia="宋体" w:cs="Times New Roman"/>
          <w:b/>
          <w:bCs/>
          <w:color w:val="auto"/>
          <w:sz w:val="32"/>
          <w:szCs w:val="32"/>
          <w:highlight w:val="none"/>
          <w:lang w:val="en-US" w:eastAsia="zh-CN" w:bidi="ar-SA"/>
        </w:rPr>
        <w:t>、拟派项目团队</w:t>
      </w:r>
      <w:bookmarkEnd w:id="609"/>
      <w:bookmarkEnd w:id="610"/>
    </w:p>
    <w:tbl>
      <w:tblPr>
        <w:tblStyle w:val="22"/>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072DE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noWrap w:val="0"/>
            <w:vAlign w:val="center"/>
          </w:tcPr>
          <w:p w14:paraId="27582B7D">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noWrap w:val="0"/>
            <w:vAlign w:val="center"/>
          </w:tcPr>
          <w:p w14:paraId="50B10462">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0F735CD2">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noWrap w:val="0"/>
            <w:vAlign w:val="center"/>
          </w:tcPr>
          <w:p w14:paraId="1FDF0C59">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noWrap w:val="0"/>
            <w:vAlign w:val="center"/>
          </w:tcPr>
          <w:p w14:paraId="174F4896">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noWrap w:val="0"/>
            <w:vAlign w:val="center"/>
          </w:tcPr>
          <w:p w14:paraId="0AC9F10A">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noWrap w:val="0"/>
            <w:vAlign w:val="center"/>
          </w:tcPr>
          <w:p w14:paraId="5457F98C">
            <w:pPr>
              <w:pStyle w:val="37"/>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noWrap w:val="0"/>
            <w:vAlign w:val="center"/>
          </w:tcPr>
          <w:p w14:paraId="53718BA6">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noWrap w:val="0"/>
            <w:vAlign w:val="center"/>
          </w:tcPr>
          <w:p w14:paraId="0D25874D">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4CDCF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00AF54C9">
            <w:pPr>
              <w:pStyle w:val="37"/>
              <w:jc w:val="center"/>
              <w:rPr>
                <w:rFonts w:hint="eastAsia" w:ascii="宋体" w:hAnsi="宋体" w:eastAsia="宋体" w:cs="宋体"/>
                <w:color w:val="auto"/>
                <w:sz w:val="21"/>
                <w:szCs w:val="21"/>
                <w:highlight w:val="none"/>
              </w:rPr>
            </w:pPr>
            <w:bookmarkStart w:id="611" w:name="_Toc99533292"/>
            <w:bookmarkStart w:id="612" w:name="_Toc100090784"/>
            <w:r>
              <w:rPr>
                <w:rFonts w:hint="eastAsia" w:ascii="宋体" w:hAnsi="宋体" w:eastAsia="宋体" w:cs="宋体"/>
                <w:color w:val="auto"/>
                <w:sz w:val="21"/>
                <w:szCs w:val="21"/>
                <w:highlight w:val="none"/>
              </w:rPr>
              <w:t>1</w:t>
            </w:r>
            <w:bookmarkEnd w:id="611"/>
            <w:bookmarkEnd w:id="612"/>
          </w:p>
        </w:tc>
        <w:tc>
          <w:tcPr>
            <w:tcW w:w="1267" w:type="dxa"/>
            <w:noWrap w:val="0"/>
            <w:vAlign w:val="center"/>
          </w:tcPr>
          <w:p w14:paraId="6428282D">
            <w:pPr>
              <w:pStyle w:val="37"/>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5B1E3784">
            <w:pPr>
              <w:pStyle w:val="37"/>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5CB2576E">
            <w:pPr>
              <w:pStyle w:val="37"/>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5F69732E">
            <w:pPr>
              <w:pStyle w:val="37"/>
              <w:jc w:val="center"/>
              <w:rPr>
                <w:rFonts w:hint="eastAsia" w:ascii="宋体" w:hAnsi="宋体" w:eastAsia="宋体" w:cs="宋体"/>
                <w:color w:val="auto"/>
                <w:sz w:val="21"/>
                <w:szCs w:val="21"/>
                <w:highlight w:val="none"/>
              </w:rPr>
            </w:pPr>
          </w:p>
        </w:tc>
        <w:tc>
          <w:tcPr>
            <w:tcW w:w="1860" w:type="dxa"/>
            <w:noWrap w:val="0"/>
            <w:vAlign w:val="center"/>
          </w:tcPr>
          <w:p w14:paraId="12F7CEC7">
            <w:pPr>
              <w:pStyle w:val="37"/>
              <w:jc w:val="center"/>
              <w:rPr>
                <w:rFonts w:hint="eastAsia" w:ascii="宋体" w:hAnsi="宋体" w:eastAsia="宋体" w:cs="宋体"/>
                <w:color w:val="auto"/>
                <w:sz w:val="21"/>
                <w:szCs w:val="21"/>
                <w:highlight w:val="none"/>
              </w:rPr>
            </w:pPr>
          </w:p>
        </w:tc>
        <w:tc>
          <w:tcPr>
            <w:tcW w:w="1356" w:type="dxa"/>
            <w:noWrap w:val="0"/>
            <w:vAlign w:val="center"/>
          </w:tcPr>
          <w:p w14:paraId="5713AD55">
            <w:pPr>
              <w:pStyle w:val="37"/>
              <w:jc w:val="center"/>
              <w:rPr>
                <w:rFonts w:hint="eastAsia" w:ascii="宋体" w:hAnsi="宋体" w:eastAsia="宋体" w:cs="宋体"/>
                <w:color w:val="auto"/>
                <w:sz w:val="21"/>
                <w:szCs w:val="21"/>
                <w:highlight w:val="none"/>
              </w:rPr>
            </w:pPr>
          </w:p>
        </w:tc>
        <w:tc>
          <w:tcPr>
            <w:tcW w:w="816" w:type="dxa"/>
            <w:noWrap w:val="0"/>
            <w:vAlign w:val="center"/>
          </w:tcPr>
          <w:p w14:paraId="159BFB6E">
            <w:pPr>
              <w:pStyle w:val="37"/>
              <w:jc w:val="center"/>
              <w:rPr>
                <w:rFonts w:hint="eastAsia" w:ascii="宋体" w:hAnsi="宋体" w:eastAsia="宋体" w:cs="宋体"/>
                <w:color w:val="auto"/>
                <w:sz w:val="21"/>
                <w:szCs w:val="21"/>
                <w:highlight w:val="none"/>
              </w:rPr>
            </w:pPr>
          </w:p>
        </w:tc>
      </w:tr>
      <w:tr w14:paraId="237A5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40509729">
            <w:pPr>
              <w:pStyle w:val="37"/>
              <w:jc w:val="center"/>
              <w:rPr>
                <w:rFonts w:hint="eastAsia" w:ascii="宋体" w:hAnsi="宋体" w:eastAsia="宋体" w:cs="宋体"/>
                <w:color w:val="auto"/>
                <w:sz w:val="21"/>
                <w:szCs w:val="21"/>
                <w:highlight w:val="none"/>
              </w:rPr>
            </w:pPr>
            <w:bookmarkStart w:id="613" w:name="_Toc99533293"/>
            <w:bookmarkStart w:id="614" w:name="_Toc100090785"/>
            <w:r>
              <w:rPr>
                <w:rFonts w:hint="eastAsia" w:ascii="宋体" w:hAnsi="宋体" w:eastAsia="宋体" w:cs="宋体"/>
                <w:color w:val="auto"/>
                <w:sz w:val="21"/>
                <w:szCs w:val="21"/>
                <w:highlight w:val="none"/>
              </w:rPr>
              <w:t>2</w:t>
            </w:r>
            <w:bookmarkEnd w:id="613"/>
            <w:bookmarkEnd w:id="614"/>
          </w:p>
        </w:tc>
        <w:tc>
          <w:tcPr>
            <w:tcW w:w="1267" w:type="dxa"/>
            <w:noWrap w:val="0"/>
            <w:vAlign w:val="center"/>
          </w:tcPr>
          <w:p w14:paraId="7BF71E86">
            <w:pPr>
              <w:pStyle w:val="37"/>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5FE6AEB5">
            <w:pPr>
              <w:pStyle w:val="37"/>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2038B976">
            <w:pPr>
              <w:pStyle w:val="37"/>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04E95583">
            <w:pPr>
              <w:pStyle w:val="37"/>
              <w:jc w:val="center"/>
              <w:rPr>
                <w:rFonts w:hint="eastAsia" w:ascii="宋体" w:hAnsi="宋体" w:eastAsia="宋体" w:cs="宋体"/>
                <w:color w:val="auto"/>
                <w:sz w:val="21"/>
                <w:szCs w:val="21"/>
                <w:highlight w:val="none"/>
              </w:rPr>
            </w:pPr>
          </w:p>
        </w:tc>
        <w:tc>
          <w:tcPr>
            <w:tcW w:w="1860" w:type="dxa"/>
            <w:noWrap w:val="0"/>
            <w:vAlign w:val="center"/>
          </w:tcPr>
          <w:p w14:paraId="2BA6176D">
            <w:pPr>
              <w:pStyle w:val="37"/>
              <w:jc w:val="center"/>
              <w:rPr>
                <w:rFonts w:hint="eastAsia" w:ascii="宋体" w:hAnsi="宋体" w:eastAsia="宋体" w:cs="宋体"/>
                <w:color w:val="auto"/>
                <w:sz w:val="21"/>
                <w:szCs w:val="21"/>
                <w:highlight w:val="none"/>
              </w:rPr>
            </w:pPr>
          </w:p>
        </w:tc>
        <w:tc>
          <w:tcPr>
            <w:tcW w:w="1356" w:type="dxa"/>
            <w:noWrap w:val="0"/>
            <w:vAlign w:val="center"/>
          </w:tcPr>
          <w:p w14:paraId="269504C9">
            <w:pPr>
              <w:pStyle w:val="37"/>
              <w:jc w:val="center"/>
              <w:rPr>
                <w:rFonts w:hint="eastAsia" w:ascii="宋体" w:hAnsi="宋体" w:eastAsia="宋体" w:cs="宋体"/>
                <w:color w:val="auto"/>
                <w:sz w:val="21"/>
                <w:szCs w:val="21"/>
                <w:highlight w:val="none"/>
              </w:rPr>
            </w:pPr>
          </w:p>
        </w:tc>
        <w:tc>
          <w:tcPr>
            <w:tcW w:w="816" w:type="dxa"/>
            <w:noWrap w:val="0"/>
            <w:vAlign w:val="center"/>
          </w:tcPr>
          <w:p w14:paraId="354E404B">
            <w:pPr>
              <w:pStyle w:val="37"/>
              <w:jc w:val="center"/>
              <w:rPr>
                <w:rFonts w:hint="eastAsia" w:ascii="宋体" w:hAnsi="宋体" w:eastAsia="宋体" w:cs="宋体"/>
                <w:color w:val="auto"/>
                <w:sz w:val="21"/>
                <w:szCs w:val="21"/>
                <w:highlight w:val="none"/>
              </w:rPr>
            </w:pPr>
          </w:p>
        </w:tc>
      </w:tr>
      <w:tr w14:paraId="42DAB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6F4B4246">
            <w:pPr>
              <w:pStyle w:val="37"/>
              <w:jc w:val="center"/>
              <w:rPr>
                <w:rFonts w:hint="eastAsia" w:ascii="宋体" w:hAnsi="宋体" w:eastAsia="宋体" w:cs="宋体"/>
                <w:color w:val="auto"/>
                <w:sz w:val="21"/>
                <w:szCs w:val="21"/>
                <w:highlight w:val="none"/>
              </w:rPr>
            </w:pPr>
            <w:bookmarkStart w:id="615" w:name="_Toc100090786"/>
            <w:bookmarkStart w:id="616" w:name="_Toc99533294"/>
            <w:r>
              <w:rPr>
                <w:rFonts w:hint="eastAsia" w:ascii="宋体" w:hAnsi="宋体" w:eastAsia="宋体" w:cs="宋体"/>
                <w:color w:val="auto"/>
                <w:sz w:val="21"/>
                <w:szCs w:val="21"/>
                <w:highlight w:val="none"/>
              </w:rPr>
              <w:t>3</w:t>
            </w:r>
            <w:bookmarkEnd w:id="615"/>
            <w:bookmarkEnd w:id="616"/>
          </w:p>
        </w:tc>
        <w:tc>
          <w:tcPr>
            <w:tcW w:w="1267" w:type="dxa"/>
            <w:noWrap w:val="0"/>
            <w:vAlign w:val="center"/>
          </w:tcPr>
          <w:p w14:paraId="06727E35">
            <w:pPr>
              <w:pStyle w:val="37"/>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6CB94B25">
            <w:pPr>
              <w:pStyle w:val="37"/>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56FEA94A">
            <w:pPr>
              <w:pStyle w:val="37"/>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5F241717">
            <w:pPr>
              <w:pStyle w:val="37"/>
              <w:jc w:val="center"/>
              <w:rPr>
                <w:rFonts w:hint="eastAsia" w:ascii="宋体" w:hAnsi="宋体" w:eastAsia="宋体" w:cs="宋体"/>
                <w:color w:val="auto"/>
                <w:sz w:val="21"/>
                <w:szCs w:val="21"/>
                <w:highlight w:val="none"/>
              </w:rPr>
            </w:pPr>
          </w:p>
        </w:tc>
        <w:tc>
          <w:tcPr>
            <w:tcW w:w="1860" w:type="dxa"/>
            <w:noWrap w:val="0"/>
            <w:vAlign w:val="center"/>
          </w:tcPr>
          <w:p w14:paraId="064FE916">
            <w:pPr>
              <w:pStyle w:val="37"/>
              <w:jc w:val="center"/>
              <w:rPr>
                <w:rFonts w:hint="eastAsia" w:ascii="宋体" w:hAnsi="宋体" w:eastAsia="宋体" w:cs="宋体"/>
                <w:color w:val="auto"/>
                <w:sz w:val="21"/>
                <w:szCs w:val="21"/>
                <w:highlight w:val="none"/>
              </w:rPr>
            </w:pPr>
          </w:p>
        </w:tc>
        <w:tc>
          <w:tcPr>
            <w:tcW w:w="1356" w:type="dxa"/>
            <w:noWrap w:val="0"/>
            <w:vAlign w:val="center"/>
          </w:tcPr>
          <w:p w14:paraId="54606834">
            <w:pPr>
              <w:pStyle w:val="37"/>
              <w:jc w:val="center"/>
              <w:rPr>
                <w:rFonts w:hint="eastAsia" w:ascii="宋体" w:hAnsi="宋体" w:eastAsia="宋体" w:cs="宋体"/>
                <w:color w:val="auto"/>
                <w:sz w:val="21"/>
                <w:szCs w:val="21"/>
                <w:highlight w:val="none"/>
              </w:rPr>
            </w:pPr>
          </w:p>
        </w:tc>
        <w:tc>
          <w:tcPr>
            <w:tcW w:w="816" w:type="dxa"/>
            <w:noWrap w:val="0"/>
            <w:vAlign w:val="center"/>
          </w:tcPr>
          <w:p w14:paraId="3A5258F5">
            <w:pPr>
              <w:pStyle w:val="37"/>
              <w:jc w:val="center"/>
              <w:rPr>
                <w:rFonts w:hint="eastAsia" w:ascii="宋体" w:hAnsi="宋体" w:eastAsia="宋体" w:cs="宋体"/>
                <w:color w:val="auto"/>
                <w:sz w:val="21"/>
                <w:szCs w:val="21"/>
                <w:highlight w:val="none"/>
              </w:rPr>
            </w:pPr>
          </w:p>
        </w:tc>
      </w:tr>
      <w:tr w14:paraId="0D617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3EE429A5">
            <w:pPr>
              <w:pStyle w:val="37"/>
              <w:jc w:val="center"/>
              <w:rPr>
                <w:rFonts w:hint="eastAsia" w:ascii="宋体" w:hAnsi="宋体" w:eastAsia="宋体" w:cs="宋体"/>
                <w:color w:val="auto"/>
                <w:sz w:val="21"/>
                <w:szCs w:val="21"/>
                <w:highlight w:val="none"/>
              </w:rPr>
            </w:pPr>
            <w:bookmarkStart w:id="617" w:name="_Toc99533295"/>
            <w:bookmarkStart w:id="618" w:name="_Toc100090787"/>
            <w:r>
              <w:rPr>
                <w:rFonts w:hint="eastAsia" w:ascii="宋体" w:hAnsi="宋体" w:eastAsia="宋体" w:cs="宋体"/>
                <w:color w:val="auto"/>
                <w:sz w:val="21"/>
                <w:szCs w:val="21"/>
                <w:highlight w:val="none"/>
              </w:rPr>
              <w:t>4</w:t>
            </w:r>
            <w:bookmarkEnd w:id="617"/>
            <w:bookmarkEnd w:id="618"/>
          </w:p>
        </w:tc>
        <w:tc>
          <w:tcPr>
            <w:tcW w:w="1267" w:type="dxa"/>
            <w:noWrap w:val="0"/>
            <w:vAlign w:val="center"/>
          </w:tcPr>
          <w:p w14:paraId="45B651EC">
            <w:pPr>
              <w:pStyle w:val="37"/>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75BD3C3D">
            <w:pPr>
              <w:pStyle w:val="37"/>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5CF774C5">
            <w:pPr>
              <w:pStyle w:val="37"/>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62BCFBA1">
            <w:pPr>
              <w:pStyle w:val="37"/>
              <w:jc w:val="center"/>
              <w:rPr>
                <w:rFonts w:hint="eastAsia" w:ascii="宋体" w:hAnsi="宋体" w:eastAsia="宋体" w:cs="宋体"/>
                <w:color w:val="auto"/>
                <w:sz w:val="21"/>
                <w:szCs w:val="21"/>
                <w:highlight w:val="none"/>
              </w:rPr>
            </w:pPr>
          </w:p>
        </w:tc>
        <w:tc>
          <w:tcPr>
            <w:tcW w:w="1860" w:type="dxa"/>
            <w:noWrap w:val="0"/>
            <w:vAlign w:val="center"/>
          </w:tcPr>
          <w:p w14:paraId="0980EF4D">
            <w:pPr>
              <w:pStyle w:val="37"/>
              <w:jc w:val="center"/>
              <w:rPr>
                <w:rFonts w:hint="eastAsia" w:ascii="宋体" w:hAnsi="宋体" w:eastAsia="宋体" w:cs="宋体"/>
                <w:color w:val="auto"/>
                <w:sz w:val="21"/>
                <w:szCs w:val="21"/>
                <w:highlight w:val="none"/>
              </w:rPr>
            </w:pPr>
          </w:p>
        </w:tc>
        <w:tc>
          <w:tcPr>
            <w:tcW w:w="1356" w:type="dxa"/>
            <w:noWrap w:val="0"/>
            <w:vAlign w:val="center"/>
          </w:tcPr>
          <w:p w14:paraId="7C05D61B">
            <w:pPr>
              <w:pStyle w:val="37"/>
              <w:jc w:val="center"/>
              <w:rPr>
                <w:rFonts w:hint="eastAsia" w:ascii="宋体" w:hAnsi="宋体" w:eastAsia="宋体" w:cs="宋体"/>
                <w:color w:val="auto"/>
                <w:sz w:val="21"/>
                <w:szCs w:val="21"/>
                <w:highlight w:val="none"/>
              </w:rPr>
            </w:pPr>
          </w:p>
        </w:tc>
        <w:tc>
          <w:tcPr>
            <w:tcW w:w="816" w:type="dxa"/>
            <w:noWrap w:val="0"/>
            <w:vAlign w:val="center"/>
          </w:tcPr>
          <w:p w14:paraId="10165EA5">
            <w:pPr>
              <w:pStyle w:val="37"/>
              <w:jc w:val="center"/>
              <w:rPr>
                <w:rFonts w:hint="eastAsia" w:ascii="宋体" w:hAnsi="宋体" w:eastAsia="宋体" w:cs="宋体"/>
                <w:color w:val="auto"/>
                <w:sz w:val="21"/>
                <w:szCs w:val="21"/>
                <w:highlight w:val="none"/>
              </w:rPr>
            </w:pPr>
          </w:p>
        </w:tc>
      </w:tr>
      <w:tr w14:paraId="0D8FE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08A7DDB4">
            <w:pPr>
              <w:pStyle w:val="37"/>
              <w:jc w:val="center"/>
              <w:rPr>
                <w:rFonts w:hint="eastAsia" w:ascii="宋体" w:hAnsi="宋体" w:eastAsia="宋体" w:cs="宋体"/>
                <w:color w:val="auto"/>
                <w:sz w:val="21"/>
                <w:szCs w:val="21"/>
                <w:highlight w:val="none"/>
              </w:rPr>
            </w:pPr>
            <w:bookmarkStart w:id="619" w:name="_Toc99533296"/>
            <w:bookmarkStart w:id="620" w:name="_Toc100090788"/>
            <w:r>
              <w:rPr>
                <w:rFonts w:hint="eastAsia" w:ascii="宋体" w:hAnsi="宋体" w:eastAsia="宋体" w:cs="宋体"/>
                <w:color w:val="auto"/>
                <w:sz w:val="21"/>
                <w:szCs w:val="21"/>
                <w:highlight w:val="none"/>
              </w:rPr>
              <w:t>5</w:t>
            </w:r>
            <w:bookmarkEnd w:id="619"/>
            <w:bookmarkEnd w:id="620"/>
          </w:p>
        </w:tc>
        <w:tc>
          <w:tcPr>
            <w:tcW w:w="1267" w:type="dxa"/>
            <w:noWrap w:val="0"/>
            <w:vAlign w:val="center"/>
          </w:tcPr>
          <w:p w14:paraId="1BA8575B">
            <w:pPr>
              <w:pStyle w:val="37"/>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135CEC0B">
            <w:pPr>
              <w:pStyle w:val="37"/>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3CA84558">
            <w:pPr>
              <w:pStyle w:val="37"/>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348D0D0E">
            <w:pPr>
              <w:pStyle w:val="37"/>
              <w:jc w:val="center"/>
              <w:rPr>
                <w:rFonts w:hint="eastAsia" w:ascii="宋体" w:hAnsi="宋体" w:eastAsia="宋体" w:cs="宋体"/>
                <w:color w:val="auto"/>
                <w:sz w:val="21"/>
                <w:szCs w:val="21"/>
                <w:highlight w:val="none"/>
              </w:rPr>
            </w:pPr>
          </w:p>
        </w:tc>
        <w:tc>
          <w:tcPr>
            <w:tcW w:w="1860" w:type="dxa"/>
            <w:noWrap w:val="0"/>
            <w:vAlign w:val="center"/>
          </w:tcPr>
          <w:p w14:paraId="24A25E3E">
            <w:pPr>
              <w:pStyle w:val="37"/>
              <w:jc w:val="center"/>
              <w:rPr>
                <w:rFonts w:hint="eastAsia" w:ascii="宋体" w:hAnsi="宋体" w:eastAsia="宋体" w:cs="宋体"/>
                <w:color w:val="auto"/>
                <w:sz w:val="21"/>
                <w:szCs w:val="21"/>
                <w:highlight w:val="none"/>
              </w:rPr>
            </w:pPr>
          </w:p>
        </w:tc>
        <w:tc>
          <w:tcPr>
            <w:tcW w:w="1356" w:type="dxa"/>
            <w:noWrap w:val="0"/>
            <w:vAlign w:val="center"/>
          </w:tcPr>
          <w:p w14:paraId="45627FA1">
            <w:pPr>
              <w:pStyle w:val="37"/>
              <w:jc w:val="center"/>
              <w:rPr>
                <w:rFonts w:hint="eastAsia" w:ascii="宋体" w:hAnsi="宋体" w:eastAsia="宋体" w:cs="宋体"/>
                <w:color w:val="auto"/>
                <w:sz w:val="21"/>
                <w:szCs w:val="21"/>
                <w:highlight w:val="none"/>
              </w:rPr>
            </w:pPr>
          </w:p>
        </w:tc>
        <w:tc>
          <w:tcPr>
            <w:tcW w:w="816" w:type="dxa"/>
            <w:noWrap w:val="0"/>
            <w:vAlign w:val="center"/>
          </w:tcPr>
          <w:p w14:paraId="5C8C5107">
            <w:pPr>
              <w:pStyle w:val="37"/>
              <w:jc w:val="center"/>
              <w:rPr>
                <w:rFonts w:hint="eastAsia" w:ascii="宋体" w:hAnsi="宋体" w:eastAsia="宋体" w:cs="宋体"/>
                <w:color w:val="auto"/>
                <w:sz w:val="21"/>
                <w:szCs w:val="21"/>
                <w:highlight w:val="none"/>
              </w:rPr>
            </w:pPr>
          </w:p>
        </w:tc>
      </w:tr>
      <w:tr w14:paraId="323AF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25A077F0">
            <w:pPr>
              <w:pStyle w:val="37"/>
              <w:jc w:val="center"/>
              <w:rPr>
                <w:rFonts w:hint="eastAsia" w:ascii="宋体" w:hAnsi="宋体" w:eastAsia="宋体" w:cs="宋体"/>
                <w:color w:val="auto"/>
                <w:sz w:val="21"/>
                <w:szCs w:val="21"/>
                <w:highlight w:val="none"/>
              </w:rPr>
            </w:pPr>
            <w:bookmarkStart w:id="621" w:name="_Toc99533297"/>
            <w:bookmarkStart w:id="622" w:name="_Toc100090789"/>
            <w:r>
              <w:rPr>
                <w:rFonts w:hint="eastAsia" w:ascii="宋体" w:hAnsi="宋体" w:eastAsia="宋体" w:cs="宋体"/>
                <w:color w:val="auto"/>
                <w:sz w:val="21"/>
                <w:szCs w:val="21"/>
                <w:highlight w:val="none"/>
              </w:rPr>
              <w:t>6</w:t>
            </w:r>
            <w:bookmarkEnd w:id="621"/>
            <w:bookmarkEnd w:id="622"/>
          </w:p>
        </w:tc>
        <w:tc>
          <w:tcPr>
            <w:tcW w:w="1267" w:type="dxa"/>
            <w:noWrap w:val="0"/>
            <w:vAlign w:val="center"/>
          </w:tcPr>
          <w:p w14:paraId="33CA6280">
            <w:pPr>
              <w:pStyle w:val="37"/>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0440F260">
            <w:pPr>
              <w:pStyle w:val="37"/>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247DE994">
            <w:pPr>
              <w:pStyle w:val="37"/>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610091F2">
            <w:pPr>
              <w:pStyle w:val="37"/>
              <w:jc w:val="center"/>
              <w:rPr>
                <w:rFonts w:hint="eastAsia" w:ascii="宋体" w:hAnsi="宋体" w:eastAsia="宋体" w:cs="宋体"/>
                <w:color w:val="auto"/>
                <w:sz w:val="21"/>
                <w:szCs w:val="21"/>
                <w:highlight w:val="none"/>
              </w:rPr>
            </w:pPr>
          </w:p>
        </w:tc>
        <w:tc>
          <w:tcPr>
            <w:tcW w:w="1860" w:type="dxa"/>
            <w:noWrap w:val="0"/>
            <w:vAlign w:val="center"/>
          </w:tcPr>
          <w:p w14:paraId="0934406E">
            <w:pPr>
              <w:pStyle w:val="37"/>
              <w:jc w:val="center"/>
              <w:rPr>
                <w:rFonts w:hint="eastAsia" w:ascii="宋体" w:hAnsi="宋体" w:eastAsia="宋体" w:cs="宋体"/>
                <w:color w:val="auto"/>
                <w:sz w:val="21"/>
                <w:szCs w:val="21"/>
                <w:highlight w:val="none"/>
              </w:rPr>
            </w:pPr>
          </w:p>
        </w:tc>
        <w:tc>
          <w:tcPr>
            <w:tcW w:w="1356" w:type="dxa"/>
            <w:noWrap w:val="0"/>
            <w:vAlign w:val="center"/>
          </w:tcPr>
          <w:p w14:paraId="7EB0F0DA">
            <w:pPr>
              <w:pStyle w:val="37"/>
              <w:jc w:val="center"/>
              <w:rPr>
                <w:rFonts w:hint="eastAsia" w:ascii="宋体" w:hAnsi="宋体" w:eastAsia="宋体" w:cs="宋体"/>
                <w:color w:val="auto"/>
                <w:sz w:val="21"/>
                <w:szCs w:val="21"/>
                <w:highlight w:val="none"/>
              </w:rPr>
            </w:pPr>
          </w:p>
        </w:tc>
        <w:tc>
          <w:tcPr>
            <w:tcW w:w="816" w:type="dxa"/>
            <w:noWrap w:val="0"/>
            <w:vAlign w:val="center"/>
          </w:tcPr>
          <w:p w14:paraId="577DB8BC">
            <w:pPr>
              <w:pStyle w:val="37"/>
              <w:jc w:val="center"/>
              <w:rPr>
                <w:rFonts w:hint="eastAsia" w:ascii="宋体" w:hAnsi="宋体" w:eastAsia="宋体" w:cs="宋体"/>
                <w:color w:val="auto"/>
                <w:sz w:val="21"/>
                <w:szCs w:val="21"/>
                <w:highlight w:val="none"/>
              </w:rPr>
            </w:pPr>
          </w:p>
        </w:tc>
      </w:tr>
      <w:tr w14:paraId="512F5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03F64EB9">
            <w:pPr>
              <w:pStyle w:val="37"/>
              <w:jc w:val="center"/>
              <w:rPr>
                <w:rFonts w:hint="eastAsia" w:ascii="宋体" w:hAnsi="宋体" w:eastAsia="宋体" w:cs="宋体"/>
                <w:color w:val="auto"/>
                <w:sz w:val="21"/>
                <w:szCs w:val="21"/>
                <w:highlight w:val="none"/>
              </w:rPr>
            </w:pPr>
            <w:bookmarkStart w:id="623" w:name="_Toc99533298"/>
            <w:bookmarkStart w:id="624" w:name="_Toc100090790"/>
            <w:r>
              <w:rPr>
                <w:rFonts w:hint="eastAsia" w:ascii="宋体" w:hAnsi="宋体" w:eastAsia="宋体" w:cs="宋体"/>
                <w:color w:val="auto"/>
                <w:sz w:val="21"/>
                <w:szCs w:val="21"/>
                <w:highlight w:val="none"/>
              </w:rPr>
              <w:t>7</w:t>
            </w:r>
            <w:bookmarkEnd w:id="623"/>
            <w:bookmarkEnd w:id="624"/>
          </w:p>
        </w:tc>
        <w:tc>
          <w:tcPr>
            <w:tcW w:w="1267" w:type="dxa"/>
            <w:noWrap w:val="0"/>
            <w:vAlign w:val="center"/>
          </w:tcPr>
          <w:p w14:paraId="2D90293A">
            <w:pPr>
              <w:pStyle w:val="37"/>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5BC28BA0">
            <w:pPr>
              <w:pStyle w:val="37"/>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2EA16646">
            <w:pPr>
              <w:pStyle w:val="37"/>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50DFFEAE">
            <w:pPr>
              <w:pStyle w:val="37"/>
              <w:jc w:val="center"/>
              <w:rPr>
                <w:rFonts w:hint="eastAsia" w:ascii="宋体" w:hAnsi="宋体" w:eastAsia="宋体" w:cs="宋体"/>
                <w:color w:val="auto"/>
                <w:sz w:val="21"/>
                <w:szCs w:val="21"/>
                <w:highlight w:val="none"/>
              </w:rPr>
            </w:pPr>
          </w:p>
        </w:tc>
        <w:tc>
          <w:tcPr>
            <w:tcW w:w="1860" w:type="dxa"/>
            <w:noWrap w:val="0"/>
            <w:vAlign w:val="center"/>
          </w:tcPr>
          <w:p w14:paraId="252DF221">
            <w:pPr>
              <w:pStyle w:val="37"/>
              <w:jc w:val="center"/>
              <w:rPr>
                <w:rFonts w:hint="eastAsia" w:ascii="宋体" w:hAnsi="宋体" w:eastAsia="宋体" w:cs="宋体"/>
                <w:color w:val="auto"/>
                <w:sz w:val="21"/>
                <w:szCs w:val="21"/>
                <w:highlight w:val="none"/>
              </w:rPr>
            </w:pPr>
          </w:p>
        </w:tc>
        <w:tc>
          <w:tcPr>
            <w:tcW w:w="1356" w:type="dxa"/>
            <w:noWrap w:val="0"/>
            <w:vAlign w:val="center"/>
          </w:tcPr>
          <w:p w14:paraId="14DDFA1F">
            <w:pPr>
              <w:pStyle w:val="37"/>
              <w:jc w:val="center"/>
              <w:rPr>
                <w:rFonts w:hint="eastAsia" w:ascii="宋体" w:hAnsi="宋体" w:eastAsia="宋体" w:cs="宋体"/>
                <w:color w:val="auto"/>
                <w:sz w:val="21"/>
                <w:szCs w:val="21"/>
                <w:highlight w:val="none"/>
              </w:rPr>
            </w:pPr>
          </w:p>
        </w:tc>
        <w:tc>
          <w:tcPr>
            <w:tcW w:w="816" w:type="dxa"/>
            <w:noWrap w:val="0"/>
            <w:vAlign w:val="center"/>
          </w:tcPr>
          <w:p w14:paraId="76343B41">
            <w:pPr>
              <w:pStyle w:val="37"/>
              <w:jc w:val="center"/>
              <w:rPr>
                <w:rFonts w:hint="eastAsia" w:ascii="宋体" w:hAnsi="宋体" w:eastAsia="宋体" w:cs="宋体"/>
                <w:color w:val="auto"/>
                <w:sz w:val="21"/>
                <w:szCs w:val="21"/>
                <w:highlight w:val="none"/>
              </w:rPr>
            </w:pPr>
          </w:p>
        </w:tc>
      </w:tr>
      <w:tr w14:paraId="385CE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5659EF55">
            <w:pPr>
              <w:pStyle w:val="37"/>
              <w:jc w:val="center"/>
              <w:rPr>
                <w:rFonts w:hint="eastAsia" w:ascii="宋体" w:hAnsi="宋体" w:eastAsia="宋体" w:cs="宋体"/>
                <w:color w:val="auto"/>
                <w:sz w:val="21"/>
                <w:szCs w:val="21"/>
                <w:highlight w:val="none"/>
              </w:rPr>
            </w:pPr>
            <w:bookmarkStart w:id="625" w:name="_Toc100090791"/>
            <w:bookmarkStart w:id="626" w:name="_Toc99533299"/>
            <w:r>
              <w:rPr>
                <w:rFonts w:hint="eastAsia" w:ascii="宋体" w:hAnsi="宋体" w:eastAsia="宋体" w:cs="宋体"/>
                <w:color w:val="auto"/>
                <w:sz w:val="21"/>
                <w:szCs w:val="21"/>
                <w:highlight w:val="none"/>
              </w:rPr>
              <w:t>8</w:t>
            </w:r>
            <w:bookmarkEnd w:id="625"/>
            <w:bookmarkEnd w:id="626"/>
          </w:p>
        </w:tc>
        <w:tc>
          <w:tcPr>
            <w:tcW w:w="1267" w:type="dxa"/>
            <w:noWrap w:val="0"/>
            <w:vAlign w:val="center"/>
          </w:tcPr>
          <w:p w14:paraId="4CA26A10">
            <w:pPr>
              <w:pStyle w:val="37"/>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07E0BA61">
            <w:pPr>
              <w:pStyle w:val="37"/>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725A689D">
            <w:pPr>
              <w:pStyle w:val="37"/>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380B1712">
            <w:pPr>
              <w:pStyle w:val="37"/>
              <w:jc w:val="center"/>
              <w:rPr>
                <w:rFonts w:hint="eastAsia" w:ascii="宋体" w:hAnsi="宋体" w:eastAsia="宋体" w:cs="宋体"/>
                <w:color w:val="auto"/>
                <w:sz w:val="21"/>
                <w:szCs w:val="21"/>
                <w:highlight w:val="none"/>
              </w:rPr>
            </w:pPr>
          </w:p>
        </w:tc>
        <w:tc>
          <w:tcPr>
            <w:tcW w:w="1860" w:type="dxa"/>
            <w:noWrap w:val="0"/>
            <w:vAlign w:val="center"/>
          </w:tcPr>
          <w:p w14:paraId="00CA3809">
            <w:pPr>
              <w:pStyle w:val="37"/>
              <w:jc w:val="center"/>
              <w:rPr>
                <w:rFonts w:hint="eastAsia" w:ascii="宋体" w:hAnsi="宋体" w:eastAsia="宋体" w:cs="宋体"/>
                <w:color w:val="auto"/>
                <w:sz w:val="21"/>
                <w:szCs w:val="21"/>
                <w:highlight w:val="none"/>
              </w:rPr>
            </w:pPr>
          </w:p>
        </w:tc>
        <w:tc>
          <w:tcPr>
            <w:tcW w:w="1356" w:type="dxa"/>
            <w:noWrap w:val="0"/>
            <w:vAlign w:val="center"/>
          </w:tcPr>
          <w:p w14:paraId="65B879F1">
            <w:pPr>
              <w:pStyle w:val="37"/>
              <w:jc w:val="center"/>
              <w:rPr>
                <w:rFonts w:hint="eastAsia" w:ascii="宋体" w:hAnsi="宋体" w:eastAsia="宋体" w:cs="宋体"/>
                <w:color w:val="auto"/>
                <w:sz w:val="21"/>
                <w:szCs w:val="21"/>
                <w:highlight w:val="none"/>
              </w:rPr>
            </w:pPr>
          </w:p>
        </w:tc>
        <w:tc>
          <w:tcPr>
            <w:tcW w:w="816" w:type="dxa"/>
            <w:noWrap w:val="0"/>
            <w:vAlign w:val="center"/>
          </w:tcPr>
          <w:p w14:paraId="2D26190E">
            <w:pPr>
              <w:pStyle w:val="37"/>
              <w:jc w:val="center"/>
              <w:rPr>
                <w:rFonts w:hint="eastAsia" w:ascii="宋体" w:hAnsi="宋体" w:eastAsia="宋体" w:cs="宋体"/>
                <w:color w:val="auto"/>
                <w:sz w:val="21"/>
                <w:szCs w:val="21"/>
                <w:highlight w:val="none"/>
              </w:rPr>
            </w:pPr>
          </w:p>
        </w:tc>
      </w:tr>
      <w:tr w14:paraId="51BEA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noWrap w:val="0"/>
            <w:vAlign w:val="center"/>
          </w:tcPr>
          <w:p w14:paraId="7531D0E7">
            <w:pPr>
              <w:pStyle w:val="37"/>
              <w:jc w:val="center"/>
              <w:rPr>
                <w:rFonts w:hint="eastAsia" w:ascii="宋体" w:hAnsi="宋体" w:eastAsia="宋体" w:cs="宋体"/>
                <w:color w:val="auto"/>
                <w:sz w:val="21"/>
                <w:szCs w:val="21"/>
                <w:highlight w:val="none"/>
              </w:rPr>
            </w:pPr>
            <w:bookmarkStart w:id="627" w:name="_Toc100090792"/>
            <w:bookmarkStart w:id="628" w:name="_Toc99533300"/>
            <w:r>
              <w:rPr>
                <w:rFonts w:hint="eastAsia" w:ascii="宋体" w:hAnsi="宋体" w:eastAsia="宋体" w:cs="宋体"/>
                <w:color w:val="auto"/>
                <w:sz w:val="21"/>
                <w:szCs w:val="21"/>
                <w:highlight w:val="none"/>
              </w:rPr>
              <w:t>9</w:t>
            </w:r>
            <w:bookmarkEnd w:id="627"/>
            <w:bookmarkEnd w:id="628"/>
          </w:p>
        </w:tc>
        <w:tc>
          <w:tcPr>
            <w:tcW w:w="1267" w:type="dxa"/>
            <w:noWrap w:val="0"/>
            <w:vAlign w:val="center"/>
          </w:tcPr>
          <w:p w14:paraId="6E9CBCB2">
            <w:pPr>
              <w:pStyle w:val="37"/>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57E582FD">
            <w:pPr>
              <w:pStyle w:val="37"/>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0E88D0D5">
            <w:pPr>
              <w:pStyle w:val="37"/>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26C1DA37">
            <w:pPr>
              <w:pStyle w:val="37"/>
              <w:jc w:val="center"/>
              <w:rPr>
                <w:rFonts w:hint="eastAsia" w:ascii="宋体" w:hAnsi="宋体" w:eastAsia="宋体" w:cs="宋体"/>
                <w:color w:val="auto"/>
                <w:sz w:val="21"/>
                <w:szCs w:val="21"/>
                <w:highlight w:val="none"/>
              </w:rPr>
            </w:pPr>
          </w:p>
        </w:tc>
        <w:tc>
          <w:tcPr>
            <w:tcW w:w="1860" w:type="dxa"/>
            <w:noWrap w:val="0"/>
            <w:vAlign w:val="center"/>
          </w:tcPr>
          <w:p w14:paraId="0D9A9FAA">
            <w:pPr>
              <w:pStyle w:val="37"/>
              <w:jc w:val="center"/>
              <w:rPr>
                <w:rFonts w:hint="eastAsia" w:ascii="宋体" w:hAnsi="宋体" w:eastAsia="宋体" w:cs="宋体"/>
                <w:color w:val="auto"/>
                <w:sz w:val="21"/>
                <w:szCs w:val="21"/>
                <w:highlight w:val="none"/>
              </w:rPr>
            </w:pPr>
          </w:p>
        </w:tc>
        <w:tc>
          <w:tcPr>
            <w:tcW w:w="1356" w:type="dxa"/>
            <w:noWrap w:val="0"/>
            <w:vAlign w:val="center"/>
          </w:tcPr>
          <w:p w14:paraId="50F5DB57">
            <w:pPr>
              <w:pStyle w:val="37"/>
              <w:jc w:val="center"/>
              <w:rPr>
                <w:rFonts w:hint="eastAsia" w:ascii="宋体" w:hAnsi="宋体" w:eastAsia="宋体" w:cs="宋体"/>
                <w:color w:val="auto"/>
                <w:sz w:val="21"/>
                <w:szCs w:val="21"/>
                <w:highlight w:val="none"/>
              </w:rPr>
            </w:pPr>
          </w:p>
        </w:tc>
        <w:tc>
          <w:tcPr>
            <w:tcW w:w="816" w:type="dxa"/>
            <w:noWrap w:val="0"/>
            <w:vAlign w:val="center"/>
          </w:tcPr>
          <w:p w14:paraId="140A6DD9">
            <w:pPr>
              <w:pStyle w:val="37"/>
              <w:jc w:val="center"/>
              <w:rPr>
                <w:rFonts w:hint="eastAsia" w:ascii="宋体" w:hAnsi="宋体" w:eastAsia="宋体" w:cs="宋体"/>
                <w:color w:val="auto"/>
                <w:sz w:val="21"/>
                <w:szCs w:val="21"/>
                <w:highlight w:val="none"/>
              </w:rPr>
            </w:pPr>
          </w:p>
        </w:tc>
      </w:tr>
      <w:tr w14:paraId="0E214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noWrap w:val="0"/>
            <w:vAlign w:val="center"/>
          </w:tcPr>
          <w:p w14:paraId="146113D2">
            <w:pPr>
              <w:pStyle w:val="37"/>
              <w:jc w:val="center"/>
              <w:rPr>
                <w:rFonts w:hint="eastAsia" w:ascii="宋体" w:hAnsi="宋体" w:eastAsia="宋体" w:cs="宋体"/>
                <w:color w:val="auto"/>
                <w:sz w:val="21"/>
                <w:szCs w:val="21"/>
                <w:highlight w:val="none"/>
              </w:rPr>
            </w:pPr>
            <w:bookmarkStart w:id="629" w:name="_Toc99533301"/>
            <w:bookmarkStart w:id="630" w:name="_Toc100090793"/>
            <w:r>
              <w:rPr>
                <w:rFonts w:hint="eastAsia" w:ascii="宋体" w:hAnsi="宋体" w:eastAsia="宋体" w:cs="宋体"/>
                <w:color w:val="auto"/>
                <w:sz w:val="21"/>
                <w:szCs w:val="21"/>
                <w:highlight w:val="none"/>
              </w:rPr>
              <w:t>10</w:t>
            </w:r>
            <w:bookmarkEnd w:id="629"/>
            <w:bookmarkEnd w:id="630"/>
          </w:p>
        </w:tc>
        <w:tc>
          <w:tcPr>
            <w:tcW w:w="1267" w:type="dxa"/>
            <w:noWrap w:val="0"/>
            <w:vAlign w:val="center"/>
          </w:tcPr>
          <w:p w14:paraId="2C52A807">
            <w:pPr>
              <w:pStyle w:val="37"/>
              <w:jc w:val="center"/>
              <w:rPr>
                <w:rFonts w:hint="eastAsia" w:ascii="宋体" w:hAnsi="宋体" w:eastAsia="宋体" w:cs="宋体"/>
                <w:color w:val="auto"/>
                <w:sz w:val="21"/>
                <w:szCs w:val="21"/>
                <w:highlight w:val="none"/>
              </w:rPr>
            </w:pPr>
          </w:p>
        </w:tc>
        <w:tc>
          <w:tcPr>
            <w:tcW w:w="1296" w:type="dxa"/>
            <w:tcBorders>
              <w:right w:val="single" w:color="auto" w:sz="4" w:space="0"/>
            </w:tcBorders>
            <w:noWrap w:val="0"/>
            <w:vAlign w:val="center"/>
          </w:tcPr>
          <w:p w14:paraId="2492D82B">
            <w:pPr>
              <w:pStyle w:val="37"/>
              <w:jc w:val="center"/>
              <w:rPr>
                <w:rFonts w:hint="eastAsia" w:ascii="宋体" w:hAnsi="宋体" w:eastAsia="宋体" w:cs="宋体"/>
                <w:color w:val="auto"/>
                <w:sz w:val="21"/>
                <w:szCs w:val="21"/>
                <w:highlight w:val="none"/>
              </w:rPr>
            </w:pPr>
          </w:p>
        </w:tc>
        <w:tc>
          <w:tcPr>
            <w:tcW w:w="1080" w:type="dxa"/>
            <w:tcBorders>
              <w:left w:val="single" w:color="auto" w:sz="4" w:space="0"/>
            </w:tcBorders>
            <w:noWrap w:val="0"/>
            <w:vAlign w:val="center"/>
          </w:tcPr>
          <w:p w14:paraId="70412D6F">
            <w:pPr>
              <w:pStyle w:val="37"/>
              <w:jc w:val="center"/>
              <w:rPr>
                <w:rFonts w:hint="eastAsia" w:ascii="宋体" w:hAnsi="宋体" w:eastAsia="宋体" w:cs="宋体"/>
                <w:color w:val="auto"/>
                <w:sz w:val="21"/>
                <w:szCs w:val="21"/>
                <w:highlight w:val="none"/>
              </w:rPr>
            </w:pPr>
          </w:p>
        </w:tc>
        <w:tc>
          <w:tcPr>
            <w:tcW w:w="804" w:type="dxa"/>
            <w:tcBorders>
              <w:left w:val="single" w:color="auto" w:sz="4" w:space="0"/>
            </w:tcBorders>
            <w:noWrap w:val="0"/>
            <w:vAlign w:val="center"/>
          </w:tcPr>
          <w:p w14:paraId="7D79A8AB">
            <w:pPr>
              <w:pStyle w:val="37"/>
              <w:jc w:val="center"/>
              <w:rPr>
                <w:rFonts w:hint="eastAsia" w:ascii="宋体" w:hAnsi="宋体" w:eastAsia="宋体" w:cs="宋体"/>
                <w:color w:val="auto"/>
                <w:sz w:val="21"/>
                <w:szCs w:val="21"/>
                <w:highlight w:val="none"/>
              </w:rPr>
            </w:pPr>
          </w:p>
        </w:tc>
        <w:tc>
          <w:tcPr>
            <w:tcW w:w="1860" w:type="dxa"/>
            <w:noWrap w:val="0"/>
            <w:vAlign w:val="center"/>
          </w:tcPr>
          <w:p w14:paraId="42D504C8">
            <w:pPr>
              <w:pStyle w:val="37"/>
              <w:jc w:val="center"/>
              <w:rPr>
                <w:rFonts w:hint="eastAsia" w:ascii="宋体" w:hAnsi="宋体" w:eastAsia="宋体" w:cs="宋体"/>
                <w:color w:val="auto"/>
                <w:sz w:val="21"/>
                <w:szCs w:val="21"/>
                <w:highlight w:val="none"/>
              </w:rPr>
            </w:pPr>
          </w:p>
        </w:tc>
        <w:tc>
          <w:tcPr>
            <w:tcW w:w="1356" w:type="dxa"/>
            <w:noWrap w:val="0"/>
            <w:vAlign w:val="center"/>
          </w:tcPr>
          <w:p w14:paraId="4F00C972">
            <w:pPr>
              <w:pStyle w:val="37"/>
              <w:jc w:val="center"/>
              <w:rPr>
                <w:rFonts w:hint="eastAsia" w:ascii="宋体" w:hAnsi="宋体" w:eastAsia="宋体" w:cs="宋体"/>
                <w:color w:val="auto"/>
                <w:sz w:val="21"/>
                <w:szCs w:val="21"/>
                <w:highlight w:val="none"/>
              </w:rPr>
            </w:pPr>
          </w:p>
        </w:tc>
        <w:tc>
          <w:tcPr>
            <w:tcW w:w="816" w:type="dxa"/>
            <w:noWrap w:val="0"/>
            <w:vAlign w:val="center"/>
          </w:tcPr>
          <w:p w14:paraId="2B9FC054">
            <w:pPr>
              <w:pStyle w:val="37"/>
              <w:jc w:val="center"/>
              <w:rPr>
                <w:rFonts w:hint="eastAsia" w:ascii="宋体" w:hAnsi="宋体" w:eastAsia="宋体" w:cs="宋体"/>
                <w:color w:val="auto"/>
                <w:sz w:val="21"/>
                <w:szCs w:val="21"/>
                <w:highlight w:val="none"/>
              </w:rPr>
            </w:pPr>
          </w:p>
        </w:tc>
      </w:tr>
    </w:tbl>
    <w:p w14:paraId="7753B7A6">
      <w:pPr>
        <w:rPr>
          <w:rFonts w:hint="eastAsia" w:cs="仿宋_GB2312"/>
          <w:color w:val="auto"/>
          <w:sz w:val="21"/>
          <w:szCs w:val="21"/>
          <w:highlight w:val="none"/>
          <w:lang w:val="en-US" w:eastAsia="zh-CN"/>
        </w:rPr>
      </w:pPr>
    </w:p>
    <w:p w14:paraId="333AF60B">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注：按招标文件要求在本表后附相关人员证书。</w:t>
      </w:r>
    </w:p>
    <w:p w14:paraId="624A1BB7">
      <w:pPr>
        <w:ind w:firstLine="420"/>
        <w:rPr>
          <w:rFonts w:hint="eastAsia" w:cs="仿宋_GB2312"/>
          <w:color w:val="auto"/>
          <w:sz w:val="21"/>
          <w:szCs w:val="21"/>
          <w:highlight w:val="none"/>
          <w:lang w:val="en-US" w:eastAsia="zh-CN"/>
        </w:rPr>
      </w:pPr>
    </w:p>
    <w:p w14:paraId="7E97DD3E">
      <w:pPr>
        <w:ind w:firstLine="42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312F9346">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6707056F">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2.如投标人中标，须按本表项目组成人员操作，不得随意更换。</w:t>
      </w:r>
    </w:p>
    <w:p w14:paraId="70CA807F">
      <w:pPr>
        <w:rPr>
          <w:color w:val="auto"/>
          <w:highlight w:val="none"/>
        </w:rPr>
      </w:pPr>
    </w:p>
    <w:p w14:paraId="5457E940">
      <w:pPr>
        <w:rPr>
          <w:color w:val="auto"/>
          <w:highlight w:val="none"/>
        </w:rPr>
      </w:pPr>
      <w:r>
        <w:rPr>
          <w:color w:val="auto"/>
          <w:highlight w:val="none"/>
        </w:rPr>
        <w:br w:type="page" w:clear="all"/>
      </w:r>
    </w:p>
    <w:p w14:paraId="4C5885B4">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631" w:name="_Toc27062"/>
      <w:bookmarkStart w:id="632" w:name="_Toc163492934"/>
      <w:r>
        <w:rPr>
          <w:rFonts w:hint="eastAsia" w:cs="Times New Roman"/>
          <w:b/>
          <w:bCs/>
          <w:color w:val="auto"/>
          <w:sz w:val="32"/>
          <w:szCs w:val="32"/>
          <w:highlight w:val="none"/>
          <w:lang w:val="en-US" w:eastAsia="zh-CN" w:bidi="ar-SA"/>
        </w:rPr>
        <w:t>9</w:t>
      </w:r>
      <w:r>
        <w:rPr>
          <w:rFonts w:hint="eastAsia" w:ascii="Cambria" w:hAnsi="Cambria" w:eastAsia="宋体" w:cs="Times New Roman"/>
          <w:b/>
          <w:bCs/>
          <w:color w:val="auto"/>
          <w:sz w:val="32"/>
          <w:szCs w:val="32"/>
          <w:highlight w:val="none"/>
          <w:lang w:val="en-US" w:eastAsia="zh-CN" w:bidi="ar-SA"/>
        </w:rPr>
        <w:t>、技术响应偏离表</w:t>
      </w:r>
      <w:bookmarkEnd w:id="631"/>
      <w:bookmarkEnd w:id="632"/>
    </w:p>
    <w:p w14:paraId="2A0AADA6">
      <w:pPr>
        <w:rPr>
          <w:rFonts w:cs="仿宋_GB2312"/>
          <w:color w:val="auto"/>
          <w:szCs w:val="24"/>
          <w:highlight w:val="none"/>
        </w:rPr>
      </w:pPr>
      <w:r>
        <w:rPr>
          <w:rFonts w:hint="eastAsia" w:cs="仿宋_GB2312"/>
          <w:color w:val="auto"/>
          <w:szCs w:val="24"/>
          <w:highlight w:val="none"/>
        </w:rPr>
        <w:t xml:space="preserve">项目名称：                                         </w:t>
      </w:r>
    </w:p>
    <w:p w14:paraId="2C761502">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61407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noWrap w:val="0"/>
            <w:vAlign w:val="center"/>
          </w:tcPr>
          <w:p w14:paraId="3E324884">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noWrap w:val="0"/>
            <w:vAlign w:val="center"/>
          </w:tcPr>
          <w:p w14:paraId="358A3955">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26A05C97">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noWrap w:val="0"/>
            <w:vAlign w:val="center"/>
          </w:tcPr>
          <w:p w14:paraId="47028BDD">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2AD90E6D">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noWrap w:val="0"/>
            <w:vAlign w:val="center"/>
          </w:tcPr>
          <w:p w14:paraId="1064C332">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6" w:type="pct"/>
            <w:noWrap w:val="0"/>
            <w:vAlign w:val="center"/>
          </w:tcPr>
          <w:p w14:paraId="03AD24C8">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6AA2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noWrap w:val="0"/>
            <w:vAlign w:val="center"/>
          </w:tcPr>
          <w:p w14:paraId="4D2FBDE1">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noWrap w:val="0"/>
            <w:vAlign w:val="center"/>
          </w:tcPr>
          <w:p w14:paraId="70065165">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noWrap w:val="0"/>
            <w:vAlign w:val="center"/>
          </w:tcPr>
          <w:p w14:paraId="68BB2204">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noWrap w:val="0"/>
            <w:vAlign w:val="center"/>
          </w:tcPr>
          <w:p w14:paraId="5904FBD0">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noWrap w:val="0"/>
            <w:vAlign w:val="center"/>
          </w:tcPr>
          <w:p w14:paraId="6F04536C">
            <w:pPr>
              <w:pStyle w:val="37"/>
              <w:jc w:val="center"/>
              <w:rPr>
                <w:rFonts w:hint="eastAsia" w:ascii="宋体" w:hAnsi="宋体" w:eastAsia="宋体" w:cs="宋体"/>
                <w:color w:val="auto"/>
                <w:sz w:val="21"/>
                <w:szCs w:val="21"/>
                <w:highlight w:val="none"/>
              </w:rPr>
            </w:pPr>
          </w:p>
        </w:tc>
      </w:tr>
      <w:tr w14:paraId="49DC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noWrap w:val="0"/>
            <w:vAlign w:val="center"/>
          </w:tcPr>
          <w:p w14:paraId="49946F90">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noWrap w:val="0"/>
            <w:vAlign w:val="center"/>
          </w:tcPr>
          <w:p w14:paraId="2791E01B">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noWrap w:val="0"/>
            <w:vAlign w:val="center"/>
          </w:tcPr>
          <w:p w14:paraId="68E266B6">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noWrap w:val="0"/>
            <w:vAlign w:val="center"/>
          </w:tcPr>
          <w:p w14:paraId="50A4CC18">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noWrap w:val="0"/>
            <w:vAlign w:val="center"/>
          </w:tcPr>
          <w:p w14:paraId="21D9499B">
            <w:pPr>
              <w:pStyle w:val="37"/>
              <w:jc w:val="center"/>
              <w:rPr>
                <w:rFonts w:hint="eastAsia" w:ascii="宋体" w:hAnsi="宋体" w:eastAsia="宋体" w:cs="宋体"/>
                <w:color w:val="auto"/>
                <w:sz w:val="21"/>
                <w:szCs w:val="21"/>
                <w:highlight w:val="none"/>
              </w:rPr>
            </w:pPr>
          </w:p>
        </w:tc>
      </w:tr>
      <w:tr w14:paraId="1FD6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noWrap w:val="0"/>
            <w:vAlign w:val="center"/>
          </w:tcPr>
          <w:p w14:paraId="6444D8A8">
            <w:pPr>
              <w:pStyle w:val="37"/>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59" w:type="pct"/>
            <w:noWrap w:val="0"/>
            <w:vAlign w:val="center"/>
          </w:tcPr>
          <w:p w14:paraId="33425310">
            <w:pPr>
              <w:pStyle w:val="37"/>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31" w:type="pct"/>
            <w:noWrap w:val="0"/>
            <w:vAlign w:val="center"/>
          </w:tcPr>
          <w:p w14:paraId="15D996E6">
            <w:pPr>
              <w:pStyle w:val="37"/>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265" w:type="pct"/>
            <w:noWrap w:val="0"/>
            <w:vAlign w:val="center"/>
          </w:tcPr>
          <w:p w14:paraId="1E610BF4">
            <w:pPr>
              <w:pStyle w:val="37"/>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响应/正偏离/负偏离</w:t>
            </w:r>
          </w:p>
        </w:tc>
        <w:tc>
          <w:tcPr>
            <w:tcW w:w="1136" w:type="pct"/>
            <w:noWrap w:val="0"/>
            <w:vAlign w:val="center"/>
          </w:tcPr>
          <w:p w14:paraId="07B6D045">
            <w:pPr>
              <w:pStyle w:val="37"/>
              <w:jc w:val="center"/>
              <w:rPr>
                <w:rFonts w:hint="eastAsia" w:ascii="宋体" w:hAnsi="宋体" w:eastAsia="宋体" w:cs="宋体"/>
                <w:color w:val="auto"/>
                <w:sz w:val="21"/>
                <w:szCs w:val="21"/>
                <w:highlight w:val="none"/>
              </w:rPr>
            </w:pPr>
          </w:p>
        </w:tc>
      </w:tr>
      <w:tr w14:paraId="560D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noWrap w:val="0"/>
            <w:vAlign w:val="center"/>
          </w:tcPr>
          <w:p w14:paraId="35E3FF52">
            <w:pPr>
              <w:pStyle w:val="37"/>
              <w:jc w:val="center"/>
              <w:rPr>
                <w:rFonts w:hint="eastAsia" w:ascii="宋体" w:hAnsi="宋体" w:eastAsia="宋体" w:cs="宋体"/>
                <w:color w:val="auto"/>
                <w:sz w:val="21"/>
                <w:szCs w:val="21"/>
                <w:highlight w:val="none"/>
              </w:rPr>
            </w:pPr>
          </w:p>
        </w:tc>
        <w:tc>
          <w:tcPr>
            <w:tcW w:w="1159" w:type="pct"/>
            <w:noWrap w:val="0"/>
            <w:vAlign w:val="center"/>
          </w:tcPr>
          <w:p w14:paraId="5D98BD50">
            <w:pPr>
              <w:pStyle w:val="37"/>
              <w:jc w:val="center"/>
              <w:rPr>
                <w:rFonts w:hint="eastAsia" w:ascii="宋体" w:hAnsi="宋体" w:eastAsia="宋体" w:cs="宋体"/>
                <w:color w:val="auto"/>
                <w:sz w:val="21"/>
                <w:szCs w:val="21"/>
                <w:highlight w:val="none"/>
              </w:rPr>
            </w:pPr>
          </w:p>
        </w:tc>
        <w:tc>
          <w:tcPr>
            <w:tcW w:w="1031" w:type="pct"/>
            <w:noWrap w:val="0"/>
            <w:vAlign w:val="center"/>
          </w:tcPr>
          <w:p w14:paraId="7D7FB21C">
            <w:pPr>
              <w:pStyle w:val="37"/>
              <w:jc w:val="center"/>
              <w:rPr>
                <w:rFonts w:hint="eastAsia" w:ascii="宋体" w:hAnsi="宋体" w:eastAsia="宋体" w:cs="宋体"/>
                <w:color w:val="auto"/>
                <w:sz w:val="21"/>
                <w:szCs w:val="21"/>
                <w:highlight w:val="none"/>
              </w:rPr>
            </w:pPr>
          </w:p>
        </w:tc>
        <w:tc>
          <w:tcPr>
            <w:tcW w:w="1265" w:type="pct"/>
            <w:noWrap w:val="0"/>
            <w:vAlign w:val="center"/>
          </w:tcPr>
          <w:p w14:paraId="26E31FB6">
            <w:pPr>
              <w:pStyle w:val="37"/>
              <w:jc w:val="center"/>
              <w:rPr>
                <w:rFonts w:hint="eastAsia" w:ascii="宋体" w:hAnsi="宋体" w:eastAsia="宋体" w:cs="宋体"/>
                <w:color w:val="auto"/>
                <w:sz w:val="21"/>
                <w:szCs w:val="21"/>
                <w:highlight w:val="none"/>
              </w:rPr>
            </w:pPr>
          </w:p>
        </w:tc>
        <w:tc>
          <w:tcPr>
            <w:tcW w:w="1136" w:type="pct"/>
            <w:noWrap w:val="0"/>
            <w:vAlign w:val="center"/>
          </w:tcPr>
          <w:p w14:paraId="57FB48C8">
            <w:pPr>
              <w:pStyle w:val="37"/>
              <w:jc w:val="center"/>
              <w:rPr>
                <w:rFonts w:hint="eastAsia" w:ascii="宋体" w:hAnsi="宋体" w:eastAsia="宋体" w:cs="宋体"/>
                <w:color w:val="auto"/>
                <w:sz w:val="21"/>
                <w:szCs w:val="21"/>
                <w:highlight w:val="none"/>
              </w:rPr>
            </w:pPr>
          </w:p>
        </w:tc>
      </w:tr>
      <w:tr w14:paraId="3B654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noWrap w:val="0"/>
            <w:vAlign w:val="center"/>
          </w:tcPr>
          <w:p w14:paraId="4ACE9D54">
            <w:pPr>
              <w:pStyle w:val="37"/>
              <w:jc w:val="center"/>
              <w:rPr>
                <w:rFonts w:hint="eastAsia" w:ascii="宋体" w:hAnsi="宋体" w:eastAsia="宋体" w:cs="宋体"/>
                <w:color w:val="auto"/>
                <w:sz w:val="21"/>
                <w:szCs w:val="21"/>
                <w:highlight w:val="none"/>
              </w:rPr>
            </w:pPr>
          </w:p>
        </w:tc>
        <w:tc>
          <w:tcPr>
            <w:tcW w:w="1159" w:type="pct"/>
            <w:noWrap w:val="0"/>
            <w:vAlign w:val="center"/>
          </w:tcPr>
          <w:p w14:paraId="2B9E6D58">
            <w:pPr>
              <w:pStyle w:val="37"/>
              <w:jc w:val="center"/>
              <w:rPr>
                <w:rFonts w:hint="eastAsia" w:ascii="宋体" w:hAnsi="宋体" w:eastAsia="宋体" w:cs="宋体"/>
                <w:color w:val="auto"/>
                <w:sz w:val="21"/>
                <w:szCs w:val="21"/>
                <w:highlight w:val="none"/>
              </w:rPr>
            </w:pPr>
          </w:p>
        </w:tc>
        <w:tc>
          <w:tcPr>
            <w:tcW w:w="1031" w:type="pct"/>
            <w:noWrap w:val="0"/>
            <w:vAlign w:val="center"/>
          </w:tcPr>
          <w:p w14:paraId="43E9A4D3">
            <w:pPr>
              <w:pStyle w:val="37"/>
              <w:jc w:val="center"/>
              <w:rPr>
                <w:rFonts w:hint="eastAsia" w:ascii="宋体" w:hAnsi="宋体" w:eastAsia="宋体" w:cs="宋体"/>
                <w:color w:val="auto"/>
                <w:sz w:val="21"/>
                <w:szCs w:val="21"/>
                <w:highlight w:val="none"/>
              </w:rPr>
            </w:pPr>
          </w:p>
        </w:tc>
        <w:tc>
          <w:tcPr>
            <w:tcW w:w="1265" w:type="pct"/>
            <w:noWrap w:val="0"/>
            <w:vAlign w:val="center"/>
          </w:tcPr>
          <w:p w14:paraId="2E81DEC0">
            <w:pPr>
              <w:pStyle w:val="37"/>
              <w:jc w:val="center"/>
              <w:rPr>
                <w:rFonts w:hint="eastAsia" w:ascii="宋体" w:hAnsi="宋体" w:eastAsia="宋体" w:cs="宋体"/>
                <w:color w:val="auto"/>
                <w:sz w:val="21"/>
                <w:szCs w:val="21"/>
                <w:highlight w:val="none"/>
              </w:rPr>
            </w:pPr>
          </w:p>
        </w:tc>
        <w:tc>
          <w:tcPr>
            <w:tcW w:w="1136" w:type="pct"/>
            <w:noWrap w:val="0"/>
            <w:vAlign w:val="center"/>
          </w:tcPr>
          <w:p w14:paraId="313D139D">
            <w:pPr>
              <w:pStyle w:val="37"/>
              <w:jc w:val="center"/>
              <w:rPr>
                <w:rFonts w:hint="eastAsia" w:ascii="宋体" w:hAnsi="宋体" w:eastAsia="宋体" w:cs="宋体"/>
                <w:color w:val="auto"/>
                <w:sz w:val="21"/>
                <w:szCs w:val="21"/>
                <w:highlight w:val="none"/>
              </w:rPr>
            </w:pPr>
          </w:p>
        </w:tc>
      </w:tr>
      <w:tr w14:paraId="4A2B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noWrap w:val="0"/>
            <w:vAlign w:val="center"/>
          </w:tcPr>
          <w:p w14:paraId="2EEDB7DD">
            <w:pPr>
              <w:pStyle w:val="37"/>
              <w:jc w:val="center"/>
              <w:rPr>
                <w:rFonts w:hint="eastAsia" w:ascii="宋体" w:hAnsi="宋体" w:eastAsia="宋体" w:cs="宋体"/>
                <w:color w:val="auto"/>
                <w:sz w:val="21"/>
                <w:szCs w:val="21"/>
                <w:highlight w:val="none"/>
              </w:rPr>
            </w:pPr>
          </w:p>
        </w:tc>
        <w:tc>
          <w:tcPr>
            <w:tcW w:w="1159" w:type="pct"/>
            <w:noWrap w:val="0"/>
            <w:vAlign w:val="center"/>
          </w:tcPr>
          <w:p w14:paraId="40BEAB5B">
            <w:pPr>
              <w:pStyle w:val="37"/>
              <w:jc w:val="center"/>
              <w:rPr>
                <w:rFonts w:hint="eastAsia" w:ascii="宋体" w:hAnsi="宋体" w:eastAsia="宋体" w:cs="宋体"/>
                <w:color w:val="auto"/>
                <w:sz w:val="21"/>
                <w:szCs w:val="21"/>
                <w:highlight w:val="none"/>
              </w:rPr>
            </w:pPr>
          </w:p>
        </w:tc>
        <w:tc>
          <w:tcPr>
            <w:tcW w:w="1031" w:type="pct"/>
            <w:noWrap w:val="0"/>
            <w:vAlign w:val="center"/>
          </w:tcPr>
          <w:p w14:paraId="7F79CC24">
            <w:pPr>
              <w:pStyle w:val="37"/>
              <w:jc w:val="center"/>
              <w:rPr>
                <w:rFonts w:hint="eastAsia" w:ascii="宋体" w:hAnsi="宋体" w:eastAsia="宋体" w:cs="宋体"/>
                <w:color w:val="auto"/>
                <w:sz w:val="21"/>
                <w:szCs w:val="21"/>
                <w:highlight w:val="none"/>
              </w:rPr>
            </w:pPr>
          </w:p>
        </w:tc>
        <w:tc>
          <w:tcPr>
            <w:tcW w:w="1265" w:type="pct"/>
            <w:noWrap w:val="0"/>
            <w:vAlign w:val="center"/>
          </w:tcPr>
          <w:p w14:paraId="0FE146C5">
            <w:pPr>
              <w:pStyle w:val="37"/>
              <w:jc w:val="center"/>
              <w:rPr>
                <w:rFonts w:hint="eastAsia" w:ascii="宋体" w:hAnsi="宋体" w:eastAsia="宋体" w:cs="宋体"/>
                <w:color w:val="auto"/>
                <w:sz w:val="21"/>
                <w:szCs w:val="21"/>
                <w:highlight w:val="none"/>
              </w:rPr>
            </w:pPr>
          </w:p>
        </w:tc>
        <w:tc>
          <w:tcPr>
            <w:tcW w:w="1136" w:type="pct"/>
            <w:noWrap w:val="0"/>
            <w:vAlign w:val="center"/>
          </w:tcPr>
          <w:p w14:paraId="0DA63957">
            <w:pPr>
              <w:pStyle w:val="37"/>
              <w:jc w:val="center"/>
              <w:rPr>
                <w:rFonts w:hint="eastAsia" w:ascii="宋体" w:hAnsi="宋体" w:eastAsia="宋体" w:cs="宋体"/>
                <w:color w:val="auto"/>
                <w:sz w:val="21"/>
                <w:szCs w:val="21"/>
                <w:highlight w:val="none"/>
              </w:rPr>
            </w:pPr>
          </w:p>
        </w:tc>
      </w:tr>
      <w:tr w14:paraId="03B7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noWrap w:val="0"/>
            <w:vAlign w:val="center"/>
          </w:tcPr>
          <w:p w14:paraId="21A9BD54">
            <w:pPr>
              <w:pStyle w:val="37"/>
              <w:jc w:val="center"/>
              <w:rPr>
                <w:rFonts w:hint="eastAsia" w:ascii="宋体" w:hAnsi="宋体" w:eastAsia="宋体" w:cs="宋体"/>
                <w:color w:val="auto"/>
                <w:sz w:val="21"/>
                <w:szCs w:val="21"/>
                <w:highlight w:val="none"/>
              </w:rPr>
            </w:pPr>
          </w:p>
        </w:tc>
        <w:tc>
          <w:tcPr>
            <w:tcW w:w="1159" w:type="pct"/>
            <w:noWrap w:val="0"/>
            <w:vAlign w:val="center"/>
          </w:tcPr>
          <w:p w14:paraId="4BE2D986">
            <w:pPr>
              <w:pStyle w:val="37"/>
              <w:jc w:val="center"/>
              <w:rPr>
                <w:rFonts w:hint="eastAsia" w:ascii="宋体" w:hAnsi="宋体" w:eastAsia="宋体" w:cs="宋体"/>
                <w:color w:val="auto"/>
                <w:sz w:val="21"/>
                <w:szCs w:val="21"/>
                <w:highlight w:val="none"/>
              </w:rPr>
            </w:pPr>
          </w:p>
        </w:tc>
        <w:tc>
          <w:tcPr>
            <w:tcW w:w="1031" w:type="pct"/>
            <w:noWrap w:val="0"/>
            <w:vAlign w:val="center"/>
          </w:tcPr>
          <w:p w14:paraId="12BA63A4">
            <w:pPr>
              <w:pStyle w:val="37"/>
              <w:jc w:val="center"/>
              <w:rPr>
                <w:rFonts w:hint="eastAsia" w:ascii="宋体" w:hAnsi="宋体" w:eastAsia="宋体" w:cs="宋体"/>
                <w:color w:val="auto"/>
                <w:sz w:val="21"/>
                <w:szCs w:val="21"/>
                <w:highlight w:val="none"/>
              </w:rPr>
            </w:pPr>
          </w:p>
        </w:tc>
        <w:tc>
          <w:tcPr>
            <w:tcW w:w="1265" w:type="pct"/>
            <w:noWrap w:val="0"/>
            <w:vAlign w:val="center"/>
          </w:tcPr>
          <w:p w14:paraId="5AEBAD7F">
            <w:pPr>
              <w:pStyle w:val="37"/>
              <w:jc w:val="center"/>
              <w:rPr>
                <w:rFonts w:hint="eastAsia" w:ascii="宋体" w:hAnsi="宋体" w:eastAsia="宋体" w:cs="宋体"/>
                <w:color w:val="auto"/>
                <w:sz w:val="21"/>
                <w:szCs w:val="21"/>
                <w:highlight w:val="none"/>
              </w:rPr>
            </w:pPr>
          </w:p>
        </w:tc>
        <w:tc>
          <w:tcPr>
            <w:tcW w:w="1136" w:type="pct"/>
            <w:noWrap w:val="0"/>
            <w:vAlign w:val="center"/>
          </w:tcPr>
          <w:p w14:paraId="1DCC6D40">
            <w:pPr>
              <w:pStyle w:val="37"/>
              <w:jc w:val="center"/>
              <w:rPr>
                <w:rFonts w:hint="eastAsia" w:ascii="宋体" w:hAnsi="宋体" w:eastAsia="宋体" w:cs="宋体"/>
                <w:color w:val="auto"/>
                <w:sz w:val="21"/>
                <w:szCs w:val="21"/>
                <w:highlight w:val="none"/>
              </w:rPr>
            </w:pPr>
          </w:p>
        </w:tc>
      </w:tr>
      <w:tr w14:paraId="555F2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noWrap w:val="0"/>
            <w:vAlign w:val="center"/>
          </w:tcPr>
          <w:p w14:paraId="2DFA4B8D">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noWrap w:val="0"/>
            <w:vAlign w:val="center"/>
          </w:tcPr>
          <w:p w14:paraId="1852395D">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noWrap w:val="0"/>
            <w:vAlign w:val="center"/>
          </w:tcPr>
          <w:p w14:paraId="4BA647DF">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noWrap w:val="0"/>
            <w:vAlign w:val="center"/>
          </w:tcPr>
          <w:p w14:paraId="6BC2058E">
            <w:pPr>
              <w:pStyle w:val="3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6" w:type="pct"/>
            <w:noWrap w:val="0"/>
            <w:vAlign w:val="center"/>
          </w:tcPr>
          <w:p w14:paraId="00A85B80">
            <w:pPr>
              <w:pStyle w:val="37"/>
              <w:jc w:val="center"/>
              <w:rPr>
                <w:rFonts w:hint="eastAsia" w:ascii="宋体" w:hAnsi="宋体" w:eastAsia="宋体" w:cs="宋体"/>
                <w:color w:val="auto"/>
                <w:sz w:val="21"/>
                <w:szCs w:val="21"/>
                <w:highlight w:val="none"/>
              </w:rPr>
            </w:pPr>
          </w:p>
        </w:tc>
      </w:tr>
    </w:tbl>
    <w:p w14:paraId="3910A3A4">
      <w:pPr>
        <w:ind w:firstLine="480"/>
        <w:rPr>
          <w:rFonts w:cs="仿宋_GB2312"/>
          <w:color w:val="auto"/>
          <w:szCs w:val="24"/>
          <w:highlight w:val="none"/>
        </w:rPr>
      </w:pPr>
    </w:p>
    <w:p w14:paraId="39AB10B3">
      <w:pPr>
        <w:ind w:firstLine="48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cs="仿宋_GB2312"/>
          <w:color w:val="auto"/>
          <w:szCs w:val="24"/>
          <w:highlight w:val="none"/>
        </w:rPr>
        <w:t>：</w:t>
      </w:r>
    </w:p>
    <w:p w14:paraId="5BA83B78">
      <w:pPr>
        <w:ind w:firstLine="420"/>
        <w:rPr>
          <w:rFonts w:cs="仿宋_GB2312"/>
          <w:color w:val="auto"/>
          <w:szCs w:val="24"/>
          <w:highlight w:val="none"/>
        </w:rPr>
      </w:pPr>
      <w:r>
        <w:rPr>
          <w:rFonts w:hint="eastAsia" w:cs="仿宋_GB2312"/>
          <w:color w:val="auto"/>
          <w:szCs w:val="24"/>
          <w:highlight w:val="none"/>
        </w:rPr>
        <w:t>日      期：</w:t>
      </w:r>
    </w:p>
    <w:p w14:paraId="0616FBC4">
      <w:pPr>
        <w:ind w:firstLine="420"/>
        <w:rPr>
          <w:rFonts w:hint="eastAsia" w:cs="仿宋_GB2312"/>
          <w:color w:val="auto"/>
          <w:sz w:val="21"/>
          <w:szCs w:val="21"/>
          <w:highlight w:val="none"/>
          <w:lang w:val="en-US" w:eastAsia="zh-CN"/>
        </w:rPr>
      </w:pPr>
    </w:p>
    <w:p w14:paraId="487CE7BF">
      <w:pPr>
        <w:ind w:firstLine="42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035FDBA8">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1.“招标文件技术要求条款”栏应详细列明招标文件中的要求。 </w:t>
      </w:r>
    </w:p>
    <w:p w14:paraId="64C0B007">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3AC2AFF4">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63C9191B">
      <w:pPr>
        <w:ind w:firstLine="420"/>
        <w:rPr>
          <w:rFonts w:hint="eastAsia" w:cs="仿宋_GB2312"/>
          <w:color w:val="auto"/>
          <w:sz w:val="21"/>
          <w:szCs w:val="21"/>
          <w:highlight w:val="none"/>
        </w:rPr>
      </w:pPr>
      <w:r>
        <w:rPr>
          <w:rFonts w:hint="eastAsia" w:cs="仿宋_GB2312"/>
          <w:color w:val="auto"/>
          <w:sz w:val="21"/>
          <w:szCs w:val="21"/>
          <w:highlight w:val="none"/>
          <w:lang w:val="en-US" w:eastAsia="zh-CN"/>
        </w:rPr>
        <w:t>4.“证明资料及索引”栏可填写证明资料的具体内容及索引。</w:t>
      </w:r>
    </w:p>
    <w:p w14:paraId="116D53EC">
      <w:pPr>
        <w:ind w:firstLine="42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0D11A8A1">
      <w:pPr>
        <w:ind w:firstLine="420"/>
        <w:rPr>
          <w:rFonts w:hint="eastAsia" w:cs="仿宋_GB2312"/>
          <w:color w:val="auto"/>
          <w:sz w:val="21"/>
          <w:szCs w:val="21"/>
          <w:highlight w:val="none"/>
          <w:lang w:val="en-US" w:eastAsia="zh-CN"/>
        </w:rPr>
      </w:pPr>
    </w:p>
    <w:p w14:paraId="420043E1">
      <w:pPr>
        <w:ind w:firstLine="420"/>
        <w:rPr>
          <w:rFonts w:hint="eastAsia" w:cs="仿宋_GB2312"/>
          <w:color w:val="auto"/>
          <w:sz w:val="21"/>
          <w:szCs w:val="21"/>
          <w:highlight w:val="none"/>
          <w:lang w:val="en-US" w:eastAsia="zh-CN"/>
        </w:rPr>
      </w:pPr>
    </w:p>
    <w:p w14:paraId="0184B6C2">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633" w:name="_Toc163492935"/>
      <w:bookmarkStart w:id="634" w:name="_Toc5192"/>
      <w:r>
        <w:rPr>
          <w:rFonts w:hint="eastAsia" w:cs="Times New Roman"/>
          <w:b/>
          <w:bCs/>
          <w:color w:val="auto"/>
          <w:sz w:val="32"/>
          <w:szCs w:val="32"/>
          <w:highlight w:val="none"/>
          <w:lang w:val="en-US" w:eastAsia="zh-CN" w:bidi="ar-SA"/>
        </w:rPr>
        <w:t>10</w:t>
      </w:r>
      <w:r>
        <w:rPr>
          <w:rFonts w:hint="eastAsia" w:ascii="Cambria" w:hAnsi="Cambria" w:eastAsia="宋体" w:cs="Times New Roman"/>
          <w:b/>
          <w:bCs/>
          <w:color w:val="auto"/>
          <w:sz w:val="32"/>
          <w:szCs w:val="32"/>
          <w:highlight w:val="none"/>
          <w:lang w:val="en-US" w:eastAsia="zh-CN" w:bidi="ar-SA"/>
        </w:rPr>
        <w:t>、技术方案</w:t>
      </w:r>
      <w:bookmarkEnd w:id="633"/>
      <w:bookmarkEnd w:id="634"/>
    </w:p>
    <w:p w14:paraId="0ABD398F">
      <w:pPr>
        <w:pStyle w:val="36"/>
        <w:rPr>
          <w:color w:val="auto"/>
          <w:highlight w:val="none"/>
        </w:rPr>
      </w:pPr>
      <w:r>
        <w:rPr>
          <w:rFonts w:hint="eastAsia"/>
          <w:color w:val="auto"/>
          <w:highlight w:val="none"/>
        </w:rPr>
        <w:t>投标人应按照招标文件的要求，提供详细的</w:t>
      </w:r>
      <w:r>
        <w:rPr>
          <w:rFonts w:hint="eastAsia"/>
          <w:color w:val="auto"/>
          <w:highlight w:val="none"/>
          <w:lang w:val="en-US" w:eastAsia="zh-CN"/>
        </w:rPr>
        <w:t>供货及相关</w:t>
      </w:r>
      <w:r>
        <w:rPr>
          <w:rFonts w:hint="eastAsia"/>
          <w:color w:val="auto"/>
          <w:highlight w:val="none"/>
        </w:rPr>
        <w:t>服务方案，包括文字描述或图表显示。格式自拟。</w:t>
      </w:r>
    </w:p>
    <w:p w14:paraId="40F62D82">
      <w:pPr>
        <w:pStyle w:val="36"/>
        <w:rPr>
          <w:rFonts w:hint="eastAsia" w:cs="仿宋_GB2312"/>
          <w:color w:val="auto"/>
          <w:sz w:val="21"/>
          <w:szCs w:val="21"/>
          <w:highlight w:val="none"/>
          <w:lang w:val="en-US" w:eastAsia="zh-CN"/>
        </w:rPr>
      </w:pPr>
      <w:r>
        <w:rPr>
          <w:color w:val="auto"/>
          <w:highlight w:val="none"/>
        </w:rPr>
        <w:br w:type="page" w:clear="all"/>
      </w:r>
      <w:bookmarkStart w:id="635" w:name="_Toc163492936"/>
    </w:p>
    <w:p w14:paraId="7D5A5E36">
      <w:pPr>
        <w:pStyle w:val="3"/>
        <w:keepNext/>
        <w:keepLines/>
        <w:pageBreakBefore w:val="0"/>
        <w:widowControl w:val="0"/>
        <w:numPr>
          <w:ilvl w:val="0"/>
          <w:numId w:val="0"/>
        </w:numPr>
        <w:bidi w:val="0"/>
        <w:spacing w:before="100" w:after="100" w:line="360" w:lineRule="auto"/>
        <w:ind w:left="420" w:hanging="420"/>
        <w:jc w:val="center"/>
        <w:rPr>
          <w:rFonts w:hint="eastAsia" w:ascii="Cambria" w:hAnsi="Cambria" w:eastAsia="宋体" w:cs="Times New Roman"/>
          <w:b/>
          <w:bCs/>
          <w:color w:val="auto"/>
          <w:sz w:val="32"/>
          <w:szCs w:val="32"/>
          <w:highlight w:val="none"/>
          <w:lang w:val="en-US" w:eastAsia="zh-CN" w:bidi="ar-SA"/>
        </w:rPr>
      </w:pPr>
      <w:bookmarkStart w:id="636" w:name="_Toc19556"/>
      <w:r>
        <w:rPr>
          <w:rFonts w:hint="eastAsia" w:ascii="Cambria" w:hAnsi="Cambria" w:eastAsia="宋体" w:cs="Times New Roman"/>
          <w:b/>
          <w:bCs/>
          <w:color w:val="auto"/>
          <w:sz w:val="32"/>
          <w:szCs w:val="32"/>
          <w:highlight w:val="none"/>
          <w:lang w:val="en-US" w:eastAsia="zh-CN" w:bidi="ar-SA"/>
        </w:rPr>
        <w:t>11、其他文件</w:t>
      </w:r>
      <w:bookmarkEnd w:id="635"/>
      <w:bookmarkEnd w:id="636"/>
    </w:p>
    <w:p w14:paraId="6442BE6F">
      <w:pPr>
        <w:pStyle w:val="36"/>
        <w:ind w:left="0" w:firstLine="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465B8F9F">
      <w:pPr>
        <w:pStyle w:val="36"/>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23"/>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545A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noWrap w:val="0"/>
            <w:vAlign w:val="center"/>
          </w:tcPr>
          <w:p w14:paraId="1EBED65C">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bidi="ar"/>
              </w:rPr>
              <w:t>供应商名称</w:t>
            </w:r>
          </w:p>
        </w:tc>
        <w:tc>
          <w:tcPr>
            <w:tcW w:w="2841" w:type="dxa"/>
            <w:noWrap w:val="0"/>
            <w:vAlign w:val="center"/>
          </w:tcPr>
          <w:p w14:paraId="39D54D56">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bidi="ar"/>
              </w:rPr>
              <w:t>供应商实际控制人性别</w:t>
            </w:r>
          </w:p>
        </w:tc>
        <w:tc>
          <w:tcPr>
            <w:tcW w:w="2743" w:type="dxa"/>
            <w:noWrap w:val="0"/>
            <w:vAlign w:val="center"/>
          </w:tcPr>
          <w:p w14:paraId="1548E6D6">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bidi="ar"/>
              </w:rPr>
              <w:t>外商投资类型</w:t>
            </w:r>
          </w:p>
        </w:tc>
      </w:tr>
      <w:tr w14:paraId="394F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noWrap w:val="0"/>
            <w:vAlign w:val="top"/>
          </w:tcPr>
          <w:p w14:paraId="7CDB81FD">
            <w:pPr>
              <w:pStyle w:val="36"/>
              <w:rPr>
                <w:rFonts w:hint="eastAsia" w:ascii="宋体" w:hAnsi="宋体" w:eastAsia="宋体" w:cs="宋体"/>
                <w:color w:val="auto"/>
                <w:sz w:val="24"/>
                <w:szCs w:val="24"/>
                <w:highlight w:val="none"/>
                <w:vertAlign w:val="baseline"/>
                <w:lang w:val="en-US" w:eastAsia="zh-CN"/>
              </w:rPr>
            </w:pPr>
          </w:p>
        </w:tc>
        <w:tc>
          <w:tcPr>
            <w:tcW w:w="2841" w:type="dxa"/>
            <w:noWrap w:val="0"/>
            <w:vAlign w:val="top"/>
          </w:tcPr>
          <w:p w14:paraId="0771076A">
            <w:pPr>
              <w:pStyle w:val="36"/>
              <w:rPr>
                <w:rFonts w:hint="eastAsia" w:ascii="宋体" w:hAnsi="宋体" w:eastAsia="宋体" w:cs="宋体"/>
                <w:color w:val="auto"/>
                <w:sz w:val="24"/>
                <w:szCs w:val="24"/>
                <w:highlight w:val="none"/>
                <w:vertAlign w:val="baseline"/>
                <w:lang w:val="en-US" w:eastAsia="zh-CN"/>
              </w:rPr>
            </w:pPr>
          </w:p>
        </w:tc>
        <w:tc>
          <w:tcPr>
            <w:tcW w:w="2743" w:type="dxa"/>
            <w:noWrap w:val="0"/>
            <w:vAlign w:val="top"/>
          </w:tcPr>
          <w:p w14:paraId="5B4B62DD">
            <w:pPr>
              <w:pStyle w:val="36"/>
              <w:rPr>
                <w:rFonts w:hint="eastAsia" w:ascii="宋体" w:hAnsi="宋体" w:eastAsia="宋体" w:cs="宋体"/>
                <w:color w:val="auto"/>
                <w:sz w:val="24"/>
                <w:szCs w:val="24"/>
                <w:highlight w:val="none"/>
                <w:vertAlign w:val="baseline"/>
                <w:lang w:val="en-US" w:eastAsia="zh-CN"/>
              </w:rPr>
            </w:pPr>
          </w:p>
        </w:tc>
      </w:tr>
      <w:tr w14:paraId="6414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noWrap w:val="0"/>
            <w:vAlign w:val="top"/>
          </w:tcPr>
          <w:p w14:paraId="5B44CD18">
            <w:pPr>
              <w:pStyle w:val="36"/>
              <w:rPr>
                <w:rFonts w:hint="eastAsia" w:ascii="宋体" w:hAnsi="宋体" w:eastAsia="宋体" w:cs="宋体"/>
                <w:color w:val="auto"/>
                <w:sz w:val="24"/>
                <w:szCs w:val="24"/>
                <w:highlight w:val="none"/>
                <w:vertAlign w:val="baseline"/>
                <w:lang w:val="en-US" w:eastAsia="zh-CN"/>
              </w:rPr>
            </w:pPr>
          </w:p>
        </w:tc>
        <w:tc>
          <w:tcPr>
            <w:tcW w:w="2841" w:type="dxa"/>
            <w:noWrap w:val="0"/>
            <w:vAlign w:val="top"/>
          </w:tcPr>
          <w:p w14:paraId="7C0144F8">
            <w:pPr>
              <w:pStyle w:val="36"/>
              <w:rPr>
                <w:rFonts w:hint="eastAsia" w:ascii="宋体" w:hAnsi="宋体" w:eastAsia="宋体" w:cs="宋体"/>
                <w:color w:val="auto"/>
                <w:sz w:val="24"/>
                <w:szCs w:val="24"/>
                <w:highlight w:val="none"/>
                <w:vertAlign w:val="baseline"/>
                <w:lang w:val="en-US" w:eastAsia="zh-CN"/>
              </w:rPr>
            </w:pPr>
          </w:p>
        </w:tc>
        <w:tc>
          <w:tcPr>
            <w:tcW w:w="2743" w:type="dxa"/>
            <w:noWrap w:val="0"/>
            <w:vAlign w:val="top"/>
          </w:tcPr>
          <w:p w14:paraId="1C0EDB73">
            <w:pPr>
              <w:pStyle w:val="36"/>
              <w:rPr>
                <w:rFonts w:hint="eastAsia" w:ascii="宋体" w:hAnsi="宋体" w:eastAsia="宋体" w:cs="宋体"/>
                <w:color w:val="auto"/>
                <w:sz w:val="24"/>
                <w:szCs w:val="24"/>
                <w:highlight w:val="none"/>
                <w:vertAlign w:val="baseline"/>
                <w:lang w:val="en-US" w:eastAsia="zh-CN"/>
              </w:rPr>
            </w:pPr>
          </w:p>
        </w:tc>
      </w:tr>
      <w:tr w14:paraId="64ADB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noWrap w:val="0"/>
            <w:vAlign w:val="top"/>
          </w:tcPr>
          <w:p w14:paraId="677C1505">
            <w:pPr>
              <w:pStyle w:val="36"/>
              <w:rPr>
                <w:rFonts w:hint="eastAsia" w:ascii="宋体" w:hAnsi="宋体" w:eastAsia="宋体" w:cs="宋体"/>
                <w:color w:val="auto"/>
                <w:sz w:val="24"/>
                <w:szCs w:val="24"/>
                <w:highlight w:val="none"/>
                <w:vertAlign w:val="baseline"/>
                <w:lang w:val="en-US" w:eastAsia="zh-CN"/>
              </w:rPr>
            </w:pPr>
          </w:p>
        </w:tc>
        <w:tc>
          <w:tcPr>
            <w:tcW w:w="2841" w:type="dxa"/>
            <w:noWrap w:val="0"/>
            <w:vAlign w:val="top"/>
          </w:tcPr>
          <w:p w14:paraId="756FB392">
            <w:pPr>
              <w:pStyle w:val="36"/>
              <w:rPr>
                <w:rFonts w:hint="eastAsia" w:ascii="宋体" w:hAnsi="宋体" w:eastAsia="宋体" w:cs="宋体"/>
                <w:color w:val="auto"/>
                <w:sz w:val="24"/>
                <w:szCs w:val="24"/>
                <w:highlight w:val="none"/>
                <w:vertAlign w:val="baseline"/>
                <w:lang w:val="en-US" w:eastAsia="zh-CN"/>
              </w:rPr>
            </w:pPr>
          </w:p>
        </w:tc>
        <w:tc>
          <w:tcPr>
            <w:tcW w:w="2743" w:type="dxa"/>
            <w:noWrap w:val="0"/>
            <w:vAlign w:val="top"/>
          </w:tcPr>
          <w:p w14:paraId="3EF30034">
            <w:pPr>
              <w:pStyle w:val="36"/>
              <w:rPr>
                <w:rFonts w:hint="eastAsia" w:ascii="宋体" w:hAnsi="宋体" w:eastAsia="宋体" w:cs="宋体"/>
                <w:color w:val="auto"/>
                <w:sz w:val="24"/>
                <w:szCs w:val="24"/>
                <w:highlight w:val="none"/>
                <w:vertAlign w:val="baseline"/>
                <w:lang w:val="en-US" w:eastAsia="zh-CN"/>
              </w:rPr>
            </w:pPr>
          </w:p>
        </w:tc>
      </w:tr>
      <w:tr w14:paraId="5BA2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noWrap w:val="0"/>
            <w:vAlign w:val="top"/>
          </w:tcPr>
          <w:p w14:paraId="54FA0512">
            <w:pPr>
              <w:pStyle w:val="36"/>
              <w:rPr>
                <w:rFonts w:hint="eastAsia" w:ascii="宋体" w:hAnsi="宋体" w:eastAsia="宋体" w:cs="宋体"/>
                <w:color w:val="auto"/>
                <w:sz w:val="24"/>
                <w:szCs w:val="24"/>
                <w:highlight w:val="none"/>
                <w:vertAlign w:val="baseline"/>
                <w:lang w:val="en-US" w:eastAsia="zh-CN"/>
              </w:rPr>
            </w:pPr>
          </w:p>
        </w:tc>
        <w:tc>
          <w:tcPr>
            <w:tcW w:w="2841" w:type="dxa"/>
            <w:noWrap w:val="0"/>
            <w:vAlign w:val="top"/>
          </w:tcPr>
          <w:p w14:paraId="4A0C1CDF">
            <w:pPr>
              <w:pStyle w:val="36"/>
              <w:rPr>
                <w:rFonts w:hint="eastAsia" w:ascii="宋体" w:hAnsi="宋体" w:eastAsia="宋体" w:cs="宋体"/>
                <w:color w:val="auto"/>
                <w:sz w:val="24"/>
                <w:szCs w:val="24"/>
                <w:highlight w:val="none"/>
                <w:vertAlign w:val="baseline"/>
                <w:lang w:val="en-US" w:eastAsia="zh-CN"/>
              </w:rPr>
            </w:pPr>
          </w:p>
        </w:tc>
        <w:tc>
          <w:tcPr>
            <w:tcW w:w="2743" w:type="dxa"/>
            <w:noWrap w:val="0"/>
            <w:vAlign w:val="top"/>
          </w:tcPr>
          <w:p w14:paraId="2FE1FB07">
            <w:pPr>
              <w:pStyle w:val="36"/>
              <w:rPr>
                <w:rFonts w:hint="eastAsia" w:ascii="宋体" w:hAnsi="宋体" w:eastAsia="宋体" w:cs="宋体"/>
                <w:color w:val="auto"/>
                <w:sz w:val="24"/>
                <w:szCs w:val="24"/>
                <w:highlight w:val="none"/>
                <w:vertAlign w:val="baseline"/>
                <w:lang w:val="en-US" w:eastAsia="zh-CN"/>
              </w:rPr>
            </w:pPr>
          </w:p>
        </w:tc>
      </w:tr>
    </w:tbl>
    <w:p w14:paraId="767AA2D6">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 xml:space="preserve">注：1.供应商如为联合体，则应填写联合体各成员信息。 </w:t>
      </w:r>
    </w:p>
    <w:p w14:paraId="16701D34">
      <w:pPr>
        <w:keepNext w:val="0"/>
        <w:keepLines w:val="0"/>
        <w:widowControl/>
        <w:suppressLineNumbers w:val="0"/>
        <w:ind w:firstLine="42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w:t>
      </w:r>
      <w:r>
        <w:rPr>
          <w:rFonts w:hint="eastAsia" w:cs="宋体"/>
          <w:color w:val="auto"/>
          <w:sz w:val="21"/>
          <w:szCs w:val="21"/>
          <w:highlight w:val="none"/>
          <w:lang w:val="en-US" w:eastAsia="zh-CN" w:bidi="ar"/>
        </w:rPr>
        <w:t>“供应商实际控制人性别”</w:t>
      </w:r>
      <w:r>
        <w:rPr>
          <w:rFonts w:hint="eastAsia" w:ascii="宋体" w:hAnsi="宋体" w:eastAsia="宋体" w:cs="宋体"/>
          <w:color w:val="auto"/>
          <w:sz w:val="21"/>
          <w:szCs w:val="21"/>
          <w:highlight w:val="none"/>
          <w:lang w:val="en-US" w:eastAsia="zh-CN" w:bidi="ar"/>
        </w:rPr>
        <w:t>按供应商实际控制人性别划分请填写“男”或“女”，指拥有供应商 51%以上绝对所有权的性</w:t>
      </w:r>
      <w:r>
        <w:rPr>
          <w:rFonts w:hint="eastAsia" w:cs="宋体"/>
          <w:color w:val="auto"/>
          <w:sz w:val="21"/>
          <w:szCs w:val="21"/>
          <w:highlight w:val="none"/>
          <w:lang w:val="en-US" w:eastAsia="zh-CN" w:bidi="ar"/>
        </w:rPr>
        <w:t>别</w:t>
      </w:r>
      <w:r>
        <w:rPr>
          <w:rFonts w:hint="eastAsia" w:ascii="宋体" w:hAnsi="宋体" w:eastAsia="宋体" w:cs="宋体"/>
          <w:color w:val="auto"/>
          <w:sz w:val="21"/>
          <w:szCs w:val="21"/>
          <w:highlight w:val="none"/>
          <w:lang w:val="en-US" w:eastAsia="zh-CN" w:bidi="ar"/>
        </w:rPr>
        <w:t>；绝对所有权拥有者可以是一个人，也可以是多人合计计算。</w:t>
      </w:r>
    </w:p>
    <w:p w14:paraId="173D1BB5">
      <w:pPr>
        <w:pStyle w:val="36"/>
        <w:ind w:left="0" w:firstLine="420"/>
        <w:rPr>
          <w:rFonts w:hint="eastAsia"/>
          <w:color w:val="auto"/>
          <w:sz w:val="21"/>
          <w:szCs w:val="21"/>
          <w:highlight w:val="none"/>
          <w:lang w:eastAsia="zh-CN"/>
        </w:rPr>
      </w:pPr>
      <w:r>
        <w:rPr>
          <w:rFonts w:hint="eastAsia" w:ascii="宋体" w:hAnsi="宋体" w:eastAsia="宋体" w:cs="宋体"/>
          <w:color w:val="auto"/>
          <w:sz w:val="21"/>
          <w:szCs w:val="21"/>
          <w:highlight w:val="none"/>
          <w:lang w:val="en-US" w:eastAsia="zh-CN" w:bidi="ar"/>
        </w:rPr>
        <w:t>3.</w:t>
      </w:r>
      <w:r>
        <w:rPr>
          <w:rFonts w:hint="eastAsia"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外商投资类型</w:t>
      </w:r>
      <w:r>
        <w:rPr>
          <w:rFonts w:hint="eastAsia"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请填写“外商单独投资”、“外商部分投资”或“内资”。</w:t>
      </w:r>
    </w:p>
    <w:p w14:paraId="3BBAAC7D">
      <w:pPr>
        <w:rPr>
          <w:rFonts w:hint="eastAsia" w:ascii="宋体" w:hAnsi="宋体" w:eastAsia="宋体" w:cs="宋体"/>
          <w:color w:val="000000"/>
          <w:szCs w:val="24"/>
          <w:highlight w:val="none"/>
          <w:lang w:val="en-US"/>
        </w:rPr>
      </w:pPr>
    </w:p>
    <w:p w14:paraId="4F9DC5A1">
      <w:pPr>
        <w:ind w:firstLine="480" w:firstLineChars="200"/>
        <w:rPr>
          <w:rFonts w:hint="eastAsia" w:ascii="宋体" w:hAnsi="宋体" w:eastAsia="宋体" w:cs="宋体"/>
          <w:color w:val="000000"/>
          <w:szCs w:val="24"/>
          <w:highlight w:val="none"/>
          <w:lang w:val="en-US"/>
        </w:rPr>
      </w:pPr>
      <w:r>
        <w:rPr>
          <w:rFonts w:hint="eastAsia" w:ascii="宋体" w:hAnsi="宋体" w:eastAsia="宋体" w:cs="宋体"/>
          <w:color w:val="000000"/>
          <w:szCs w:val="24"/>
          <w:highlight w:val="none"/>
          <w:lang w:val="en-US"/>
        </w:rPr>
        <w:t>1.2其它商务、技术资料和证明材料</w:t>
      </w:r>
    </w:p>
    <w:p w14:paraId="60B74376">
      <w:pPr>
        <w:rPr>
          <w:rFonts w:hint="eastAsia" w:ascii="宋体" w:hAnsi="宋体" w:eastAsia="宋体" w:cs="宋体"/>
          <w:color w:val="000000"/>
          <w:szCs w:val="24"/>
          <w:highlight w:val="none"/>
          <w:lang w:val="en-US"/>
        </w:rPr>
      </w:pPr>
    </w:p>
    <w:p w14:paraId="171E9083">
      <w:pPr>
        <w:rPr>
          <w:rFonts w:hint="eastAsia" w:ascii="宋体" w:hAnsi="宋体" w:eastAsia="宋体" w:cs="宋体"/>
          <w:color w:val="000000"/>
          <w:szCs w:val="24"/>
          <w:highlight w:val="none"/>
          <w:lang w:val="en-US"/>
        </w:rPr>
      </w:pPr>
    </w:p>
    <w:p w14:paraId="28AFC09B">
      <w:pPr>
        <w:rPr>
          <w:rFonts w:hint="eastAsia" w:ascii="宋体" w:hAnsi="宋体" w:eastAsia="宋体" w:cs="宋体"/>
          <w:color w:val="000000"/>
          <w:szCs w:val="24"/>
          <w:highlight w:val="none"/>
          <w:lang w:val="en-US"/>
        </w:rPr>
      </w:pPr>
    </w:p>
    <w:p w14:paraId="530E8E3E">
      <w:pPr>
        <w:rPr>
          <w:rFonts w:hint="eastAsia" w:ascii="宋体" w:hAnsi="宋体" w:eastAsia="宋体" w:cs="宋体"/>
          <w:color w:val="000000"/>
          <w:szCs w:val="24"/>
          <w:highlight w:val="none"/>
          <w:lang w:val="en-US"/>
        </w:rPr>
      </w:pPr>
    </w:p>
    <w:p w14:paraId="1E6B57F5">
      <w:pPr>
        <w:rPr>
          <w:rFonts w:hint="eastAsia" w:ascii="宋体" w:hAnsi="宋体" w:eastAsia="宋体" w:cs="宋体"/>
          <w:color w:val="000000"/>
          <w:szCs w:val="24"/>
          <w:highlight w:val="none"/>
          <w:lang w:val="en-US"/>
        </w:rPr>
      </w:pPr>
    </w:p>
    <w:p w14:paraId="22DDF360">
      <w:pPr>
        <w:rPr>
          <w:rFonts w:hint="eastAsia" w:ascii="宋体" w:hAnsi="宋体" w:eastAsia="宋体" w:cs="宋体"/>
          <w:color w:val="000000"/>
          <w:szCs w:val="24"/>
          <w:highlight w:val="none"/>
          <w:lang w:val="en-US"/>
        </w:rPr>
      </w:pPr>
    </w:p>
    <w:p w14:paraId="31F80490">
      <w:pPr>
        <w:rPr>
          <w:rFonts w:hint="eastAsia" w:ascii="宋体" w:hAnsi="宋体" w:eastAsia="宋体" w:cs="宋体"/>
          <w:color w:val="000000"/>
          <w:szCs w:val="24"/>
          <w:highlight w:val="none"/>
          <w:lang w:val="en-US"/>
        </w:rPr>
      </w:pPr>
    </w:p>
    <w:p w14:paraId="057BF260">
      <w:pPr>
        <w:rPr>
          <w:rFonts w:hint="eastAsia" w:ascii="宋体" w:hAnsi="宋体" w:eastAsia="宋体" w:cs="宋体"/>
          <w:color w:val="000000"/>
          <w:szCs w:val="24"/>
          <w:highlight w:val="none"/>
          <w:lang w:val="en-US"/>
        </w:rPr>
      </w:pPr>
    </w:p>
    <w:p w14:paraId="78E47007">
      <w:pPr>
        <w:rPr>
          <w:rFonts w:hint="eastAsia" w:ascii="宋体" w:hAnsi="宋体" w:eastAsia="宋体" w:cs="宋体"/>
          <w:color w:val="000000"/>
          <w:szCs w:val="24"/>
          <w:highlight w:val="none"/>
          <w:lang w:val="en-US"/>
        </w:rPr>
      </w:pPr>
    </w:p>
    <w:p w14:paraId="4CDA53A9">
      <w:pPr>
        <w:rPr>
          <w:rFonts w:hint="eastAsia" w:ascii="宋体" w:hAnsi="宋体" w:eastAsia="宋体" w:cs="宋体"/>
          <w:color w:val="000000"/>
          <w:szCs w:val="24"/>
          <w:highlight w:val="none"/>
          <w:lang w:val="en-US"/>
        </w:rPr>
      </w:pPr>
    </w:p>
    <w:p w14:paraId="344C6524">
      <w:pPr>
        <w:rPr>
          <w:rFonts w:hint="eastAsia" w:ascii="宋体" w:hAnsi="宋体" w:eastAsia="宋体" w:cs="宋体"/>
          <w:color w:val="000000"/>
          <w:szCs w:val="24"/>
          <w:highlight w:val="none"/>
          <w:lang w:val="en-US"/>
        </w:rPr>
      </w:pPr>
    </w:p>
    <w:p w14:paraId="75999C2D">
      <w:pPr>
        <w:rPr>
          <w:rFonts w:hint="eastAsia" w:ascii="宋体" w:hAnsi="宋体" w:eastAsia="宋体" w:cs="宋体"/>
          <w:color w:val="000000"/>
          <w:szCs w:val="24"/>
          <w:highlight w:val="none"/>
          <w:lang w:val="en-US"/>
        </w:rPr>
      </w:pPr>
    </w:p>
    <w:p w14:paraId="5D1C5F61">
      <w:pPr>
        <w:rPr>
          <w:rFonts w:hint="eastAsia" w:ascii="宋体" w:hAnsi="宋体" w:eastAsia="宋体" w:cs="宋体"/>
          <w:color w:val="000000"/>
          <w:szCs w:val="24"/>
          <w:highlight w:val="none"/>
          <w:lang w:val="en-US"/>
        </w:rPr>
      </w:pPr>
    </w:p>
    <w:p w14:paraId="402F3410">
      <w:pPr>
        <w:pStyle w:val="36"/>
        <w:ind w:left="0" w:firstLine="0"/>
        <w:rPr>
          <w:rFonts w:hint="eastAsia"/>
          <w:b/>
          <w:bCs/>
          <w:color w:val="auto"/>
          <w:sz w:val="24"/>
          <w:szCs w:val="24"/>
          <w:highlight w:val="none"/>
          <w:lang w:val="en-US" w:eastAsia="zh-CN"/>
        </w:rPr>
      </w:pPr>
      <w:bookmarkStart w:id="637" w:name="_Toc19761"/>
      <w:r>
        <w:rPr>
          <w:rFonts w:hint="eastAsia"/>
          <w:b/>
          <w:bCs/>
          <w:color w:val="auto"/>
          <w:sz w:val="24"/>
          <w:szCs w:val="24"/>
          <w:highlight w:val="none"/>
          <w:lang w:val="en-US" w:eastAsia="zh-CN"/>
        </w:rPr>
        <w:t>（二）中小企业声明函</w:t>
      </w:r>
      <w:bookmarkEnd w:id="637"/>
      <w:r>
        <w:rPr>
          <w:rFonts w:hint="eastAsia"/>
          <w:b/>
          <w:bCs/>
          <w:color w:val="auto"/>
          <w:sz w:val="24"/>
          <w:szCs w:val="24"/>
          <w:highlight w:val="none"/>
          <w:lang w:val="en-US" w:eastAsia="zh-CN"/>
        </w:rPr>
        <w:t>（如适用）</w:t>
      </w:r>
    </w:p>
    <w:p w14:paraId="4D2D2269">
      <w:pPr>
        <w:pStyle w:val="76"/>
        <w:numPr>
          <w:ilvl w:val="0"/>
          <w:numId w:val="0"/>
        </w:numPr>
        <w:ind w:left="420" w:hanging="420"/>
        <w:jc w:val="center"/>
        <w:rPr>
          <w:b/>
          <w:bCs/>
          <w:color w:val="auto"/>
          <w:sz w:val="32"/>
          <w:szCs w:val="32"/>
          <w:highlight w:val="none"/>
        </w:rPr>
      </w:pPr>
      <w:r>
        <w:rPr>
          <w:rFonts w:hint="eastAsia"/>
          <w:b/>
          <w:bCs/>
          <w:color w:val="auto"/>
          <w:sz w:val="32"/>
          <w:szCs w:val="32"/>
          <w:highlight w:val="none"/>
          <w:lang w:eastAsia="zh-CN"/>
        </w:rPr>
        <w:t>（</w:t>
      </w:r>
      <w:r>
        <w:rPr>
          <w:rFonts w:hint="eastAsia"/>
          <w:b/>
          <w:bCs/>
          <w:color w:val="auto"/>
          <w:sz w:val="32"/>
          <w:szCs w:val="32"/>
          <w:highlight w:val="none"/>
          <w:lang w:val="en-US" w:eastAsia="zh-CN"/>
        </w:rPr>
        <w:t>1</w:t>
      </w:r>
      <w:r>
        <w:rPr>
          <w:rFonts w:hint="eastAsia"/>
          <w:b/>
          <w:bCs/>
          <w:color w:val="auto"/>
          <w:sz w:val="32"/>
          <w:szCs w:val="32"/>
          <w:highlight w:val="none"/>
          <w:lang w:eastAsia="zh-CN"/>
        </w:rPr>
        <w:t>）</w:t>
      </w:r>
      <w:r>
        <w:rPr>
          <w:rFonts w:hint="eastAsia"/>
          <w:b/>
          <w:bCs/>
          <w:color w:val="auto"/>
          <w:sz w:val="32"/>
          <w:szCs w:val="32"/>
          <w:highlight w:val="none"/>
        </w:rPr>
        <w:t>中小企业声明函</w:t>
      </w:r>
    </w:p>
    <w:p w14:paraId="1A0B4263">
      <w:pPr>
        <w:ind w:firstLine="504"/>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652F7DF0">
      <w:pPr>
        <w:ind w:firstLine="504"/>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40B5297E">
      <w:pPr>
        <w:ind w:firstLine="504"/>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721F3184">
      <w:pPr>
        <w:ind w:firstLine="504"/>
        <w:rPr>
          <w:rFonts w:cs="宋体"/>
          <w:color w:val="auto"/>
          <w:spacing w:val="6"/>
          <w:szCs w:val="24"/>
          <w:highlight w:val="none"/>
        </w:rPr>
      </w:pPr>
      <w:r>
        <w:rPr>
          <w:rFonts w:hint="eastAsia" w:cs="宋体"/>
          <w:color w:val="auto"/>
          <w:spacing w:val="6"/>
          <w:szCs w:val="24"/>
          <w:highlight w:val="none"/>
        </w:rPr>
        <w:t>……</w:t>
      </w:r>
    </w:p>
    <w:p w14:paraId="5F67BDEA">
      <w:pPr>
        <w:ind w:firstLine="504"/>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43769D86">
      <w:pPr>
        <w:ind w:firstLine="504"/>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66788318">
      <w:pPr>
        <w:ind w:right="1008" w:firstLine="4788"/>
        <w:rPr>
          <w:rFonts w:cs="宋体"/>
          <w:color w:val="auto"/>
          <w:spacing w:val="6"/>
          <w:szCs w:val="24"/>
          <w:highlight w:val="none"/>
        </w:rPr>
      </w:pPr>
    </w:p>
    <w:p w14:paraId="67FB6C9E">
      <w:pPr>
        <w:ind w:right="1008" w:firstLine="4284"/>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cs="宋体"/>
          <w:color w:val="auto"/>
          <w:spacing w:val="6"/>
          <w:szCs w:val="24"/>
          <w:highlight w:val="none"/>
        </w:rPr>
        <w:t>：</w:t>
      </w:r>
    </w:p>
    <w:p w14:paraId="7F2316A7">
      <w:pPr>
        <w:ind w:right="1008" w:firstLine="4284"/>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2FD58B2E">
      <w:pPr>
        <w:ind w:firstLine="504"/>
        <w:rPr>
          <w:rFonts w:cs="宋体"/>
          <w:color w:val="auto"/>
          <w:spacing w:val="6"/>
          <w:szCs w:val="24"/>
          <w:highlight w:val="none"/>
        </w:rPr>
      </w:pPr>
    </w:p>
    <w:p w14:paraId="0673E3ED">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w:t>
      </w:r>
      <w:r>
        <w:rPr>
          <w:rFonts w:hint="eastAsia" w:cs="宋体"/>
          <w:color w:val="auto"/>
          <w:spacing w:val="-6"/>
          <w:sz w:val="21"/>
          <w:szCs w:val="21"/>
          <w:highlight w:val="none"/>
          <w:lang w:val="en-US" w:eastAsia="zh-CN" w:bidi="ar"/>
        </w:rPr>
        <w:t>“</w:t>
      </w:r>
      <w:r>
        <w:rPr>
          <w:rFonts w:hint="eastAsia" w:cs="宋体"/>
          <w:b/>
          <w:bCs/>
          <w:color w:val="auto"/>
          <w:spacing w:val="6"/>
          <w:sz w:val="21"/>
          <w:szCs w:val="21"/>
          <w:highlight w:val="none"/>
          <w:lang w:val="en-US" w:eastAsia="zh-CN"/>
        </w:rPr>
        <w:t>中小企业声明函”的填写要求及提交要求，否则，因填写或提交等产生的一切不利后果，须自行承担。</w:t>
      </w:r>
    </w:p>
    <w:p w14:paraId="30A22F28">
      <w:pPr>
        <w:ind w:firstLine="668"/>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7571980B">
      <w:pPr>
        <w:keepNext w:val="0"/>
        <w:keepLines w:val="0"/>
        <w:pageBreakBefore w:val="0"/>
        <w:widowControl w:val="0"/>
        <w:bidi w:val="0"/>
        <w:spacing w:line="360" w:lineRule="exact"/>
        <w:rPr>
          <w:rFonts w:hint="eastAsia"/>
          <w:b/>
          <w:bCs/>
          <w:color w:val="auto"/>
          <w:highlight w:val="none"/>
          <w:lang w:val="en-US" w:eastAsia="zh-CN"/>
        </w:rPr>
      </w:pPr>
    </w:p>
    <w:p w14:paraId="377FC214">
      <w:pPr>
        <w:keepNext w:val="0"/>
        <w:keepLines w:val="0"/>
        <w:pageBreakBefore w:val="0"/>
        <w:widowControl w:val="0"/>
        <w:bidi w:val="0"/>
        <w:spacing w:line="360" w:lineRule="exact"/>
        <w:rPr>
          <w:rFonts w:hint="eastAsia"/>
          <w:b/>
          <w:bCs/>
          <w:color w:val="auto"/>
          <w:highlight w:val="none"/>
          <w:lang w:val="en-US" w:eastAsia="zh-CN"/>
        </w:rPr>
      </w:pPr>
    </w:p>
    <w:p w14:paraId="1D5D350F">
      <w:pPr>
        <w:keepNext w:val="0"/>
        <w:keepLines w:val="0"/>
        <w:pageBreakBefore w:val="0"/>
        <w:widowControl w:val="0"/>
        <w:bidi w:val="0"/>
        <w:spacing w:line="360" w:lineRule="exact"/>
        <w:rPr>
          <w:rFonts w:hint="eastAsia"/>
          <w:b/>
          <w:bCs/>
          <w:color w:val="auto"/>
          <w:highlight w:val="none"/>
          <w:lang w:val="en-US" w:eastAsia="zh-CN"/>
        </w:rPr>
      </w:pPr>
    </w:p>
    <w:p w14:paraId="43F46B93">
      <w:pPr>
        <w:keepNext w:val="0"/>
        <w:keepLines w:val="0"/>
        <w:pageBreakBefore w:val="0"/>
        <w:widowControl w:val="0"/>
        <w:bidi w:val="0"/>
        <w:spacing w:line="360" w:lineRule="exact"/>
        <w:rPr>
          <w:rFonts w:hint="eastAsia"/>
          <w:b/>
          <w:bCs/>
          <w:color w:val="auto"/>
          <w:highlight w:val="none"/>
          <w:lang w:val="en-US" w:eastAsia="zh-CN"/>
        </w:rPr>
      </w:pPr>
    </w:p>
    <w:p w14:paraId="3E2867B8">
      <w:pPr>
        <w:keepNext w:val="0"/>
        <w:keepLines w:val="0"/>
        <w:pageBreakBefore w:val="0"/>
        <w:widowControl w:val="0"/>
        <w:bidi w:val="0"/>
        <w:spacing w:line="360" w:lineRule="exact"/>
        <w:rPr>
          <w:rFonts w:hint="eastAsia"/>
          <w:b/>
          <w:bCs/>
          <w:color w:val="auto"/>
          <w:highlight w:val="none"/>
          <w:lang w:val="en-US" w:eastAsia="zh-CN"/>
        </w:rPr>
      </w:pPr>
    </w:p>
    <w:p w14:paraId="0CD373FB">
      <w:pPr>
        <w:keepNext w:val="0"/>
        <w:keepLines w:val="0"/>
        <w:pageBreakBefore w:val="0"/>
        <w:widowControl w:val="0"/>
        <w:bidi w:val="0"/>
        <w:spacing w:line="360" w:lineRule="exact"/>
        <w:rPr>
          <w:rFonts w:hint="default"/>
          <w:b/>
          <w:bCs/>
          <w:color w:val="auto"/>
          <w:highlight w:val="none"/>
          <w:lang w:val="en-US" w:eastAsia="zh-CN"/>
        </w:rPr>
      </w:pPr>
      <w:r>
        <w:rPr>
          <w:rFonts w:hint="eastAsia"/>
          <w:b/>
          <w:bCs/>
          <w:color w:val="auto"/>
          <w:highlight w:val="none"/>
          <w:lang w:val="en-US" w:eastAsia="zh-CN"/>
        </w:rPr>
        <w:t xml:space="preserve">附件1 </w:t>
      </w:r>
    </w:p>
    <w:p w14:paraId="6D732450">
      <w:pPr>
        <w:keepNext w:val="0"/>
        <w:keepLines w:val="0"/>
        <w:widowControl/>
        <w:suppressLineNumbers w:val="0"/>
        <w:ind w:firstLine="482"/>
        <w:jc w:val="left"/>
        <w:rPr>
          <w:rStyle w:val="25"/>
          <w:rFonts w:hint="eastAsia" w:ascii="宋体" w:hAnsi="宋体" w:eastAsia="宋体" w:cs="宋体"/>
          <w:color w:val="auto"/>
          <w:sz w:val="24"/>
          <w:szCs w:val="24"/>
          <w:highlight w:val="none"/>
          <w:lang w:val="en-US" w:eastAsia="zh-CN" w:bidi="ar"/>
        </w:rPr>
      </w:pPr>
      <w:r>
        <w:rPr>
          <w:rStyle w:val="25"/>
          <w:rFonts w:hint="eastAsia" w:ascii="宋体" w:hAnsi="宋体" w:eastAsia="宋体" w:cs="宋体"/>
          <w:color w:val="auto"/>
          <w:sz w:val="24"/>
          <w:szCs w:val="24"/>
          <w:highlight w:val="none"/>
          <w:lang w:val="en-US" w:eastAsia="zh-CN" w:bidi="ar"/>
        </w:rPr>
        <w:t>（一）关于</w:t>
      </w:r>
      <w:r>
        <w:rPr>
          <w:rStyle w:val="25"/>
          <w:rFonts w:hint="eastAsia" w:cs="宋体"/>
          <w:color w:val="auto"/>
          <w:sz w:val="24"/>
          <w:szCs w:val="24"/>
          <w:highlight w:val="none"/>
          <w:lang w:val="en-US" w:eastAsia="zh-CN" w:bidi="ar"/>
        </w:rPr>
        <w:t>“</w:t>
      </w:r>
      <w:r>
        <w:rPr>
          <w:rStyle w:val="25"/>
          <w:rFonts w:hint="eastAsia" w:ascii="宋体" w:hAnsi="宋体" w:eastAsia="宋体" w:cs="宋体"/>
          <w:color w:val="auto"/>
          <w:sz w:val="24"/>
          <w:szCs w:val="24"/>
          <w:highlight w:val="none"/>
          <w:lang w:val="en-US" w:eastAsia="zh-CN" w:bidi="ar"/>
        </w:rPr>
        <w:t>中小企业声明函</w:t>
      </w:r>
      <w:r>
        <w:rPr>
          <w:rStyle w:val="25"/>
          <w:rFonts w:hint="eastAsia" w:cs="宋体"/>
          <w:color w:val="auto"/>
          <w:sz w:val="24"/>
          <w:szCs w:val="24"/>
          <w:highlight w:val="none"/>
          <w:lang w:val="en-US" w:eastAsia="zh-CN" w:bidi="ar"/>
        </w:rPr>
        <w:t>”</w:t>
      </w:r>
      <w:r>
        <w:rPr>
          <w:rStyle w:val="25"/>
          <w:rFonts w:hint="eastAsia" w:ascii="宋体" w:hAnsi="宋体" w:eastAsia="宋体" w:cs="宋体"/>
          <w:color w:val="auto"/>
          <w:sz w:val="24"/>
          <w:szCs w:val="24"/>
          <w:highlight w:val="none"/>
          <w:lang w:val="en-US" w:eastAsia="zh-CN" w:bidi="ar"/>
        </w:rPr>
        <w:t>的填写要求</w:t>
      </w:r>
    </w:p>
    <w:p w14:paraId="7DC93382">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中小企业声明函</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具体填写要求如下：</w:t>
      </w:r>
    </w:p>
    <w:p w14:paraId="5F7A7C98">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1.“单位名称”应填写采购人名称。</w:t>
      </w:r>
    </w:p>
    <w:p w14:paraId="3D830ECA">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62109EB">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66824FF1">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74F2E330">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21EEE805">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7C36978D">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5.“企业名称”应填写投标（响应）的货物制造商/服务承接商/工程承建商（根据项目属性确定）。</w:t>
      </w:r>
    </w:p>
    <w:p w14:paraId="60B8EF34">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0F1E175E">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0EAB2DBD">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6.从业人员、资产总额指标以上年度末数据为依据，营业收入指标以上年度累计数据为依据。无上年度数据的新成立企业可不填报。</w:t>
      </w:r>
    </w:p>
    <w:p w14:paraId="65578DEB">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中小企业声明函</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载明的货物制造商/服务承接商/工程承建商（根据项目属性确定）是否属于采购文件所属行业的中型企业/小型企业/微型企业。</w:t>
      </w:r>
    </w:p>
    <w:p w14:paraId="0838EBA7">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EB754F9">
      <w:pPr>
        <w:keepNext w:val="0"/>
        <w:keepLines w:val="0"/>
        <w:widowControl/>
        <w:suppressLineNumbers w:val="0"/>
        <w:ind w:firstLine="482"/>
        <w:jc w:val="left"/>
        <w:rPr>
          <w:rStyle w:val="25"/>
          <w:rFonts w:hint="eastAsia" w:ascii="宋体" w:hAnsi="宋体" w:eastAsia="宋体" w:cs="宋体"/>
          <w:color w:val="auto"/>
          <w:sz w:val="24"/>
          <w:szCs w:val="24"/>
          <w:highlight w:val="none"/>
          <w:lang w:val="en-US" w:eastAsia="zh-CN" w:bidi="ar"/>
        </w:rPr>
      </w:pPr>
      <w:r>
        <w:rPr>
          <w:rStyle w:val="25"/>
          <w:rFonts w:hint="eastAsia" w:ascii="宋体" w:hAnsi="宋体" w:eastAsia="宋体" w:cs="宋体"/>
          <w:color w:val="auto"/>
          <w:sz w:val="24"/>
          <w:szCs w:val="24"/>
          <w:highlight w:val="none"/>
          <w:lang w:val="en-US" w:eastAsia="zh-CN" w:bidi="ar"/>
        </w:rPr>
        <w:t>（二）关于</w:t>
      </w:r>
      <w:r>
        <w:rPr>
          <w:rStyle w:val="25"/>
          <w:rFonts w:hint="eastAsia" w:cs="宋体"/>
          <w:color w:val="auto"/>
          <w:sz w:val="24"/>
          <w:szCs w:val="24"/>
          <w:highlight w:val="none"/>
          <w:lang w:val="en-US" w:eastAsia="zh-CN" w:bidi="ar"/>
        </w:rPr>
        <w:t>“</w:t>
      </w:r>
      <w:r>
        <w:rPr>
          <w:rStyle w:val="25"/>
          <w:rFonts w:hint="eastAsia" w:ascii="宋体" w:hAnsi="宋体" w:eastAsia="宋体" w:cs="宋体"/>
          <w:color w:val="auto"/>
          <w:sz w:val="24"/>
          <w:szCs w:val="24"/>
          <w:highlight w:val="none"/>
          <w:lang w:val="en-US" w:eastAsia="zh-CN" w:bidi="ar"/>
        </w:rPr>
        <w:t>中小企业声明函</w:t>
      </w:r>
      <w:r>
        <w:rPr>
          <w:rStyle w:val="25"/>
          <w:rFonts w:hint="eastAsia" w:cs="宋体"/>
          <w:color w:val="auto"/>
          <w:sz w:val="24"/>
          <w:szCs w:val="24"/>
          <w:highlight w:val="none"/>
          <w:lang w:val="en-US" w:eastAsia="zh-CN" w:bidi="ar"/>
        </w:rPr>
        <w:t>”</w:t>
      </w:r>
      <w:r>
        <w:rPr>
          <w:rStyle w:val="25"/>
          <w:rFonts w:hint="eastAsia" w:ascii="宋体" w:hAnsi="宋体" w:eastAsia="宋体" w:cs="宋体"/>
          <w:color w:val="auto"/>
          <w:sz w:val="24"/>
          <w:szCs w:val="24"/>
          <w:highlight w:val="none"/>
          <w:lang w:val="en-US" w:eastAsia="zh-CN" w:bidi="ar"/>
        </w:rPr>
        <w:t>的提交要求</w:t>
      </w:r>
    </w:p>
    <w:p w14:paraId="46022832">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1.投标（响应）供应商对</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中小企业声明函</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中小企业声明函</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w:t>
      </w:r>
    </w:p>
    <w:p w14:paraId="46F31C14">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2.鼓励供应商在投标（响应）时一并提供对货物制造商、服务承接商、工程承建商相关信息的核实核验情况以及其他佐证材料。</w:t>
      </w:r>
    </w:p>
    <w:p w14:paraId="30F19B16">
      <w:pPr>
        <w:keepNext w:val="0"/>
        <w:keepLines w:val="0"/>
        <w:pageBreakBefore w:val="0"/>
        <w:widowControl/>
        <w:suppressLineNumbers w:val="0"/>
        <w:bidi w:val="0"/>
        <w:spacing w:line="360" w:lineRule="auto"/>
        <w:ind w:firstLine="480"/>
        <w:jc w:val="left"/>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3.如供应商提供的</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中小企业声明函</w:t>
      </w:r>
      <w:r>
        <w:rPr>
          <w:rFonts w:hint="eastAsia"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1A27DAF">
      <w:pPr>
        <w:rPr>
          <w:rFonts w:hint="eastAsia"/>
          <w:b/>
          <w:bCs/>
          <w:color w:val="auto"/>
          <w:highlight w:val="none"/>
          <w:lang w:val="en-US" w:eastAsia="zh-CN"/>
        </w:rPr>
      </w:pPr>
      <w:r>
        <w:rPr>
          <w:rFonts w:hint="eastAsia"/>
          <w:b/>
          <w:bCs/>
          <w:color w:val="auto"/>
          <w:highlight w:val="none"/>
          <w:lang w:val="en-US" w:eastAsia="zh-CN"/>
        </w:rPr>
        <w:br w:type="page" w:clear="all"/>
      </w:r>
    </w:p>
    <w:p w14:paraId="7AC7D47B">
      <w:pPr>
        <w:keepNext w:val="0"/>
        <w:keepLines w:val="0"/>
        <w:pageBreakBefore w:val="0"/>
        <w:widowControl w:val="0"/>
        <w:bidi w:val="0"/>
        <w:spacing w:line="360" w:lineRule="exact"/>
        <w:rPr>
          <w:rFonts w:hint="eastAsia" w:eastAsia="宋体"/>
          <w:b/>
          <w:bCs/>
          <w:color w:val="auto"/>
          <w:highlight w:val="none"/>
          <w:lang w:val="en-US" w:eastAsia="zh-CN"/>
        </w:rPr>
      </w:pPr>
      <w:r>
        <w:rPr>
          <w:rFonts w:hint="eastAsia"/>
          <w:b/>
          <w:bCs/>
          <w:color w:val="auto"/>
          <w:highlight w:val="none"/>
          <w:lang w:val="en-US" w:eastAsia="zh-CN"/>
        </w:rPr>
        <w:t>附件2：</w:t>
      </w:r>
    </w:p>
    <w:p w14:paraId="31C63332">
      <w:pPr>
        <w:pStyle w:val="12"/>
        <w:keepNext w:val="0"/>
        <w:keepLines w:val="0"/>
        <w:pageBreakBefore w:val="0"/>
        <w:widowControl w:val="0"/>
        <w:bidi w:val="0"/>
        <w:spacing w:line="24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18396713">
      <w:pPr>
        <w:keepNext w:val="0"/>
        <w:keepLines w:val="0"/>
        <w:pageBreakBefore w:val="0"/>
        <w:widowControl w:val="0"/>
        <w:bidi w:val="0"/>
        <w:spacing w:line="360" w:lineRule="exact"/>
        <w:jc w:val="center"/>
        <w:rPr>
          <w:rStyle w:val="25"/>
          <w:rFonts w:hint="eastAsia" w:ascii="宋体" w:hAnsi="宋体" w:eastAsia="宋体" w:cs="宋体"/>
          <w:b w:val="0"/>
          <w:color w:val="auto"/>
          <w:sz w:val="24"/>
          <w:szCs w:val="24"/>
          <w:highlight w:val="none"/>
        </w:rPr>
      </w:pPr>
      <w:r>
        <w:rPr>
          <w:rStyle w:val="25"/>
          <w:rFonts w:hint="eastAsia" w:ascii="宋体" w:hAnsi="宋体" w:eastAsia="宋体" w:cs="宋体"/>
          <w:b w:val="0"/>
          <w:color w:val="auto"/>
          <w:sz w:val="24"/>
          <w:szCs w:val="24"/>
          <w:highlight w:val="none"/>
        </w:rPr>
        <w:t>工信部联企业〔2011〕300号</w:t>
      </w:r>
    </w:p>
    <w:p w14:paraId="051DDB70">
      <w:pPr>
        <w:keepNext w:val="0"/>
        <w:keepLines w:val="0"/>
        <w:pageBreakBefore w:val="0"/>
        <w:widowControl w:val="0"/>
        <w:bidi w:val="0"/>
        <w:spacing w:line="360" w:lineRule="exact"/>
        <w:jc w:val="center"/>
        <w:rPr>
          <w:rStyle w:val="25"/>
          <w:rFonts w:hint="eastAsia" w:ascii="宋体" w:hAnsi="宋体" w:eastAsia="宋体" w:cs="宋体"/>
          <w:b w:val="0"/>
          <w:color w:val="auto"/>
          <w:sz w:val="24"/>
          <w:szCs w:val="24"/>
          <w:highlight w:val="none"/>
        </w:rPr>
      </w:pPr>
    </w:p>
    <w:p w14:paraId="0EED1C26">
      <w:pPr>
        <w:keepNext w:val="0"/>
        <w:keepLines w:val="0"/>
        <w:pageBreakBefore w:val="0"/>
        <w:widowControl w:val="0"/>
        <w:bidi w:val="0"/>
        <w:spacing w:line="360" w:lineRule="exact"/>
        <w:rPr>
          <w:rStyle w:val="25"/>
          <w:rFonts w:hint="eastAsia" w:ascii="宋体" w:hAnsi="宋体" w:eastAsia="宋体" w:cs="宋体"/>
          <w:b w:val="0"/>
          <w:color w:val="auto"/>
          <w:sz w:val="24"/>
          <w:szCs w:val="24"/>
          <w:highlight w:val="none"/>
        </w:rPr>
      </w:pPr>
      <w:r>
        <w:rPr>
          <w:rStyle w:val="25"/>
          <w:rFonts w:hint="eastAsia" w:ascii="宋体" w:hAnsi="宋体" w:eastAsia="宋体" w:cs="宋体"/>
          <w:b w:val="0"/>
          <w:color w:val="auto"/>
          <w:sz w:val="24"/>
          <w:szCs w:val="24"/>
          <w:highlight w:val="none"/>
        </w:rPr>
        <w:t>各省、自治区、直辖市人民政府，国务院各部委、各直属机构及有关单位：</w:t>
      </w:r>
    </w:p>
    <w:p w14:paraId="74BE4EE4">
      <w:pPr>
        <w:keepNext w:val="0"/>
        <w:keepLines w:val="0"/>
        <w:pageBreakBefore w:val="0"/>
        <w:widowControl w:val="0"/>
        <w:bidi w:val="0"/>
        <w:spacing w:line="36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C83A5F7">
      <w:pPr>
        <w:keepNext w:val="0"/>
        <w:keepLines w:val="0"/>
        <w:pageBreakBefore w:val="0"/>
        <w:widowControl w:val="0"/>
        <w:bidi w:val="0"/>
        <w:spacing w:line="360" w:lineRule="exact"/>
        <w:jc w:val="righ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工业和信息化部　国家统计局</w:t>
      </w:r>
    </w:p>
    <w:p w14:paraId="1F4341FE">
      <w:pPr>
        <w:keepNext w:val="0"/>
        <w:keepLines w:val="0"/>
        <w:pageBreakBefore w:val="0"/>
        <w:widowControl w:val="0"/>
        <w:bidi w:val="0"/>
        <w:spacing w:line="360" w:lineRule="exact"/>
        <w:jc w:val="righ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国家发展和改革委员会　财政部</w:t>
      </w:r>
    </w:p>
    <w:p w14:paraId="627FE958">
      <w:pPr>
        <w:keepNext w:val="0"/>
        <w:keepLines w:val="0"/>
        <w:pageBreakBefore w:val="0"/>
        <w:widowControl w:val="0"/>
        <w:bidi w:val="0"/>
        <w:spacing w:line="360" w:lineRule="exact"/>
        <w:jc w:val="righ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二○一一年六月十八日</w:t>
      </w:r>
    </w:p>
    <w:p w14:paraId="1FDBDC03">
      <w:pPr>
        <w:keepNext w:val="0"/>
        <w:keepLines w:val="0"/>
        <w:pageBreakBefore w:val="0"/>
        <w:widowControl w:val="0"/>
        <w:bidi w:val="0"/>
        <w:spacing w:line="36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xml:space="preserve"> </w:t>
      </w:r>
    </w:p>
    <w:p w14:paraId="05758AB8">
      <w:pPr>
        <w:keepNext w:val="0"/>
        <w:keepLines w:val="0"/>
        <w:pageBreakBefore w:val="0"/>
        <w:widowControl w:val="0"/>
        <w:bidi w:val="0"/>
        <w:spacing w:line="400" w:lineRule="exact"/>
        <w:jc w:val="center"/>
        <w:rPr>
          <w:rStyle w:val="25"/>
          <w:rFonts w:hint="eastAsia" w:ascii="宋体" w:hAnsi="宋体" w:eastAsia="宋体" w:cs="宋体"/>
          <w:b/>
          <w:bCs w:val="0"/>
          <w:color w:val="auto"/>
          <w:sz w:val="28"/>
          <w:szCs w:val="28"/>
          <w:highlight w:val="none"/>
        </w:rPr>
      </w:pPr>
      <w:r>
        <w:rPr>
          <w:rStyle w:val="25"/>
          <w:rFonts w:hint="eastAsia" w:ascii="宋体" w:hAnsi="宋体" w:eastAsia="宋体" w:cs="宋体"/>
          <w:b/>
          <w:bCs w:val="0"/>
          <w:color w:val="auto"/>
          <w:sz w:val="28"/>
          <w:szCs w:val="28"/>
          <w:highlight w:val="none"/>
        </w:rPr>
        <w:t>中小企业划型标准规定</w:t>
      </w:r>
    </w:p>
    <w:p w14:paraId="67FA477D">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4EAD40D">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D08F620">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EB38232">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四、各行业划型标准为：</w:t>
      </w:r>
    </w:p>
    <w:p w14:paraId="7B2D9790">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58FB1D60">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144C112">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89E16DC">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5B2D0D8">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C9650F9">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A9516BE">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3FC73EA">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9AE981C">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1B3C220">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6E2D3B1">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612559B">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CB845CB">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433BFBF">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D1AA073">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C508D2E">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42C63168">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五、企业类型的划分以统计部门的统计数据为依据。</w:t>
      </w:r>
    </w:p>
    <w:p w14:paraId="312E330A">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169DFEA2">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4C381BD9">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BB09D6">
      <w:pPr>
        <w:keepNext w:val="0"/>
        <w:keepLines w:val="0"/>
        <w:pageBreakBefore w:val="0"/>
        <w:widowControl w:val="0"/>
        <w:bidi w:val="0"/>
        <w:spacing w:line="40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九、本规定由工业和信息化部、国家统计局会同有关部门负责解释。</w:t>
      </w:r>
    </w:p>
    <w:p w14:paraId="026D1A61">
      <w:pPr>
        <w:keepNext w:val="0"/>
        <w:keepLines w:val="0"/>
        <w:pageBreakBefore w:val="0"/>
        <w:widowControl w:val="0"/>
        <w:bidi w:val="0"/>
        <w:spacing w:line="400" w:lineRule="exact"/>
        <w:rPr>
          <w:rFonts w:cs="宋体"/>
          <w:color w:val="auto"/>
          <w:spacing w:val="6"/>
          <w:sz w:val="21"/>
          <w:szCs w:val="21"/>
          <w:highlight w:val="none"/>
        </w:rPr>
      </w:pPr>
      <w:r>
        <w:rPr>
          <w:rStyle w:val="25"/>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0A360334">
      <w:pPr>
        <w:rPr>
          <w:rFonts w:cs="宋体"/>
          <w:color w:val="auto"/>
          <w:spacing w:val="6"/>
          <w:sz w:val="21"/>
          <w:szCs w:val="21"/>
          <w:highlight w:val="none"/>
        </w:rPr>
      </w:pPr>
    </w:p>
    <w:p w14:paraId="2CDA52D9">
      <w:pPr>
        <w:rPr>
          <w:rFonts w:cs="宋体"/>
          <w:color w:val="auto"/>
          <w:spacing w:val="6"/>
          <w:sz w:val="21"/>
          <w:szCs w:val="21"/>
          <w:highlight w:val="none"/>
        </w:rPr>
      </w:pPr>
    </w:p>
    <w:p w14:paraId="77B54D17">
      <w:pPr>
        <w:rPr>
          <w:rFonts w:cs="宋体"/>
          <w:color w:val="auto"/>
          <w:spacing w:val="6"/>
          <w:sz w:val="21"/>
          <w:szCs w:val="21"/>
          <w:highlight w:val="none"/>
        </w:rPr>
      </w:pPr>
    </w:p>
    <w:p w14:paraId="1DDF0A10">
      <w:pPr>
        <w:keepNext w:val="0"/>
        <w:keepLines w:val="0"/>
        <w:pageBreakBefore w:val="0"/>
        <w:widowControl w:val="0"/>
        <w:bidi w:val="0"/>
        <w:spacing w:line="360" w:lineRule="exact"/>
        <w:rPr>
          <w:rFonts w:hint="eastAsia" w:eastAsia="宋体"/>
          <w:b/>
          <w:bCs/>
          <w:color w:val="auto"/>
          <w:highlight w:val="none"/>
          <w:lang w:val="en-US" w:eastAsia="zh-CN"/>
        </w:rPr>
      </w:pPr>
      <w:r>
        <w:rPr>
          <w:rFonts w:hint="eastAsia"/>
          <w:b/>
          <w:bCs/>
          <w:color w:val="auto"/>
          <w:highlight w:val="none"/>
          <w:lang w:val="en-US" w:eastAsia="zh-CN"/>
        </w:rPr>
        <w:t>附件3：</w:t>
      </w:r>
    </w:p>
    <w:p w14:paraId="50F91F14">
      <w:pPr>
        <w:rPr>
          <w:rFonts w:hint="eastAsia" w:cs="宋体"/>
          <w:color w:val="auto"/>
          <w:spacing w:val="6"/>
          <w:sz w:val="21"/>
          <w:szCs w:val="21"/>
          <w:highlight w:val="none"/>
        </w:rPr>
      </w:pPr>
    </w:p>
    <w:p w14:paraId="23A58C04">
      <w:pPr>
        <w:pStyle w:val="12"/>
        <w:keepNext w:val="0"/>
        <w:keepLines w:val="0"/>
        <w:pageBreakBefore w:val="0"/>
        <w:widowControl w:val="0"/>
        <w:bidi w:val="0"/>
        <w:spacing w:line="24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40927CF4">
      <w:pPr>
        <w:jc w:val="center"/>
        <w:rPr>
          <w:rStyle w:val="25"/>
          <w:rFonts w:hint="eastAsia" w:ascii="宋体" w:hAnsi="宋体" w:eastAsia="宋体" w:cs="宋体"/>
          <w:b w:val="0"/>
          <w:color w:val="auto"/>
          <w:sz w:val="24"/>
          <w:szCs w:val="24"/>
          <w:highlight w:val="none"/>
        </w:rPr>
      </w:pPr>
      <w:r>
        <w:rPr>
          <w:rStyle w:val="25"/>
          <w:rFonts w:hint="eastAsia" w:ascii="宋体" w:hAnsi="宋体" w:eastAsia="宋体" w:cs="宋体"/>
          <w:b w:val="0"/>
          <w:color w:val="auto"/>
          <w:sz w:val="24"/>
          <w:szCs w:val="24"/>
          <w:highlight w:val="none"/>
        </w:rPr>
        <w:t>银发〔2015〕309号</w:t>
      </w:r>
    </w:p>
    <w:p w14:paraId="3821977D">
      <w:pPr>
        <w:keepNext w:val="0"/>
        <w:keepLines w:val="0"/>
        <w:pageBreakBefore w:val="0"/>
        <w:widowControl w:val="0"/>
        <w:bidi w:val="0"/>
        <w:spacing w:line="46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2EA0DC91">
      <w:pPr>
        <w:keepNext w:val="0"/>
        <w:keepLines w:val="0"/>
        <w:pageBreakBefore w:val="0"/>
        <w:widowControl w:val="0"/>
        <w:bidi w:val="0"/>
        <w:spacing w:line="46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0DC496FF">
      <w:pPr>
        <w:keepNext w:val="0"/>
        <w:keepLines w:val="0"/>
        <w:pageBreakBefore w:val="0"/>
        <w:widowControl w:val="0"/>
        <w:bidi w:val="0"/>
        <w:spacing w:line="460" w:lineRule="exact"/>
        <w:ind w:firstLine="483"/>
        <w:rPr>
          <w:rStyle w:val="25"/>
          <w:rFonts w:hint="eastAsia" w:ascii="宋体" w:hAnsi="宋体" w:eastAsia="宋体" w:cs="宋体"/>
          <w:b w:val="0"/>
          <w:bCs w:val="0"/>
          <w:color w:val="auto"/>
          <w:sz w:val="24"/>
          <w:szCs w:val="24"/>
          <w:highlight w:val="none"/>
        </w:rPr>
      </w:pPr>
    </w:p>
    <w:p w14:paraId="4CC7D3A6">
      <w:pPr>
        <w:keepNext w:val="0"/>
        <w:keepLines w:val="0"/>
        <w:pageBreakBefore w:val="0"/>
        <w:widowControl w:val="0"/>
        <w:bidi w:val="0"/>
        <w:spacing w:line="46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附件：金融业企业划型标准规定</w:t>
      </w:r>
    </w:p>
    <w:p w14:paraId="402D8CAB">
      <w:pPr>
        <w:keepNext w:val="0"/>
        <w:keepLines w:val="0"/>
        <w:pageBreakBefore w:val="0"/>
        <w:widowControl w:val="0"/>
        <w:bidi w:val="0"/>
        <w:spacing w:line="460" w:lineRule="exact"/>
        <w:rPr>
          <w:rStyle w:val="25"/>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25"/>
          <w:rFonts w:hint="eastAsia" w:ascii="宋体" w:hAnsi="宋体" w:eastAsia="宋体" w:cs="宋体"/>
          <w:b w:val="0"/>
          <w:bCs w:val="0"/>
          <w:color w:val="auto"/>
          <w:sz w:val="24"/>
          <w:szCs w:val="24"/>
          <w:highlight w:val="none"/>
        </w:rPr>
        <w:t>       </w:t>
      </w:r>
      <w:r>
        <w:rPr>
          <w:rStyle w:val="25"/>
          <w:rFonts w:hint="eastAsia" w:cs="宋体"/>
          <w:b w:val="0"/>
          <w:bCs w:val="0"/>
          <w:color w:val="auto"/>
          <w:sz w:val="24"/>
          <w:szCs w:val="24"/>
          <w:highlight w:val="none"/>
          <w:lang w:val="en-US" w:eastAsia="zh-CN"/>
        </w:rPr>
        <w:t xml:space="preserve">                            </w:t>
      </w:r>
      <w:r>
        <w:rPr>
          <w:rStyle w:val="25"/>
          <w:rFonts w:hint="eastAsia" w:ascii="宋体" w:hAnsi="宋体" w:eastAsia="宋体" w:cs="宋体"/>
          <w:b w:val="0"/>
          <w:bCs w:val="0"/>
          <w:color w:val="auto"/>
          <w:sz w:val="24"/>
          <w:szCs w:val="24"/>
          <w:highlight w:val="none"/>
        </w:rPr>
        <w:t>中国人民银行</w:t>
      </w:r>
    </w:p>
    <w:p w14:paraId="29D87ABE">
      <w:pPr>
        <w:keepNext w:val="0"/>
        <w:keepLines w:val="0"/>
        <w:pageBreakBefore w:val="0"/>
        <w:widowControl w:val="0"/>
        <w:bidi w:val="0"/>
        <w:spacing w:line="460" w:lineRule="exact"/>
        <w:ind w:firstLine="2400"/>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中国银行业监督管理委员会</w:t>
      </w:r>
    </w:p>
    <w:p w14:paraId="45E883D1">
      <w:pPr>
        <w:keepNext w:val="0"/>
        <w:keepLines w:val="0"/>
        <w:pageBreakBefore w:val="0"/>
        <w:widowControl w:val="0"/>
        <w:bidi w:val="0"/>
        <w:spacing w:line="460" w:lineRule="exact"/>
        <w:ind w:firstLine="2400"/>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中国证券监督管理委员会</w:t>
      </w:r>
    </w:p>
    <w:p w14:paraId="2A439BE6">
      <w:pPr>
        <w:keepNext w:val="0"/>
        <w:keepLines w:val="0"/>
        <w:pageBreakBefore w:val="0"/>
        <w:widowControl w:val="0"/>
        <w:bidi w:val="0"/>
        <w:spacing w:line="460" w:lineRule="exact"/>
        <w:ind w:firstLine="2400"/>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中国保险监督管理委员会</w:t>
      </w:r>
    </w:p>
    <w:p w14:paraId="5D61D229">
      <w:pPr>
        <w:keepNext w:val="0"/>
        <w:keepLines w:val="0"/>
        <w:pageBreakBefore w:val="0"/>
        <w:widowControl w:val="0"/>
        <w:bidi w:val="0"/>
        <w:spacing w:line="460" w:lineRule="exact"/>
        <w:ind w:firstLine="2160"/>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中华人民共和国国家统计局</w:t>
      </w:r>
    </w:p>
    <w:p w14:paraId="1F47C5B5">
      <w:pPr>
        <w:keepNext w:val="0"/>
        <w:keepLines w:val="0"/>
        <w:pageBreakBefore w:val="0"/>
        <w:widowControl w:val="0"/>
        <w:bidi w:val="0"/>
        <w:spacing w:line="460" w:lineRule="exact"/>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                                                     </w:t>
      </w:r>
      <w:r>
        <w:rPr>
          <w:rStyle w:val="25"/>
          <w:rFonts w:hint="eastAsia" w:cs="宋体"/>
          <w:b w:val="0"/>
          <w:bCs w:val="0"/>
          <w:color w:val="auto"/>
          <w:sz w:val="24"/>
          <w:szCs w:val="24"/>
          <w:highlight w:val="none"/>
          <w:lang w:val="en-US" w:eastAsia="zh-CN"/>
        </w:rPr>
        <w:t xml:space="preserve">     </w:t>
      </w:r>
      <w:r>
        <w:rPr>
          <w:rStyle w:val="25"/>
          <w:rFonts w:hint="eastAsia" w:ascii="宋体" w:hAnsi="宋体" w:eastAsia="宋体" w:cs="宋体"/>
          <w:b w:val="0"/>
          <w:bCs w:val="0"/>
          <w:color w:val="auto"/>
          <w:sz w:val="24"/>
          <w:szCs w:val="24"/>
          <w:highlight w:val="none"/>
        </w:rPr>
        <w:t> 2015年9月28日</w:t>
      </w:r>
    </w:p>
    <w:p w14:paraId="5DB7B9B0">
      <w:pPr>
        <w:rPr>
          <w:rFonts w:hint="eastAsia" w:cs="宋体"/>
          <w:color w:val="auto"/>
          <w:spacing w:val="6"/>
          <w:sz w:val="21"/>
          <w:szCs w:val="21"/>
          <w:highlight w:val="none"/>
        </w:rPr>
      </w:pPr>
    </w:p>
    <w:p w14:paraId="26D57FE3">
      <w:pPr>
        <w:rPr>
          <w:rFonts w:hint="eastAsia" w:cs="宋体"/>
          <w:color w:val="auto"/>
          <w:spacing w:val="6"/>
          <w:sz w:val="21"/>
          <w:szCs w:val="21"/>
          <w:highlight w:val="none"/>
          <w:lang w:val="en-US" w:eastAsia="zh-CN"/>
        </w:rPr>
      </w:pPr>
    </w:p>
    <w:p w14:paraId="04F60699">
      <w:pPr>
        <w:rPr>
          <w:rFonts w:hint="eastAsia" w:cs="宋体"/>
          <w:color w:val="auto"/>
          <w:spacing w:val="6"/>
          <w:sz w:val="21"/>
          <w:szCs w:val="21"/>
          <w:highlight w:val="none"/>
          <w:lang w:val="en-US" w:eastAsia="zh-CN"/>
        </w:rPr>
      </w:pPr>
    </w:p>
    <w:p w14:paraId="7B2BE794">
      <w:pPr>
        <w:rPr>
          <w:rFonts w:hint="eastAsia" w:cs="宋体"/>
          <w:color w:val="auto"/>
          <w:spacing w:val="6"/>
          <w:sz w:val="21"/>
          <w:szCs w:val="21"/>
          <w:highlight w:val="none"/>
          <w:lang w:val="en-US" w:eastAsia="zh-CN"/>
        </w:rPr>
      </w:pPr>
    </w:p>
    <w:p w14:paraId="3CFBE181">
      <w:pPr>
        <w:rPr>
          <w:rFonts w:hint="eastAsia" w:cs="宋体"/>
          <w:color w:val="auto"/>
          <w:spacing w:val="6"/>
          <w:sz w:val="21"/>
          <w:szCs w:val="21"/>
          <w:highlight w:val="none"/>
          <w:lang w:val="en-US" w:eastAsia="zh-CN"/>
        </w:rPr>
      </w:pPr>
    </w:p>
    <w:p w14:paraId="0BF11741">
      <w:pPr>
        <w:rPr>
          <w:rFonts w:hint="eastAsia" w:cs="宋体"/>
          <w:color w:val="auto"/>
          <w:spacing w:val="6"/>
          <w:sz w:val="21"/>
          <w:szCs w:val="21"/>
          <w:highlight w:val="none"/>
          <w:lang w:val="en-US" w:eastAsia="zh-CN"/>
        </w:rPr>
      </w:pPr>
    </w:p>
    <w:p w14:paraId="4FB956D6">
      <w:pPr>
        <w:rPr>
          <w:rFonts w:hint="eastAsia" w:cs="宋体"/>
          <w:color w:val="auto"/>
          <w:spacing w:val="6"/>
          <w:sz w:val="21"/>
          <w:szCs w:val="21"/>
          <w:highlight w:val="none"/>
          <w:lang w:val="en-US" w:eastAsia="zh-CN"/>
        </w:rPr>
      </w:pPr>
      <w:r>
        <w:rPr>
          <w:rFonts w:hint="eastAsia" w:cs="宋体"/>
          <w:color w:val="auto"/>
          <w:spacing w:val="6"/>
          <w:sz w:val="21"/>
          <w:szCs w:val="21"/>
          <w:highlight w:val="none"/>
          <w:lang w:val="en-US" w:eastAsia="zh-CN"/>
        </w:rPr>
        <w:br w:type="page" w:clear="all"/>
      </w:r>
    </w:p>
    <w:p w14:paraId="781E7597">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7ADD2C50">
      <w:pPr>
        <w:pStyle w:val="12"/>
        <w:keepNext w:val="0"/>
        <w:keepLines w:val="0"/>
        <w:pageBreakBefore w:val="0"/>
        <w:widowControl w:val="0"/>
        <w:bidi w:val="0"/>
        <w:spacing w:line="240" w:lineRule="auto"/>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4C3B1FBC">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58368EB2">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7831DB73">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37BFDBBF">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502A82B9">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6963CF53">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457AC2F0">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4FAC7155">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4BA55858">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397AF2A8">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0B10BEC8">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3A5D485C">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7AFB41D9">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lang w:eastAsia="zh-CN"/>
        </w:rPr>
      </w:pPr>
      <w:r>
        <w:rPr>
          <w:rStyle w:val="25"/>
          <w:rFonts w:hint="eastAsia" w:cs="宋体"/>
          <w:b w:val="0"/>
          <w:bCs w:val="0"/>
          <w:color w:val="auto"/>
          <w:sz w:val="24"/>
          <w:szCs w:val="24"/>
          <w:highlight w:val="none"/>
          <w:lang w:eastAsia="zh-CN"/>
        </w:rPr>
        <w:t>（八）</w:t>
      </w:r>
      <w:r>
        <w:rPr>
          <w:rStyle w:val="25"/>
          <w:rFonts w:hint="eastAsia" w:ascii="宋体" w:hAnsi="宋体" w:eastAsia="宋体" w:cs="宋体"/>
          <w:b w:val="0"/>
          <w:bCs w:val="0"/>
          <w:color w:val="auto"/>
          <w:sz w:val="24"/>
          <w:szCs w:val="24"/>
          <w:highlight w:val="none"/>
        </w:rPr>
        <w:t>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25"/>
          <w:rFonts w:hint="eastAsia" w:cs="宋体"/>
          <w:b w:val="0"/>
          <w:bCs w:val="0"/>
          <w:color w:val="auto"/>
          <w:sz w:val="24"/>
          <w:szCs w:val="24"/>
          <w:highlight w:val="none"/>
          <w:lang w:eastAsia="zh-CN"/>
        </w:rPr>
        <w:t>。</w:t>
      </w:r>
    </w:p>
    <w:p w14:paraId="6F0B9682">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25"/>
          <w:rFonts w:hint="eastAsia" w:cs="宋体"/>
          <w:b w:val="0"/>
          <w:bCs w:val="0"/>
          <w:color w:val="auto"/>
          <w:sz w:val="24"/>
          <w:szCs w:val="24"/>
          <w:highlight w:val="none"/>
          <w:lang w:eastAsia="zh-CN"/>
        </w:rPr>
        <w:t>，</w:t>
      </w:r>
      <w:r>
        <w:rPr>
          <w:rStyle w:val="25"/>
          <w:rFonts w:hint="eastAsia" w:ascii="宋体" w:hAnsi="宋体" w:eastAsia="宋体" w:cs="宋体"/>
          <w:b w:val="0"/>
          <w:bCs w:val="0"/>
          <w:color w:val="auto"/>
          <w:sz w:val="24"/>
          <w:szCs w:val="24"/>
          <w:highlight w:val="none"/>
        </w:rPr>
        <w:t>方便政府部门和社会各界查询使用。</w:t>
      </w:r>
    </w:p>
    <w:p w14:paraId="392880E8">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59162C9A">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lang w:eastAsia="zh-CN"/>
        </w:rPr>
      </w:pPr>
      <w:r>
        <w:rPr>
          <w:rStyle w:val="25"/>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25"/>
          <w:rFonts w:hint="eastAsia" w:cs="宋体"/>
          <w:b w:val="0"/>
          <w:bCs w:val="0"/>
          <w:color w:val="auto"/>
          <w:sz w:val="24"/>
          <w:szCs w:val="24"/>
          <w:highlight w:val="none"/>
          <w:lang w:eastAsia="zh-CN"/>
        </w:rPr>
        <w:t>。</w:t>
      </w:r>
    </w:p>
    <w:p w14:paraId="76308A1C">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lang w:eastAsia="zh-CN"/>
        </w:rPr>
      </w:pPr>
      <w:r>
        <w:rPr>
          <w:rStyle w:val="25"/>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25"/>
          <w:rFonts w:hint="eastAsia" w:cs="宋体"/>
          <w:b w:val="0"/>
          <w:bCs w:val="0"/>
          <w:color w:val="auto"/>
          <w:sz w:val="24"/>
          <w:szCs w:val="24"/>
          <w:highlight w:val="none"/>
          <w:lang w:eastAsia="zh-CN"/>
        </w:rPr>
        <w:t>。</w:t>
      </w:r>
    </w:p>
    <w:p w14:paraId="3FE7DE2E">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十、本规定由人民银行会同银监会、证监会、保监会和统计局负责解释。</w:t>
      </w:r>
    </w:p>
    <w:p w14:paraId="14BFA849">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lang w:eastAsia="zh-CN"/>
        </w:rPr>
      </w:pPr>
      <w:r>
        <w:rPr>
          <w:rStyle w:val="25"/>
          <w:rFonts w:hint="eastAsia" w:ascii="宋体" w:hAnsi="宋体" w:eastAsia="宋体" w:cs="宋体"/>
          <w:b w:val="0"/>
          <w:bCs w:val="0"/>
          <w:color w:val="auto"/>
          <w:sz w:val="24"/>
          <w:szCs w:val="24"/>
          <w:highlight w:val="none"/>
        </w:rPr>
        <w:t>十一、本规定自发布之日起实施</w:t>
      </w:r>
      <w:r>
        <w:rPr>
          <w:rStyle w:val="25"/>
          <w:rFonts w:hint="eastAsia" w:cs="宋体"/>
          <w:b w:val="0"/>
          <w:bCs w:val="0"/>
          <w:color w:val="auto"/>
          <w:sz w:val="24"/>
          <w:szCs w:val="24"/>
          <w:highlight w:val="none"/>
          <w:lang w:eastAsia="zh-CN"/>
        </w:rPr>
        <w:t>。</w:t>
      </w:r>
    </w:p>
    <w:p w14:paraId="1172FEC4">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p>
    <w:p w14:paraId="482E2F8C">
      <w:pPr>
        <w:keepNext w:val="0"/>
        <w:keepLines w:val="0"/>
        <w:pageBreakBefore w:val="0"/>
        <w:widowControl w:val="0"/>
        <w:bidi w:val="0"/>
        <w:spacing w:line="400" w:lineRule="exact"/>
        <w:ind w:firstLine="483"/>
        <w:rPr>
          <w:rStyle w:val="25"/>
          <w:rFonts w:hint="eastAsia" w:ascii="宋体" w:hAnsi="宋体" w:eastAsia="宋体" w:cs="宋体"/>
          <w:b w:val="0"/>
          <w:bCs w:val="0"/>
          <w:color w:val="auto"/>
          <w:sz w:val="24"/>
          <w:szCs w:val="24"/>
          <w:highlight w:val="none"/>
        </w:rPr>
      </w:pPr>
      <w:r>
        <w:rPr>
          <w:rStyle w:val="25"/>
          <w:rFonts w:hint="eastAsia" w:ascii="宋体" w:hAnsi="宋体" w:eastAsia="宋体" w:cs="宋体"/>
          <w:b w:val="0"/>
          <w:bCs w:val="0"/>
          <w:color w:val="auto"/>
          <w:sz w:val="24"/>
          <w:szCs w:val="24"/>
          <w:highlight w:val="none"/>
        </w:rPr>
        <w:t>附</w:t>
      </w:r>
      <w:r>
        <w:rPr>
          <w:rStyle w:val="25"/>
          <w:rFonts w:hint="eastAsia" w:cs="宋体"/>
          <w:b w:val="0"/>
          <w:bCs w:val="0"/>
          <w:color w:val="auto"/>
          <w:sz w:val="24"/>
          <w:szCs w:val="24"/>
          <w:highlight w:val="none"/>
          <w:lang w:eastAsia="zh-CN"/>
        </w:rPr>
        <w:t>：</w:t>
      </w:r>
      <w:r>
        <w:rPr>
          <w:rStyle w:val="25"/>
          <w:rFonts w:hint="eastAsia" w:ascii="宋体" w:hAnsi="宋体" w:eastAsia="宋体" w:cs="宋体"/>
          <w:b w:val="0"/>
          <w:bCs w:val="0"/>
          <w:color w:val="auto"/>
          <w:sz w:val="24"/>
          <w:szCs w:val="24"/>
          <w:highlight w:val="none"/>
        </w:rPr>
        <w:t>金融业企业划型标准</w:t>
      </w:r>
    </w:p>
    <w:p w14:paraId="24248DE9">
      <w:pPr>
        <w:rPr>
          <w:rFonts w:cs="宋体"/>
          <w:color w:val="auto"/>
          <w:spacing w:val="6"/>
          <w:sz w:val="21"/>
          <w:szCs w:val="21"/>
          <w:highlight w:val="none"/>
        </w:rPr>
      </w:pPr>
    </w:p>
    <w:p w14:paraId="2F584DE8">
      <w:pPr>
        <w:rPr>
          <w:rFonts w:hint="eastAsia" w:cs="宋体"/>
          <w:color w:val="auto"/>
          <w:spacing w:val="6"/>
          <w:sz w:val="24"/>
          <w:szCs w:val="24"/>
          <w:highlight w:val="none"/>
          <w:lang w:val="en-US" w:eastAsia="zh-CN"/>
        </w:rPr>
      </w:pPr>
    </w:p>
    <w:p w14:paraId="097711D5">
      <w:pPr>
        <w:rPr>
          <w:rFonts w:hint="eastAsia" w:cs="宋体"/>
          <w:color w:val="auto"/>
          <w:spacing w:val="6"/>
          <w:sz w:val="24"/>
          <w:szCs w:val="24"/>
          <w:highlight w:val="none"/>
          <w:lang w:val="en-US" w:eastAsia="zh-CN"/>
        </w:rPr>
      </w:pPr>
    </w:p>
    <w:p w14:paraId="1F7459A0">
      <w:pPr>
        <w:rPr>
          <w:rFonts w:hint="eastAsia" w:cs="宋体"/>
          <w:color w:val="auto"/>
          <w:spacing w:val="6"/>
          <w:sz w:val="24"/>
          <w:szCs w:val="24"/>
          <w:highlight w:val="none"/>
          <w:lang w:val="en-US" w:eastAsia="zh-CN"/>
        </w:rPr>
      </w:pPr>
    </w:p>
    <w:p w14:paraId="19615FA1">
      <w:pPr>
        <w:rPr>
          <w:rFonts w:hint="eastAsia" w:cs="宋体"/>
          <w:color w:val="auto"/>
          <w:spacing w:val="6"/>
          <w:sz w:val="24"/>
          <w:szCs w:val="24"/>
          <w:highlight w:val="none"/>
          <w:lang w:val="en-US" w:eastAsia="zh-CN"/>
        </w:rPr>
      </w:pPr>
    </w:p>
    <w:p w14:paraId="3C4109F6">
      <w:pPr>
        <w:rPr>
          <w:rFonts w:hint="eastAsia" w:cs="宋体"/>
          <w:color w:val="auto"/>
          <w:spacing w:val="6"/>
          <w:sz w:val="24"/>
          <w:szCs w:val="24"/>
          <w:highlight w:val="none"/>
          <w:lang w:val="en-US" w:eastAsia="zh-CN"/>
        </w:rPr>
      </w:pPr>
    </w:p>
    <w:p w14:paraId="504171B5">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7A4591BC">
      <w:pPr>
        <w:pStyle w:val="12"/>
        <w:keepNext w:val="0"/>
        <w:keepLines w:val="0"/>
        <w:pageBreakBefore w:val="0"/>
        <w:widowControl w:val="0"/>
        <w:bidi w:val="0"/>
        <w:spacing w:line="240" w:lineRule="auto"/>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23"/>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3E2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noWrap w:val="0"/>
            <w:vAlign w:val="center"/>
          </w:tcPr>
          <w:p w14:paraId="5A895115">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noWrap w:val="0"/>
            <w:vAlign w:val="center"/>
          </w:tcPr>
          <w:p w14:paraId="7A4A4DF6">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noWrap w:val="0"/>
            <w:vAlign w:val="center"/>
          </w:tcPr>
          <w:p w14:paraId="7737BA6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noWrap w:val="0"/>
            <w:vAlign w:val="center"/>
          </w:tcPr>
          <w:p w14:paraId="65DCE01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72D6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noWrap w:val="0"/>
            <w:vAlign w:val="center"/>
          </w:tcPr>
          <w:p w14:paraId="07C1029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noWrap w:val="0"/>
            <w:vAlign w:val="center"/>
          </w:tcPr>
          <w:p w14:paraId="2AD9777A">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noWrap w:val="0"/>
            <w:vAlign w:val="center"/>
          </w:tcPr>
          <w:p w14:paraId="6A139F10">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noWrap w:val="0"/>
            <w:vAlign w:val="center"/>
          </w:tcPr>
          <w:p w14:paraId="5AFC4DD0">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noWrap w:val="0"/>
            <w:vAlign w:val="center"/>
          </w:tcPr>
          <w:p w14:paraId="5806322E">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24ED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33B2539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41934183">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62BE9337">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03669DFB">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noWrap w:val="0"/>
            <w:vAlign w:val="center"/>
          </w:tcPr>
          <w:p w14:paraId="4E91A05C">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4795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7DF1C78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0176C153">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4900568B">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677DB00B">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noWrap w:val="0"/>
            <w:vAlign w:val="center"/>
          </w:tcPr>
          <w:p w14:paraId="08B7144E">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416B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3D9469A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noWrap w:val="0"/>
            <w:vAlign w:val="center"/>
          </w:tcPr>
          <w:p w14:paraId="56F94FE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noWrap w:val="0"/>
            <w:vAlign w:val="center"/>
          </w:tcPr>
          <w:p w14:paraId="327F3243">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noWrap w:val="0"/>
            <w:vAlign w:val="center"/>
          </w:tcPr>
          <w:p w14:paraId="1A3F2D25">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noWrap w:val="0"/>
            <w:vAlign w:val="center"/>
          </w:tcPr>
          <w:p w14:paraId="39E9A02B">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479F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6E115DF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262E37F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772485DC">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0C180040">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noWrap w:val="0"/>
            <w:vAlign w:val="center"/>
          </w:tcPr>
          <w:p w14:paraId="6BE50E01">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DA0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340FA9E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7DA81F9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5E078EA4">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6FC01D01">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noWrap w:val="0"/>
            <w:vAlign w:val="center"/>
          </w:tcPr>
          <w:p w14:paraId="54FB61B5">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5FD8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4B8D05E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15F1599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noWrap w:val="0"/>
            <w:vAlign w:val="center"/>
          </w:tcPr>
          <w:p w14:paraId="2CF977D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noWrap w:val="0"/>
            <w:vAlign w:val="center"/>
          </w:tcPr>
          <w:p w14:paraId="0B904574">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noWrap w:val="0"/>
            <w:vAlign w:val="center"/>
          </w:tcPr>
          <w:p w14:paraId="0E0F2B8B">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BAC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6D07043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374F1F2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7DC53575">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61680FDA">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noWrap w:val="0"/>
            <w:vAlign w:val="center"/>
          </w:tcPr>
          <w:p w14:paraId="2AC606D9">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06C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33AA008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14078FA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3DD1AEED">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37B8CEA6">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noWrap w:val="0"/>
            <w:vAlign w:val="center"/>
          </w:tcPr>
          <w:p w14:paraId="6D6EFB06">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AB5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noWrap w:val="0"/>
            <w:vAlign w:val="center"/>
          </w:tcPr>
          <w:p w14:paraId="470C59F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noWrap w:val="0"/>
            <w:vAlign w:val="center"/>
          </w:tcPr>
          <w:p w14:paraId="09EBA974">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noWrap w:val="0"/>
            <w:vAlign w:val="center"/>
          </w:tcPr>
          <w:p w14:paraId="6AC3F33D">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noWrap w:val="0"/>
            <w:vAlign w:val="center"/>
          </w:tcPr>
          <w:p w14:paraId="0D977BFA">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6B163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noWrap w:val="0"/>
            <w:vAlign w:val="center"/>
          </w:tcPr>
          <w:p w14:paraId="786C2B3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1C4990B8">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05BA0421">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noWrap w:val="0"/>
            <w:vAlign w:val="center"/>
          </w:tcPr>
          <w:p w14:paraId="2B80C6F8">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181A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noWrap w:val="0"/>
            <w:vAlign w:val="center"/>
          </w:tcPr>
          <w:p w14:paraId="77A0914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6A959EEA">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24ED533E">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noWrap w:val="0"/>
            <w:vAlign w:val="center"/>
          </w:tcPr>
          <w:p w14:paraId="761FEE9F">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57F1F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noWrap w:val="0"/>
            <w:vAlign w:val="center"/>
          </w:tcPr>
          <w:p w14:paraId="30FA3F6B">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noWrap w:val="0"/>
            <w:vAlign w:val="center"/>
          </w:tcPr>
          <w:p w14:paraId="4F59A875">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noWrap w:val="0"/>
            <w:vAlign w:val="center"/>
          </w:tcPr>
          <w:p w14:paraId="7F3B1D61">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noWrap w:val="0"/>
            <w:vAlign w:val="center"/>
          </w:tcPr>
          <w:p w14:paraId="38895513">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2CB2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noWrap w:val="0"/>
            <w:vAlign w:val="center"/>
          </w:tcPr>
          <w:p w14:paraId="5AC789F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424746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6D5CF9BE">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noWrap w:val="0"/>
            <w:vAlign w:val="center"/>
          </w:tcPr>
          <w:p w14:paraId="27700B79">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66CAC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noWrap w:val="0"/>
            <w:vAlign w:val="center"/>
          </w:tcPr>
          <w:p w14:paraId="7DA9D445">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4E8B6073">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0AA5BDD5">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noWrap w:val="0"/>
            <w:vAlign w:val="center"/>
          </w:tcPr>
          <w:p w14:paraId="27A0C8F9">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7708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noWrap w:val="0"/>
            <w:vAlign w:val="center"/>
          </w:tcPr>
          <w:p w14:paraId="6319292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noWrap w:val="0"/>
            <w:vAlign w:val="center"/>
          </w:tcPr>
          <w:p w14:paraId="32BCBBA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noWrap w:val="0"/>
            <w:vAlign w:val="center"/>
          </w:tcPr>
          <w:p w14:paraId="60E45D54">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noWrap w:val="0"/>
            <w:vAlign w:val="center"/>
          </w:tcPr>
          <w:p w14:paraId="47C8D854">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noWrap w:val="0"/>
            <w:vAlign w:val="center"/>
          </w:tcPr>
          <w:p w14:paraId="2E8A6D9D">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20DD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70AC280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7CE3506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5881C52F">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40FDA699">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noWrap w:val="0"/>
            <w:vAlign w:val="center"/>
          </w:tcPr>
          <w:p w14:paraId="29DA5F5C">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8CD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401B4FD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175345E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7ACAFDFE">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3EF6A820">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noWrap w:val="0"/>
            <w:vAlign w:val="center"/>
          </w:tcPr>
          <w:p w14:paraId="4FDF2A13">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70E2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1F12D5DA">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noWrap w:val="0"/>
            <w:vAlign w:val="center"/>
          </w:tcPr>
          <w:p w14:paraId="6C1676EA">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noWrap w:val="0"/>
            <w:vAlign w:val="center"/>
          </w:tcPr>
          <w:p w14:paraId="362F2B5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noWrap w:val="0"/>
            <w:vAlign w:val="center"/>
          </w:tcPr>
          <w:p w14:paraId="7EACB246">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noWrap w:val="0"/>
            <w:vAlign w:val="center"/>
          </w:tcPr>
          <w:p w14:paraId="73D8DB33">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058E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6855C4E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3975D72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4A2E7236">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7A86C17B">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noWrap w:val="0"/>
            <w:vAlign w:val="center"/>
          </w:tcPr>
          <w:p w14:paraId="48F8F1A2">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153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3FED80E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noWrap w:val="0"/>
            <w:vAlign w:val="center"/>
          </w:tcPr>
          <w:p w14:paraId="60D9E33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noWrap w:val="0"/>
            <w:vAlign w:val="center"/>
          </w:tcPr>
          <w:p w14:paraId="6D6B5C62">
            <w:pPr>
              <w:spacing w:line="240" w:lineRule="auto"/>
              <w:jc w:val="both"/>
              <w:rPr>
                <w:rFonts w:hint="eastAsia" w:ascii="宋体" w:hAnsi="宋体" w:eastAsia="宋体" w:cs="宋体"/>
                <w:color w:val="auto"/>
                <w:spacing w:val="6"/>
                <w:sz w:val="21"/>
                <w:szCs w:val="21"/>
                <w:highlight w:val="none"/>
                <w:vertAlign w:val="baseline"/>
              </w:rPr>
            </w:pPr>
          </w:p>
        </w:tc>
        <w:tc>
          <w:tcPr>
            <w:tcW w:w="1143" w:type="dxa"/>
            <w:noWrap w:val="0"/>
            <w:vAlign w:val="center"/>
          </w:tcPr>
          <w:p w14:paraId="00BE7F0A">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noWrap w:val="0"/>
            <w:vAlign w:val="center"/>
          </w:tcPr>
          <w:p w14:paraId="32DC8BBA">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2E4E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noWrap w:val="0"/>
            <w:vAlign w:val="center"/>
          </w:tcPr>
          <w:p w14:paraId="35D2733A">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noWrap w:val="0"/>
            <w:vAlign w:val="center"/>
          </w:tcPr>
          <w:p w14:paraId="40B43647">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noWrap w:val="0"/>
            <w:vAlign w:val="center"/>
          </w:tcPr>
          <w:p w14:paraId="131A60C6">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noWrap w:val="0"/>
            <w:vAlign w:val="center"/>
          </w:tcPr>
          <w:p w14:paraId="78902D80">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noWrap w:val="0"/>
            <w:vAlign w:val="center"/>
          </w:tcPr>
          <w:p w14:paraId="50EBC3C4">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DFE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noWrap w:val="0"/>
            <w:vAlign w:val="top"/>
          </w:tcPr>
          <w:p w14:paraId="2896082E">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noWrap w:val="0"/>
            <w:vAlign w:val="top"/>
          </w:tcPr>
          <w:p w14:paraId="068A9CC3">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noWrap w:val="0"/>
            <w:vAlign w:val="top"/>
          </w:tcPr>
          <w:p w14:paraId="79920ADB">
            <w:pPr>
              <w:spacing w:line="240" w:lineRule="auto"/>
              <w:rPr>
                <w:rFonts w:hint="eastAsia" w:ascii="宋体" w:hAnsi="宋体" w:eastAsia="宋体" w:cs="宋体"/>
                <w:color w:val="auto"/>
                <w:spacing w:val="6"/>
                <w:sz w:val="21"/>
                <w:szCs w:val="21"/>
                <w:highlight w:val="none"/>
                <w:vertAlign w:val="baseline"/>
              </w:rPr>
            </w:pPr>
          </w:p>
        </w:tc>
        <w:tc>
          <w:tcPr>
            <w:tcW w:w="1143" w:type="dxa"/>
            <w:noWrap w:val="0"/>
            <w:vAlign w:val="center"/>
          </w:tcPr>
          <w:p w14:paraId="4307F373">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noWrap w:val="0"/>
            <w:vAlign w:val="center"/>
          </w:tcPr>
          <w:p w14:paraId="5821AD53">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59F1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noWrap w:val="0"/>
            <w:vAlign w:val="top"/>
          </w:tcPr>
          <w:p w14:paraId="6AEAD4FD">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noWrap w:val="0"/>
            <w:vAlign w:val="top"/>
          </w:tcPr>
          <w:p w14:paraId="685D6580">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noWrap w:val="0"/>
            <w:vAlign w:val="top"/>
          </w:tcPr>
          <w:p w14:paraId="3B2AD639">
            <w:pPr>
              <w:spacing w:line="240" w:lineRule="auto"/>
              <w:rPr>
                <w:rFonts w:hint="eastAsia" w:ascii="宋体" w:hAnsi="宋体" w:eastAsia="宋体" w:cs="宋体"/>
                <w:color w:val="auto"/>
                <w:spacing w:val="6"/>
                <w:sz w:val="21"/>
                <w:szCs w:val="21"/>
                <w:highlight w:val="none"/>
                <w:vertAlign w:val="baseline"/>
              </w:rPr>
            </w:pPr>
          </w:p>
        </w:tc>
        <w:tc>
          <w:tcPr>
            <w:tcW w:w="1143" w:type="dxa"/>
            <w:noWrap w:val="0"/>
            <w:vAlign w:val="center"/>
          </w:tcPr>
          <w:p w14:paraId="53A21F09">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noWrap w:val="0"/>
            <w:vAlign w:val="center"/>
          </w:tcPr>
          <w:p w14:paraId="36D80694">
            <w:pPr>
              <w:spacing w:line="240" w:lineRule="auto"/>
              <w:jc w:val="center"/>
              <w:rPr>
                <w:rFonts w:hint="eastAsia" w:ascii="宋体" w:hAnsi="宋体" w:eastAsia="宋体" w:cs="宋体"/>
                <w:color w:val="auto"/>
                <w:spacing w:val="6"/>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4A55BDC7">
      <w:pPr>
        <w:rPr>
          <w:rFonts w:hint="eastAsia" w:ascii="方正小标宋_GBK" w:hAnsi="方正小标宋_GBK" w:eastAsia="方正小标宋_GBK" w:cs="方正小标宋_GBK"/>
          <w:bCs/>
          <w:color w:val="auto"/>
          <w:sz w:val="36"/>
          <w:szCs w:val="36"/>
          <w:highlight w:val="none"/>
          <w:lang w:val="en-US" w:eastAsia="zh-CN"/>
        </w:rPr>
      </w:pPr>
      <w:r>
        <w:rPr>
          <w:rFonts w:cs="宋体"/>
          <w:color w:val="auto"/>
          <w:spacing w:val="6"/>
          <w:sz w:val="21"/>
          <w:szCs w:val="21"/>
          <w:highlight w:val="none"/>
        </w:rPr>
        <w:br w:type="page" w:clear="all"/>
      </w:r>
      <w:bookmarkStart w:id="638" w:name="_Toc163492940"/>
    </w:p>
    <w:p w14:paraId="1AE048B7">
      <w:pPr>
        <w:pStyle w:val="76"/>
        <w:numPr>
          <w:ilvl w:val="0"/>
          <w:numId w:val="0"/>
        </w:numPr>
        <w:ind w:left="420" w:hanging="420"/>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（2）监狱企业证明文件【如适用】</w:t>
      </w:r>
      <w:bookmarkEnd w:id="638"/>
    </w:p>
    <w:p w14:paraId="6FFE6BA6">
      <w:pPr>
        <w:rPr>
          <w:rFonts w:cs="仿宋_GB2312"/>
          <w:b/>
          <w:color w:val="auto"/>
          <w:sz w:val="28"/>
          <w:szCs w:val="28"/>
          <w:highlight w:val="none"/>
        </w:rPr>
      </w:pPr>
    </w:p>
    <w:p w14:paraId="0ABF25E8">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279A8BA5">
      <w:pPr>
        <w:pStyle w:val="12"/>
        <w:spacing w:line="360" w:lineRule="auto"/>
        <w:jc w:val="center"/>
        <w:rPr>
          <w:rFonts w:hint="eastAsia" w:ascii="宋体" w:hAnsi="宋体" w:eastAsia="宋体" w:cs="宋体"/>
          <w:b/>
          <w:bCs w:val="0"/>
          <w:color w:val="auto"/>
          <w:sz w:val="32"/>
          <w:szCs w:val="32"/>
          <w:highlight w:val="none"/>
        </w:rPr>
      </w:pPr>
    </w:p>
    <w:p w14:paraId="4F66E916">
      <w:pPr>
        <w:pStyle w:val="12"/>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5522F861">
      <w:pPr>
        <w:spacing w:line="360" w:lineRule="auto"/>
        <w:rPr>
          <w:rFonts w:hint="eastAsia" w:ascii="仿宋_GB2312" w:hAnsi="仿宋_GB2312" w:eastAsia="仿宋_GB2312" w:cs="仿宋_GB2312"/>
          <w:color w:val="auto"/>
          <w:sz w:val="32"/>
          <w:szCs w:val="32"/>
          <w:highlight w:val="none"/>
        </w:rPr>
      </w:pPr>
    </w:p>
    <w:p w14:paraId="7FF27E1F">
      <w:pPr>
        <w:ind w:firstLine="504"/>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414611A7">
      <w:pPr>
        <w:spacing w:line="360" w:lineRule="auto"/>
        <w:rPr>
          <w:rFonts w:hint="eastAsia" w:ascii="宋体" w:hAnsi="宋体" w:eastAsia="宋体" w:cs="宋体"/>
          <w:color w:val="auto"/>
          <w:sz w:val="24"/>
          <w:szCs w:val="24"/>
          <w:highlight w:val="none"/>
        </w:rPr>
      </w:pPr>
    </w:p>
    <w:p w14:paraId="1CAF0504">
      <w:pPr>
        <w:ind w:firstLine="4440"/>
        <w:rPr>
          <w:rFonts w:hint="eastAsia" w:ascii="宋体" w:hAnsi="宋体" w:eastAsia="宋体" w:cs="宋体"/>
          <w:color w:val="auto"/>
          <w:sz w:val="24"/>
          <w:szCs w:val="24"/>
          <w:highlight w:val="none"/>
        </w:rPr>
      </w:pPr>
    </w:p>
    <w:p w14:paraId="63883E34">
      <w:pPr>
        <w:ind w:firstLine="4440"/>
        <w:rPr>
          <w:rFonts w:hint="eastAsia" w:ascii="宋体" w:hAnsi="宋体" w:eastAsia="宋体" w:cs="宋体"/>
          <w:color w:val="auto"/>
          <w:sz w:val="24"/>
          <w:szCs w:val="24"/>
          <w:highlight w:val="none"/>
        </w:rPr>
      </w:pPr>
    </w:p>
    <w:p w14:paraId="326DB194">
      <w:pPr>
        <w:ind w:right="1008" w:firstLine="4284"/>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cs="宋体"/>
          <w:color w:val="auto"/>
          <w:sz w:val="24"/>
          <w:szCs w:val="24"/>
          <w:highlight w:val="none"/>
          <w:lang w:eastAsia="zh-CN"/>
        </w:rPr>
        <w:t>）</w:t>
      </w:r>
      <w:r>
        <w:rPr>
          <w:rFonts w:hint="eastAsia" w:ascii="宋体" w:hAnsi="宋体" w:eastAsia="宋体" w:cs="宋体"/>
          <w:color w:val="auto"/>
          <w:spacing w:val="6"/>
          <w:sz w:val="24"/>
          <w:szCs w:val="24"/>
          <w:highlight w:val="none"/>
        </w:rPr>
        <w:t>：</w:t>
      </w:r>
    </w:p>
    <w:p w14:paraId="0703A70B">
      <w:pPr>
        <w:ind w:right="1008" w:firstLine="4284"/>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270A8380">
      <w:pPr>
        <w:spacing w:line="360" w:lineRule="auto"/>
        <w:ind w:firstLine="240"/>
        <w:rPr>
          <w:rFonts w:hint="eastAsia" w:ascii="宋体" w:hAnsi="宋体" w:eastAsia="宋体" w:cs="宋体"/>
          <w:color w:val="auto"/>
          <w:sz w:val="24"/>
          <w:szCs w:val="24"/>
          <w:highlight w:val="none"/>
        </w:rPr>
      </w:pPr>
    </w:p>
    <w:p w14:paraId="046C9C9D">
      <w:pPr>
        <w:spacing w:line="360" w:lineRule="auto"/>
        <w:ind w:firstLine="240"/>
        <w:rPr>
          <w:rFonts w:hint="eastAsia" w:ascii="宋体" w:hAnsi="宋体" w:eastAsia="宋体" w:cs="宋体"/>
          <w:color w:val="auto"/>
          <w:sz w:val="24"/>
          <w:szCs w:val="24"/>
          <w:highlight w:val="none"/>
        </w:rPr>
      </w:pPr>
    </w:p>
    <w:p w14:paraId="5607AD9F">
      <w:pPr>
        <w:spacing w:line="360" w:lineRule="auto"/>
        <w:ind w:firstLine="3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70889504">
      <w:pPr>
        <w:ind w:firstLine="3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（含新疆生产建设兵团）</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eastAsia="zh-CN"/>
        </w:rPr>
        <w:t>盖章</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5712C9A2">
      <w:pPr>
        <w:ind w:firstLine="43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30AAF393">
      <w:pPr>
        <w:spacing w:line="360" w:lineRule="auto"/>
        <w:ind w:firstLine="240"/>
        <w:rPr>
          <w:rFonts w:hint="eastAsia" w:ascii="宋体" w:hAnsi="宋体" w:eastAsia="宋体" w:cs="宋体"/>
          <w:color w:val="auto"/>
          <w:sz w:val="24"/>
          <w:szCs w:val="24"/>
          <w:highlight w:val="none"/>
        </w:rPr>
      </w:pPr>
    </w:p>
    <w:p w14:paraId="2B7DEE90">
      <w:pPr>
        <w:spacing w:line="360" w:lineRule="auto"/>
        <w:ind w:firstLine="4000"/>
        <w:rPr>
          <w:rFonts w:hint="eastAsia" w:ascii="仿宋_GB2312" w:hAnsi="仿宋_GB2312" w:eastAsia="仿宋_GB2312" w:cs="仿宋_GB2312"/>
          <w:color w:val="auto"/>
          <w:sz w:val="32"/>
          <w:szCs w:val="32"/>
          <w:highlight w:val="none"/>
        </w:rPr>
      </w:pPr>
    </w:p>
    <w:p w14:paraId="15422BE5">
      <w:pPr>
        <w:spacing w:line="360" w:lineRule="auto"/>
        <w:rPr>
          <w:rFonts w:hint="eastAsia" w:ascii="仿宋_GB2312" w:hAnsi="仿宋_GB2312" w:eastAsia="仿宋_GB2312" w:cs="仿宋_GB2312"/>
          <w:color w:val="auto"/>
          <w:sz w:val="32"/>
          <w:szCs w:val="32"/>
          <w:highlight w:val="none"/>
        </w:rPr>
      </w:pPr>
    </w:p>
    <w:p w14:paraId="6A43BF3A">
      <w:pPr>
        <w:spacing w:line="360" w:lineRule="auto"/>
        <w:rPr>
          <w:rFonts w:hint="eastAsia" w:ascii="仿宋_GB2312" w:hAnsi="仿宋_GB2312" w:eastAsia="仿宋_GB2312" w:cs="仿宋_GB2312"/>
          <w:color w:val="auto"/>
          <w:sz w:val="32"/>
          <w:szCs w:val="32"/>
          <w:highlight w:val="none"/>
        </w:rPr>
      </w:pPr>
    </w:p>
    <w:p w14:paraId="170FEB92">
      <w:pPr>
        <w:spacing w:line="360" w:lineRule="auto"/>
        <w:rPr>
          <w:rFonts w:hint="eastAsia" w:ascii="仿宋_GB2312" w:hAnsi="仿宋_GB2312" w:eastAsia="仿宋_GB2312" w:cs="仿宋_GB2312"/>
          <w:color w:val="auto"/>
          <w:sz w:val="32"/>
          <w:szCs w:val="32"/>
          <w:highlight w:val="none"/>
        </w:rPr>
      </w:pPr>
    </w:p>
    <w:p w14:paraId="668EE98B">
      <w:pPr>
        <w:widowControl/>
        <w:spacing w:before="100" w:beforeAutospacing="1" w:after="100" w:afterAutospacing="1"/>
        <w:rPr>
          <w:rFonts w:ascii="Arial" w:hAnsi="Arial" w:cs="Arial"/>
          <w:color w:val="auto"/>
          <w:sz w:val="21"/>
          <w:szCs w:val="21"/>
          <w:highlight w:val="none"/>
        </w:rPr>
      </w:pPr>
    </w:p>
    <w:p w14:paraId="5EE570A6">
      <w:pPr>
        <w:pStyle w:val="36"/>
        <w:rPr>
          <w:rFonts w:hint="eastAsia"/>
          <w:b/>
          <w:bCs/>
          <w:color w:val="auto"/>
          <w:sz w:val="24"/>
          <w:szCs w:val="24"/>
          <w:highlight w:val="none"/>
          <w:lang w:val="en-US" w:eastAsia="zh-CN"/>
        </w:rPr>
      </w:pPr>
      <w:bookmarkStart w:id="639" w:name="_Toc163492941"/>
      <w:r>
        <w:rPr>
          <w:rFonts w:hint="eastAsia" w:ascii="宋体" w:hAnsi="宋体" w:eastAsia="宋体" w:cs="Times New Roman"/>
          <w:b/>
          <w:bCs/>
          <w:iCs w:val="0"/>
          <w:color w:val="auto"/>
          <w:sz w:val="32"/>
          <w:szCs w:val="32"/>
          <w:highlight w:val="none"/>
          <w:shd w:val="clear" w:color="auto" w:fill="auto"/>
          <w:lang w:val="en-US" w:eastAsia="zh-CN" w:bidi="ar-SA"/>
        </w:rPr>
        <w:t>（</w:t>
      </w:r>
      <w:r>
        <w:rPr>
          <w:rFonts w:hint="eastAsia" w:cs="Times New Roman"/>
          <w:b/>
          <w:bCs/>
          <w:iCs w:val="0"/>
          <w:color w:val="auto"/>
          <w:sz w:val="32"/>
          <w:szCs w:val="32"/>
          <w:highlight w:val="none"/>
          <w:shd w:val="clear" w:color="auto" w:fill="auto"/>
          <w:lang w:val="en-US" w:eastAsia="zh-CN" w:bidi="ar-SA"/>
        </w:rPr>
        <w:t>3</w:t>
      </w:r>
      <w:r>
        <w:rPr>
          <w:rFonts w:hint="eastAsia" w:ascii="宋体" w:hAnsi="宋体" w:eastAsia="宋体" w:cs="Times New Roman"/>
          <w:b/>
          <w:bCs/>
          <w:iCs w:val="0"/>
          <w:color w:val="auto"/>
          <w:sz w:val="32"/>
          <w:szCs w:val="32"/>
          <w:highlight w:val="none"/>
          <w:shd w:val="clear" w:color="auto" w:fill="auto"/>
          <w:lang w:val="en-US" w:eastAsia="zh-CN" w:bidi="ar-SA"/>
        </w:rPr>
        <w:t>）残疾人福利性单位声明函【如适用】</w:t>
      </w:r>
      <w:bookmarkEnd w:id="639"/>
    </w:p>
    <w:p w14:paraId="1226F83F">
      <w:pPr>
        <w:pStyle w:val="76"/>
        <w:numPr>
          <w:ilvl w:val="0"/>
          <w:numId w:val="0"/>
        </w:numPr>
        <w:ind w:left="420" w:hanging="420"/>
        <w:jc w:val="center"/>
        <w:rPr>
          <w:rFonts w:hint="eastAsia"/>
          <w:b/>
          <w:bCs/>
          <w:color w:val="auto"/>
          <w:sz w:val="32"/>
          <w:szCs w:val="32"/>
          <w:highlight w:val="none"/>
        </w:rPr>
      </w:pPr>
    </w:p>
    <w:p w14:paraId="2DDDF5FC">
      <w:pPr>
        <w:pStyle w:val="76"/>
        <w:numPr>
          <w:ilvl w:val="0"/>
          <w:numId w:val="0"/>
        </w:numPr>
        <w:ind w:left="420" w:hanging="420"/>
        <w:jc w:val="center"/>
        <w:rPr>
          <w:b/>
          <w:bCs/>
          <w:color w:val="auto"/>
          <w:sz w:val="32"/>
          <w:szCs w:val="32"/>
          <w:highlight w:val="none"/>
        </w:rPr>
      </w:pPr>
      <w:r>
        <w:rPr>
          <w:rFonts w:hint="eastAsia"/>
          <w:b/>
          <w:bCs/>
          <w:color w:val="auto"/>
          <w:sz w:val="32"/>
          <w:szCs w:val="32"/>
          <w:highlight w:val="none"/>
        </w:rPr>
        <w:t>残疾人福利性单位声明函</w:t>
      </w:r>
    </w:p>
    <w:p w14:paraId="772297B7">
      <w:pPr>
        <w:ind w:firstLine="480"/>
        <w:rPr>
          <w:rFonts w:hint="eastAsia"/>
          <w:color w:val="auto"/>
          <w:szCs w:val="24"/>
          <w:highlight w:val="none"/>
        </w:rPr>
      </w:pPr>
    </w:p>
    <w:p w14:paraId="7AB669E1">
      <w:pPr>
        <w:ind w:firstLine="48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06656B19">
      <w:pPr>
        <w:ind w:firstLine="48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BC7FD56">
      <w:pPr>
        <w:ind w:firstLine="48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4199FF59">
      <w:pPr>
        <w:ind w:firstLine="480"/>
        <w:rPr>
          <w:i w:val="0"/>
          <w:iCs w:val="0"/>
          <w:color w:val="auto"/>
          <w:szCs w:val="24"/>
          <w:highlight w:val="none"/>
        </w:rPr>
      </w:pPr>
      <w:r>
        <w:rPr>
          <w:rFonts w:hint="eastAsia"/>
          <w:i w:val="0"/>
          <w:iCs w:val="0"/>
          <w:color w:val="auto"/>
          <w:szCs w:val="24"/>
          <w:highlight w:val="none"/>
        </w:rPr>
        <w:t>……</w:t>
      </w:r>
    </w:p>
    <w:p w14:paraId="5006650C">
      <w:pPr>
        <w:ind w:firstLine="48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4244A2E">
      <w:pPr>
        <w:ind w:left="1087" w:hanging="607"/>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2C8938C4">
      <w:pPr>
        <w:ind w:left="1091" w:hanging="1091"/>
        <w:rPr>
          <w:b/>
          <w:bCs/>
          <w:i w:val="0"/>
          <w:iCs w:val="0"/>
          <w:color w:val="auto"/>
          <w:szCs w:val="24"/>
          <w:highlight w:val="none"/>
        </w:rPr>
      </w:pPr>
    </w:p>
    <w:p w14:paraId="315D38C2">
      <w:pPr>
        <w:ind w:left="1091" w:hanging="1091"/>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1F531641">
      <w:pPr>
        <w:ind w:left="1087" w:hanging="1087"/>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3C3E0A25">
      <w:pPr>
        <w:spacing w:before="100" w:beforeAutospacing="1" w:after="100" w:afterAutospacing="1"/>
        <w:ind w:firstLine="3316"/>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sz w:val="24"/>
          <w:szCs w:val="24"/>
          <w:highlight w:val="none"/>
          <w:lang w:val="en-US" w:eastAsia="zh-CN"/>
        </w:rPr>
        <w:t>公</w:t>
      </w:r>
      <w:r>
        <w:rPr>
          <w:rFonts w:hint="eastAsia" w:ascii="宋体" w:hAnsi="宋体" w:eastAsia="宋体" w:cs="宋体"/>
          <w:color w:val="auto"/>
          <w:sz w:val="24"/>
          <w:szCs w:val="24"/>
          <w:highlight w:val="none"/>
          <w:lang w:eastAsia="zh-CN"/>
        </w:rPr>
        <w:t>章</w:t>
      </w:r>
      <w:r>
        <w:rPr>
          <w:rFonts w:hint="eastAsia" w:ascii="宋体" w:hAnsi="宋体" w:cs="宋体"/>
          <w:color w:val="auto"/>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6EFBD4D9">
      <w:pPr>
        <w:spacing w:before="100" w:beforeAutospacing="1" w:after="100" w:afterAutospacing="1"/>
        <w:ind w:firstLine="3316"/>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30FE4128">
      <w:pPr>
        <w:rPr>
          <w:rFonts w:hint="eastAsia" w:ascii="宋体" w:hAnsi="宋体" w:eastAsia="宋体" w:cs="宋体"/>
          <w:color w:val="000000"/>
          <w:highlight w:val="none"/>
        </w:rPr>
      </w:pPr>
    </w:p>
    <w:p w14:paraId="7D4533A4">
      <w:pPr>
        <w:rPr>
          <w:rFonts w:hint="eastAsia" w:ascii="宋体" w:hAnsi="宋体" w:eastAsia="宋体" w:cs="宋体"/>
          <w:color w:val="auto"/>
          <w:highlight w:val="none"/>
        </w:rPr>
      </w:pPr>
    </w:p>
    <w:sectPr>
      <w:headerReference r:id="rId7" w:type="default"/>
      <w:footerReference r:id="rId8" w:type="default"/>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32E9A93-EC46-4D01-A711-A3961CE0AB8F}"/>
  </w:font>
  <w:font w:name="Arial">
    <w:panose1 w:val="020B0604020202020204"/>
    <w:charset w:val="01"/>
    <w:family w:val="swiss"/>
    <w:pitch w:val="default"/>
    <w:sig w:usb0="E0002EFF" w:usb1="C000785B" w:usb2="00000009" w:usb3="00000000" w:csb0="400001FF" w:csb1="FFFF0000"/>
    <w:embedRegular r:id="rId2" w:fontKey="{38253A37-3860-4C46-898F-4E8876F398FB}"/>
  </w:font>
  <w:font w:name="黑体">
    <w:panose1 w:val="02010609060101010101"/>
    <w:charset w:val="86"/>
    <w:family w:val="auto"/>
    <w:pitch w:val="default"/>
    <w:sig w:usb0="800002BF" w:usb1="38CF7CFA" w:usb2="00000016" w:usb3="00000000" w:csb0="00040001" w:csb1="00000000"/>
    <w:embedRegular r:id="rId3" w:fontKey="{874631E0-6FAC-4A63-975F-DF242F8BCADF}"/>
  </w:font>
  <w:font w:name="Courier New">
    <w:panose1 w:val="02070309020205020404"/>
    <w:charset w:val="01"/>
    <w:family w:val="modern"/>
    <w:pitch w:val="default"/>
    <w:sig w:usb0="E0002EFF" w:usb1="C0007843" w:usb2="00000009" w:usb3="00000000" w:csb0="400001FF" w:csb1="FFFF0000"/>
    <w:embedRegular r:id="rId4" w:fontKey="{E8916466-CC2B-448E-AD2A-6B5602F4F18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embedRegular r:id="rId5" w:fontKey="{BE1D99EC-CED1-47FB-9DFF-45A3E35C4AD5}"/>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6" w:fontKey="{CBA358D8-8003-4ADC-95AA-41EDA67E6463}"/>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MS Sans Serif">
    <w:altName w:val="Arial"/>
    <w:panose1 w:val="00000000000000000000"/>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embedRegular r:id="rId7" w:fontKey="{CB4AE491-8FE1-4E09-AB64-EE09A6D1C6D6}"/>
  </w:font>
  <w:font w:name="Adobe 仿宋 Std R">
    <w:altName w:val="仿宋"/>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华文仿宋">
    <w:panose1 w:val="02010600040101010101"/>
    <w:charset w:val="86"/>
    <w:family w:val="auto"/>
    <w:pitch w:val="default"/>
    <w:sig w:usb0="00000287" w:usb1="080F0000" w:usb2="00000000" w:usb3="00000000" w:csb0="0004009F" w:csb1="DFD70000"/>
    <w:embedRegular r:id="rId8" w:fontKey="{94441680-BCD3-472C-8EDB-6BEAF30811FD}"/>
  </w:font>
  <w:font w:name="华文中宋">
    <w:altName w:val="华文中宋"/>
    <w:panose1 w:val="02010600040101010101"/>
    <w:charset w:val="86"/>
    <w:family w:val="auto"/>
    <w:pitch w:val="default"/>
    <w:sig w:usb0="00000287" w:usb1="080F0000" w:usb2="00000000" w:usb3="00000000" w:csb0="0004009F" w:csb1="DFD70000"/>
    <w:embedRegular r:id="rId9" w:fontKey="{41DBECD3-5B99-4F5E-8AC3-AA516E6A0224}"/>
  </w:font>
  <w:font w:name="DejaVuSans">
    <w:altName w:val="Segoe Print"/>
    <w:panose1 w:val="05050102010205020202"/>
    <w:charset w:val="00"/>
    <w:family w:val="auto"/>
    <w:pitch w:val="default"/>
    <w:sig w:usb0="00000000" w:usb1="00000000" w:usb2="00000000" w:usb3="00000000" w:csb0="00040001" w:csb1="00000000"/>
    <w:embedRegular r:id="rId10" w:fontKey="{45595AF1-AD82-4477-974E-D8FB9CC9EFEB}"/>
  </w:font>
  <w:font w:name="Segoe Print">
    <w:panose1 w:val="02000600000000000000"/>
    <w:charset w:val="00"/>
    <w:family w:val="auto"/>
    <w:pitch w:val="default"/>
    <w:sig w:usb0="0000028F" w:usb1="00000000" w:usb2="00000000" w:usb3="00000000" w:csb0="2000009F" w:csb1="47010000"/>
  </w:font>
  <w:font w:name="方正小标宋_GBK">
    <w:panose1 w:val="02000000000000000000"/>
    <w:charset w:val="86"/>
    <w:family w:val="auto"/>
    <w:pitch w:val="default"/>
    <w:sig w:usb0="A00002BF" w:usb1="38CF7CFA" w:usb2="00082016" w:usb3="00000000" w:csb0="00040001" w:csb1="00000000"/>
    <w:embedRegular r:id="rId11" w:fontKey="{9614AA2B-E821-4213-BA8B-F95519F9CEDB}"/>
  </w:font>
  <w:font w:name="WPSEMBED2">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CE71C">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7F8ABA">
                          <w:pPr>
                            <w:pStyle w:val="13"/>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p w14:paraId="5E86282E"/>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NJWO7QAAAA&#10;BQEAAA8AAAAAAAAAAQAgAAAAIgAAAGRycy9kb3ducmV2LnhtbFBLAQIUABQAAAAIAIdO4kCIymy7&#10;7AEAANUDAAAOAAAAAAAAAAEAIAAAAB8BAABkcnMvZTJvRG9jLnhtbFBLBQYAAAAABgAGAFkBAAB9&#10;BQAAAAA=&#10;">
              <v:fill on="f" focussize="0,0"/>
              <v:stroke on="f" weight="0.5pt"/>
              <v:imagedata o:title=""/>
              <o:lock v:ext="edit" aspectratio="f"/>
              <v:textbox inset="0mm,0mm,0mm,0mm" style="mso-fit-shape-to-text:t;">
                <w:txbxContent>
                  <w:p w14:paraId="197F8ABA">
                    <w:pPr>
                      <w:pStyle w:val="13"/>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p w14:paraId="5E86282E"/>
                </w:txbxContent>
              </v:textbox>
            </v:shape>
          </w:pict>
        </mc:Fallback>
      </mc:AlternateContent>
    </w:r>
  </w:p>
  <w:p w14:paraId="11325B36">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81E8F">
    <w:pPr>
      <w:pStyle w:val="13"/>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FD5BC74">
                          <w:pPr>
                            <w:pStyle w:val="13"/>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p w14:paraId="4CBFCCB1"/>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5dblS0AAAAAUBAAAPAAAAAAAA&#10;AAEAIAAAACIAAABkcnMvZG93bnJldi54bWxQSwECFAAUAAAACACHTuJAX+bejOEBAADFAwAADgAA&#10;AAAAAAABACAAAAAfAQAAZHJzL2Uyb0RvYy54bWxQSwUGAAAAAAYABgBZAQAAcgUAAAAA&#10;">
              <v:fill on="f" focussize="0,0"/>
              <v:stroke on="f"/>
              <v:imagedata o:title=""/>
              <o:lock v:ext="edit" aspectratio="f"/>
              <v:textbox inset="0mm,0mm,0mm,0mm" style="mso-fit-shape-to-text:t;">
                <w:txbxContent>
                  <w:p w14:paraId="5FD5BC74">
                    <w:pPr>
                      <w:pStyle w:val="13"/>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p w14:paraId="4CBFCCB1"/>
                </w:txbxContent>
              </v:textbox>
            </v:rect>
          </w:pict>
        </mc:Fallback>
      </mc:AlternateContent>
    </w:r>
  </w:p>
  <w:p w14:paraId="433EBD85">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6B2AD">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05EA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pStyle w:val="76"/>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D1CBD5E"/>
    <w:multiLevelType w:val="singleLevel"/>
    <w:tmpl w:val="2D1CBD5E"/>
    <w:lvl w:ilvl="0" w:tentative="0">
      <w:start w:val="1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6CA0"/>
    <w:rsid w:val="00285085"/>
    <w:rsid w:val="002B13FD"/>
    <w:rsid w:val="00F9432B"/>
    <w:rsid w:val="01022B7F"/>
    <w:rsid w:val="018D0FD6"/>
    <w:rsid w:val="01B97F5E"/>
    <w:rsid w:val="0293255D"/>
    <w:rsid w:val="04916DDB"/>
    <w:rsid w:val="04941C0A"/>
    <w:rsid w:val="05112631"/>
    <w:rsid w:val="05161AA8"/>
    <w:rsid w:val="051E3E30"/>
    <w:rsid w:val="052B4445"/>
    <w:rsid w:val="07644C3D"/>
    <w:rsid w:val="07DA3499"/>
    <w:rsid w:val="080C703A"/>
    <w:rsid w:val="08974D9F"/>
    <w:rsid w:val="0BE12940"/>
    <w:rsid w:val="0C50326D"/>
    <w:rsid w:val="0CA03970"/>
    <w:rsid w:val="0D3B7297"/>
    <w:rsid w:val="0D8E229F"/>
    <w:rsid w:val="0E4868F2"/>
    <w:rsid w:val="0E9E5BFC"/>
    <w:rsid w:val="0EC74B9C"/>
    <w:rsid w:val="0EDC10C2"/>
    <w:rsid w:val="0F19203C"/>
    <w:rsid w:val="0F2F1860"/>
    <w:rsid w:val="0F485307"/>
    <w:rsid w:val="0F6A71C8"/>
    <w:rsid w:val="0FB215E0"/>
    <w:rsid w:val="11C61392"/>
    <w:rsid w:val="122907E8"/>
    <w:rsid w:val="123F1DBA"/>
    <w:rsid w:val="12BD6CF7"/>
    <w:rsid w:val="133248CB"/>
    <w:rsid w:val="13B95D7C"/>
    <w:rsid w:val="15657D89"/>
    <w:rsid w:val="15D9268B"/>
    <w:rsid w:val="16873D30"/>
    <w:rsid w:val="16D6755F"/>
    <w:rsid w:val="17233C4D"/>
    <w:rsid w:val="183028D1"/>
    <w:rsid w:val="185833A4"/>
    <w:rsid w:val="186407CC"/>
    <w:rsid w:val="1A5D3BAA"/>
    <w:rsid w:val="1AA3045E"/>
    <w:rsid w:val="1AE37DAC"/>
    <w:rsid w:val="1B0B10F0"/>
    <w:rsid w:val="1B535398"/>
    <w:rsid w:val="1B852F33"/>
    <w:rsid w:val="1B9413C8"/>
    <w:rsid w:val="1CDD25B2"/>
    <w:rsid w:val="1EB3600A"/>
    <w:rsid w:val="1FCB2EDF"/>
    <w:rsid w:val="20076483"/>
    <w:rsid w:val="206661A3"/>
    <w:rsid w:val="20745325"/>
    <w:rsid w:val="228A7081"/>
    <w:rsid w:val="228F4984"/>
    <w:rsid w:val="23076924"/>
    <w:rsid w:val="23C62E0D"/>
    <w:rsid w:val="24B962D2"/>
    <w:rsid w:val="24E96F2A"/>
    <w:rsid w:val="252A68FA"/>
    <w:rsid w:val="252C0F6A"/>
    <w:rsid w:val="255F1702"/>
    <w:rsid w:val="25BC78F7"/>
    <w:rsid w:val="26793695"/>
    <w:rsid w:val="26F85C43"/>
    <w:rsid w:val="27720693"/>
    <w:rsid w:val="28B61AF9"/>
    <w:rsid w:val="29A561DA"/>
    <w:rsid w:val="2AF02F18"/>
    <w:rsid w:val="2BF4166E"/>
    <w:rsid w:val="2C7072E8"/>
    <w:rsid w:val="2CA86A82"/>
    <w:rsid w:val="2CD95E24"/>
    <w:rsid w:val="2ED56B63"/>
    <w:rsid w:val="2EE61AE3"/>
    <w:rsid w:val="2F543915"/>
    <w:rsid w:val="304F4A45"/>
    <w:rsid w:val="3069477A"/>
    <w:rsid w:val="30697697"/>
    <w:rsid w:val="32594A1C"/>
    <w:rsid w:val="34087CF0"/>
    <w:rsid w:val="341D7BBB"/>
    <w:rsid w:val="3426434C"/>
    <w:rsid w:val="354B08F2"/>
    <w:rsid w:val="37064EA2"/>
    <w:rsid w:val="3748158D"/>
    <w:rsid w:val="37E8164A"/>
    <w:rsid w:val="386E44F6"/>
    <w:rsid w:val="38B44595"/>
    <w:rsid w:val="38E84D15"/>
    <w:rsid w:val="393A3157"/>
    <w:rsid w:val="39BE045B"/>
    <w:rsid w:val="3A2161EF"/>
    <w:rsid w:val="3AC32575"/>
    <w:rsid w:val="3B516536"/>
    <w:rsid w:val="3BD333EF"/>
    <w:rsid w:val="3C93406B"/>
    <w:rsid w:val="3D3561A5"/>
    <w:rsid w:val="3D9077EA"/>
    <w:rsid w:val="3DA037A5"/>
    <w:rsid w:val="3E583F21"/>
    <w:rsid w:val="3E615B19"/>
    <w:rsid w:val="3E941185"/>
    <w:rsid w:val="3EA451FF"/>
    <w:rsid w:val="3F584337"/>
    <w:rsid w:val="40003067"/>
    <w:rsid w:val="40844C19"/>
    <w:rsid w:val="40C15F0C"/>
    <w:rsid w:val="40D92C20"/>
    <w:rsid w:val="424A42B3"/>
    <w:rsid w:val="42736D45"/>
    <w:rsid w:val="42BA2C13"/>
    <w:rsid w:val="42F33C25"/>
    <w:rsid w:val="430D3C5F"/>
    <w:rsid w:val="459B5914"/>
    <w:rsid w:val="499A554C"/>
    <w:rsid w:val="4AE56E9A"/>
    <w:rsid w:val="4B223A4B"/>
    <w:rsid w:val="4BF74FD7"/>
    <w:rsid w:val="4CA22351"/>
    <w:rsid w:val="4CC44899"/>
    <w:rsid w:val="4D155616"/>
    <w:rsid w:val="4D1D612A"/>
    <w:rsid w:val="4D930C30"/>
    <w:rsid w:val="4E8830AE"/>
    <w:rsid w:val="4E8A3DE2"/>
    <w:rsid w:val="501145E2"/>
    <w:rsid w:val="508639BE"/>
    <w:rsid w:val="51A100B8"/>
    <w:rsid w:val="52110D1A"/>
    <w:rsid w:val="52831274"/>
    <w:rsid w:val="55F1773F"/>
    <w:rsid w:val="5821512A"/>
    <w:rsid w:val="58A43CF2"/>
    <w:rsid w:val="5CA81F5F"/>
    <w:rsid w:val="5D283143"/>
    <w:rsid w:val="5DE27796"/>
    <w:rsid w:val="60C414B0"/>
    <w:rsid w:val="61052538"/>
    <w:rsid w:val="617C5E4E"/>
    <w:rsid w:val="62AA63A9"/>
    <w:rsid w:val="6324615B"/>
    <w:rsid w:val="640404F9"/>
    <w:rsid w:val="65757142"/>
    <w:rsid w:val="66240220"/>
    <w:rsid w:val="66952F4E"/>
    <w:rsid w:val="66FF54A9"/>
    <w:rsid w:val="67043883"/>
    <w:rsid w:val="672309CD"/>
    <w:rsid w:val="676D33AE"/>
    <w:rsid w:val="680A2E2D"/>
    <w:rsid w:val="68832117"/>
    <w:rsid w:val="6922138F"/>
    <w:rsid w:val="69564B94"/>
    <w:rsid w:val="69A00505"/>
    <w:rsid w:val="69CF0760"/>
    <w:rsid w:val="69FA40C4"/>
    <w:rsid w:val="6AF428B7"/>
    <w:rsid w:val="6C010B97"/>
    <w:rsid w:val="6C3A254B"/>
    <w:rsid w:val="6C6900C3"/>
    <w:rsid w:val="6CD45CEB"/>
    <w:rsid w:val="6D1816BA"/>
    <w:rsid w:val="6E1C0341"/>
    <w:rsid w:val="6E7361E8"/>
    <w:rsid w:val="6F4B2CEA"/>
    <w:rsid w:val="6F9A2D6A"/>
    <w:rsid w:val="6FAE4D74"/>
    <w:rsid w:val="70827613"/>
    <w:rsid w:val="720A0C12"/>
    <w:rsid w:val="736D3206"/>
    <w:rsid w:val="73B9644B"/>
    <w:rsid w:val="74EE283F"/>
    <w:rsid w:val="74FD2086"/>
    <w:rsid w:val="754E5BD3"/>
    <w:rsid w:val="76B86E8E"/>
    <w:rsid w:val="76BF103B"/>
    <w:rsid w:val="77FE5A01"/>
    <w:rsid w:val="78F46178"/>
    <w:rsid w:val="796B11C3"/>
    <w:rsid w:val="79A4194C"/>
    <w:rsid w:val="7AB2360D"/>
    <w:rsid w:val="7BD02E57"/>
    <w:rsid w:val="7BF30E30"/>
    <w:rsid w:val="7CEF1130"/>
    <w:rsid w:val="7E0B4D9D"/>
    <w:rsid w:val="7F582D57"/>
    <w:rsid w:val="7F8525F4"/>
    <w:rsid w:val="7FDF723A"/>
    <w:rsid w:val="7FF722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imes New Roman"/>
      <w:kern w:val="2"/>
      <w:sz w:val="24"/>
      <w:szCs w:val="22"/>
      <w:lang w:val="en-US" w:eastAsia="zh-CN" w:bidi="ar-SA"/>
    </w:rPr>
  </w:style>
  <w:style w:type="paragraph" w:styleId="2">
    <w:name w:val="heading 1"/>
    <w:basedOn w:val="1"/>
    <w:next w:val="1"/>
    <w:qFormat/>
    <w:uiPriority w:val="0"/>
    <w:pPr>
      <w:keepNext/>
      <w:keepLines/>
      <w:spacing w:before="340" w:beforeAutospacing="0" w:after="330" w:afterAutospacing="0" w:line="576" w:lineRule="auto"/>
      <w:outlineLvl w:val="0"/>
    </w:pPr>
    <w:rPr>
      <w:rFonts w:ascii="Times New Roman" w:hAnsi="Times New Roman" w:eastAsia="宋体"/>
      <w:b/>
      <w:kern w:val="44"/>
      <w:sz w:val="32"/>
    </w:rPr>
  </w:style>
  <w:style w:type="paragraph" w:styleId="3">
    <w:name w:val="heading 2"/>
    <w:basedOn w:val="1"/>
    <w:next w:val="1"/>
    <w:link w:val="28"/>
    <w:qFormat/>
    <w:uiPriority w:val="9"/>
    <w:pPr>
      <w:keepNext/>
      <w:keepLines/>
      <w:spacing w:before="260" w:after="260" w:line="416" w:lineRule="auto"/>
      <w:outlineLvl w:val="1"/>
    </w:pPr>
    <w:rPr>
      <w:rFonts w:ascii="等线 Light" w:hAnsi="等线 Light" w:cs="Times New Roman"/>
      <w:b/>
      <w:bCs/>
      <w:sz w:val="32"/>
      <w:szCs w:val="32"/>
    </w:rPr>
  </w:style>
  <w:style w:type="paragraph" w:styleId="4">
    <w:name w:val="heading 3"/>
    <w:basedOn w:val="1"/>
    <w:next w:val="1"/>
    <w:link w:val="29"/>
    <w:qFormat/>
    <w:uiPriority w:val="9"/>
    <w:pPr>
      <w:keepNext/>
      <w:keepLines/>
      <w:spacing w:before="260" w:after="260" w:line="416" w:lineRule="auto"/>
      <w:outlineLvl w:val="2"/>
    </w:pPr>
    <w:rPr>
      <w:b/>
      <w:bCs/>
      <w:sz w:val="30"/>
      <w:szCs w:val="32"/>
    </w:rPr>
  </w:style>
  <w:style w:type="paragraph" w:styleId="5">
    <w:name w:val="heading 4"/>
    <w:basedOn w:val="1"/>
    <w:next w:val="1"/>
    <w:qFormat/>
    <w:uiPriority w:val="9"/>
    <w:pPr>
      <w:keepNext/>
      <w:keepLines/>
      <w:spacing w:before="280" w:after="290" w:line="376" w:lineRule="auto"/>
      <w:outlineLvl w:val="3"/>
    </w:pPr>
    <w:rPr>
      <w:rFonts w:ascii="等线 Light" w:hAnsi="等线 Light" w:cs="Times New Roman"/>
      <w:b/>
      <w:bCs/>
      <w:sz w:val="28"/>
      <w:szCs w:val="28"/>
    </w:rPr>
  </w:style>
  <w:style w:type="paragraph" w:styleId="6">
    <w:name w:val="heading 5"/>
    <w:basedOn w:val="1"/>
    <w:next w:val="1"/>
    <w:qFormat/>
    <w:uiPriority w:val="0"/>
    <w:pPr>
      <w:keepNext/>
      <w:keepLines/>
      <w:spacing w:before="280" w:beforeAutospacing="0" w:after="290" w:afterAutospacing="0" w:line="372" w:lineRule="auto"/>
      <w:outlineLvl w:val="4"/>
    </w:pPr>
    <w:rPr>
      <w:b/>
      <w:sz w:val="28"/>
    </w:rPr>
  </w:style>
  <w:style w:type="character" w:default="1" w:styleId="24">
    <w:name w:val="Default Paragraph Font"/>
    <w:qFormat/>
    <w:uiPriority w:val="0"/>
  </w:style>
  <w:style w:type="table" w:default="1" w:styleId="22">
    <w:name w:val="Normal Table"/>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rPr>
      <w:rFonts w:ascii="Calibri" w:hAnsi="Calibri"/>
      <w:szCs w:val="22"/>
    </w:rPr>
  </w:style>
  <w:style w:type="paragraph" w:styleId="8">
    <w:name w:val="toa heading"/>
    <w:basedOn w:val="1"/>
    <w:next w:val="1"/>
    <w:qFormat/>
    <w:uiPriority w:val="0"/>
    <w:pPr>
      <w:spacing w:before="120"/>
    </w:pPr>
    <w:rPr>
      <w:rFonts w:ascii="Cambria" w:hAnsi="Cambria"/>
      <w:sz w:val="24"/>
      <w:szCs w:val="24"/>
    </w:rPr>
  </w:style>
  <w:style w:type="paragraph" w:styleId="9">
    <w:name w:val="annotation text"/>
    <w:basedOn w:val="1"/>
    <w:qFormat/>
    <w:uiPriority w:val="0"/>
    <w:pPr>
      <w:jc w:val="left"/>
    </w:pPr>
    <w:rPr>
      <w:rFonts w:ascii="Calibri" w:hAnsi="Calibri" w:eastAsia="宋体" w:cs="Times New Roman"/>
    </w:rPr>
  </w:style>
  <w:style w:type="paragraph" w:styleId="10">
    <w:name w:val="Body Text"/>
    <w:basedOn w:val="1"/>
    <w:qFormat/>
    <w:uiPriority w:val="99"/>
    <w:pPr>
      <w:spacing w:after="120" w:line="240" w:lineRule="auto"/>
      <w:jc w:val="both"/>
    </w:pPr>
    <w:rPr>
      <w:rFonts w:eastAsia="等线"/>
      <w:sz w:val="21"/>
      <w:szCs w:val="24"/>
    </w:rPr>
  </w:style>
  <w:style w:type="paragraph" w:styleId="11">
    <w:name w:val="Body Text Indent"/>
    <w:basedOn w:val="1"/>
    <w:qFormat/>
    <w:uiPriority w:val="0"/>
    <w:pPr>
      <w:ind w:firstLine="630"/>
    </w:pPr>
    <w:rPr>
      <w:rFonts w:eastAsia="仿宋_GB2312"/>
      <w:kern w:val="0"/>
      <w:sz w:val="32"/>
      <w:szCs w:val="20"/>
    </w:rPr>
  </w:style>
  <w:style w:type="paragraph" w:styleId="12">
    <w:name w:val="Plain Text"/>
    <w:basedOn w:val="1"/>
    <w:qFormat/>
    <w:uiPriority w:val="0"/>
    <w:rPr>
      <w:rFonts w:ascii="宋体" w:hAnsi="Courier New"/>
      <w:kern w:val="0"/>
      <w:sz w:val="20"/>
      <w:szCs w:val="20"/>
    </w:rPr>
  </w:style>
  <w:style w:type="paragraph" w:styleId="13">
    <w:name w:val="footer"/>
    <w:basedOn w:val="1"/>
    <w:qFormat/>
    <w:uiPriority w:val="99"/>
    <w:pPr>
      <w:tabs>
        <w:tab w:val="center" w:pos="4153"/>
        <w:tab w:val="right" w:pos="8306"/>
      </w:tabs>
      <w:snapToGrid w:val="0"/>
      <w:spacing w:line="240" w:lineRule="auto"/>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qFormat/>
    <w:uiPriority w:val="39"/>
    <w:pPr>
      <w:spacing w:before="120" w:after="120"/>
    </w:pPr>
    <w:rPr>
      <w:rFonts w:ascii="等线" w:eastAsia="等线"/>
      <w:b/>
      <w:bCs/>
      <w:caps/>
      <w:sz w:val="20"/>
      <w:szCs w:val="20"/>
    </w:rPr>
  </w:style>
  <w:style w:type="paragraph" w:styleId="16">
    <w:name w:val="footnote text"/>
    <w:basedOn w:val="1"/>
    <w:qFormat/>
    <w:uiPriority w:val="0"/>
    <w:pPr>
      <w:widowControl/>
      <w:jc w:val="left"/>
    </w:pPr>
    <w:rPr>
      <w:kern w:val="0"/>
      <w:sz w:val="20"/>
      <w:szCs w:val="20"/>
      <w:lang w:val="de-DE"/>
    </w:rPr>
  </w:style>
  <w:style w:type="paragraph" w:styleId="17">
    <w:name w:val="toc 6"/>
    <w:basedOn w:val="1"/>
    <w:next w:val="1"/>
    <w:qFormat/>
    <w:uiPriority w:val="0"/>
    <w:pPr>
      <w:ind w:left="1000" w:leftChars="1000"/>
    </w:pPr>
  </w:style>
  <w:style w:type="paragraph" w:styleId="18">
    <w:name w:val="toc 2"/>
    <w:basedOn w:val="1"/>
    <w:next w:val="1"/>
    <w:qFormat/>
    <w:uiPriority w:val="39"/>
    <w:pPr>
      <w:ind w:left="240"/>
    </w:pPr>
    <w:rPr>
      <w:rFonts w:ascii="等线" w:eastAsia="等线"/>
      <w:smallCaps/>
      <w:sz w:val="20"/>
      <w:szCs w:val="20"/>
    </w:rPr>
  </w:style>
  <w:style w:type="paragraph" w:styleId="19">
    <w:name w:val="Normal (Web)"/>
    <w:basedOn w:val="1"/>
    <w:qFormat/>
    <w:uiPriority w:val="99"/>
    <w:pPr>
      <w:widowControl/>
      <w:spacing w:before="100" w:beforeAutospacing="1" w:after="100" w:afterAutospacing="1"/>
    </w:pPr>
    <w:rPr>
      <w:rFonts w:cs="宋体"/>
      <w:color w:val="000000"/>
      <w:kern w:val="0"/>
      <w:szCs w:val="24"/>
    </w:rPr>
  </w:style>
  <w:style w:type="paragraph" w:styleId="20">
    <w:name w:val="Body Text First Indent"/>
    <w:basedOn w:val="10"/>
    <w:next w:val="1"/>
    <w:qFormat/>
    <w:uiPriority w:val="0"/>
    <w:pPr>
      <w:ind w:firstLine="420" w:firstLineChars="100"/>
    </w:pPr>
    <w:rPr>
      <w:rFonts w:ascii="Times New Roman" w:hAnsi="Times New Roman"/>
      <w:szCs w:val="24"/>
    </w:rPr>
  </w:style>
  <w:style w:type="paragraph" w:styleId="21">
    <w:name w:val="Body Text First Indent 2"/>
    <w:basedOn w:val="11"/>
    <w:qFormat/>
    <w:uiPriority w:val="0"/>
    <w:pPr>
      <w:spacing w:after="0"/>
      <w:ind w:firstLine="420" w:firstLineChars="200"/>
    </w:pPr>
    <w:rPr>
      <w:rFonts w:ascii="Calibri" w:hAnsi="Calibri" w:eastAsia="宋体"/>
      <w:szCs w:val="21"/>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Cs/>
    </w:rPr>
  </w:style>
  <w:style w:type="character" w:styleId="26">
    <w:name w:val="Hyperlink"/>
    <w:basedOn w:val="24"/>
    <w:qFormat/>
    <w:uiPriority w:val="0"/>
    <w:rPr>
      <w:color w:val="0000FF"/>
      <w:u w:val="single"/>
    </w:rPr>
  </w:style>
  <w:style w:type="character" w:styleId="27">
    <w:name w:val="HTML Sample"/>
    <w:basedOn w:val="24"/>
    <w:qFormat/>
    <w:uiPriority w:val="0"/>
    <w:rPr>
      <w:rFonts w:ascii="Courier New" w:hAnsi="Courier New"/>
    </w:rPr>
  </w:style>
  <w:style w:type="character" w:customStyle="1" w:styleId="28">
    <w:name w:val="标题 2 字符"/>
    <w:basedOn w:val="24"/>
    <w:link w:val="3"/>
    <w:qFormat/>
    <w:uiPriority w:val="0"/>
    <w:rPr>
      <w:rFonts w:ascii="等线 Light" w:hAnsi="等线 Light" w:cs="Times New Roman"/>
      <w:b/>
      <w:bCs/>
      <w:sz w:val="32"/>
      <w:szCs w:val="32"/>
    </w:rPr>
  </w:style>
  <w:style w:type="character" w:customStyle="1" w:styleId="29">
    <w:name w:val="标题 3 Char"/>
    <w:link w:val="4"/>
    <w:qFormat/>
    <w:uiPriority w:val="9"/>
    <w:rPr>
      <w:b/>
      <w:bCs/>
      <w:sz w:val="30"/>
      <w:szCs w:val="32"/>
    </w:rPr>
  </w:style>
  <w:style w:type="character" w:customStyle="1" w:styleId="30">
    <w:name w:val="NormalCharacter"/>
    <w:link w:val="31"/>
    <w:qFormat/>
    <w:uiPriority w:val="0"/>
    <w:rPr>
      <w:rFonts w:ascii="仿宋_GB2312" w:hAnsi="Calibri" w:eastAsia="仿宋_GB2312" w:cs="Times New Roman"/>
      <w:b/>
      <w:sz w:val="32"/>
      <w:szCs w:val="32"/>
    </w:rPr>
  </w:style>
  <w:style w:type="paragraph" w:customStyle="1" w:styleId="31">
    <w:name w:val="UserStyle_461"/>
    <w:basedOn w:val="1"/>
    <w:link w:val="30"/>
    <w:qFormat/>
    <w:uiPriority w:val="0"/>
    <w:pPr>
      <w:widowControl/>
      <w:textAlignment w:val="baseline"/>
    </w:pPr>
    <w:rPr>
      <w:rFonts w:ascii="仿宋_GB2312" w:hAnsi="Calibri" w:eastAsia="仿宋_GB2312" w:cs="Times New Roman"/>
      <w:b/>
      <w:sz w:val="32"/>
      <w:szCs w:val="32"/>
    </w:rPr>
  </w:style>
  <w:style w:type="paragraph" w:customStyle="1" w:styleId="32">
    <w:name w:val="UserStyle_5"/>
    <w:basedOn w:val="1"/>
    <w:link w:val="30"/>
    <w:qFormat/>
    <w:uiPriority w:val="0"/>
    <w:pPr>
      <w:widowControl/>
      <w:spacing w:after="160" w:line="240" w:lineRule="exact"/>
      <w:jc w:val="left"/>
      <w:textAlignment w:val="baseline"/>
    </w:pPr>
  </w:style>
  <w:style w:type="paragraph" w:customStyle="1" w:styleId="3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4">
    <w:name w:val="Default"/>
    <w:qFormat/>
    <w:uiPriority w:val="0"/>
    <w:pPr>
      <w:widowControl w:val="0"/>
      <w:tabs>
        <w:tab w:val="left" w:pos="924"/>
      </w:tabs>
      <w:autoSpaceDE w:val="0"/>
      <w:autoSpaceDN w:val="0"/>
      <w:adjustRightInd w:val="0"/>
    </w:pPr>
    <w:rPr>
      <w:rFonts w:ascii="Arial" w:hAnsi="Arial" w:eastAsia="宋体" w:cs="Arial"/>
      <w:color w:val="000000"/>
      <w:sz w:val="24"/>
      <w:szCs w:val="24"/>
      <w:lang w:val="en-US" w:eastAsia="zh-CN" w:bidi="ar-SA"/>
    </w:rPr>
  </w:style>
  <w:style w:type="paragraph" w:customStyle="1" w:styleId="35">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6">
    <w:name w:val="正文缩进2"/>
    <w:basedOn w:val="1"/>
    <w:qFormat/>
    <w:uiPriority w:val="0"/>
    <w:pPr>
      <w:wordWrap w:val="0"/>
      <w:ind w:firstLine="480"/>
    </w:pPr>
    <w:rPr>
      <w:iCs/>
      <w:shd w:val="clear" w:color="auto" w:fill="FFFFFF"/>
      <w:lang w:val="zh-CN"/>
    </w:rPr>
  </w:style>
  <w:style w:type="paragraph" w:styleId="37">
    <w:name w:val="No Spacing"/>
    <w:qFormat/>
    <w:uiPriority w:val="1"/>
    <w:pPr>
      <w:widowControl w:val="0"/>
    </w:pPr>
    <w:rPr>
      <w:rFonts w:ascii="宋体" w:hAnsi="宋体" w:eastAsia="宋体" w:cs="Times New Roman"/>
      <w:kern w:val="2"/>
      <w:sz w:val="24"/>
      <w:szCs w:val="22"/>
      <w:lang w:val="en-US" w:eastAsia="zh-CN" w:bidi="ar-SA"/>
    </w:rPr>
  </w:style>
  <w:style w:type="paragraph" w:customStyle="1" w:styleId="38">
    <w:name w:val="正文_2"/>
    <w:basedOn w:val="39"/>
    <w:qFormat/>
    <w:uiPriority w:val="0"/>
    <w:pPr>
      <w:widowControl w:val="0"/>
      <w:jc w:val="both"/>
    </w:pPr>
    <w:rPr>
      <w:rFonts w:ascii="Calibri" w:hAnsi="Calibri" w:eastAsia="宋体" w:cs="Times New Roman"/>
      <w:lang w:val="en-US" w:eastAsia="zh-CN" w:bidi="ar-SA"/>
    </w:rPr>
  </w:style>
  <w:style w:type="paragraph" w:customStyle="1" w:styleId="39">
    <w:name w:val="正文_3"/>
    <w:basedOn w:val="40"/>
    <w:qFormat/>
    <w:uiPriority w:val="0"/>
    <w:pPr>
      <w:widowControl w:val="0"/>
      <w:jc w:val="both"/>
    </w:pPr>
    <w:rPr>
      <w:rFonts w:ascii="Calibri" w:hAnsi="Calibri"/>
      <w:kern w:val="2"/>
      <w:sz w:val="21"/>
      <w:szCs w:val="22"/>
      <w:lang w:val="en-US" w:eastAsia="zh-CN" w:bidi="ar-SA"/>
    </w:rPr>
  </w:style>
  <w:style w:type="paragraph" w:customStyle="1" w:styleId="40">
    <w:name w:val="Normal_0"/>
    <w:basedOn w:val="41"/>
    <w:qFormat/>
    <w:uiPriority w:val="0"/>
    <w:rPr>
      <w:rFonts w:eastAsia="Times New Roman"/>
      <w:sz w:val="24"/>
      <w:szCs w:val="24"/>
      <w:lang w:bidi="ar-SA"/>
    </w:rPr>
  </w:style>
  <w:style w:type="paragraph" w:customStyle="1" w:styleId="41">
    <w:name w:val="正文1"/>
    <w:basedOn w:val="42"/>
    <w:qFormat/>
    <w:uiPriority w:val="0"/>
    <w:pPr>
      <w:widowControl w:val="0"/>
      <w:jc w:val="both"/>
    </w:pPr>
    <w:rPr>
      <w:rFonts w:ascii="Calibri" w:hAnsi="Calibri" w:eastAsia="宋体" w:cs="Times New Roman"/>
      <w:lang w:val="en-US" w:eastAsia="zh-CN" w:bidi="ar-SA"/>
    </w:rPr>
  </w:style>
  <w:style w:type="paragraph" w:customStyle="1" w:styleId="42">
    <w:name w:val="正文_5"/>
    <w:basedOn w:val="43"/>
    <w:next w:val="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6"/>
    <w:next w:val="4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列表_1"/>
    <w:basedOn w:val="43"/>
    <w:qFormat/>
    <w:uiPriority w:val="0"/>
    <w:pPr>
      <w:ind w:left="200" w:hanging="200" w:hangingChars="200"/>
    </w:pPr>
  </w:style>
  <w:style w:type="paragraph" w:customStyle="1" w:styleId="45">
    <w:name w:val="段_0"/>
    <w:next w:val="42"/>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46">
    <w:name w:val="正文_1_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47">
    <w:name w:val="脚注文本_0"/>
    <w:basedOn w:val="48"/>
    <w:next w:val="38"/>
    <w:qFormat/>
    <w:uiPriority w:val="99"/>
    <w:pPr>
      <w:snapToGrid w:val="0"/>
      <w:jc w:val="left"/>
    </w:pPr>
    <w:rPr>
      <w:rFonts w:ascii="Calibri" w:hAnsi="Calibri" w:eastAsia="Calibri"/>
      <w:sz w:val="18"/>
    </w:rPr>
  </w:style>
  <w:style w:type="paragraph" w:customStyle="1" w:styleId="48">
    <w:name w:val="正文_0_2"/>
    <w:basedOn w:val="49"/>
    <w:next w:val="6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正文_2_1"/>
    <w:basedOn w:val="50"/>
    <w:next w:val="6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正文_3_0"/>
    <w:basedOn w:val="51"/>
    <w:next w:val="53"/>
    <w:qFormat/>
    <w:uiPriority w:val="0"/>
    <w:pPr>
      <w:widowControl w:val="0"/>
      <w:jc w:val="both"/>
    </w:pPr>
    <w:rPr>
      <w:rFonts w:ascii="Calibri" w:hAnsi="Calibri"/>
      <w:kern w:val="2"/>
      <w:sz w:val="21"/>
      <w:szCs w:val="22"/>
      <w:lang w:val="en-US" w:eastAsia="zh-CN" w:bidi="ar-SA"/>
    </w:rPr>
  </w:style>
  <w:style w:type="paragraph" w:customStyle="1" w:styleId="51">
    <w:name w:val="Normal_0_0"/>
    <w:next w:val="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Body Text_0"/>
    <w:basedOn w:val="51"/>
    <w:qFormat/>
    <w:uiPriority w:val="0"/>
    <w:pPr>
      <w:spacing w:after="120"/>
    </w:pPr>
    <w:rPr>
      <w:rFonts w:ascii="Calibri" w:hAnsi="Calibri"/>
    </w:rPr>
  </w:style>
  <w:style w:type="paragraph" w:customStyle="1" w:styleId="53">
    <w:name w:val="正文缩进_0_0_1"/>
    <w:basedOn w:val="54"/>
    <w:qFormat/>
    <w:uiPriority w:val="0"/>
    <w:pPr>
      <w:ind w:firstLine="420" w:firstLineChars="200"/>
    </w:pPr>
    <w:rPr>
      <w:rFonts w:ascii="Calibri" w:hAnsi="Calibri"/>
      <w:szCs w:val="22"/>
    </w:rPr>
  </w:style>
  <w:style w:type="paragraph" w:customStyle="1" w:styleId="54">
    <w:name w:val="正文_0_1_1"/>
    <w:basedOn w:val="55"/>
    <w:next w:val="59"/>
    <w:qFormat/>
    <w:uiPriority w:val="0"/>
    <w:pPr>
      <w:widowControl w:val="0"/>
      <w:jc w:val="both"/>
    </w:pPr>
    <w:rPr>
      <w:rFonts w:ascii="Calibri" w:hAnsi="Calibri" w:eastAsia="Calibri"/>
      <w:kern w:val="2"/>
      <w:sz w:val="21"/>
      <w:szCs w:val="22"/>
      <w:lang w:val="en-US" w:eastAsia="zh-CN" w:bidi="ar-SA"/>
    </w:rPr>
  </w:style>
  <w:style w:type="paragraph" w:customStyle="1" w:styleId="55">
    <w:name w:val="正文_3_1"/>
    <w:basedOn w:val="56"/>
    <w:next w:val="57"/>
    <w:qFormat/>
    <w:uiPriority w:val="0"/>
    <w:rPr>
      <w:szCs w:val="21"/>
    </w:rPr>
  </w:style>
  <w:style w:type="paragraph" w:customStyle="1" w:styleId="56">
    <w:name w:val="Normal_0_1"/>
    <w:qFormat/>
    <w:uiPriority w:val="0"/>
    <w:rPr>
      <w:rFonts w:ascii="黑体" w:hAnsi="黑体" w:eastAsia="黑体" w:cs="Times New Roman"/>
      <w:b/>
      <w:sz w:val="32"/>
      <w:szCs w:val="24"/>
      <w:lang w:val="en-US" w:eastAsia="zh-CN" w:bidi="ar-SA"/>
    </w:rPr>
  </w:style>
  <w:style w:type="paragraph" w:customStyle="1" w:styleId="57">
    <w:name w:val="正文缩进_0_0_0"/>
    <w:basedOn w:val="58"/>
    <w:qFormat/>
    <w:uiPriority w:val="0"/>
    <w:pPr>
      <w:ind w:firstLine="420" w:firstLineChars="200"/>
    </w:pPr>
  </w:style>
  <w:style w:type="paragraph" w:customStyle="1" w:styleId="58">
    <w:name w:val="正文_0_1_0"/>
    <w:basedOn w:val="46"/>
    <w:next w:val="47"/>
    <w:qFormat/>
    <w:uiPriority w:val="0"/>
    <w:rPr>
      <w:rFonts w:cs="宋体"/>
      <w:szCs w:val="21"/>
    </w:rPr>
  </w:style>
  <w:style w:type="paragraph" w:customStyle="1" w:styleId="59">
    <w:name w:val="脚注文本1"/>
    <w:basedOn w:val="60"/>
    <w:next w:val="61"/>
    <w:qFormat/>
    <w:uiPriority w:val="0"/>
    <w:pPr>
      <w:snapToGrid w:val="0"/>
      <w:jc w:val="left"/>
    </w:pPr>
    <w:rPr>
      <w:rFonts w:eastAsia="宋体"/>
      <w:kern w:val="0"/>
      <w:sz w:val="18"/>
      <w:szCs w:val="18"/>
    </w:rPr>
  </w:style>
  <w:style w:type="paragraph" w:customStyle="1" w:styleId="60">
    <w:name w:val="正文_1_0"/>
    <w:next w:val="59"/>
    <w:qFormat/>
    <w:uiPriority w:val="0"/>
    <w:pPr>
      <w:widowControl w:val="0"/>
      <w:jc w:val="both"/>
    </w:pPr>
    <w:rPr>
      <w:rFonts w:ascii="Calibri" w:hAnsi="Calibri" w:eastAsia="宋体" w:cs="Times New Roman"/>
      <w:kern w:val="2"/>
      <w:sz w:val="21"/>
      <w:szCs w:val="24"/>
      <w:lang w:val="en-US" w:eastAsia="zh-CN" w:bidi="ar-SA"/>
    </w:rPr>
  </w:style>
  <w:style w:type="paragraph" w:customStyle="1" w:styleId="61">
    <w:name w:val="索引 51"/>
    <w:basedOn w:val="60"/>
    <w:next w:val="60"/>
    <w:qFormat/>
    <w:uiPriority w:val="99"/>
    <w:pPr>
      <w:ind w:left="1680"/>
    </w:pPr>
  </w:style>
  <w:style w:type="paragraph" w:customStyle="1" w:styleId="62">
    <w:name w:val="No Spacing_0"/>
    <w:basedOn w:val="42"/>
    <w:qFormat/>
    <w:uiPriority w:val="1"/>
  </w:style>
  <w:style w:type="paragraph" w:customStyle="1" w:styleId="63">
    <w:name w:val="页脚_0_0"/>
    <w:basedOn w:val="48"/>
    <w:qFormat/>
    <w:uiPriority w:val="99"/>
    <w:pPr>
      <w:tabs>
        <w:tab w:val="center" w:pos="4153"/>
        <w:tab w:val="right" w:pos="8306"/>
      </w:tabs>
      <w:snapToGrid w:val="0"/>
      <w:jc w:val="left"/>
    </w:pPr>
    <w:rPr>
      <w:sz w:val="18"/>
      <w:szCs w:val="18"/>
    </w:rPr>
  </w:style>
  <w:style w:type="paragraph" w:customStyle="1" w:styleId="64">
    <w:name w:val="正文文本缩进_1"/>
    <w:basedOn w:val="60"/>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65">
    <w:name w:val="xl31"/>
    <w:basedOn w:val="1"/>
    <w:qFormat/>
    <w:uiPriority w:val="0"/>
    <w:pPr>
      <w:widowControl/>
      <w:spacing w:before="100" w:beforeAutospacing="1" w:after="100" w:afterAutospacing="1"/>
      <w:jc w:val="center"/>
    </w:pPr>
    <w:rPr>
      <w:b/>
      <w:bCs/>
      <w:kern w:val="0"/>
      <w:sz w:val="28"/>
      <w:szCs w:val="28"/>
    </w:rPr>
  </w:style>
  <w:style w:type="paragraph" w:customStyle="1" w:styleId="66">
    <w:name w:val="Normal_8af62e99-d75a-4f4a-830b-9c1a4dc67adb"/>
    <w:qFormat/>
    <w:uiPriority w:val="0"/>
    <w:pPr>
      <w:widowControl w:val="0"/>
      <w:jc w:val="both"/>
    </w:pPr>
    <w:rPr>
      <w:rFonts w:ascii="Times New Roman" w:hAnsi="Times New Roman" w:eastAsia="Times New Roman" w:cs="Times New Roman"/>
      <w:lang w:val="en-US" w:eastAsia="zh-CN" w:bidi="ar-SA"/>
    </w:rPr>
  </w:style>
  <w:style w:type="paragraph" w:customStyle="1" w:styleId="67">
    <w:name w:val="UserStyle_32"/>
    <w:qFormat/>
    <w:uiPriority w:val="0"/>
    <w:pPr>
      <w:textAlignment w:val="baseline"/>
    </w:pPr>
    <w:rPr>
      <w:rFonts w:ascii="黑体" w:hAnsi="黑体" w:eastAsia="黑体" w:cs="宋体"/>
      <w:b/>
      <w:sz w:val="32"/>
      <w:szCs w:val="24"/>
      <w:lang w:val="en-US" w:eastAsia="zh-CN" w:bidi="ar-SA"/>
    </w:rPr>
  </w:style>
  <w:style w:type="paragraph" w:customStyle="1" w:styleId="68">
    <w:name w:val="列出段落1"/>
    <w:basedOn w:val="1"/>
    <w:qFormat/>
    <w:uiPriority w:val="0"/>
    <w:pPr>
      <w:ind w:firstLine="420" w:firstLineChars="200"/>
    </w:pPr>
    <w:rPr>
      <w:szCs w:val="21"/>
    </w:rPr>
  </w:style>
  <w:style w:type="paragraph" w:customStyle="1" w:styleId="69">
    <w:name w:val="Normal_22"/>
    <w:qFormat/>
    <w:uiPriority w:val="0"/>
    <w:rPr>
      <w:rFonts w:ascii="Times New Roman" w:hAnsi="Times New Roman" w:eastAsia="Times New Roman" w:cs="Times New Roman"/>
      <w:sz w:val="24"/>
      <w:szCs w:val="24"/>
      <w:lang w:val="en-US" w:eastAsia="zh-CN" w:bidi="ar-SA"/>
    </w:rPr>
  </w:style>
  <w:style w:type="paragraph" w:customStyle="1" w:styleId="70">
    <w:name w:val="UserStyle_66"/>
    <w:basedOn w:val="71"/>
    <w:qFormat/>
    <w:uiPriority w:val="0"/>
    <w:pPr>
      <w:jc w:val="both"/>
      <w:textAlignment w:val="baseline"/>
    </w:pPr>
    <w:rPr>
      <w:rFonts w:ascii="Calibri" w:hAnsi="Calibri" w:eastAsia="宋体"/>
      <w:kern w:val="2"/>
      <w:sz w:val="21"/>
      <w:szCs w:val="22"/>
      <w:lang w:val="en-US" w:eastAsia="zh-CN" w:bidi="ar-SA"/>
    </w:rPr>
  </w:style>
  <w:style w:type="paragraph" w:customStyle="1" w:styleId="71">
    <w:name w:val="UserStyle_67"/>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72">
    <w:name w:val="UserStyle_122"/>
    <w:basedOn w:val="71"/>
    <w:qFormat/>
    <w:uiPriority w:val="0"/>
    <w:pPr>
      <w:widowControl/>
      <w:jc w:val="left"/>
      <w:textAlignment w:val="baseline"/>
    </w:pPr>
    <w:rPr>
      <w:rFonts w:ascii="黑体" w:hAnsi="黑体" w:eastAsia="黑体" w:cs="宋体"/>
      <w:b/>
      <w:bCs/>
      <w:kern w:val="0"/>
      <w:sz w:val="32"/>
      <w:szCs w:val="32"/>
      <w:lang w:val="en-US" w:eastAsia="zh-CN" w:bidi="ar-SA"/>
    </w:rPr>
  </w:style>
  <w:style w:type="paragraph" w:customStyle="1" w:styleId="73">
    <w:name w:val="UserStyle_123"/>
    <w:basedOn w:val="71"/>
    <w:next w:val="74"/>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74">
    <w:name w:val="UserStyle_124"/>
    <w:basedOn w:val="73"/>
    <w:qFormat/>
    <w:uiPriority w:val="0"/>
    <w:pPr>
      <w:snapToGrid w:val="0"/>
      <w:jc w:val="left"/>
      <w:textAlignment w:val="baseline"/>
    </w:pPr>
    <w:rPr>
      <w:rFonts w:ascii="Calibri" w:hAnsi="Calibri" w:eastAsia="宋体"/>
      <w:kern w:val="2"/>
      <w:sz w:val="18"/>
      <w:szCs w:val="18"/>
      <w:lang w:val="en-US" w:eastAsia="zh-CN" w:bidi="ar-SA"/>
    </w:rPr>
  </w:style>
  <w:style w:type="paragraph" w:customStyle="1" w:styleId="75">
    <w:name w:val="UserStyle_125"/>
    <w:basedOn w:val="71"/>
    <w:qFormat/>
    <w:uiPriority w:val="0"/>
    <w:pPr>
      <w:jc w:val="both"/>
      <w:textAlignment w:val="baseline"/>
    </w:pPr>
    <w:rPr>
      <w:rFonts w:ascii="Times New Roman" w:hAnsi="Times New Roman" w:eastAsia="宋体"/>
      <w:kern w:val="2"/>
      <w:sz w:val="21"/>
      <w:szCs w:val="21"/>
      <w:lang w:val="en-US" w:eastAsia="zh-CN" w:bidi="ar-SA"/>
    </w:rPr>
  </w:style>
  <w:style w:type="paragraph" w:styleId="76">
    <w:name w:val="List Paragraph"/>
    <w:basedOn w:val="1"/>
    <w:qFormat/>
    <w:uiPriority w:val="34"/>
    <w:pPr>
      <w:numPr>
        <w:ilvl w:val="0"/>
        <w:numId w:val="1"/>
      </w:numPr>
    </w:pPr>
  </w:style>
  <w:style w:type="paragraph" w:customStyle="1" w:styleId="77">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8">
    <w:name w:val="Table Text"/>
    <w:basedOn w:val="1"/>
    <w:qFormat/>
    <w:uiPriority w:val="0"/>
    <w:rPr>
      <w:rFonts w:ascii="微软雅黑" w:hAnsi="微软雅黑" w:eastAsia="微软雅黑" w:cs="微软雅黑"/>
      <w:sz w:val="24"/>
      <w:szCs w:val="24"/>
      <w:lang w:val="en-US" w:eastAsia="en-US" w:bidi="ar-SA"/>
    </w:rPr>
  </w:style>
  <w:style w:type="table" w:customStyle="1" w:styleId="79">
    <w:name w:val="Table Normal"/>
    <w:qFormat/>
    <w:uiPriority w:val="0"/>
    <w:rPr>
      <w:lang w:val="en-US" w:eastAsia="zh-CN" w:bidi="ar-SA"/>
    </w:rPr>
    <w:tblPr>
      <w:tblCellMar>
        <w:top w:w="0" w:type="dxa"/>
        <w:left w:w="0" w:type="dxa"/>
        <w:bottom w:w="0" w:type="dxa"/>
        <w:right w:w="0" w:type="dxa"/>
      </w:tblCellMar>
    </w:tblPr>
  </w:style>
  <w:style w:type="paragraph" w:customStyle="1" w:styleId="80">
    <w:name w:val="正"/>
    <w:basedOn w:val="81"/>
    <w:qFormat/>
    <w:uiPriority w:val="0"/>
    <w:pPr>
      <w:ind w:firstLine="525"/>
    </w:pPr>
    <w:rPr>
      <w:spacing w:val="20"/>
      <w:szCs w:val="20"/>
    </w:rPr>
  </w:style>
  <w:style w:type="paragraph" w:customStyle="1" w:styleId="81">
    <w:name w:val="正文_1"/>
    <w:basedOn w:val="38"/>
    <w:next w:val="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正文_13_0"/>
    <w:basedOn w:val="83"/>
    <w:next w:val="84"/>
    <w:qFormat/>
    <w:uiPriority w:val="0"/>
    <w:pPr>
      <w:widowControl w:val="0"/>
      <w:jc w:val="both"/>
    </w:pPr>
    <w:rPr>
      <w:kern w:val="2"/>
      <w:sz w:val="21"/>
      <w:szCs w:val="22"/>
      <w:lang w:val="en-US" w:eastAsia="zh-CN" w:bidi="ar-SA"/>
    </w:rPr>
  </w:style>
  <w:style w:type="paragraph" w:customStyle="1" w:styleId="83">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正文文本_2_0"/>
    <w:basedOn w:val="85"/>
    <w:qFormat/>
    <w:uiPriority w:val="0"/>
    <w:pPr>
      <w:spacing w:after="120"/>
    </w:pPr>
  </w:style>
  <w:style w:type="paragraph" w:customStyle="1" w:styleId="85">
    <w:name w:val="正文_4_0"/>
    <w:basedOn w:val="86"/>
    <w:next w:val="84"/>
    <w:qFormat/>
    <w:uiPriority w:val="0"/>
    <w:rPr>
      <w:rFonts w:ascii="Calibri" w:hAnsi="Calibri"/>
      <w:szCs w:val="22"/>
    </w:rPr>
  </w:style>
  <w:style w:type="paragraph" w:customStyle="1" w:styleId="86">
    <w:name w:val="正文_4_1"/>
    <w:basedOn w:val="55"/>
    <w:qFormat/>
    <w:uiPriority w:val="0"/>
    <w:rPr>
      <w:rFonts w:ascii="Times New Roman" w:hAnsi="Times New Roman" w:cs="Times New Roman"/>
      <w:szCs w:val="24"/>
    </w:rPr>
  </w:style>
  <w:style w:type="paragraph" w:customStyle="1" w:styleId="87">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8">
    <w:name w:val="BodyTextIndent"/>
    <w:basedOn w:val="1"/>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paragraph" w:customStyle="1" w:styleId="89">
    <w:name w:val="1"/>
    <w:basedOn w:val="1"/>
    <w:next w:val="76"/>
    <w:qFormat/>
    <w:uiPriority w:val="34"/>
    <w:pPr>
      <w:ind w:firstLine="420" w:firstLineChars="200"/>
    </w:pPr>
    <w:rPr>
      <w:rFonts w:ascii="Calibri" w:hAnsi="Calibri"/>
      <w:szCs w:val="22"/>
    </w:rPr>
  </w:style>
  <w:style w:type="paragraph" w:customStyle="1" w:styleId="90">
    <w:name w:val="_Style 19"/>
    <w:basedOn w:val="1"/>
    <w:next w:val="76"/>
    <w:qFormat/>
    <w:uiPriority w:val="34"/>
    <w:pPr>
      <w:ind w:firstLine="420" w:firstLineChars="200"/>
    </w:pPr>
    <w:rPr>
      <w:rFonts w:ascii="Calibri" w:hAnsi="Calibri"/>
      <w:szCs w:val="22"/>
    </w:rPr>
  </w:style>
  <w:style w:type="paragraph" w:customStyle="1" w:styleId="91">
    <w:name w:val="HtmlNormal"/>
    <w:basedOn w:val="1"/>
    <w:qFormat/>
    <w:uiPriority w:val="0"/>
    <w:pPr>
      <w:jc w:val="both"/>
      <w:textAlignment w:val="baseline"/>
    </w:pPr>
    <w:rPr>
      <w:rFonts w:ascii="Calibri" w:hAnsi="Calibri"/>
      <w:kern w:val="2"/>
      <w:sz w:val="24"/>
      <w:szCs w:val="22"/>
      <w:lang w:val="en-US" w:eastAsia="zh-CN" w:bidi="ar-SA"/>
    </w:rPr>
  </w:style>
  <w:style w:type="paragraph" w:customStyle="1" w:styleId="92">
    <w:name w:val="UserStyle_100"/>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93">
    <w:name w:val="无间隔1"/>
    <w:basedOn w:val="1"/>
    <w:qFormat/>
    <w:uiPriority w:val="1"/>
  </w:style>
  <w:style w:type="paragraph" w:customStyle="1" w:styleId="94">
    <w:name w:val="正文缩进_0_0"/>
    <w:basedOn w:val="95"/>
    <w:qFormat/>
    <w:uiPriority w:val="0"/>
    <w:pPr>
      <w:ind w:firstLine="420" w:firstLineChars="200"/>
    </w:pPr>
  </w:style>
  <w:style w:type="paragraph" w:customStyle="1" w:styleId="95">
    <w:name w:val="正文_0_1"/>
    <w:basedOn w:val="48"/>
    <w:next w:val="9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
    <w:name w:val="页脚_0"/>
    <w:basedOn w:val="81"/>
    <w:qFormat/>
    <w:uiPriority w:val="99"/>
    <w:pPr>
      <w:tabs>
        <w:tab w:val="center" w:pos="4153"/>
        <w:tab w:val="right" w:pos="8306"/>
      </w:tabs>
      <w:snapToGrid w:val="0"/>
      <w:jc w:val="left"/>
    </w:pPr>
    <w:rPr>
      <w:sz w:val="18"/>
      <w:szCs w:val="18"/>
    </w:rPr>
  </w:style>
  <w:style w:type="paragraph" w:customStyle="1" w:styleId="97">
    <w:name w:val="正文文本_0"/>
    <w:basedOn w:val="87"/>
    <w:qFormat/>
    <w:uiPriority w:val="0"/>
    <w:rPr>
      <w:rFonts w:ascii="Calibri" w:hAnsi="Calibri" w:eastAsia="黑体"/>
      <w:sz w:val="36"/>
      <w:szCs w:val="24"/>
    </w:rPr>
  </w:style>
  <w:style w:type="paragraph" w:customStyle="1" w:styleId="98">
    <w:name w:val="正文1_0"/>
    <w:basedOn w:val="39"/>
    <w:qFormat/>
    <w:uiPriority w:val="0"/>
    <w:pPr>
      <w:widowControl/>
      <w:adjustRightInd w:val="0"/>
      <w:spacing w:before="120" w:after="120"/>
      <w:ind w:firstLine="200" w:firstLineChars="200"/>
      <w:jc w:val="left"/>
    </w:pPr>
    <w:rPr>
      <w:rFonts w:ascii="Times New Roman" w:hAnsi="Times New Roman" w:eastAsia="Adobe 仿宋 Std R" w:cs="Times New Roman"/>
    </w:rPr>
  </w:style>
  <w:style w:type="paragraph" w:customStyle="1" w:styleId="99">
    <w:name w:val="Default_0"/>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00">
    <w:name w:val="Heading #5|1"/>
    <w:basedOn w:val="1"/>
    <w:qFormat/>
    <w:uiPriority w:val="0"/>
    <w:pPr>
      <w:widowControl w:val="0"/>
      <w:shd w:val="clear" w:color="auto" w:fill="auto"/>
      <w:spacing w:line="391" w:lineRule="auto"/>
      <w:ind w:firstLine="440"/>
      <w:outlineLvl w:val="4"/>
    </w:pPr>
    <w:rPr>
      <w:rFonts w:ascii="宋体" w:hAnsi="宋体" w:eastAsia="宋体" w:cs="宋体"/>
      <w:b/>
      <w:bCs/>
      <w:sz w:val="22"/>
      <w:szCs w:val="22"/>
      <w:u w:val="none"/>
      <w:shd w:val="clear" w:color="auto" w:fill="auto"/>
      <w:lang w:val="zh-TW" w:eastAsia="zh-TW" w:bidi="zh-TW"/>
    </w:rPr>
  </w:style>
  <w:style w:type="paragraph" w:customStyle="1" w:styleId="101">
    <w:name w:val="Body text|1"/>
    <w:basedOn w:val="1"/>
    <w:qFormat/>
    <w:uiPriority w:val="0"/>
    <w:pPr>
      <w:widowControl w:val="0"/>
      <w:shd w:val="clear" w:color="auto" w:fill="auto"/>
      <w:spacing w:line="394" w:lineRule="auto"/>
      <w:ind w:firstLine="400"/>
    </w:pPr>
    <w:rPr>
      <w:rFonts w:ascii="宋体" w:hAnsi="宋体" w:eastAsia="宋体" w:cs="宋体"/>
      <w:sz w:val="22"/>
      <w:szCs w:val="22"/>
      <w:u w:val="none"/>
      <w:shd w:val="clear" w:color="auto" w:fill="auto"/>
      <w:lang w:val="zh-TW" w:eastAsia="zh-TW" w:bidi="zh-TW"/>
    </w:rPr>
  </w:style>
  <w:style w:type="paragraph" w:customStyle="1" w:styleId="102">
    <w:name w:val="Body text|2"/>
    <w:basedOn w:val="1"/>
    <w:qFormat/>
    <w:uiPriority w:val="0"/>
    <w:pPr>
      <w:widowControl w:val="0"/>
      <w:shd w:val="clear" w:color="auto" w:fill="auto"/>
      <w:spacing w:after="500"/>
      <w:ind w:left="800"/>
    </w:pPr>
    <w:rPr>
      <w:rFonts w:ascii="宋体" w:hAnsi="宋体" w:eastAsia="宋体" w:cs="宋体"/>
      <w:sz w:val="26"/>
      <w:szCs w:val="26"/>
      <w:u w:val="none"/>
      <w:shd w:val="clear" w:color="auto" w:fill="auto"/>
      <w:lang w:val="zh-TW" w:eastAsia="zh-TW" w:bidi="zh-TW"/>
    </w:rPr>
  </w:style>
  <w:style w:type="paragraph" w:customStyle="1" w:styleId="103">
    <w:name w:val="列出段落2"/>
    <w:basedOn w:val="1"/>
    <w:qFormat/>
    <w:uiPriority w:val="99"/>
    <w:pPr>
      <w:ind w:firstLine="420" w:firstLineChars="200"/>
    </w:pPr>
    <w:rPr>
      <w:rFonts w:ascii="Calibri" w:hAnsi="Calibri"/>
      <w:szCs w:val="22"/>
    </w:rPr>
  </w:style>
  <w:style w:type="paragraph" w:customStyle="1" w:styleId="104">
    <w:name w:val="p15"/>
    <w:basedOn w:val="1"/>
    <w:qFormat/>
    <w:uiPriority w:val="0"/>
    <w:pPr>
      <w:widowControl/>
      <w:adjustRightInd w:val="0"/>
      <w:jc w:val="left"/>
    </w:pPr>
    <w:rPr>
      <w:rFonts w:ascii="Arial Unicode MS" w:hAnsi="Arial Unicode MS" w:eastAsia="宋体" w:cs="宋体"/>
      <w:color w:val="000000"/>
      <w:kern w:val="0"/>
      <w:sz w:val="24"/>
      <w:szCs w:val="24"/>
    </w:rPr>
  </w:style>
  <w:style w:type="paragraph" w:customStyle="1" w:styleId="105">
    <w:name w:val="表格正文文字"/>
    <w:basedOn w:val="1"/>
    <w:qFormat/>
    <w:uiPriority w:val="0"/>
    <w:pPr>
      <w:autoSpaceDE w:val="0"/>
      <w:autoSpaceDN w:val="0"/>
      <w:adjustRightInd w:val="0"/>
      <w:snapToGrid w:val="0"/>
      <w:spacing w:after="0" w:line="240" w:lineRule="auto"/>
      <w:ind w:left="105" w:leftChars="50" w:firstLine="0" w:firstLineChars="0"/>
      <w:jc w:val="left"/>
    </w:pPr>
    <w:rPr>
      <w:rFonts w:hint="eastAsia" w:ascii="微软雅黑" w:hAnsi="微软雅黑" w:eastAsia="微软雅黑" w:cs="Arial"/>
      <w:szCs w:val="21"/>
    </w:rPr>
  </w:style>
  <w:style w:type="character" w:customStyle="1" w:styleId="106">
    <w:name w:val="font11"/>
    <w:basedOn w:val="24"/>
    <w:qFormat/>
    <w:uiPriority w:val="0"/>
    <w:rPr>
      <w:rFonts w:hint="eastAsia" w:ascii="宋体" w:hAnsi="宋体" w:eastAsia="宋体" w:cs="宋体"/>
      <w:color w:val="000000"/>
      <w:sz w:val="21"/>
      <w:szCs w:val="21"/>
      <w:u w:val="none"/>
    </w:rPr>
  </w:style>
  <w:style w:type="character" w:customStyle="1" w:styleId="107">
    <w:name w:val="font21"/>
    <w:basedOn w:val="24"/>
    <w:qFormat/>
    <w:uiPriority w:val="0"/>
    <w:rPr>
      <w:rFonts w:hint="eastAsia" w:ascii="宋体" w:hAnsi="宋体" w:eastAsia="宋体" w:cs="宋体"/>
      <w:color w:val="FF0000"/>
      <w:sz w:val="21"/>
      <w:szCs w:val="21"/>
      <w:u w:val="none"/>
    </w:rPr>
  </w:style>
  <w:style w:type="character" w:customStyle="1" w:styleId="108">
    <w:name w:val="font31"/>
    <w:basedOn w:val="24"/>
    <w:qFormat/>
    <w:uiPriority w:val="0"/>
    <w:rPr>
      <w:rFonts w:hint="eastAsia" w:ascii="仿宋" w:hAnsi="仿宋" w:eastAsia="仿宋" w:cs="仿宋"/>
      <w:color w:val="000000"/>
      <w:sz w:val="24"/>
      <w:szCs w:val="24"/>
      <w:u w:val="none"/>
    </w:rPr>
  </w:style>
  <w:style w:type="character" w:customStyle="1" w:styleId="109">
    <w:name w:val="font41"/>
    <w:basedOn w:val="24"/>
    <w:qFormat/>
    <w:uiPriority w:val="0"/>
    <w:rPr>
      <w:rFonts w:hint="eastAsia" w:ascii="仿宋" w:hAnsi="仿宋" w:eastAsia="仿宋" w:cs="仿宋"/>
      <w:color w:val="000000"/>
      <w:sz w:val="20"/>
      <w:szCs w:val="20"/>
      <w:u w:val="none"/>
    </w:rPr>
  </w:style>
  <w:style w:type="paragraph" w:customStyle="1" w:styleId="110">
    <w:name w:val="UserStyle_37"/>
    <w:qFormat/>
    <w:uiPriority w:val="0"/>
    <w:pPr>
      <w:widowControl/>
      <w:textAlignment w:val="baseline"/>
    </w:pPr>
    <w:rPr>
      <w:rFonts w:ascii="黑体" w:hAnsi="黑体" w:eastAsia="黑体" w:cs="Times New Roman"/>
      <w:b/>
      <w:sz w:val="32"/>
      <w:szCs w:val="24"/>
      <w:lang w:val="en-US" w:bidi="ar-SA"/>
    </w:rPr>
  </w:style>
  <w:style w:type="paragraph" w:customStyle="1" w:styleId="111">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2">
    <w:name w:val="UserStyle_0"/>
    <w:next w:val="1"/>
    <w:qFormat/>
    <w:uiPriority w:val="0"/>
    <w:pPr>
      <w:textAlignment w:val="baseline"/>
    </w:pPr>
    <w:rPr>
      <w:rFonts w:ascii="宋体" w:hAnsi="宋体" w:eastAsia="宋体" w:cs="Times New Roman"/>
      <w:color w:val="000000"/>
      <w:sz w:val="24"/>
      <w:szCs w:val="24"/>
      <w:lang w:val="en-US" w:eastAsia="zh-CN" w:bidi="ar-SA"/>
    </w:rPr>
  </w:style>
  <w:style w:type="paragraph" w:customStyle="1" w:styleId="113">
    <w:name w:val="样式 首行缩进:  2 字符"/>
    <w:basedOn w:val="1"/>
    <w:qFormat/>
    <w:uiPriority w:val="0"/>
    <w:pPr>
      <w:spacing w:line="400" w:lineRule="exact"/>
      <w:ind w:firstLine="200" w:firstLineChars="200"/>
    </w:pPr>
    <w:rPr>
      <w:rFonts w:cs="宋体"/>
      <w:sz w:val="24"/>
    </w:rPr>
  </w:style>
  <w:style w:type="paragraph" w:customStyle="1" w:styleId="114">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118</Pages>
  <Words>32345</Words>
  <Characters>34793</Characters>
  <Paragraphs>3491</Paragraphs>
  <TotalTime>4</TotalTime>
  <ScaleCrop>false</ScaleCrop>
  <LinksUpToDate>false</LinksUpToDate>
  <CharactersWithSpaces>35547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2024-04-11T05:01:00Z</dcterms:created>
  <dc:creator>Administrator</dc:creator>
  <cp:lastModifiedBy>马琴琴琴琴琴</cp:lastModifiedBy>
  <cp:lastPrinted>2025-08-05T04:27:00Z</cp:lastPrinted>
  <dcterms:modified xsi:type="dcterms:W3CDTF">2026-05-09T09:18:42Z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C538418D0C97455DA54D89E1F232463E_13</vt:lpwstr>
  </property>
  <property fmtid="{D5CDD505-2E9C-101B-9397-08002B2CF9AE}" pid="4" name="KSOTemplateDocerSaveRecord">
    <vt:lpwstr>eyJoZGlkIjoiNGIyNjIzOTAxZWMyN2Y5YzVhNGJlODQ3YjIwZjk2YmYiLCJ1c2VySWQiOiIyNDIzOTU1MjAifQ==</vt:lpwstr>
  </property>
</Properties>
</file>