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jc w:val="center"/>
        <w:rPr>
          <w:rFonts w:hint="eastAsia" w:ascii="微软雅黑" w:hAnsi="微软雅黑" w:cs="微软雅黑"/>
          <w:b/>
          <w:bCs/>
          <w:sz w:val="84"/>
          <w:szCs w:val="84"/>
          <w:highlight w:val="none"/>
        </w:rPr>
      </w:pPr>
      <w:r/>
      <w:bookmarkStart w:id="0" w:name="_Toc19040"/>
      <w:r/>
      <w:bookmarkStart w:id="1" w:name="__第一章_公开招标公告"/>
      <w:r/>
      <w:bookmarkStart w:id="2" w:name="_Toc452384169"/>
      <w:r>
        <w:rPr>
          <w:rFonts w:hint="eastAsia" w:ascii="微软雅黑" w:hAnsi="微软雅黑" w:cs="微软雅黑"/>
          <w:sz w:val="84"/>
          <w:szCs w:val="84"/>
          <w:highlight w:val="none"/>
        </w:rPr>
        <w:t xml:space="preserve">采购文件</w:t>
      </w:r>
      <w:r/>
    </w:p>
    <w:p>
      <w:pPr>
        <w:jc w:val="center"/>
        <w:rPr>
          <w:rFonts w:hint="eastAsia" w:ascii="微软雅黑" w:hAnsi="微软雅黑" w:cs="微软雅黑"/>
          <w:sz w:val="52"/>
          <w:szCs w:val="52"/>
          <w:highlight w:val="none"/>
        </w:rPr>
      </w:pPr>
      <w:r>
        <w:rPr>
          <w:rFonts w:hint="eastAsia" w:ascii="微软雅黑" w:hAnsi="微软雅黑" w:cs="微软雅黑"/>
          <w:sz w:val="52"/>
          <w:szCs w:val="52"/>
          <w:highlight w:val="none"/>
        </w:rPr>
        <w:t xml:space="preserve">（公开招标）</w:t>
      </w:r>
      <w:r/>
    </w:p>
    <w:p>
      <w:pPr>
        <w:rPr>
          <w:rStyle w:val="1414"/>
          <w:rFonts w:hint="eastAsia" w:ascii="微软雅黑" w:hAnsi="微软雅黑" w:cs="微软雅黑"/>
          <w:color w:val="000000"/>
          <w:highlight w:val="none"/>
        </w:rPr>
      </w:pPr>
      <w:r>
        <w:rPr>
          <w:rFonts w:hint="eastAsia" w:ascii="微软雅黑" w:hAnsi="微软雅黑" w:cs="微软雅黑"/>
          <w:color w:val="000000"/>
          <w:highlight w:val="none"/>
        </w:rPr>
      </w:r>
      <w:r/>
    </w:p>
    <w:p>
      <w:pPr>
        <w:jc w:val="left"/>
        <w:rPr>
          <w:rFonts w:hint="eastAsia" w:ascii="微软雅黑" w:hAnsi="微软雅黑" w:cs="微软雅黑"/>
          <w:sz w:val="36"/>
          <w:highlight w:val="none"/>
        </w:rPr>
      </w:pPr>
      <w:r>
        <w:rPr>
          <w:rFonts w:hint="eastAsia" w:ascii="微软雅黑" w:hAnsi="微软雅黑" w:cs="微软雅黑"/>
          <w:sz w:val="36"/>
          <w:highlight w:val="none"/>
        </w:rPr>
      </w:r>
      <w:r/>
    </w:p>
    <w:p>
      <w:pPr>
        <w:pStyle w:val="1362"/>
        <w:ind w:left="0"/>
        <w:rPr>
          <w:highlight w:val="none"/>
        </w:rPr>
      </w:pPr>
      <w:r>
        <w:rPr>
          <w:highlight w:val="none"/>
        </w:rPr>
      </w:r>
      <w:r/>
    </w:p>
    <w:p>
      <w:pPr>
        <w:rPr>
          <w:highlight w:val="none"/>
        </w:rPr>
      </w:pPr>
      <w:r>
        <w:rPr>
          <w:highlight w:val="none"/>
        </w:rPr>
      </w:r>
      <w:r/>
    </w:p>
    <w:p>
      <w:pPr>
        <w:jc w:val="left"/>
        <w:rPr>
          <w:rFonts w:hint="eastAsia" w:ascii="微软雅黑" w:hAnsi="微软雅黑" w:cs="微软雅黑"/>
          <w:sz w:val="36"/>
          <w:highlight w:val="none"/>
        </w:rPr>
      </w:pPr>
      <w:r>
        <w:rPr>
          <w:rFonts w:hint="eastAsia" w:ascii="微软雅黑" w:hAnsi="微软雅黑" w:cs="微软雅黑"/>
          <w:sz w:val="36"/>
          <w:highlight w:val="none"/>
        </w:rPr>
      </w:r>
      <w:r/>
    </w:p>
    <w:p>
      <w:pPr>
        <w:ind w:left="2340" w:hanging="1500"/>
        <w:jc w:val="left"/>
        <w:spacing w:before="120"/>
        <w:rPr>
          <w:rFonts w:hint="default" w:ascii="微软雅黑" w:hAnsi="微软雅黑" w:cs="微软雅黑"/>
          <w:sz w:val="30"/>
          <w:szCs w:val="30"/>
          <w:highlight w:val="none"/>
          <w:lang w:val="en-US"/>
        </w:rPr>
      </w:pPr>
      <w:r>
        <w:rPr>
          <w:rFonts w:hint="eastAsia" w:ascii="微软雅黑" w:hAnsi="微软雅黑" w:cs="微软雅黑"/>
          <w:sz w:val="30"/>
          <w:szCs w:val="30"/>
          <w:highlight w:val="none"/>
        </w:rPr>
        <w:t xml:space="preserve">项目编号：</w:t>
      </w:r>
      <w:r>
        <w:rPr>
          <w:rFonts w:hint="default" w:ascii="微软雅黑" w:hAnsi="微软雅黑" w:cs="微软雅黑"/>
          <w:color w:val="000000" w:themeColor="text1"/>
          <w:sz w:val="30"/>
          <w:szCs w:val="30"/>
          <w:highlight w:val="none"/>
          <w:lang w:val="en-US"/>
          <w14:textFill>
            <w14:solidFill>
              <w14:schemeClr w14:val="tx1"/>
            </w14:solidFill>
          </w14:textFill>
        </w:rPr>
        <w:t xml:space="preserve">JSZC-320000-JSHC-G2026-0015</w:t>
      </w:r>
      <w:r>
        <w:rPr>
          <w:rFonts w:hint="default" w:ascii="微软雅黑" w:hAnsi="微软雅黑" w:cs="微软雅黑"/>
          <w:color w:val="000000" w:themeColor="text1"/>
          <w:sz w:val="30"/>
          <w:szCs w:val="30"/>
          <w:highlight w:val="none"/>
          <w:lang w:val="en-US"/>
          <w14:textFill>
            <w14:solidFill>
              <w14:schemeClr w14:val="tx1"/>
            </w14:solidFill>
          </w14:textFill>
        </w:rPr>
        <w:tab/>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代理机构内部编号：JSHC-2026020054B2</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项目名称：南京医科大学疫苗平台小动物多通道核团神经信号采集系统采购</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采 购 人：南京医科大学</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代理机构：江苏省华采招标有限公司</w:t>
      </w:r>
      <w:r/>
    </w:p>
    <w:p>
      <w:pPr>
        <w:ind w:left="2580" w:hanging="2580"/>
        <w:jc w:val="center"/>
        <w:rPr>
          <w:rFonts w:hint="eastAsia" w:ascii="微软雅黑" w:hAnsi="微软雅黑" w:cs="微软雅黑"/>
          <w:sz w:val="30"/>
          <w:szCs w:val="30"/>
          <w:highlight w:val="none"/>
        </w:rPr>
      </w:pPr>
      <w:r>
        <w:rPr>
          <w:rFonts w:hint="eastAsia" w:ascii="微软雅黑" w:hAnsi="微软雅黑" w:cs="微软雅黑"/>
          <w:sz w:val="30"/>
          <w:szCs w:val="30"/>
          <w:highlight w:val="none"/>
        </w:rPr>
      </w:r>
      <w:r/>
    </w:p>
    <w:p>
      <w:pPr>
        <w:pStyle w:val="1362"/>
        <w:ind w:left="126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362"/>
        <w:ind w:left="1260"/>
        <w:rPr>
          <w:highlight w:val="none"/>
        </w:rPr>
      </w:pPr>
      <w:r>
        <w:rPr>
          <w:highlight w:val="none"/>
        </w:rPr>
      </w:r>
      <w:r/>
    </w:p>
    <w:p>
      <w:pPr>
        <w:pStyle w:val="1362"/>
        <w:ind w:left="0"/>
        <w:rPr>
          <w:highlight w:val="none"/>
        </w:rPr>
      </w:pPr>
      <w:r>
        <w:rPr>
          <w:highlight w:val="none"/>
        </w:rPr>
      </w:r>
      <w:r/>
    </w:p>
    <w:p>
      <w:pPr>
        <w:jc w:val="center"/>
        <w:rPr>
          <w:rFonts w:hint="eastAsia" w:ascii="微软雅黑" w:hAnsi="微软雅黑" w:cs="微软雅黑"/>
          <w:sz w:val="30"/>
          <w:szCs w:val="3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highlight w:val="none"/>
        </w:rPr>
        <w:t xml:space="preserve">2026年</w:t>
      </w:r>
      <w:r>
        <w:rPr>
          <w:rFonts w:hint="eastAsia" w:ascii="微软雅黑" w:hAnsi="微软雅黑" w:cs="微软雅黑"/>
          <w:spacing w:val="30"/>
          <w:sz w:val="32"/>
          <w:szCs w:val="32"/>
          <w:highlight w:val="none"/>
          <w:lang w:val="en-US" w:eastAsia="zh-CN"/>
        </w:rPr>
        <w:t xml:space="preserve">05</w:t>
      </w:r>
      <w:r>
        <w:rPr>
          <w:rFonts w:hint="eastAsia" w:ascii="微软雅黑" w:hAnsi="微软雅黑" w:cs="微软雅黑"/>
          <w:spacing w:val="30"/>
          <w:sz w:val="32"/>
          <w:szCs w:val="32"/>
          <w:highlight w:val="none"/>
        </w:rPr>
        <w:t xml:space="preserve">月</w:t>
      </w:r>
      <w:r/>
    </w:p>
    <w:p>
      <w:pPr>
        <w:jc w:val="center"/>
        <w:spacing w:line="400" w:lineRule="exact"/>
        <w:rPr>
          <w:rFonts w:hint="eastAsia" w:ascii="微软雅黑" w:hAnsi="微软雅黑" w:cs="微软雅黑"/>
          <w:b/>
          <w:bCs/>
          <w:sz w:val="30"/>
          <w:szCs w:val="30"/>
          <w:highlight w:val="none"/>
        </w:rPr>
      </w:pPr>
      <w:r>
        <w:rPr>
          <w:rFonts w:hint="eastAsia" w:ascii="微软雅黑" w:hAnsi="微软雅黑" w:cs="微软雅黑"/>
          <w:b/>
          <w:bCs/>
          <w:sz w:val="30"/>
          <w:szCs w:val="30"/>
          <w:highlight w:val="none"/>
        </w:rPr>
        <w:t xml:space="preserve">目录</w:t>
      </w:r>
      <w:r/>
    </w:p>
    <w:p>
      <w:pPr>
        <w:pStyle w:val="1172"/>
        <w:tabs>
          <w:tab w:val="right" w:pos="8300" w:leader="dot"/>
        </w:tabs>
      </w:pPr>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_Toc12037 </w:instrText>
      </w:r>
      <w:r>
        <w:rPr>
          <w:rFonts w:hint="eastAsia"/>
          <w:highlight w:val="none"/>
        </w:rP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_Toc12037 \h </w:instrText>
      </w:r>
      <w:r>
        <w:fldChar w:fldCharType="separate"/>
      </w:r>
      <w:r>
        <w:t xml:space="preserve">4</w:t>
      </w:r>
      <w:r>
        <w:fldChar w:fldCharType="end"/>
      </w:r>
      <w:r>
        <w:rPr>
          <w:rFonts w:hint="eastAsia"/>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_Toc8421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_Toc8421 \h </w:instrText>
      </w:r>
      <w:r>
        <w:fldChar w:fldCharType="separate"/>
      </w:r>
      <w:r>
        <w:t xml:space="preserve">8</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_Toc27265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_Toc27265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_Toc14886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1.1适用范围</w:t>
      </w:r>
      <w:r>
        <w:tab/>
      </w:r>
      <w:r>
        <w:fldChar w:fldCharType="begin"/>
      </w:r>
      <w:r>
        <w:instrText xml:space="preserve"> PAGEREF _Toc14886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_Toc26426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1.2合格的供应商</w:t>
      </w:r>
      <w:r>
        <w:tab/>
      </w:r>
      <w:r>
        <w:fldChar w:fldCharType="begin"/>
      </w:r>
      <w:r>
        <w:instrText xml:space="preserve"> PAGEREF _Toc26426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_Toc26532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1.3参加采购活动费用</w:t>
      </w:r>
      <w:r>
        <w:tab/>
      </w:r>
      <w:r>
        <w:fldChar w:fldCharType="begin"/>
      </w:r>
      <w:r>
        <w:instrText xml:space="preserve"> PAGEREF _Toc26532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_Toc31844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1.4法律适用</w:t>
      </w:r>
      <w:r>
        <w:tab/>
      </w:r>
      <w:r>
        <w:fldChar w:fldCharType="begin"/>
      </w:r>
      <w:r>
        <w:instrText xml:space="preserve"> PAGEREF _Toc31844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_Toc13661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1.5采购文件的约束力</w:t>
      </w:r>
      <w:r>
        <w:tab/>
      </w:r>
      <w:r>
        <w:fldChar w:fldCharType="begin"/>
      </w:r>
      <w:r>
        <w:instrText xml:space="preserve"> PAGEREF _Toc13661 \h </w:instrText>
      </w:r>
      <w:r>
        <w:fldChar w:fldCharType="separate"/>
      </w:r>
      <w:r>
        <w:t xml:space="preserve">10</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_Toc14643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二、采购文件</w:t>
      </w:r>
      <w:r>
        <w:tab/>
      </w:r>
      <w:r>
        <w:fldChar w:fldCharType="begin"/>
      </w:r>
      <w:r>
        <w:instrText xml:space="preserve"> PAGEREF _Toc14643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_Toc9247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2.1采购文件的组成</w:t>
      </w:r>
      <w:r>
        <w:tab/>
      </w:r>
      <w:r>
        <w:fldChar w:fldCharType="begin"/>
      </w:r>
      <w:r>
        <w:instrText xml:space="preserve"> PAGEREF _Toc9247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_Toc14340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2.2采购文件的更正或补充</w:t>
      </w:r>
      <w:r>
        <w:tab/>
      </w:r>
      <w:r>
        <w:fldChar w:fldCharType="begin"/>
      </w:r>
      <w:r>
        <w:instrText xml:space="preserve"> PAGEREF _Toc14340 \h </w:instrText>
      </w:r>
      <w:r>
        <w:fldChar w:fldCharType="separate"/>
      </w:r>
      <w:r>
        <w:t xml:space="preserve">11</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_Toc5771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三、投标文件</w:t>
      </w:r>
      <w:r>
        <w:tab/>
      </w:r>
      <w:r>
        <w:fldChar w:fldCharType="begin"/>
      </w:r>
      <w:r>
        <w:instrText xml:space="preserve"> PAGEREF _Toc5771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_Toc9154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3.1投标文件的语言及度量衡</w:t>
      </w:r>
      <w:r>
        <w:tab/>
      </w:r>
      <w:r>
        <w:fldChar w:fldCharType="begin"/>
      </w:r>
      <w:r>
        <w:instrText xml:space="preserve"> PAGEREF _Toc9154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_Toc23404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3.2投标文件的组成</w:t>
      </w:r>
      <w:r>
        <w:tab/>
      </w:r>
      <w:r>
        <w:fldChar w:fldCharType="begin"/>
      </w:r>
      <w:r>
        <w:instrText xml:space="preserve"> PAGEREF _Toc23404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_Toc18797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3.3投标报价</w:t>
      </w:r>
      <w:r>
        <w:tab/>
      </w:r>
      <w:r>
        <w:fldChar w:fldCharType="begin"/>
      </w:r>
      <w:r>
        <w:instrText xml:space="preserve"> PAGEREF _Toc18797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_Toc26522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3.4投标报价中的货币</w:t>
      </w:r>
      <w:r>
        <w:tab/>
      </w:r>
      <w:r>
        <w:fldChar w:fldCharType="begin"/>
      </w:r>
      <w:r>
        <w:instrText xml:space="preserve"> PAGEREF _Toc26522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_Toc7925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3.5投标保证金：无</w:t>
      </w:r>
      <w:r>
        <w:tab/>
      </w:r>
      <w:r>
        <w:fldChar w:fldCharType="begin"/>
      </w:r>
      <w:r>
        <w:instrText xml:space="preserve"> PAGEREF _Toc7925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_Toc9201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3.6投标有效期</w:t>
      </w:r>
      <w:r>
        <w:tab/>
      </w:r>
      <w:r>
        <w:fldChar w:fldCharType="begin"/>
      </w:r>
      <w:r>
        <w:instrText xml:space="preserve"> PAGEREF _Toc9201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_Toc12737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3.7投标文件的签署、形式及装订</w:t>
      </w:r>
      <w:r>
        <w:tab/>
      </w:r>
      <w:r>
        <w:fldChar w:fldCharType="begin"/>
      </w:r>
      <w:r>
        <w:instrText xml:space="preserve"> PAGEREF _Toc12737 \h </w:instrText>
      </w:r>
      <w:r>
        <w:fldChar w:fldCharType="separate"/>
      </w:r>
      <w:r>
        <w:t xml:space="preserve">12</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_Toc6198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_Toc6198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_Toc17051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w:t>
      </w:r>
      <w:r>
        <w:rPr>
          <w:rFonts w:hint="eastAsia" w:ascii="微软雅黑" w:hAnsi="微软雅黑" w:eastAsia="微软雅黑" w:cs="微软雅黑"/>
          <w:bCs w:val="0"/>
          <w:szCs w:val="21"/>
          <w:highlight w:val="none"/>
        </w:rPr>
        <w:t xml:space="preserve">有下列情形的投标文件将被拒收</w:t>
      </w:r>
      <w:r>
        <w:tab/>
      </w:r>
      <w:r>
        <w:fldChar w:fldCharType="begin"/>
      </w:r>
      <w:r>
        <w:instrText xml:space="preserve"> PAGEREF _Toc17051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_Toc16853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4.2.1</w:t>
      </w:r>
      <w:r>
        <w:rPr>
          <w:rFonts w:hint="eastAsia" w:ascii="微软雅黑" w:hAnsi="微软雅黑" w:eastAsia="微软雅黑" w:cs="微软雅黑"/>
          <w:bCs w:val="0"/>
          <w:szCs w:val="21"/>
          <w:highlight w:val="none"/>
        </w:rPr>
        <w:t xml:space="preserve">投标人未按照《操作手册》规定，在“苏采云”系统规定的时间内对投标文件进行解密的。</w:t>
      </w:r>
      <w:r>
        <w:tab/>
      </w:r>
      <w:r>
        <w:fldChar w:fldCharType="begin"/>
      </w:r>
      <w:r>
        <w:instrText xml:space="preserve"> PAGEREF _Toc16853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_Toc16859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4.2.2</w:t>
      </w:r>
      <w:r>
        <w:rPr>
          <w:rFonts w:hint="eastAsia" w:ascii="微软雅黑" w:hAnsi="微软雅黑" w:eastAsia="微软雅黑" w:cs="微软雅黑"/>
          <w:bCs w:val="0"/>
          <w:szCs w:val="21"/>
          <w:highlight w:val="none"/>
        </w:rPr>
        <w:t xml:space="preserve">投标人应充分考虑网络环境、网络带宽等因素可能对投标产生的影响，如因投标人自身原因造成的电子投标文件解密不成功的，做无效投标处理</w:t>
      </w:r>
      <w:r>
        <w:rPr>
          <w:rFonts w:hint="eastAsia" w:ascii="微软雅黑" w:hAnsi="微软雅黑" w:eastAsia="微软雅黑" w:cs="微软雅黑"/>
          <w:bCs w:val="0"/>
          <w:szCs w:val="21"/>
          <w:highlight w:val="none"/>
          <w:lang w:val="en-US" w:eastAsia="zh-CN"/>
        </w:rPr>
        <w:t xml:space="preserve">,</w:t>
      </w:r>
      <w:r>
        <w:rPr>
          <w:rFonts w:ascii="微软雅黑" w:hAnsi="微软雅黑" w:eastAsia="微软雅黑" w:cs="微软雅黑"/>
          <w:i w:val="0"/>
          <w:iCs w:val="0"/>
          <w:caps w:val="0"/>
          <w:spacing w:val="0"/>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苏采云</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系统规定的时间</w:t>
      </w:r>
      <w:r>
        <w:rPr>
          <w:rFonts w:ascii="微软雅黑" w:hAnsi="微软雅黑" w:eastAsia="微软雅黑" w:cs="微软雅黑"/>
          <w:i w:val="0"/>
          <w:iCs w:val="0"/>
          <w:caps w:val="0"/>
          <w:spacing w:val="0"/>
          <w:szCs w:val="21"/>
          <w:highlight w:val="none"/>
          <w:shd w:val="clear" w:color="auto" w:fill="ffffff"/>
        </w:rPr>
        <w:t xml:space="preserve">内完成签到或解密的情况除外。</w:t>
      </w:r>
      <w:r>
        <w:tab/>
      </w:r>
      <w:r>
        <w:fldChar w:fldCharType="begin"/>
      </w:r>
      <w:r>
        <w:instrText xml:space="preserve"> PAGEREF _Toc16859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_Toc7646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3</w:t>
      </w:r>
      <w:r>
        <w:rPr>
          <w:rFonts w:hint="eastAsia" w:ascii="微软雅黑" w:hAnsi="微软雅黑" w:eastAsia="微软雅黑" w:cs="微软雅黑"/>
          <w:bCs w:val="0"/>
          <w:szCs w:val="21"/>
          <w:highlight w:val="none"/>
        </w:rPr>
        <w:t xml:space="preserve"> 投标截止时间</w:t>
      </w:r>
      <w:r>
        <w:tab/>
      </w:r>
      <w:r>
        <w:fldChar w:fldCharType="begin"/>
      </w:r>
      <w:r>
        <w:instrText xml:space="preserve"> PAGEREF _Toc7646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_Toc13827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4</w:t>
      </w:r>
      <w:r>
        <w:rPr>
          <w:rFonts w:hint="eastAsia" w:ascii="微软雅黑" w:hAnsi="微软雅黑" w:eastAsia="微软雅黑" w:cs="微软雅黑"/>
          <w:bCs w:val="0"/>
          <w:szCs w:val="21"/>
          <w:highlight w:val="none"/>
        </w:rPr>
        <w:t xml:space="preserve"> 投标文件的修改和撤回</w:t>
      </w:r>
      <w:r>
        <w:tab/>
      </w:r>
      <w:r>
        <w:fldChar w:fldCharType="begin"/>
      </w:r>
      <w:r>
        <w:instrText xml:space="preserve"> PAGEREF _Toc13827 \h </w:instrText>
      </w:r>
      <w:r>
        <w:fldChar w:fldCharType="separate"/>
      </w:r>
      <w:r>
        <w:t xml:space="preserve">13</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_Toc26548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lang w:val="en-US" w:eastAsia="zh-CN" w:bidi="ar-SA"/>
        </w:rPr>
        <w:t xml:space="preserve">五、开标与评标</w:t>
      </w:r>
      <w:r>
        <w:tab/>
      </w:r>
      <w:r>
        <w:fldChar w:fldCharType="begin"/>
      </w:r>
      <w:r>
        <w:instrText xml:space="preserve"> PAGEREF _Toc26548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_Toc10289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5.1 投标文件启封</w:t>
      </w:r>
      <w:r>
        <w:tab/>
      </w:r>
      <w:r>
        <w:fldChar w:fldCharType="begin"/>
      </w:r>
      <w:r>
        <w:instrText xml:space="preserve"> PAGEREF _Toc10289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_Toc23099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5.2 评标委员会</w:t>
      </w:r>
      <w:r>
        <w:tab/>
      </w:r>
      <w:r>
        <w:fldChar w:fldCharType="begin"/>
      </w:r>
      <w:r>
        <w:instrText xml:space="preserve"> PAGEREF _Toc23099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_Toc19719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5.3 对投标文件的资格性审查和符合性审查</w:t>
      </w:r>
      <w:r>
        <w:tab/>
      </w:r>
      <w:r>
        <w:fldChar w:fldCharType="begin"/>
      </w:r>
      <w:r>
        <w:instrText xml:space="preserve"> PAGEREF _Toc19719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_Toc28567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_Toc28567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_Toc5631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_Toc5631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_Toc15281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_Toc15281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_Toc30281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_Toc30281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_Toc8227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_Toc8227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_Toc16290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_Toc16290 \h </w:instrText>
      </w:r>
      <w:r>
        <w:fldChar w:fldCharType="separate"/>
      </w:r>
      <w:r>
        <w:t xml:space="preserve">16</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_Toc19509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_Toc19509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_Toc24253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_Toc24253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_Toc21008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6.2质疑处理</w:t>
      </w:r>
      <w:r>
        <w:tab/>
      </w:r>
      <w:r>
        <w:fldChar w:fldCharType="begin"/>
      </w:r>
      <w:r>
        <w:instrText xml:space="preserve"> PAGEREF _Toc21008 \h </w:instrText>
      </w:r>
      <w:r>
        <w:fldChar w:fldCharType="separate"/>
      </w:r>
      <w:r>
        <w:t xml:space="preserve">17</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_Toc15425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6.3中标通知书</w:t>
      </w:r>
      <w:r>
        <w:tab/>
      </w:r>
      <w:r>
        <w:fldChar w:fldCharType="begin"/>
      </w:r>
      <w:r>
        <w:instrText xml:space="preserve"> PAGEREF _Toc15425 \h </w:instrText>
      </w:r>
      <w:r>
        <w:fldChar w:fldCharType="separate"/>
      </w:r>
      <w:r>
        <w:t xml:space="preserve">17</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_Toc8798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6.4签订合同</w:t>
      </w:r>
      <w:r>
        <w:tab/>
      </w:r>
      <w:r>
        <w:fldChar w:fldCharType="begin"/>
      </w:r>
      <w:r>
        <w:instrText xml:space="preserve"> PAGEREF _Toc8798 \h </w:instrText>
      </w:r>
      <w:r>
        <w:fldChar w:fldCharType="separate"/>
      </w:r>
      <w:r>
        <w:t xml:space="preserve">17</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_Toc28264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第三章 评标办法和定标原则</w:t>
      </w:r>
      <w:r>
        <w:tab/>
      </w:r>
      <w:r>
        <w:fldChar w:fldCharType="begin"/>
      </w:r>
      <w:r>
        <w:instrText xml:space="preserve"> PAGEREF _Toc28264 \h </w:instrText>
      </w:r>
      <w:r>
        <w:fldChar w:fldCharType="separate"/>
      </w:r>
      <w:r>
        <w:t xml:space="preserve">19</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_Toc2525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第四章 项目采购需求</w:t>
      </w:r>
      <w:r>
        <w:tab/>
      </w:r>
      <w:r>
        <w:fldChar w:fldCharType="begin"/>
      </w:r>
      <w:r>
        <w:instrText xml:space="preserve"> PAGEREF _Toc2525 \h </w:instrText>
      </w:r>
      <w:r>
        <w:fldChar w:fldCharType="separate"/>
      </w:r>
      <w:r>
        <w:t xml:space="preserve">24</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_Toc2227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第五章 采购合同</w:t>
      </w:r>
      <w:r>
        <w:tab/>
      </w:r>
      <w:r>
        <w:fldChar w:fldCharType="begin"/>
      </w:r>
      <w:r>
        <w:instrText xml:space="preserve"> PAGEREF _Toc2227 \h </w:instrText>
      </w:r>
      <w:r>
        <w:fldChar w:fldCharType="separate"/>
      </w:r>
      <w:r>
        <w:t xml:space="preserve">29</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_Toc26814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_Toc26814 \h </w:instrText>
      </w:r>
      <w:r>
        <w:fldChar w:fldCharType="separate"/>
      </w:r>
      <w:r>
        <w:t xml:space="preserve">36</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_Toc615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一、投标函、投标报价及项目相关文件</w:t>
      </w:r>
      <w:r>
        <w:tab/>
      </w:r>
      <w:r>
        <w:fldChar w:fldCharType="begin"/>
      </w:r>
      <w:r>
        <w:instrText xml:space="preserve"> PAGEREF _Toc615 \h </w:instrText>
      </w:r>
      <w:r>
        <w:fldChar w:fldCharType="separate"/>
      </w:r>
      <w:r>
        <w:t xml:space="preserve">41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_Toc22978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1.投标函</w:t>
      </w:r>
      <w:r>
        <w:tab/>
      </w:r>
      <w:r>
        <w:fldChar w:fldCharType="begin"/>
      </w:r>
      <w:r>
        <w:instrText xml:space="preserve"> PAGEREF _Toc22978 \h </w:instrText>
      </w:r>
      <w:r>
        <w:fldChar w:fldCharType="separate"/>
      </w:r>
      <w:r>
        <w:t xml:space="preserve">41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_Toc12701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2.开标一览表</w:t>
      </w:r>
      <w:r>
        <w:tab/>
      </w:r>
      <w:r>
        <w:fldChar w:fldCharType="begin"/>
      </w:r>
      <w:r>
        <w:instrText xml:space="preserve"> PAGEREF _Toc12701 \h </w:instrText>
      </w:r>
      <w:r>
        <w:fldChar w:fldCharType="separate"/>
      </w:r>
      <w:r>
        <w:t xml:space="preserve">42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_Toc28530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3.</w:t>
      </w:r>
      <w:r>
        <w:rPr>
          <w:rFonts w:hint="eastAsia" w:ascii="微软雅黑" w:hAnsi="微软雅黑" w:eastAsia="微软雅黑" w:cs="微软雅黑"/>
          <w:szCs w:val="28"/>
          <w:highlight w:val="none"/>
        </w:rPr>
        <w:t xml:space="preserve">投标报价明细表</w:t>
      </w:r>
      <w:r>
        <w:tab/>
      </w:r>
      <w:r>
        <w:fldChar w:fldCharType="begin"/>
      </w:r>
      <w:r>
        <w:instrText xml:space="preserve"> PAGEREF _Toc28530 \h </w:instrText>
      </w:r>
      <w:r>
        <w:fldChar w:fldCharType="separate"/>
      </w:r>
      <w:r>
        <w:t xml:space="preserve">43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_Toc2098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4.技术要求响应表</w:t>
      </w:r>
      <w:r>
        <w:tab/>
      </w:r>
      <w:r>
        <w:fldChar w:fldCharType="begin"/>
      </w:r>
      <w:r>
        <w:instrText xml:space="preserve"> PAGEREF _Toc2098 \h </w:instrText>
      </w:r>
      <w:r>
        <w:fldChar w:fldCharType="separate"/>
      </w:r>
      <w:r>
        <w:t xml:space="preserve">44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_Toc8167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5.商务要求响应表</w:t>
      </w:r>
      <w:r>
        <w:tab/>
      </w:r>
      <w:r>
        <w:fldChar w:fldCharType="begin"/>
      </w:r>
      <w:r>
        <w:instrText xml:space="preserve"> PAGEREF _Toc8167 \h </w:instrText>
      </w:r>
      <w:r>
        <w:fldChar w:fldCharType="separate"/>
      </w:r>
      <w:r>
        <w:t xml:space="preserve">45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_Toc26843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6.项目实施方案</w:t>
      </w:r>
      <w:r>
        <w:tab/>
      </w:r>
      <w:r>
        <w:fldChar w:fldCharType="begin"/>
      </w:r>
      <w:r>
        <w:instrText xml:space="preserve"> PAGEREF _Toc26843 \h </w:instrText>
      </w:r>
      <w:r>
        <w:fldChar w:fldCharType="separate"/>
      </w:r>
      <w:r>
        <w:t xml:space="preserve">46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_Toc31736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7.售后服务方案</w:t>
      </w:r>
      <w:r>
        <w:tab/>
      </w:r>
      <w:r>
        <w:fldChar w:fldCharType="begin"/>
      </w:r>
      <w:r>
        <w:instrText xml:space="preserve"> PAGEREF _Toc31736 \h </w:instrText>
      </w:r>
      <w:r>
        <w:fldChar w:fldCharType="separate"/>
      </w:r>
      <w:r>
        <w:t xml:space="preserve">46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_Toc24098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8.经营业绩（提供合同复印件）</w:t>
      </w:r>
      <w:r>
        <w:tab/>
      </w:r>
      <w:r>
        <w:fldChar w:fldCharType="begin"/>
      </w:r>
      <w:r>
        <w:instrText xml:space="preserve"> PAGEREF _Toc24098 \h </w:instrText>
      </w:r>
      <w:r>
        <w:fldChar w:fldCharType="separate"/>
      </w:r>
      <w:r>
        <w:t xml:space="preserve">47</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_Toc29907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lang w:eastAsia="zh-CN"/>
        </w:rPr>
        <w:t xml:space="preserve">二</w:t>
      </w:r>
      <w:r>
        <w:rPr>
          <w:rFonts w:hint="eastAsia" w:ascii="微软雅黑" w:hAnsi="微软雅黑" w:eastAsia="微软雅黑" w:cs="微软雅黑"/>
          <w:bCs/>
          <w:szCs w:val="32"/>
          <w:highlight w:val="none"/>
        </w:rPr>
        <w:t xml:space="preserve">、其他相关附表格式</w:t>
      </w:r>
      <w:r>
        <w:tab/>
      </w:r>
      <w:r>
        <w:fldChar w:fldCharType="begin"/>
      </w:r>
      <w:r>
        <w:instrText xml:space="preserve"> PAGEREF _Toc29907 \h </w:instrText>
      </w:r>
      <w:r>
        <w:fldChar w:fldCharType="separate"/>
      </w:r>
      <w:r>
        <w:t xml:space="preserve">48</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_Toc2594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lang w:val="en-US" w:eastAsia="zh-CN"/>
        </w:rPr>
        <w:t xml:space="preserve">1.</w:t>
      </w:r>
      <w:r>
        <w:rPr>
          <w:rFonts w:hint="eastAsia" w:ascii="微软雅黑" w:hAnsi="微软雅黑" w:eastAsia="微软雅黑" w:cs="微软雅黑"/>
          <w:bCs/>
          <w:szCs w:val="21"/>
          <w:highlight w:val="none"/>
        </w:rPr>
        <w:t xml:space="preserve">法人授权委托书</w:t>
      </w:r>
      <w:r>
        <w:tab/>
      </w:r>
      <w:r>
        <w:fldChar w:fldCharType="begin"/>
      </w:r>
      <w:r>
        <w:instrText xml:space="preserve"> PAGEREF _Toc2594 \h </w:instrText>
      </w:r>
      <w:r>
        <w:fldChar w:fldCharType="separate"/>
      </w:r>
      <w:r>
        <w:t xml:space="preserve">48</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_Toc19265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rPr>
        <w:t xml:space="preserve">2.声明（参考格式）</w:t>
      </w:r>
      <w:r>
        <w:tab/>
      </w:r>
      <w:r>
        <w:fldChar w:fldCharType="begin"/>
      </w:r>
      <w:r>
        <w:instrText xml:space="preserve"> PAGEREF _Toc19265 \h </w:instrText>
      </w:r>
      <w:r>
        <w:fldChar w:fldCharType="separate"/>
      </w:r>
      <w:r>
        <w:t xml:space="preserve">49</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_Toc7473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rPr>
        <w:t xml:space="preserve">3.承诺（参考格式）</w:t>
      </w:r>
      <w:r>
        <w:tab/>
      </w:r>
      <w:r>
        <w:fldChar w:fldCharType="begin"/>
      </w:r>
      <w:r>
        <w:instrText xml:space="preserve"> PAGEREF _Toc7473 \h </w:instrText>
      </w:r>
      <w:r>
        <w:fldChar w:fldCharType="separate"/>
      </w:r>
      <w:r>
        <w:t xml:space="preserve">50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_Toc24103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附件1.中小企业声明函</w:t>
      </w:r>
      <w:r>
        <w:tab/>
      </w:r>
      <w:r>
        <w:fldChar w:fldCharType="begin"/>
      </w:r>
      <w:r>
        <w:instrText xml:space="preserve"> PAGEREF _Toc24103 \h </w:instrText>
      </w:r>
      <w:r>
        <w:fldChar w:fldCharType="separate"/>
      </w:r>
      <w:r>
        <w:t xml:space="preserve">51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_Toc21219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附件2.残疾人福利性单位声明函</w:t>
      </w:r>
      <w:r>
        <w:tab/>
      </w:r>
      <w:r>
        <w:fldChar w:fldCharType="begin"/>
      </w:r>
      <w:r>
        <w:instrText xml:space="preserve"> PAGEREF _Toc21219 \h </w:instrText>
      </w:r>
      <w:r>
        <w:fldChar w:fldCharType="separate"/>
      </w:r>
      <w:r>
        <w:t xml:space="preserve">53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_Toc31239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附件3.关于符合本国产品标准的声明函</w:t>
      </w:r>
      <w:r>
        <w:tab/>
      </w:r>
      <w:r>
        <w:fldChar w:fldCharType="begin"/>
      </w:r>
      <w:r>
        <w:instrText xml:space="preserve"> PAGEREF _Toc31239 \h </w:instrText>
      </w:r>
      <w:r>
        <w:fldChar w:fldCharType="separate"/>
      </w:r>
      <w:r>
        <w:t xml:space="preserve">54</w:t>
      </w:r>
      <w:r>
        <w:fldChar w:fldCharType="end"/>
      </w:r>
      <w:r>
        <w:rPr>
          <w:rFonts w:hint="eastAsia" w:ascii="微软雅黑" w:hAnsi="微软雅黑" w:cs="微软雅黑"/>
          <w:highlight w:val="none"/>
        </w:rPr>
        <w:fldChar w:fldCharType="end"/>
      </w:r>
      <w:r/>
    </w:p>
    <w:p>
      <w:pPr>
        <w:rPr>
          <w:rFonts w:hint="eastAsia" w:ascii="微软雅黑" w:hAnsi="微软雅黑" w:cs="微软雅黑"/>
          <w:highlight w:val="none"/>
        </w:rPr>
      </w:pPr>
      <w:r>
        <w:rPr>
          <w:rFonts w:hint="eastAsia" w:ascii="微软雅黑" w:hAnsi="微软雅黑" w:cs="微软雅黑"/>
          <w:highlight w:val="none"/>
        </w:rPr>
        <w:fldChar w:fldCharType="end"/>
      </w:r>
      <w:r/>
    </w:p>
    <w:p>
      <w:pPr>
        <w:rPr>
          <w:highlight w:val="none"/>
        </w:rPr>
      </w:pPr>
      <w:r>
        <w:rPr>
          <w:highlight w:val="none"/>
        </w:rPr>
      </w:r>
      <w:r/>
    </w:p>
    <w:p>
      <w:pPr>
        <w:rPr>
          <w:highlight w:val="none"/>
        </w:rPr>
      </w:pPr>
      <w:r>
        <w:rPr>
          <w:highlight w:val="none"/>
        </w:rPr>
      </w:r>
      <w:r/>
    </w:p>
    <w:p>
      <w:pPr>
        <w:pStyle w:val="1157"/>
        <w:spacing w:line="360" w:lineRule="exact"/>
        <w:rPr>
          <w:highlight w:val="none"/>
        </w:rPr>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highlight w:val="none"/>
        </w:rPr>
      </w:r>
      <w:r/>
    </w:p>
    <w:p>
      <w:pPr>
        <w:pStyle w:val="1344"/>
        <w:keepNext w:val="0"/>
        <w:spacing w:line="360" w:lineRule="exact"/>
        <w:rPr>
          <w:rStyle w:val="1394"/>
          <w:rFonts w:hint="eastAsia" w:ascii="微软雅黑" w:hAnsi="微软雅黑" w:cs="微软雅黑"/>
          <w:sz w:val="32"/>
          <w:szCs w:val="32"/>
          <w:highlight w:val="none"/>
        </w:rPr>
      </w:pPr>
      <w:r/>
      <w:bookmarkStart w:id="3" w:name="_Toc68"/>
      <w:r/>
      <w:bookmarkStart w:id="4" w:name="_Toc12037"/>
      <w:r>
        <w:rPr>
          <w:rFonts w:hint="eastAsia" w:ascii="微软雅黑" w:hAnsi="微软雅黑" w:cs="微软雅黑"/>
          <w:bCs w:val="0"/>
          <w:szCs w:val="32"/>
          <w:highlight w:val="none"/>
        </w:rPr>
        <w:t xml:space="preserve">第一章 投标邀请（采购公告</w:t>
      </w:r>
      <w:bookmarkEnd w:id="0"/>
      <w:r>
        <w:rPr>
          <w:rFonts w:hint="eastAsia" w:ascii="微软雅黑" w:hAnsi="微软雅黑" w:cs="微软雅黑"/>
          <w:bCs w:val="0"/>
          <w:szCs w:val="32"/>
          <w:highlight w:val="none"/>
        </w:rPr>
        <w:t xml:space="preserve">）</w:t>
      </w:r>
      <w:bookmarkEnd w:id="3"/>
      <w:r/>
      <w:bookmarkEnd w:id="4"/>
      <w:r/>
      <w:bookmarkEnd w:id="1"/>
      <w:r/>
      <w:r/>
    </w:p>
    <w:p>
      <w:pPr>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项目概况</w:t>
      </w:r>
      <w:r/>
    </w:p>
    <w:p>
      <w:pPr>
        <w:ind w:firstLine="420"/>
        <w:spacing w:line="420" w:lineRule="exact"/>
        <w:rPr>
          <w:rFonts w:hint="eastAsia" w:ascii="微软雅黑" w:hAnsi="微软雅黑" w:cs="微软雅黑"/>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rPr>
        <w:t xml:space="preserve">南京医科大学疫苗平台小动物多通道核团神经信号采集系统采购</w:t>
      </w:r>
      <w:r>
        <w:rPr>
          <w:rFonts w:hint="eastAsia" w:ascii="微软雅黑" w:hAnsi="微软雅黑" w:cs="微软雅黑"/>
          <w:szCs w:val="21"/>
          <w:highlight w:val="none"/>
        </w:rPr>
        <w:t xml:space="preserve">）采购项目的潜在投标供应商应在</w:t>
      </w:r>
      <w:r>
        <w:rPr>
          <w:rFonts w:hint="eastAsia" w:ascii="微软雅黑" w:hAnsi="微软雅黑" w:cs="微软雅黑"/>
          <w:szCs w:val="21"/>
          <w:highlight w:val="none"/>
          <w:lang w:bidi="ar"/>
        </w:rPr>
        <w:t xml:space="preserve">（</w:t>
      </w:r>
      <w:r>
        <w:rPr>
          <w:rFonts w:hint="eastAsia" w:ascii="微软雅黑" w:hAnsi="微软雅黑" w:cs="微软雅黑"/>
          <w:color w:val="auto"/>
          <w:szCs w:val="21"/>
          <w:highlight w:val="none"/>
          <w:u w:val="single"/>
        </w:rPr>
        <w:t xml:space="preserve">江苏省政府采购管理交易系统（苏采云）</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rPr>
        <w:t xml:space="preserve">获取采购文件，并于2026年</w:t>
      </w:r>
      <w:r>
        <w:rPr>
          <w:rFonts w:hint="eastAsia" w:ascii="微软雅黑" w:hAnsi="微软雅黑" w:cs="微软雅黑"/>
          <w:szCs w:val="21"/>
          <w:highlight w:val="none"/>
          <w:lang w:val="en-US" w:eastAsia="zh-CN"/>
        </w:rPr>
        <w:t xml:space="preserve">06</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16</w:t>
      </w:r>
      <w:r>
        <w:rPr>
          <w:rFonts w:hint="eastAsia" w:ascii="微软雅黑" w:hAnsi="微软雅黑" w:cs="微软雅黑"/>
          <w:szCs w:val="21"/>
          <w:highlight w:val="none"/>
        </w:rPr>
        <w:t xml:space="preserve">日</w:t>
      </w:r>
      <w:r>
        <w:rPr>
          <w:rFonts w:hint="eastAsia" w:ascii="微软雅黑" w:hAnsi="微软雅黑" w:cs="微软雅黑"/>
          <w:color w:val="auto"/>
          <w:szCs w:val="21"/>
          <w:highlight w:val="none"/>
          <w:lang w:val="en-US" w:eastAsia="zh-CN"/>
        </w:rPr>
        <w:t xml:space="preserve">9:30:00</w:t>
      </w:r>
      <w:r>
        <w:rPr>
          <w:rFonts w:hint="eastAsia" w:ascii="微软雅黑" w:hAnsi="微软雅黑" w:cs="微软雅黑"/>
          <w:bCs/>
          <w:szCs w:val="21"/>
          <w:highlight w:val="none"/>
        </w:rPr>
        <w:t xml:space="preserve">（北京时间）前递交投标文件</w:t>
      </w:r>
      <w:r>
        <w:rPr>
          <w:rFonts w:hint="eastAsia" w:ascii="微软雅黑" w:hAnsi="微软雅黑" w:cs="微软雅黑"/>
          <w:szCs w:val="21"/>
          <w:highlight w:val="none"/>
        </w:rPr>
        <w:t xml:space="preserve">。</w:t>
      </w:r>
      <w:r/>
    </w:p>
    <w:p>
      <w:pPr>
        <w:spacing w:line="420" w:lineRule="exact"/>
        <w:rPr>
          <w:rFonts w:hint="eastAsia" w:ascii="微软雅黑" w:hAnsi="微软雅黑" w:cs="微软雅黑"/>
          <w:szCs w:val="21"/>
          <w:highlight w:val="none"/>
        </w:rPr>
      </w:pPr>
      <w:r/>
      <w:bookmarkStart w:id="5" w:name="_Toc35393621"/>
      <w:r/>
      <w:bookmarkStart w:id="6" w:name="_Toc28359079"/>
      <w:r/>
      <w:bookmarkStart w:id="7" w:name="_Toc35393790"/>
      <w:r/>
      <w:bookmarkStart w:id="8" w:name="_Toc28359002"/>
      <w:r/>
      <w:bookmarkStart w:id="9" w:name="_Toc5452"/>
      <w:r/>
      <w:bookmarkStart w:id="10" w:name="_Hlk24379207"/>
      <w:r>
        <w:rPr>
          <w:rFonts w:hint="eastAsia" w:ascii="微软雅黑" w:hAnsi="微软雅黑" w:cs="微软雅黑"/>
          <w:b/>
          <w:bCs/>
          <w:highlight w:val="none"/>
        </w:rPr>
        <w:t xml:space="preserve">一、项目基本情况</w:t>
      </w:r>
      <w:bookmarkEnd w:id="5"/>
      <w:r/>
      <w:bookmarkEnd w:id="6"/>
      <w:r/>
      <w:bookmarkEnd w:id="7"/>
      <w:r/>
      <w:bookmarkEnd w:id="8"/>
      <w:r/>
      <w:bookmarkEnd w:id="9"/>
      <w:r/>
      <w:r/>
    </w:p>
    <w:p>
      <w:pPr>
        <w:ind w:right="105" w:firstLine="420"/>
        <w:spacing w:line="420" w:lineRule="exact"/>
        <w:rPr>
          <w:rFonts w:hint="default" w:ascii="微软雅黑" w:hAnsi="微软雅黑" w:cs="微软雅黑"/>
          <w:color w:val="000000" w:themeColor="text1"/>
          <w:szCs w:val="21"/>
          <w:highlight w:val="none"/>
          <w:lang w:val="en-US"/>
          <w14:textFill>
            <w14:solidFill>
              <w14:schemeClr w14:val="tx1"/>
            </w14:solidFill>
          </w14:textFill>
        </w:rPr>
      </w:pPr>
      <w:r>
        <w:rPr>
          <w:rFonts w:hint="eastAsia" w:ascii="微软雅黑" w:hAnsi="微软雅黑" w:cs="微软雅黑"/>
          <w:szCs w:val="21"/>
          <w:highlight w:val="none"/>
        </w:rPr>
        <w:t xml:space="preserve">项目编号：</w:t>
      </w:r>
      <w:r>
        <w:rPr>
          <w:rFonts w:hint="default" w:ascii="微软雅黑" w:hAnsi="微软雅黑" w:cs="微软雅黑"/>
          <w:color w:val="000000" w:themeColor="text1"/>
          <w:szCs w:val="21"/>
          <w:highlight w:val="none"/>
          <w:lang w:val="en-US"/>
          <w14:textFill>
            <w14:solidFill>
              <w14:schemeClr w14:val="tx1"/>
            </w14:solidFill>
          </w14:textFill>
        </w:rPr>
        <w:t xml:space="preserve">JSZC-320000-JSHC-G2026-0015</w:t>
      </w:r>
      <w:r/>
    </w:p>
    <w:p>
      <w:pPr>
        <w:ind w:right="105" w:firstLine="136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（代理机构内部编号：JSHC-2026020054B2）</w:t>
      </w:r>
      <w:r/>
    </w:p>
    <w:p>
      <w:pPr>
        <w:ind w:right="105"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bookmarkEnd w:id="10"/>
      <w:r>
        <w:rPr>
          <w:rFonts w:hint="eastAsia" w:ascii="微软雅黑" w:hAnsi="微软雅黑" w:cs="微软雅黑"/>
          <w:szCs w:val="21"/>
          <w:highlight w:val="none"/>
        </w:rPr>
        <w:t xml:space="preserve">：南京医科大学疫苗平台小动物多通道核团神经信号采集系统采购</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预算金额：人民币壹佰叁拾伍万元整（人民币135万元）</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最高限价：人民币壹佰叁拾伍万元整（人民币135万元）</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资金来源：财政性资金</w:t>
      </w:r>
      <w:r/>
    </w:p>
    <w:p>
      <w:pPr>
        <w:ind w:firstLine="420"/>
        <w:spacing w:line="420" w:lineRule="exact"/>
        <w:rPr>
          <w:rFonts w:hint="eastAsia" w:ascii="宋体" w:hAnsi="宋体" w:cs="宋体"/>
          <w:szCs w:val="21"/>
          <w:highlight w:val="none"/>
        </w:rPr>
      </w:pPr>
      <w:r>
        <w:rPr>
          <w:rFonts w:hint="eastAsia" w:ascii="微软雅黑" w:hAnsi="微软雅黑" w:cs="微软雅黑"/>
          <w:szCs w:val="21"/>
          <w:highlight w:val="none"/>
        </w:rPr>
        <w:t xml:space="preserve">采购需求：</w:t>
      </w:r>
      <w:r>
        <w:rPr>
          <w:rFonts w:hint="eastAsia" w:ascii="微软雅黑" w:hAnsi="微软雅黑" w:cs="微软雅黑"/>
          <w:color w:val="000000"/>
          <w:szCs w:val="21"/>
          <w:highlight w:val="none"/>
        </w:rPr>
        <w:t xml:space="preserve">拟采购小动物多通道核团神经信号采集系统一套，可多通道记录动物大脑数据，包括全带宽原始信号（Raw data）、动作电位（Spike）、场电位（LFP）、颅内压力、诱发电位；并且数据可进行在线或者离线的分析和分类，从而更好解析特定神经环路的工作机理。用于动态记录实验动物的生理信号。满足学习与记忆、认知功能障碍、注意力、癫痫、帕金森病等神经退行性疾病，药物研发，毒理学，神经换路以及脑机接口等神经科学领域的基础研究。</w:t>
      </w:r>
      <w:r/>
    </w:p>
    <w:p>
      <w:pPr>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w:t>
      </w:r>
      <w:r>
        <w:rPr>
          <w:rFonts w:hint="eastAsia" w:ascii="微软雅黑" w:hAnsi="微软雅黑" w:cs="微软雅黑"/>
          <w:i/>
          <w:szCs w:val="21"/>
          <w:highlight w:val="none"/>
        </w:rPr>
        <w:t xml:space="preserve">是/否</w:t>
      </w:r>
      <w:r>
        <w:rPr>
          <w:rFonts w:hint="eastAsia" w:ascii="微软雅黑" w:hAnsi="微软雅黑" w:cs="微软雅黑"/>
          <w:szCs w:val="21"/>
          <w:highlight w:val="none"/>
        </w:rPr>
        <w:t xml:space="preserve">）接受联合体：</w:t>
      </w:r>
      <w:r>
        <w:rPr>
          <w:rFonts w:hint="eastAsia" w:ascii="微软雅黑" w:hAnsi="微软雅黑" w:cs="微软雅黑"/>
          <w:b/>
          <w:bCs/>
          <w:szCs w:val="21"/>
          <w:highlight w:val="none"/>
        </w:rPr>
        <w:t xml:space="preserve">否</w:t>
      </w:r>
      <w:r/>
    </w:p>
    <w:p>
      <w:pPr>
        <w:spacing w:line="420" w:lineRule="exact"/>
        <w:rPr>
          <w:rFonts w:hint="eastAsia" w:ascii="微软雅黑" w:hAnsi="微软雅黑" w:cs="微软雅黑"/>
          <w:b/>
          <w:bCs/>
          <w:highlight w:val="none"/>
        </w:rPr>
      </w:pPr>
      <w:r/>
      <w:bookmarkStart w:id="11" w:name="_Toc18689"/>
      <w:r/>
      <w:bookmarkStart w:id="12" w:name="_Toc35393622"/>
      <w:r/>
      <w:bookmarkStart w:id="13" w:name="_Toc28359003"/>
      <w:r/>
      <w:bookmarkStart w:id="14" w:name="_Toc35393791"/>
      <w:r/>
      <w:bookmarkStart w:id="15" w:name="_Toc28359080"/>
      <w:r>
        <w:rPr>
          <w:rFonts w:hint="eastAsia" w:ascii="微软雅黑" w:hAnsi="微软雅黑" w:cs="微软雅黑"/>
          <w:b/>
          <w:bCs/>
          <w:highlight w:val="none"/>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szCs w:val="21"/>
          <w:highlight w:val="none"/>
        </w:rPr>
      </w:pPr>
      <w:r/>
      <w:bookmarkStart w:id="16" w:name="_Toc28359004"/>
      <w:r/>
      <w:bookmarkStart w:id="17" w:name="_Toc28359081"/>
      <w:r>
        <w:rPr>
          <w:rFonts w:hint="eastAsia" w:ascii="微软雅黑" w:hAnsi="微软雅黑" w:cs="微软雅黑"/>
          <w:szCs w:val="21"/>
          <w:highlight w:val="none"/>
        </w:rPr>
        <w:t xml:space="preserve">1.满足《中华人民共和国政府采购法》第二十二条规定：</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1.2具有良好的商业信誉和健全的财务会计制度（提供2025年11月至投标截止时间前任一月份的资产负债表和利润表，</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2025年度审计报告（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银行出具的资信证明，或财政部门认可的专业担保机构出具的投标担保函）；（法人或者其他组织成立未满一年的可以不提供）</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社会保障资金的良好记录（提供2025年11月至投标截止时间前任一月份依法缴纳税收的凭据（</w:t>
      </w:r>
      <w:r>
        <w:rPr>
          <w:rFonts w:hint="eastAsia" w:ascii="微软雅黑" w:hAnsi="微软雅黑" w:cs="微软雅黑"/>
          <w:b/>
          <w:bCs/>
          <w:szCs w:val="21"/>
          <w:highlight w:val="none"/>
        </w:rPr>
        <w:t xml:space="preserve">企业代缴的个人所得税除外</w:t>
      </w:r>
      <w:r>
        <w:rPr>
          <w:rFonts w:hint="eastAsia" w:ascii="微软雅黑" w:hAnsi="微软雅黑" w:cs="微软雅黑"/>
          <w:szCs w:val="21"/>
          <w:highlight w:val="none"/>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2.是否专门面向中小企业：否</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4.本项目的特定资格要求：无。</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5.本项目不接受联合体投标。</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7.拒绝下述供应商参加本次采购活动</w:t>
      </w:r>
      <w:r>
        <w:rPr>
          <w:rFonts w:hint="eastAsia" w:ascii="微软雅黑" w:hAnsi="微软雅黑" w:cs="微软雅黑"/>
          <w:szCs w:val="21"/>
          <w:highlight w:val="none"/>
          <w:lang w:eastAsia="zh-CN"/>
        </w:rPr>
        <w:t xml:space="preserve">：</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7.1为采购项目提供整体设计、规范编制或者项目管理、监理、检测等服务的；</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7.3被“信用中国”网站(www.creditchina.gov.cn)或中国政府采购网(www.ccgp.gov.cn)）列入失信被执行人、重大税收违法案件当事人、政府采购严重违法失信行为记录名单的。</w:t>
      </w:r>
      <w:bookmarkEnd w:id="16"/>
      <w:r/>
      <w:bookmarkEnd w:id="17"/>
      <w:r/>
      <w:r/>
    </w:p>
    <w:p>
      <w:pPr>
        <w:rPr>
          <w:rFonts w:hint="eastAsia" w:ascii="微软雅黑" w:hAnsi="微软雅黑" w:cs="微软雅黑"/>
          <w:b/>
          <w:bCs/>
          <w:color w:val="auto"/>
          <w:highlight w:val="none"/>
        </w:rPr>
      </w:pPr>
      <w:r/>
      <w:bookmarkStart w:id="18" w:name="_Toc35393793"/>
      <w:r/>
      <w:bookmarkStart w:id="19" w:name="_Toc28359082"/>
      <w:r/>
      <w:bookmarkStart w:id="20" w:name="_Toc35393624"/>
      <w:r/>
      <w:bookmarkStart w:id="21" w:name="_Toc28359005"/>
      <w:r/>
      <w:bookmarkStart w:id="22" w:name="_Toc1219"/>
      <w:r>
        <w:rPr>
          <w:rFonts w:hint="eastAsia" w:ascii="微软雅黑" w:hAnsi="微软雅黑" w:cs="微软雅黑"/>
          <w:b/>
          <w:bCs/>
          <w:color w:val="auto"/>
          <w:highlight w:val="none"/>
        </w:rPr>
        <w:t xml:space="preserve">三、获取采购文件</w:t>
      </w: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时间</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自公告发布之日</w:t>
      </w:r>
      <w:r>
        <w:rPr>
          <w:rFonts w:hint="eastAsia" w:ascii="微软雅黑" w:hAnsi="微软雅黑" w:cs="微软雅黑"/>
          <w:color w:val="auto"/>
          <w:szCs w:val="21"/>
          <w:highlight w:val="none"/>
          <w:lang w:eastAsia="zh-CN"/>
        </w:rPr>
        <w:t xml:space="preserve">起</w:t>
      </w:r>
      <w:r>
        <w:rPr>
          <w:rFonts w:hint="eastAsia" w:ascii="微软雅黑" w:hAnsi="微软雅黑" w:cs="微软雅黑"/>
          <w:color w:val="auto"/>
          <w:szCs w:val="21"/>
          <w:highlight w:val="none"/>
          <w:lang w:val="en-US" w:eastAsia="zh-CN"/>
        </w:rPr>
        <w:t xml:space="preserve">5个工作日</w:t>
      </w:r>
      <w:r>
        <w:rPr>
          <w:rFonts w:hint="eastAsia" w:ascii="微软雅黑" w:hAnsi="微软雅黑" w:cs="微软雅黑"/>
          <w:color w:val="auto"/>
          <w:szCs w:val="21"/>
          <w:highlight w:val="none"/>
        </w:rPr>
        <w:t xml:space="preserve"> </w:t>
      </w:r>
      <w:r/>
    </w:p>
    <w:p>
      <w:pPr>
        <w:ind w:firstLine="420"/>
        <w:keepLines w:val="0"/>
        <w:keepNext w:val="0"/>
        <w:pageBreakBefore w:val="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rPr>
        <w:t xml:space="preserve">地点：江苏省政府采购管理交易系统（苏采云）</w:t>
      </w:r>
      <w:r/>
    </w:p>
    <w:p>
      <w:pPr>
        <w:ind w:firstLine="420"/>
        <w:keepLines w:val="0"/>
        <w:keepNext w:val="0"/>
        <w:pageBreakBefore w:val="0"/>
        <w:spacing w:line="420" w:lineRule="exact"/>
        <w:widowControl w:val="off"/>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w:t>
      </w:r>
      <w:r>
        <w:rPr>
          <w:rFonts w:hint="eastAsia" w:ascii="微软雅黑" w:hAnsi="微软雅黑" w:cs="微软雅黑"/>
          <w:color w:val="auto"/>
          <w:szCs w:val="21"/>
          <w:highlight w:val="none"/>
          <w:lang w:eastAsia="zh-CN"/>
        </w:rPr>
        <w:t xml:space="preserve">自行下载</w:t>
      </w:r>
      <w:r>
        <w:rPr>
          <w:rFonts w:hint="eastAsia" w:ascii="微软雅黑" w:hAnsi="微软雅黑" w:cs="微软雅黑"/>
          <w:color w:val="auto"/>
          <w:szCs w:val="21"/>
          <w:highlight w:val="none"/>
        </w:rPr>
        <w:t xml:space="preserve">。</w:t>
      </w: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w:t>
      </w:r>
      <w:r>
        <w:rPr>
          <w:rFonts w:hint="eastAsia" w:ascii="微软雅黑" w:hAnsi="微软雅黑" w:cs="微软雅黑"/>
          <w:color w:val="auto"/>
          <w:szCs w:val="21"/>
          <w:highlight w:val="none"/>
          <w:lang w:val="en-US" w:eastAsia="zh-CN"/>
        </w:rPr>
        <w:t xml:space="preserve">0.00元</w:t>
      </w:r>
      <w:bookmarkEnd w:id="18"/>
      <w:r/>
      <w:bookmarkEnd w:id="19"/>
      <w:r/>
      <w:bookmarkEnd w:id="20"/>
      <w:r/>
      <w:bookmarkEnd w:id="21"/>
      <w:r/>
      <w:bookmarkEnd w:id="22"/>
      <w:r/>
      <w:r/>
    </w:p>
    <w:p>
      <w:pPr>
        <w:keepLines w:val="0"/>
        <w:keepNext w:val="0"/>
        <w:pageBreakBefore w:val="0"/>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p>
    <w:p>
      <w:pPr>
        <w:ind w:firstLine="420"/>
        <w:keepLines w:val="0"/>
        <w:keepNext w:val="0"/>
        <w:pageBreakBefore w:val="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szCs w:val="21"/>
          <w:highlight w:val="none"/>
        </w:rPr>
        <w:t xml:space="preserve">2026年</w:t>
      </w:r>
      <w:r>
        <w:rPr>
          <w:rFonts w:hint="eastAsia" w:ascii="微软雅黑" w:hAnsi="微软雅黑" w:cs="微软雅黑"/>
          <w:szCs w:val="21"/>
          <w:highlight w:val="none"/>
          <w:lang w:val="en-US" w:eastAsia="zh-CN"/>
        </w:rPr>
        <w:t xml:space="preserve">06</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16</w:t>
      </w:r>
      <w:r>
        <w:rPr>
          <w:rFonts w:hint="eastAsia" w:ascii="微软雅黑" w:hAnsi="微软雅黑" w:cs="微软雅黑"/>
          <w:szCs w:val="21"/>
          <w:highlight w:val="none"/>
        </w:rPr>
        <w:t xml:space="preserve">日</w:t>
      </w:r>
      <w:r>
        <w:rPr>
          <w:rFonts w:hint="eastAsia" w:ascii="微软雅黑" w:hAnsi="微软雅黑" w:cs="微软雅黑"/>
          <w:color w:val="auto"/>
          <w:szCs w:val="21"/>
          <w:highlight w:val="none"/>
          <w:lang w:val="en-US" w:eastAsia="zh-CN"/>
        </w:rPr>
        <w:t xml:space="preserve">9:30:00</w:t>
      </w:r>
      <w:r>
        <w:rPr>
          <w:rFonts w:hint="eastAsia" w:ascii="微软雅黑" w:hAnsi="微软雅黑" w:cs="微软雅黑"/>
          <w:bCs/>
          <w:color w:val="auto"/>
          <w:szCs w:val="21"/>
          <w:highlight w:val="none"/>
        </w:rPr>
        <w:t xml:space="preserve">（北京时间）</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w:t>
      </w:r>
      <w:r>
        <w:rPr>
          <w:rFonts w:hint="eastAsia" w:ascii="微软雅黑" w:hAnsi="微软雅黑" w:cs="微软雅黑"/>
          <w:color w:val="auto"/>
          <w:szCs w:val="21"/>
          <w:highlight w:val="none"/>
          <w:lang w:eastAsia="zh-CN"/>
        </w:rPr>
        <w:t xml:space="preserve">“苏采云”政府采购交易系统网上开标大厅</w:t>
      </w:r>
      <w:r/>
    </w:p>
    <w:p>
      <w:pPr>
        <w:rPr>
          <w:rFonts w:hint="eastAsia" w:ascii="微软雅黑" w:hAnsi="微软雅黑" w:cs="微软雅黑"/>
          <w:b/>
          <w:bCs/>
          <w:color w:val="auto"/>
          <w:highlight w:val="none"/>
        </w:rPr>
      </w:pPr>
      <w:r/>
      <w:bookmarkStart w:id="23" w:name="_Toc28359007"/>
      <w:r/>
      <w:bookmarkStart w:id="24" w:name="_Toc35393625"/>
      <w:r/>
      <w:bookmarkStart w:id="25" w:name="_Toc35393794"/>
      <w:r/>
      <w:bookmarkStart w:id="26" w:name="_Toc31210"/>
      <w:r/>
      <w:bookmarkStart w:id="27" w:name="_Toc28359084"/>
      <w:r>
        <w:rPr>
          <w:rFonts w:hint="eastAsia" w:ascii="微软雅黑" w:hAnsi="微软雅黑" w:cs="微软雅黑"/>
          <w:b/>
          <w:bCs/>
          <w:color w:val="auto"/>
          <w:highlight w:val="none"/>
        </w:rPr>
        <w:t xml:space="preserve">五、公告期限</w:t>
      </w:r>
      <w:bookmarkEnd w:id="23"/>
      <w:r/>
      <w:bookmarkEnd w:id="24"/>
      <w:r/>
      <w:bookmarkEnd w:id="25"/>
      <w:r/>
      <w:bookmarkEnd w:id="26"/>
      <w:r/>
      <w:bookmarkEnd w:id="27"/>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自本公告发布之日起5个工作日。</w:t>
      </w:r>
      <w:r/>
    </w:p>
    <w:p>
      <w:pPr>
        <w:rPr>
          <w:rFonts w:hint="eastAsia" w:ascii="微软雅黑" w:hAnsi="微软雅黑" w:cs="微软雅黑"/>
          <w:b/>
          <w:bCs/>
          <w:color w:val="auto"/>
          <w:highlight w:val="none"/>
        </w:rPr>
      </w:pPr>
      <w:r/>
      <w:bookmarkStart w:id="28" w:name="_Toc35393626"/>
      <w:r/>
      <w:bookmarkStart w:id="29" w:name="_Toc19985"/>
      <w:r/>
      <w:bookmarkStart w:id="30" w:name="_Toc35393795"/>
      <w:r>
        <w:rPr>
          <w:rFonts w:hint="eastAsia" w:ascii="微软雅黑" w:hAnsi="微软雅黑" w:cs="微软雅黑"/>
          <w:b/>
          <w:bCs/>
          <w:color w:val="auto"/>
          <w:highlight w:val="none"/>
        </w:rPr>
        <w:t xml:space="preserve">六、其他补充事宜</w:t>
      </w:r>
      <w:bookmarkEnd w:id="28"/>
      <w:r/>
      <w:bookmarkEnd w:id="29"/>
      <w:r/>
      <w:bookmarkEnd w:id="30"/>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 </w:t>
      </w:r>
      <w:r>
        <w:rPr>
          <w:rFonts w:hint="eastAsia" w:ascii="微软雅黑" w:hAnsi="微软雅黑" w:cs="微软雅黑"/>
          <w:color w:val="auto"/>
          <w:szCs w:val="21"/>
          <w:highlight w:val="none"/>
        </w:rPr>
        <w:t xml:space="preserve">此采购公告在江苏政府采购网</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http://www.ccgp-jiangsu.gov.cn</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发布。 </w:t>
      </w:r>
      <w:r/>
    </w:p>
    <w:p>
      <w:pPr>
        <w:ind w:firstLine="420"/>
        <w:spacing w:line="420" w:lineRule="exact"/>
        <w:rPr>
          <w:rFonts w:hint="default"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3. 苏采云CA办理及登录：</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1" w:name="OLE_LINK2"/>
      <w:r>
        <w:rPr>
          <w:rFonts w:hint="eastAsia" w:ascii="微软雅黑" w:hAnsi="微软雅黑" w:cs="微软雅黑"/>
          <w:color w:val="auto"/>
          <w:szCs w:val="21"/>
          <w:highlight w:val="none"/>
          <w:lang w:val="en-US" w:eastAsia="zh-CN"/>
        </w:rPr>
        <w:t xml:space="preserve">http://www.ccgp-jiangsu.gov.cn/jiangsu/zlxz/ee/ee3a4bc5a3454aa2b0d9312230633ce9.html</w:t>
      </w:r>
      <w:bookmarkEnd w:id="31"/>
      <w:r>
        <w:rPr>
          <w:rFonts w:hint="eastAsia" w:ascii="微软雅黑" w:hAnsi="微软雅黑" w:cs="微软雅黑"/>
          <w:color w:val="auto"/>
          <w:szCs w:val="21"/>
          <w:highlight w:val="none"/>
          <w:lang w:val="en-US" w:eastAsia="zh-CN"/>
        </w:rPr>
        <w:t xml:space="preserve">）。</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4.采购文件下载及投标文件制作：</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numPr>
          <w:ilvl w:val="0"/>
          <w:numId w:val="0"/>
        </w:numPr>
        <w:ind w:firstLine="420"/>
        <w:keepLines w:val="0"/>
        <w:keepNext w:val="0"/>
        <w:pageBreakBefore w:val="0"/>
        <w:spacing w:line="420" w:lineRule="exact"/>
        <w:widowControl w:val="off"/>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5. 不见面远程开标：</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highlight w:val="none"/>
        </w:rPr>
      </w:pPr>
      <w:r/>
      <w:bookmarkStart w:id="32" w:name="_Toc26547"/>
      <w:r>
        <w:rPr>
          <w:rFonts w:hint="eastAsia" w:ascii="微软雅黑" w:hAnsi="微软雅黑" w:cs="微软雅黑"/>
          <w:b/>
          <w:bCs/>
          <w:highlight w:val="none"/>
        </w:rPr>
        <w:t xml:space="preserve">七、对本次招标提出询问，请按以下方式联系。</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1.采购人信息</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bookmarkStart w:id="33" w:name="_Toc28359009"/>
      <w:r/>
      <w:bookmarkStart w:id="34" w:name="_Toc28359086"/>
      <w:r>
        <w:rPr>
          <w:rFonts w:hint="eastAsia" w:ascii="微软雅黑" w:hAnsi="微软雅黑" w:eastAsia="微软雅黑" w:cs="微软雅黑"/>
          <w:sz w:val="21"/>
          <w:szCs w:val="21"/>
          <w:highlight w:val="none"/>
        </w:rPr>
        <w:t xml:space="preserve">名称：南京医科大学</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地址：南京市江宁区龙眠大道101号</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联系方式：王老师025-86868572</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2.采购代理机构信息</w:t>
      </w:r>
      <w:bookmarkEnd w:id="33"/>
      <w:r/>
      <w:bookmarkEnd w:id="34"/>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名称：江苏省华采招标有限公司</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w:t>
      </w:r>
      <w:r>
        <w:rPr>
          <w:rFonts w:hint="eastAsia" w:ascii="微软雅黑" w:hAnsi="微软雅黑" w:eastAsia="微软雅黑" w:cs="微软雅黑"/>
          <w:sz w:val="21"/>
          <w:szCs w:val="21"/>
          <w:highlight w:val="none"/>
          <w:lang w:bidi="ar"/>
        </w:rPr>
        <w:t xml:space="preserve">南京市建邺区嘉陵江东街8号综合体B3栋一单元16层</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联系方式：</w:t>
      </w:r>
      <w:bookmarkStart w:id="35" w:name="_Toc28359010"/>
      <w:r/>
      <w:bookmarkStart w:id="36" w:name="_Toc28359087"/>
      <w:r>
        <w:rPr>
          <w:rFonts w:hint="eastAsia" w:ascii="微软雅黑" w:hAnsi="微软雅黑" w:eastAsia="微软雅黑" w:cs="微软雅黑"/>
          <w:sz w:val="21"/>
          <w:szCs w:val="21"/>
          <w:highlight w:val="none"/>
        </w:rPr>
        <w:t xml:space="preserve">025-83609953</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3.项目联系方式</w:t>
      </w:r>
      <w:bookmarkEnd w:id="35"/>
      <w:r/>
      <w:bookmarkEnd w:id="36"/>
      <w:r/>
      <w:r/>
    </w:p>
    <w:p>
      <w:pPr>
        <w:pStyle w:val="1384"/>
        <w:ind w:firstLine="688"/>
        <w:spacing w:before="0" w:beforeAutospacing="0" w:after="0" w:afterAutospacing="0" w:line="420" w:lineRule="exact"/>
        <w:rPr>
          <w:rFonts w:hint="default" w:ascii="微软雅黑" w:hAnsi="微软雅黑" w:eastAsia="微软雅黑" w:cs="微软雅黑"/>
          <w:sz w:val="21"/>
          <w:szCs w:val="21"/>
          <w:highlight w:val="none"/>
          <w:lang w:val="en-US"/>
        </w:rPr>
      </w:pPr>
      <w:r>
        <w:rPr>
          <w:rFonts w:hint="eastAsia" w:ascii="微软雅黑" w:hAnsi="微软雅黑" w:eastAsia="微软雅黑" w:cs="微软雅黑"/>
          <w:sz w:val="21"/>
          <w:szCs w:val="21"/>
          <w:highlight w:val="none"/>
        </w:rPr>
        <w:t xml:space="preserve">项目联系人：徐雪</w:t>
      </w:r>
      <w:r>
        <w:rPr>
          <w:rFonts w:hint="default" w:ascii="微软雅黑" w:hAnsi="微软雅黑" w:eastAsia="微软雅黑" w:cs="微软雅黑"/>
          <w:sz w:val="21"/>
          <w:szCs w:val="21"/>
          <w:highlight w:val="none"/>
          <w:lang w:val="en-US"/>
        </w:rPr>
        <w:t xml:space="preserve">/</w:t>
      </w:r>
      <w:r>
        <w:rPr>
          <w:rFonts w:hint="eastAsia" w:ascii="微软雅黑" w:hAnsi="微软雅黑" w:eastAsia="微软雅黑" w:cs="微软雅黑"/>
          <w:sz w:val="21"/>
          <w:szCs w:val="21"/>
          <w:highlight w:val="none"/>
        </w:rPr>
        <w:t xml:space="preserve">刘洁</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电话：025-83603368</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sz w:val="21"/>
          <w:szCs w:val="21"/>
          <w:highlight w:val="none"/>
        </w:rPr>
      </w:r>
      <w:r/>
    </w:p>
    <w:p>
      <w:pPr>
        <w:pStyle w:val="1344"/>
        <w:spacing w:line="360" w:lineRule="exact"/>
        <w:rPr>
          <w:rFonts w:hint="eastAsia" w:ascii="微软雅黑" w:hAnsi="微软雅黑" w:cs="微软雅黑"/>
          <w:highlight w:val="none"/>
        </w:rPr>
      </w:pPr>
      <w:r/>
      <w:bookmarkStart w:id="37" w:name="_Toc16342"/>
      <w:r/>
      <w:bookmarkStart w:id="38" w:name="_Toc8421"/>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bookmarkEnd w:id="2"/>
      <w:r/>
      <w:bookmarkEnd w:id="32"/>
      <w:r/>
      <w:bookmarkEnd w:id="37"/>
      <w:r/>
      <w:bookmarkEnd w:id="38"/>
      <w:r/>
      <w:r/>
    </w:p>
    <w:p>
      <w:pPr>
        <w:jc w:val="left"/>
        <w:widowControl/>
        <w:rPr>
          <w:rFonts w:hint="eastAsia" w:ascii="微软雅黑" w:hAnsi="微软雅黑" w:cs="微软雅黑"/>
          <w:b/>
          <w:bCs/>
          <w:sz w:val="24"/>
          <w:szCs w:val="24"/>
          <w:highlight w:val="none"/>
          <w:lang w:bidi="ar"/>
        </w:rPr>
      </w:pPr>
      <w:r>
        <w:rPr>
          <w:rFonts w:hint="eastAsia" w:ascii="微软雅黑" w:hAnsi="微软雅黑" w:cs="微软雅黑"/>
          <w:b/>
          <w:bCs/>
          <w:sz w:val="24"/>
          <w:szCs w:val="24"/>
          <w:highlight w:val="none"/>
        </w:rPr>
        <w:t xml:space="preserve">供应商须知前附表</w:t>
      </w:r>
      <w:r>
        <w:rPr>
          <w:rFonts w:hint="eastAsia" w:ascii="微软雅黑" w:hAnsi="微软雅黑" w:cs="微软雅黑"/>
          <w:b/>
          <w:bCs/>
          <w:sz w:val="24"/>
          <w:szCs w:val="24"/>
          <w:highlight w:val="none"/>
          <w:lang w:bidi="ar"/>
        </w:rPr>
        <w:t xml:space="preserve">（采购文件中与此表内容表述不一致部分，以此表内容为准）</w:t>
      </w:r>
      <w:r/>
    </w:p>
    <w:tbl>
      <w:tblPr>
        <w:tblStyle w:val="115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szCs w:val="21"/>
                <w:highlight w:val="none"/>
              </w:rPr>
            </w:pPr>
            <w:r/>
            <w:bookmarkStart w:id="39" w:name="_Toc4078"/>
            <w:r/>
            <w:bookmarkStart w:id="40" w:name="_Toc452384170"/>
            <w:r>
              <w:rPr>
                <w:rFonts w:hint="eastAsia" w:ascii="微软雅黑" w:hAnsi="微软雅黑" w:cs="微软雅黑"/>
                <w:b/>
                <w:bCs/>
                <w:szCs w:val="21"/>
                <w:highlight w:val="none"/>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南京医科大学疫苗平台小动物多通道核团神经信号采集系统采购</w:t>
            </w:r>
            <w:r/>
          </w:p>
        </w:tc>
      </w:tr>
      <w:tr>
        <w:trPr>
          <w:jc w:val="center"/>
          <w:trHeight w:val="923"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项目编号</w:t>
            </w:r>
            <w:r/>
          </w:p>
        </w:tc>
        <w:tc>
          <w:tcPr>
            <w:tcW w:w="6117" w:type="dxa"/>
            <w:vAlign w:val="center"/>
            <w:textDirection w:val="lrTb"/>
            <w:noWrap w:val="false"/>
          </w:tcPr>
          <w:p>
            <w:pPr>
              <w:spacing w:line="440" w:lineRule="exact"/>
              <w:rPr>
                <w:rFonts w:hint="default" w:ascii="微软雅黑" w:hAnsi="微软雅黑" w:cs="微软雅黑"/>
                <w:color w:val="000000" w:themeColor="text1"/>
                <w:szCs w:val="21"/>
                <w:highlight w:val="none"/>
                <w:lang w:val="en-US"/>
                <w14:textFill>
                  <w14:solidFill>
                    <w14:schemeClr w14:val="tx1"/>
                  </w14:solidFill>
                </w14:textFill>
              </w:rPr>
            </w:pPr>
            <w:r>
              <w:rPr>
                <w:rFonts w:hint="default" w:ascii="微软雅黑" w:hAnsi="微软雅黑" w:cs="微软雅黑"/>
                <w:color w:val="000000" w:themeColor="text1"/>
                <w:szCs w:val="21"/>
                <w:highlight w:val="none"/>
                <w:lang w:val="en-US"/>
                <w14:textFill>
                  <w14:solidFill>
                    <w14:schemeClr w14:val="tx1"/>
                  </w14:solidFill>
                </w14:textFill>
              </w:rPr>
              <w:t xml:space="preserve">JSZC-320000-JSHC-G2026-0015</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（代理机构内部编号：JSHC-2026020054B2）</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采购方式</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人民币壹佰叁拾伍万元整（人民币135万元）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人民币壹佰叁拾伍万元整（人民币135万元）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采购人</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单位名称：南京医科大学</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联系人：王老师</w:t>
            </w:r>
            <w:bookmarkStart w:id="363" w:name="_GoBack"/>
            <w:r/>
            <w:bookmarkEnd w:id="363"/>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9</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江苏省华采招标有限公司</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项目负责人：徐雪</w:t>
            </w:r>
            <w:r>
              <w:rPr>
                <w:rFonts w:hint="default" w:ascii="微软雅黑" w:hAnsi="微软雅黑" w:cs="微软雅黑"/>
                <w:szCs w:val="21"/>
                <w:highlight w:val="none"/>
                <w:lang w:val="en-US"/>
              </w:rPr>
              <w:t xml:space="preserve">/</w:t>
            </w:r>
            <w:r>
              <w:rPr>
                <w:rFonts w:hint="eastAsia" w:ascii="微软雅黑" w:hAnsi="微软雅黑" w:cs="微软雅黑"/>
                <w:szCs w:val="21"/>
                <w:highlight w:val="none"/>
              </w:rPr>
              <w:t xml:space="preserve">刘洁</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w:t>
            </w:r>
            <w:r/>
          </w:p>
        </w:tc>
        <w:tc>
          <w:tcPr>
            <w:tcW w:w="1755" w:type="dxa"/>
            <w:vAlign w:val="center"/>
            <w:textDirection w:val="lrTb"/>
            <w:noWrap w:val="false"/>
          </w:tcPr>
          <w:p>
            <w:pPr>
              <w:jc w:val="center"/>
              <w:spacing w:line="440" w:lineRule="exact"/>
              <w:rPr>
                <w:rFonts w:hint="eastAsia" w:ascii="微软雅黑" w:hAnsi="微软雅黑" w:cs="微软雅黑"/>
                <w:b w:val="0"/>
                <w:bCs w:val="0"/>
                <w:szCs w:val="21"/>
                <w:highlight w:val="none"/>
              </w:rPr>
            </w:pPr>
            <w:r>
              <w:rPr>
                <w:rFonts w:hint="eastAsia" w:ascii="微软雅黑" w:hAnsi="微软雅黑" w:cs="微软雅黑"/>
                <w:b w:val="0"/>
                <w:bCs w:val="0"/>
                <w:szCs w:val="21"/>
                <w:highlight w:val="none"/>
              </w:rPr>
              <w:t xml:space="preserve">投标保证金</w:t>
            </w:r>
            <w:r/>
          </w:p>
        </w:tc>
        <w:tc>
          <w:tcPr>
            <w:tcW w:w="6117" w:type="dxa"/>
            <w:vAlign w:val="center"/>
            <w:textDirection w:val="lrTb"/>
            <w:noWrap w:val="false"/>
          </w:tcPr>
          <w:p>
            <w:pPr>
              <w:spacing w:line="400" w:lineRule="exact"/>
              <w:rPr>
                <w:rFonts w:hint="eastAsia" w:ascii="微软雅黑" w:hAnsi="微软雅黑" w:cs="微软雅黑"/>
                <w:b w:val="0"/>
                <w:bCs w:val="0"/>
                <w:szCs w:val="21"/>
                <w:highlight w:val="none"/>
              </w:rPr>
            </w:pPr>
            <w:r>
              <w:rPr>
                <w:rFonts w:hint="eastAsia" w:ascii="微软雅黑" w:hAnsi="微软雅黑" w:cs="微软雅黑"/>
                <w:b w:val="0"/>
                <w:bCs w:val="0"/>
                <w:color w:val="auto"/>
                <w:highlight w:val="none"/>
              </w:rPr>
              <w:t xml:space="preserve">本项目不收取投标保证金。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w:t>
            </w:r>
            <w:r/>
          </w:p>
        </w:tc>
        <w:tc>
          <w:tcPr>
            <w:tcW w:w="1755" w:type="dxa"/>
            <w:vAlign w:val="center"/>
            <w:textDirection w:val="lrTb"/>
            <w:noWrap w:val="false"/>
          </w:tcPr>
          <w:p>
            <w:pPr>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sz w:val="22"/>
                <w:highlight w:val="none"/>
              </w:rPr>
            </w:pPr>
            <w:r>
              <w:rPr>
                <w:rFonts w:hint="eastAsia" w:ascii="微软雅黑" w:hAnsi="微软雅黑" w:cs="微软雅黑"/>
                <w:color w:val="auto"/>
                <w:szCs w:val="21"/>
                <w:highlight w:val="none"/>
                <w:lang w:eastAsia="zh-CN"/>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color w:val="auto"/>
                <w:szCs w:val="21"/>
                <w:highlight w:val="none"/>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auto"/>
                <w:szCs w:val="21"/>
                <w:highlight w:val="none"/>
                <w:lang w:eastAsia="zh-CN"/>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样品</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现场演示</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18</w:t>
            </w:r>
            <w:r/>
          </w:p>
        </w:tc>
        <w:tc>
          <w:tcPr>
            <w:tcW w:w="1755" w:type="dxa"/>
            <w:vAlign w:val="center"/>
            <w:textDirection w:val="lrTb"/>
            <w:noWrap w:val="false"/>
          </w:tcPr>
          <w:p>
            <w:pPr>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投标报价包括采购文件所规定的采购范围的全部内容。包括但不仅限于全部货物的价格及相关税费、运输到指定地点的装运费用、安装调试、培训、售后服务等其他有关的所有费用。</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highlight w:val="none"/>
              </w:rPr>
            </w:pPr>
            <w:r>
              <w:rPr>
                <w:rFonts w:hint="eastAsia" w:ascii="微软雅黑" w:hAnsi="微软雅黑" w:cs="微软雅黑"/>
                <w:highlight w:val="none"/>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代理费用</w:t>
            </w:r>
            <w:r/>
          </w:p>
        </w:tc>
        <w:tc>
          <w:tcPr>
            <w:tcW w:w="6117" w:type="dxa"/>
            <w:vAlign w:val="center"/>
            <w:textDirection w:val="lrTb"/>
            <w:noWrap w:val="false"/>
          </w:tcPr>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采用差额定率累进计费方式。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p>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本次采购活动招标代理服务费由中标供应商支付，中标供应商领取《中标通知书》前一次性向采购代理机构缴纳。</w:t>
            </w:r>
            <w:r/>
          </w:p>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本次招标代理服务费不包括有可能产生的专家复议费及由于摆放样品额外租赁场地产生的场地使用费等，如有产生此项费用由中标供应商额外按实支付。</w:t>
            </w:r>
            <w:r/>
          </w:p>
          <w:p>
            <w:pPr>
              <w:pStyle w:val="1164"/>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收款信息：</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户名：江苏省华采招标有限公司</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开户行：招商银行南京奥体支行</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账号：1259 0737 5810 501</w:t>
            </w:r>
            <w:r/>
          </w:p>
          <w:p>
            <w:pPr>
              <w:pStyle w:val="1164"/>
              <w:ind w:left="0"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开户行行号：3083 0100 6254</w:t>
            </w:r>
            <w:r/>
          </w:p>
          <w:p>
            <w:pPr>
              <w:rPr>
                <w:highlight w:val="none"/>
              </w:rPr>
            </w:pPr>
            <w:r>
              <w:rPr>
                <w:rFonts w:hint="eastAsia" w:ascii="微软雅黑" w:hAnsi="微软雅黑" w:cs="微软雅黑"/>
                <w:szCs w:val="21"/>
                <w:highlight w:val="none"/>
              </w:rPr>
              <w:t xml:space="preserve">备注054B2代理服务费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其他相关说明</w:t>
            </w:r>
            <w:r/>
          </w:p>
        </w:tc>
        <w:tc>
          <w:tcPr>
            <w:tcW w:w="6117" w:type="dxa"/>
            <w:vAlign w:val="center"/>
            <w:textDirection w:val="lrTb"/>
            <w:noWrap w:val="false"/>
          </w:tcPr>
          <w:p>
            <w:pPr>
              <w:numPr>
                <w:ilvl w:val="0"/>
                <w:numId w:val="8"/>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有关本项目的相关公告敬请关注江苏政府采购网（www.ccgp-jiangsu.gov.cn），也可以与我公司项目部联系，联系人及电话：徐工025-83603368。</w:t>
            </w:r>
            <w:r/>
          </w:p>
          <w:p>
            <w:pPr>
              <w:pStyle w:val="1362"/>
              <w:numPr>
                <w:ilvl w:val="0"/>
                <w:numId w:val="8"/>
              </w:numPr>
              <w:spacing w:line="400" w:lineRule="exact"/>
              <w:rPr>
                <w:rFonts w:hint="eastAsia" w:ascii="微软雅黑" w:hAnsi="微软雅黑" w:cs="微软雅黑"/>
                <w:highlight w:val="none"/>
              </w:rPr>
            </w:pPr>
            <w:r>
              <w:rPr>
                <w:rFonts w:hint="eastAsia" w:ascii="微软雅黑" w:hAnsi="微软雅黑" w:cs="微软雅黑"/>
                <w:szCs w:val="21"/>
                <w:highlight w:val="none"/>
              </w:rPr>
              <w:t xml:space="preserve">有关发票开具事项：请将开票信息</w:t>
            </w:r>
            <w:r>
              <w:rPr>
                <w:rFonts w:hint="eastAsia" w:ascii="微软雅黑" w:hAnsi="微软雅黑" w:cs="微软雅黑"/>
                <w:highlight w:val="none"/>
              </w:rPr>
              <w:t xml:space="preserve">发至财务邮箱：</w:t>
            </w:r>
            <w:r>
              <w:rPr>
                <w:rFonts w:ascii="微软雅黑" w:hAnsi="微软雅黑" w:cs="微软雅黑"/>
                <w:highlight w:val="none"/>
              </w:rPr>
              <w:t xml:space="preserve">jshc888888@163.com</w:t>
            </w:r>
            <w:r>
              <w:rPr>
                <w:rFonts w:hint="eastAsia" w:ascii="微软雅黑" w:hAnsi="微软雅黑" w:cs="微软雅黑"/>
                <w:highlight w:val="none"/>
              </w:rPr>
              <w:t xml:space="preserve">（开票信息包括</w:t>
            </w:r>
            <w:r>
              <w:rPr>
                <w:rFonts w:hint="eastAsia"/>
                <w:highlight w:val="none"/>
              </w:rPr>
              <w:t xml:space="preserve">公司名</w:t>
            </w:r>
            <w:r>
              <w:rPr>
                <w:rFonts w:hint="eastAsia" w:ascii="微软雅黑" w:hAnsi="微软雅黑" w:cs="微软雅黑"/>
                <w:highlight w:val="none"/>
              </w:rPr>
              <w:t xml:space="preserve">称、统一社会信用代码、公司地址、联系电话、开户银行及账号、财务联系人等）。</w:t>
            </w:r>
            <w:r>
              <w:rPr>
                <w:rFonts w:hint="eastAsia"/>
                <w:highlight w:val="none"/>
              </w:rPr>
              <w:t xml:space="preserve">领取发票：电子发票。</w:t>
            </w:r>
            <w:r/>
          </w:p>
        </w:tc>
      </w:tr>
    </w:tbl>
    <w:p>
      <w:pPr>
        <w:pStyle w:val="1345"/>
        <w:spacing w:after="100"/>
        <w:rPr>
          <w:rFonts w:hint="eastAsia" w:ascii="微软雅黑" w:hAnsi="微软雅黑" w:cs="微软雅黑"/>
          <w:color w:val="auto"/>
          <w:highlight w:val="none"/>
        </w:rPr>
      </w:pPr>
      <w:r>
        <w:rPr>
          <w:rFonts w:hint="eastAsia" w:ascii="微软雅黑" w:hAnsi="微软雅黑" w:cs="微软雅黑"/>
          <w:highlight w:val="none"/>
        </w:rPr>
        <w:br w:type="page" w:clear="all"/>
      </w:r>
      <w:bookmarkEnd w:id="39"/>
      <w:r/>
      <w:bookmarkEnd w:id="40"/>
      <w:r/>
      <w:bookmarkStart w:id="41" w:name="_Toc25611"/>
      <w:r/>
      <w:bookmarkStart w:id="42" w:name="_Toc30600"/>
      <w:r/>
      <w:bookmarkStart w:id="43" w:name="_Toc27265"/>
      <w:r/>
      <w:bookmarkStart w:id="44" w:name="_Toc12748"/>
      <w:r>
        <w:rPr>
          <w:rFonts w:hint="eastAsia" w:ascii="微软雅黑" w:hAnsi="微软雅黑" w:cs="微软雅黑"/>
          <w:color w:val="auto"/>
          <w:highlight w:val="none"/>
        </w:rPr>
        <w:t xml:space="preserve">一、总则</w:t>
      </w:r>
      <w:bookmarkEnd w:id="41"/>
      <w:r/>
      <w:bookmarkEnd w:id="42"/>
      <w:r/>
      <w:bookmarkEnd w:id="43"/>
      <w:r/>
      <w:r/>
    </w:p>
    <w:p>
      <w:pPr>
        <w:pStyle w:val="1189"/>
        <w:spacing w:line="420" w:lineRule="exact"/>
        <w:rPr>
          <w:rFonts w:hint="eastAsia" w:ascii="微软雅黑" w:hAnsi="微软雅黑" w:cs="微软雅黑"/>
          <w:bCs w:val="0"/>
          <w:color w:val="auto"/>
          <w:sz w:val="24"/>
          <w:szCs w:val="24"/>
          <w:highlight w:val="none"/>
        </w:rPr>
      </w:pPr>
      <w:r/>
      <w:bookmarkStart w:id="45" w:name="_Toc24353"/>
      <w:r/>
      <w:bookmarkStart w:id="46" w:name="_Toc30960"/>
      <w:r/>
      <w:bookmarkStart w:id="47" w:name="_Toc23928"/>
      <w:r/>
      <w:bookmarkStart w:id="48" w:name="_Toc452384171"/>
      <w:r/>
      <w:bookmarkStart w:id="49" w:name="_Toc14886"/>
      <w:r>
        <w:rPr>
          <w:rFonts w:hint="eastAsia" w:ascii="微软雅黑" w:hAnsi="微软雅黑" w:cs="微软雅黑"/>
          <w:bCs w:val="0"/>
          <w:color w:val="auto"/>
          <w:sz w:val="24"/>
          <w:szCs w:val="24"/>
          <w:highlight w:val="none"/>
        </w:rPr>
        <w:t xml:space="preserve">1.1适用范围</w:t>
      </w:r>
      <w:bookmarkEnd w:id="45"/>
      <w:r/>
      <w:bookmarkEnd w:id="46"/>
      <w:r/>
      <w:bookmarkEnd w:id="47"/>
      <w:r/>
      <w:bookmarkEnd w:id="48"/>
      <w:r/>
      <w:bookmarkEnd w:id="4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1.1.1本采购文件仅适用于江苏省华采招标有限公司（以下简称采购代理机构）组织的采购活动。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1.1.2采购人指</w:t>
      </w:r>
      <w:r>
        <w:rPr>
          <w:rFonts w:hint="eastAsia" w:ascii="微软雅黑" w:hAnsi="微软雅黑" w:cs="微软雅黑"/>
          <w:b/>
          <w:bCs/>
          <w:color w:val="auto"/>
          <w:highlight w:val="none"/>
        </w:rPr>
        <w:t xml:space="preserve">南京医科大学</w:t>
      </w:r>
      <w:r>
        <w:rPr>
          <w:rFonts w:hint="eastAsia" w:ascii="微软雅黑" w:hAnsi="微软雅黑" w:cs="微软雅黑"/>
          <w:color w:val="auto"/>
          <w:highlight w:val="none"/>
        </w:rPr>
        <w:t xml:space="preserve">。</w:t>
      </w:r>
      <w:r/>
    </w:p>
    <w:p>
      <w:pPr>
        <w:pStyle w:val="1189"/>
        <w:spacing w:line="420" w:lineRule="exact"/>
        <w:rPr>
          <w:rFonts w:hint="eastAsia" w:ascii="微软雅黑" w:hAnsi="微软雅黑" w:cs="微软雅黑"/>
          <w:bCs w:val="0"/>
          <w:color w:val="auto"/>
          <w:sz w:val="24"/>
          <w:szCs w:val="24"/>
          <w:highlight w:val="none"/>
        </w:rPr>
      </w:pPr>
      <w:r/>
      <w:bookmarkStart w:id="50" w:name="_Toc452384172"/>
      <w:r/>
      <w:bookmarkStart w:id="51" w:name="_Toc14515"/>
      <w:r/>
      <w:bookmarkStart w:id="52" w:name="_Toc26931"/>
      <w:r/>
      <w:bookmarkStart w:id="53" w:name="_Toc17779"/>
      <w:r/>
      <w:bookmarkStart w:id="54" w:name="_Toc26426"/>
      <w:r>
        <w:rPr>
          <w:rFonts w:hint="eastAsia" w:ascii="微软雅黑" w:hAnsi="微软雅黑" w:cs="微软雅黑"/>
          <w:bCs w:val="0"/>
          <w:color w:val="auto"/>
          <w:sz w:val="24"/>
          <w:szCs w:val="24"/>
          <w:highlight w:val="none"/>
        </w:rPr>
        <w:t xml:space="preserve">1.2合格的</w:t>
      </w:r>
      <w:bookmarkEnd w:id="50"/>
      <w:r>
        <w:rPr>
          <w:rFonts w:hint="eastAsia" w:ascii="微软雅黑" w:hAnsi="微软雅黑" w:cs="微软雅黑"/>
          <w:bCs w:val="0"/>
          <w:color w:val="auto"/>
          <w:sz w:val="24"/>
          <w:szCs w:val="24"/>
          <w:highlight w:val="none"/>
        </w:rPr>
        <w:t xml:space="preserve">供应商</w:t>
      </w:r>
      <w:bookmarkEnd w:id="51"/>
      <w:r/>
      <w:bookmarkEnd w:id="52"/>
      <w:r/>
      <w:bookmarkEnd w:id="53"/>
      <w:r/>
      <w:bookmarkEnd w:id="5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1.2.2供应商参加本次采购活动应当符合本采购文件的规定。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1.2.4联合体投标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1.2.5无论采购文件是否提及，投标供应商所递交的投标文件中所有内容均应是真实有效的；</w:t>
      </w:r>
      <w:r>
        <w:rPr>
          <w:rFonts w:hint="eastAsia" w:ascii="微软雅黑" w:hAnsi="微软雅黑" w:cs="微软雅黑"/>
          <w:b/>
          <w:i/>
          <w:color w:val="auto"/>
          <w:szCs w:val="21"/>
          <w:highlight w:val="none"/>
          <w:u w:val="single"/>
        </w:rPr>
        <w:t xml:space="preserve">供应商所提供的产品或者服务，必须满足国家相关强制性规定要求，由于供应商违反国家相关强制性规定给采购人造成损失，一切责任和后果均由供应商承担。</w:t>
      </w:r>
      <w:r/>
    </w:p>
    <w:p>
      <w:pPr>
        <w:pStyle w:val="1189"/>
        <w:spacing w:line="420" w:lineRule="exact"/>
        <w:rPr>
          <w:rFonts w:hint="eastAsia" w:ascii="微软雅黑" w:hAnsi="微软雅黑" w:cs="微软雅黑"/>
          <w:bCs w:val="0"/>
          <w:color w:val="auto"/>
          <w:sz w:val="24"/>
          <w:szCs w:val="24"/>
          <w:highlight w:val="none"/>
        </w:rPr>
      </w:pPr>
      <w:r/>
      <w:bookmarkStart w:id="55" w:name="_Toc403671109"/>
      <w:r/>
      <w:bookmarkStart w:id="56" w:name="_Toc28946"/>
      <w:r/>
      <w:bookmarkStart w:id="57" w:name="_Toc15036"/>
      <w:r/>
      <w:bookmarkStart w:id="58" w:name="_Toc452384173"/>
      <w:r/>
      <w:bookmarkStart w:id="59" w:name="_Toc8112"/>
      <w:r/>
      <w:bookmarkStart w:id="60" w:name="_Toc26532"/>
      <w:r>
        <w:rPr>
          <w:rFonts w:hint="eastAsia" w:ascii="微软雅黑" w:hAnsi="微软雅黑" w:cs="微软雅黑"/>
          <w:bCs w:val="0"/>
          <w:color w:val="auto"/>
          <w:sz w:val="24"/>
          <w:szCs w:val="24"/>
          <w:highlight w:val="none"/>
        </w:rPr>
        <w:t xml:space="preserve">1.3</w:t>
      </w:r>
      <w:bookmarkEnd w:id="55"/>
      <w:r>
        <w:rPr>
          <w:rFonts w:hint="eastAsia" w:ascii="微软雅黑" w:hAnsi="微软雅黑" w:cs="微软雅黑"/>
          <w:bCs w:val="0"/>
          <w:color w:val="auto"/>
          <w:sz w:val="24"/>
          <w:szCs w:val="24"/>
          <w:highlight w:val="none"/>
        </w:rPr>
        <w:t xml:space="preserve">参加采购活动费用</w:t>
      </w:r>
      <w:bookmarkEnd w:id="56"/>
      <w:r/>
      <w:bookmarkEnd w:id="57"/>
      <w:r/>
      <w:bookmarkEnd w:id="58"/>
      <w:r/>
      <w:bookmarkEnd w:id="59"/>
      <w:r/>
      <w:bookmarkEnd w:id="6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1.3.1无论采购活动过程中的做法和结果如何，供应商自行承担与参加采购活动有关的全部费用。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1.3.2有关费用的收取标准，详见供应商须知前附表。</w:t>
      </w:r>
      <w:r/>
    </w:p>
    <w:p>
      <w:pPr>
        <w:pStyle w:val="1189"/>
        <w:spacing w:line="420" w:lineRule="exact"/>
        <w:rPr>
          <w:rFonts w:hint="eastAsia" w:ascii="微软雅黑" w:hAnsi="微软雅黑" w:cs="微软雅黑"/>
          <w:bCs w:val="0"/>
          <w:color w:val="auto"/>
          <w:sz w:val="24"/>
          <w:szCs w:val="24"/>
          <w:highlight w:val="none"/>
        </w:rPr>
      </w:pPr>
      <w:r/>
      <w:bookmarkStart w:id="61" w:name="_Toc22068"/>
      <w:r/>
      <w:bookmarkStart w:id="62" w:name="_Toc15385"/>
      <w:r/>
      <w:bookmarkStart w:id="63" w:name="_Toc28048"/>
      <w:r/>
      <w:bookmarkStart w:id="64" w:name="_Toc452384174"/>
      <w:r/>
      <w:bookmarkStart w:id="65" w:name="_Toc31844"/>
      <w:r>
        <w:rPr>
          <w:rFonts w:hint="eastAsia" w:ascii="微软雅黑" w:hAnsi="微软雅黑" w:cs="微软雅黑"/>
          <w:bCs w:val="0"/>
          <w:color w:val="auto"/>
          <w:sz w:val="24"/>
          <w:szCs w:val="24"/>
          <w:highlight w:val="none"/>
        </w:rPr>
        <w:t xml:space="preserve">1.4法律适用</w:t>
      </w:r>
      <w:bookmarkEnd w:id="61"/>
      <w:r/>
      <w:bookmarkEnd w:id="62"/>
      <w:r/>
      <w:bookmarkEnd w:id="63"/>
      <w:r/>
      <w:bookmarkEnd w:id="64"/>
      <w:r/>
      <w:bookmarkEnd w:id="6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pStyle w:val="1189"/>
        <w:spacing w:line="420" w:lineRule="exact"/>
        <w:rPr>
          <w:rFonts w:hint="eastAsia" w:ascii="微软雅黑" w:hAnsi="微软雅黑" w:cs="微软雅黑"/>
          <w:bCs w:val="0"/>
          <w:color w:val="auto"/>
          <w:sz w:val="24"/>
          <w:szCs w:val="24"/>
          <w:highlight w:val="none"/>
        </w:rPr>
      </w:pPr>
      <w:r/>
      <w:bookmarkStart w:id="66" w:name="_Toc452384175"/>
      <w:r/>
      <w:bookmarkStart w:id="67" w:name="_Toc32584"/>
      <w:r/>
      <w:bookmarkStart w:id="68" w:name="_Toc30400"/>
      <w:r/>
      <w:bookmarkStart w:id="69" w:name="_Toc8605"/>
      <w:r/>
      <w:bookmarkStart w:id="70" w:name="_Toc13661"/>
      <w:r>
        <w:rPr>
          <w:rFonts w:hint="eastAsia" w:ascii="微软雅黑" w:hAnsi="微软雅黑" w:cs="微软雅黑"/>
          <w:bCs w:val="0"/>
          <w:color w:val="auto"/>
          <w:sz w:val="24"/>
          <w:szCs w:val="24"/>
          <w:highlight w:val="none"/>
        </w:rPr>
        <w:t xml:space="preserve">1.5采购文件的约束力</w:t>
      </w:r>
      <w:bookmarkEnd w:id="66"/>
      <w:r/>
      <w:bookmarkEnd w:id="67"/>
      <w:r/>
      <w:bookmarkEnd w:id="68"/>
      <w:r/>
      <w:bookmarkEnd w:id="69"/>
      <w:r/>
      <w:bookmarkEnd w:id="7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1.5.1供应商一旦参加本次采购活动，即被认为接受了本采购文件中的所有条款和规定。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1.5.2本采购文件由采购代理机构负责解释。</w:t>
      </w:r>
      <w:r/>
    </w:p>
    <w:p>
      <w:pPr>
        <w:pStyle w:val="1345"/>
        <w:spacing w:line="420" w:lineRule="exact"/>
        <w:rPr>
          <w:rFonts w:hint="eastAsia" w:ascii="微软雅黑" w:hAnsi="微软雅黑" w:cs="微软雅黑"/>
          <w:color w:val="auto"/>
          <w:highlight w:val="none"/>
        </w:rPr>
      </w:pPr>
      <w:r/>
      <w:bookmarkStart w:id="71" w:name="_Toc30003"/>
      <w:r/>
      <w:bookmarkStart w:id="72" w:name="_Toc452384176"/>
      <w:r/>
      <w:bookmarkStart w:id="73" w:name="_Toc21022"/>
      <w:r/>
      <w:bookmarkStart w:id="74" w:name="_Toc9303"/>
      <w:r/>
      <w:bookmarkStart w:id="75" w:name="_Toc14643"/>
      <w:r>
        <w:rPr>
          <w:rFonts w:hint="eastAsia" w:ascii="微软雅黑" w:hAnsi="微软雅黑" w:cs="微软雅黑"/>
          <w:color w:val="auto"/>
          <w:highlight w:val="none"/>
        </w:rPr>
        <w:t xml:space="preserve">二、采购文件</w:t>
      </w:r>
      <w:bookmarkEnd w:id="71"/>
      <w:r/>
      <w:bookmarkEnd w:id="72"/>
      <w:r/>
      <w:bookmarkEnd w:id="73"/>
      <w:r/>
      <w:bookmarkEnd w:id="74"/>
      <w:r/>
      <w:bookmarkEnd w:id="75"/>
      <w:r/>
      <w:r/>
    </w:p>
    <w:p>
      <w:pPr>
        <w:pStyle w:val="1189"/>
        <w:spacing w:line="420" w:lineRule="exact"/>
        <w:rPr>
          <w:rFonts w:hint="eastAsia" w:ascii="微软雅黑" w:hAnsi="微软雅黑" w:cs="微软雅黑"/>
          <w:bCs w:val="0"/>
          <w:color w:val="auto"/>
          <w:sz w:val="24"/>
          <w:szCs w:val="24"/>
          <w:highlight w:val="none"/>
        </w:rPr>
      </w:pPr>
      <w:r/>
      <w:bookmarkStart w:id="76" w:name="_Toc10645"/>
      <w:r/>
      <w:bookmarkStart w:id="77" w:name="_Toc10694"/>
      <w:r/>
      <w:bookmarkStart w:id="78" w:name="_Toc452384177"/>
      <w:r/>
      <w:bookmarkStart w:id="79" w:name="_Toc23555"/>
      <w:r/>
      <w:bookmarkStart w:id="80" w:name="_Toc9247"/>
      <w:r>
        <w:rPr>
          <w:rFonts w:hint="eastAsia" w:ascii="微软雅黑" w:hAnsi="微软雅黑" w:cs="微软雅黑"/>
          <w:bCs w:val="0"/>
          <w:color w:val="auto"/>
          <w:sz w:val="24"/>
          <w:szCs w:val="24"/>
          <w:highlight w:val="none"/>
        </w:rPr>
        <w:t xml:space="preserve">2.1采购文件的组成</w:t>
      </w:r>
      <w:bookmarkEnd w:id="76"/>
      <w:r/>
      <w:bookmarkEnd w:id="77"/>
      <w:r/>
      <w:bookmarkEnd w:id="78"/>
      <w:r/>
      <w:bookmarkEnd w:id="79"/>
      <w:r/>
      <w:bookmarkEnd w:id="8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2.1.1采购文件由以下部分组成：</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投标邀请（采购公告）</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评标办法和定标原则</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投标文件格式及附件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2.1.3供应商必须详阅采购文件的所有条款、文件及表格格式等。供应商若未按采购文件的要求和规范编制、提交投标文件，将有可能导致投标文件被拒绝接受或被视为无效。</w:t>
      </w:r>
      <w:r/>
    </w:p>
    <w:p>
      <w:pPr>
        <w:pStyle w:val="1189"/>
        <w:spacing w:line="420" w:lineRule="exact"/>
        <w:rPr>
          <w:rFonts w:hint="eastAsia" w:ascii="微软雅黑" w:hAnsi="微软雅黑" w:cs="微软雅黑"/>
          <w:bCs w:val="0"/>
          <w:color w:val="auto"/>
          <w:sz w:val="24"/>
          <w:szCs w:val="24"/>
          <w:highlight w:val="none"/>
        </w:rPr>
      </w:pPr>
      <w:r/>
      <w:bookmarkStart w:id="81" w:name="_Toc15213"/>
      <w:r/>
      <w:bookmarkStart w:id="82" w:name="_Toc452384179"/>
      <w:r/>
      <w:bookmarkStart w:id="83" w:name="_Toc10339"/>
      <w:r/>
      <w:bookmarkStart w:id="84" w:name="_Toc19383"/>
      <w:r/>
      <w:bookmarkStart w:id="85" w:name="_Toc14340"/>
      <w:r>
        <w:rPr>
          <w:rFonts w:hint="eastAsia" w:ascii="微软雅黑" w:hAnsi="微软雅黑" w:cs="微软雅黑"/>
          <w:bCs w:val="0"/>
          <w:color w:val="auto"/>
          <w:sz w:val="24"/>
          <w:szCs w:val="24"/>
          <w:highlight w:val="none"/>
        </w:rPr>
        <w:t xml:space="preserve">2.2采购文件的更正或补充</w:t>
      </w:r>
      <w:bookmarkEnd w:id="81"/>
      <w:r/>
      <w:bookmarkEnd w:id="82"/>
      <w:r/>
      <w:bookmarkEnd w:id="83"/>
      <w:r/>
      <w:bookmarkEnd w:id="84"/>
      <w:r/>
      <w:bookmarkEnd w:id="8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2.2.1在投标截止时间前，采购代理机构可根据有关规定对采购文件用更正公告的方式进行修正。</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2.2.3当采购文件与更正公告的内容不一致时，以采购代理机构最后发出的更正公告为准。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2.2.4为使供应商有足够的时间按采购文件的更正要求修正投标文件，采购代理机构有权决定推迟投标截止时间，并按2.2.2条规定的方式将具体变更情况通知供应商。</w:t>
      </w:r>
      <w:r/>
    </w:p>
    <w:p>
      <w:pPr>
        <w:ind w:firstLine="420"/>
        <w:jc w:val="left"/>
        <w:pageBreakBefore w:val="0"/>
        <w:spacing w:line="440" w:lineRule="exact"/>
        <w:widowControl w:val="off"/>
        <w:rPr>
          <w:rFonts w:hint="eastAsia" w:ascii="微软雅黑" w:hAnsi="微软雅黑" w:eastAsia="微软雅黑" w:cs="微软雅黑"/>
          <w:b/>
          <w:bCs/>
          <w:i/>
          <w:iCs/>
          <w:color w:val="auto"/>
          <w:sz w:val="21"/>
          <w:szCs w:val="21"/>
          <w:highlight w:val="none"/>
          <w:u w:val="single"/>
        </w:rPr>
      </w:pPr>
      <w:r>
        <w:rPr>
          <w:rFonts w:hint="eastAsia" w:ascii="微软雅黑" w:hAnsi="微软雅黑" w:eastAsia="微软雅黑" w:cs="微软雅黑"/>
          <w:b/>
          <w:bCs/>
          <w:i/>
          <w:iCs/>
          <w:color w:val="auto"/>
          <w:sz w:val="21"/>
          <w:szCs w:val="21"/>
          <w:highlight w:val="none"/>
          <w:u w:val="single"/>
        </w:rPr>
        <w:t xml:space="preserve">如标书制作工具中格式和内容与“江苏政府采购网”发布的招标文件不一致，以“江苏政府采购网”发布的招标文件为准。</w:t>
      </w:r>
      <w:r/>
    </w:p>
    <w:p>
      <w:pPr>
        <w:pStyle w:val="1345"/>
        <w:spacing w:line="420" w:lineRule="exact"/>
        <w:rPr>
          <w:rFonts w:hint="eastAsia" w:ascii="微软雅黑" w:hAnsi="微软雅黑" w:cs="微软雅黑"/>
          <w:color w:val="auto"/>
          <w:highlight w:val="none"/>
        </w:rPr>
      </w:pPr>
      <w:r/>
      <w:bookmarkStart w:id="86" w:name="_Toc452384180"/>
      <w:r/>
      <w:bookmarkStart w:id="87" w:name="_Toc923"/>
      <w:r/>
      <w:bookmarkStart w:id="88" w:name="_Toc28998"/>
      <w:r/>
      <w:bookmarkStart w:id="89" w:name="_Toc30874"/>
      <w:r/>
      <w:bookmarkStart w:id="90" w:name="_Toc5771"/>
      <w:r>
        <w:rPr>
          <w:rFonts w:hint="eastAsia" w:ascii="微软雅黑" w:hAnsi="微软雅黑" w:cs="微软雅黑"/>
          <w:color w:val="auto"/>
          <w:highlight w:val="none"/>
        </w:rPr>
        <w:t xml:space="preserve">三、投标文件</w:t>
      </w:r>
      <w:bookmarkEnd w:id="86"/>
      <w:r/>
      <w:bookmarkEnd w:id="87"/>
      <w:r/>
      <w:bookmarkEnd w:id="88"/>
      <w:r/>
      <w:bookmarkEnd w:id="89"/>
      <w:r/>
      <w:bookmarkEnd w:id="90"/>
      <w:r/>
      <w:r/>
    </w:p>
    <w:p>
      <w:pPr>
        <w:pStyle w:val="1189"/>
        <w:spacing w:line="420" w:lineRule="exact"/>
        <w:rPr>
          <w:rFonts w:hint="eastAsia" w:ascii="微软雅黑" w:hAnsi="微软雅黑" w:cs="微软雅黑"/>
          <w:bCs w:val="0"/>
          <w:color w:val="auto"/>
          <w:sz w:val="24"/>
          <w:szCs w:val="24"/>
          <w:highlight w:val="none"/>
        </w:rPr>
      </w:pPr>
      <w:r/>
      <w:bookmarkStart w:id="91" w:name="_Toc7846"/>
      <w:r/>
      <w:bookmarkStart w:id="92" w:name="_Toc13316"/>
      <w:r/>
      <w:bookmarkStart w:id="93" w:name="_Toc1214"/>
      <w:r/>
      <w:bookmarkStart w:id="94" w:name="_Toc452384181"/>
      <w:r/>
      <w:bookmarkStart w:id="95" w:name="_Toc9154"/>
      <w:r>
        <w:rPr>
          <w:rFonts w:hint="eastAsia" w:ascii="微软雅黑" w:hAnsi="微软雅黑" w:cs="微软雅黑"/>
          <w:bCs w:val="0"/>
          <w:color w:val="auto"/>
          <w:sz w:val="24"/>
          <w:szCs w:val="24"/>
          <w:highlight w:val="none"/>
        </w:rPr>
        <w:t xml:space="preserve">3.1投标文件的语言及度量衡</w:t>
      </w:r>
      <w:bookmarkEnd w:id="91"/>
      <w:r/>
      <w:bookmarkEnd w:id="92"/>
      <w:r/>
      <w:bookmarkEnd w:id="93"/>
      <w:r/>
      <w:bookmarkEnd w:id="94"/>
      <w:r/>
      <w:bookmarkEnd w:id="9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3.1.1投标文件以及供应商与采购代理机构之间的所有书面往来都应用简体中文书写。</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3.1.3除在采购文件第六章中另有规定外，度量衡单位应使用国际单位制。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3.1.4本采购文件所表述的时间均为北京时间。</w:t>
      </w:r>
      <w:r/>
    </w:p>
    <w:p>
      <w:pPr>
        <w:pStyle w:val="1189"/>
        <w:spacing w:line="420" w:lineRule="exact"/>
        <w:rPr>
          <w:rFonts w:hint="eastAsia" w:ascii="微软雅黑" w:hAnsi="微软雅黑" w:cs="微软雅黑"/>
          <w:bCs w:val="0"/>
          <w:color w:val="auto"/>
          <w:sz w:val="24"/>
          <w:szCs w:val="24"/>
          <w:highlight w:val="none"/>
        </w:rPr>
      </w:pPr>
      <w:r/>
      <w:bookmarkStart w:id="96" w:name="_Toc27826"/>
      <w:r/>
      <w:bookmarkStart w:id="97" w:name="_Toc452384182"/>
      <w:r/>
      <w:bookmarkStart w:id="98" w:name="_Toc23879"/>
      <w:r/>
      <w:bookmarkStart w:id="99" w:name="_Toc1816"/>
      <w:r/>
      <w:bookmarkStart w:id="100" w:name="_Toc23404"/>
      <w:r>
        <w:rPr>
          <w:rFonts w:hint="eastAsia" w:ascii="微软雅黑" w:hAnsi="微软雅黑" w:cs="微软雅黑"/>
          <w:bCs w:val="0"/>
          <w:color w:val="auto"/>
          <w:sz w:val="24"/>
          <w:szCs w:val="24"/>
          <w:highlight w:val="none"/>
        </w:rPr>
        <w:t xml:space="preserve">3.2投标文件的组成</w:t>
      </w:r>
      <w:bookmarkEnd w:id="96"/>
      <w:r/>
      <w:bookmarkEnd w:id="97"/>
      <w:r/>
      <w:bookmarkEnd w:id="98"/>
      <w:r/>
      <w:bookmarkEnd w:id="99"/>
      <w:r/>
      <w:bookmarkEnd w:id="10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（1）投标函和投标报价及相关证明文件。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3.2.3</w:t>
      </w:r>
      <w:r>
        <w:rPr>
          <w:rFonts w:hint="eastAsia" w:ascii="微软雅黑" w:hAnsi="微软雅黑" w:cs="微软雅黑"/>
          <w:b/>
          <w:i/>
          <w:color w:val="auto"/>
          <w:highlight w:val="none"/>
          <w:u w:val="single"/>
        </w:rPr>
        <w:t xml:space="preserve">若供应商未按采购文件的要求提供资料，或未对采购文件做出实质性响应，将导致投标文件被视为无效。</w:t>
      </w:r>
      <w:r/>
    </w:p>
    <w:p>
      <w:pPr>
        <w:pStyle w:val="1189"/>
        <w:spacing w:line="420" w:lineRule="exact"/>
        <w:rPr>
          <w:rFonts w:hint="eastAsia" w:ascii="微软雅黑" w:hAnsi="微软雅黑" w:cs="微软雅黑"/>
          <w:bCs w:val="0"/>
          <w:color w:val="auto"/>
          <w:sz w:val="24"/>
          <w:szCs w:val="24"/>
          <w:highlight w:val="none"/>
        </w:rPr>
      </w:pPr>
      <w:r/>
      <w:bookmarkStart w:id="101" w:name="_Toc452384183"/>
      <w:r/>
      <w:bookmarkStart w:id="102" w:name="_Toc30513"/>
      <w:r/>
      <w:bookmarkStart w:id="103" w:name="_Toc11816"/>
      <w:r/>
      <w:bookmarkStart w:id="104" w:name="_Toc28667"/>
      <w:r/>
      <w:bookmarkStart w:id="105" w:name="_Toc18797"/>
      <w:r>
        <w:rPr>
          <w:rFonts w:hint="eastAsia" w:ascii="微软雅黑" w:hAnsi="微软雅黑" w:cs="微软雅黑"/>
          <w:bCs w:val="0"/>
          <w:color w:val="auto"/>
          <w:sz w:val="24"/>
          <w:szCs w:val="24"/>
          <w:highlight w:val="none"/>
        </w:rPr>
        <w:t xml:space="preserve">3.3投标报价</w:t>
      </w:r>
      <w:bookmarkEnd w:id="101"/>
      <w:r/>
      <w:bookmarkEnd w:id="102"/>
      <w:r/>
      <w:bookmarkEnd w:id="103"/>
      <w:r/>
      <w:bookmarkEnd w:id="104"/>
      <w:r/>
      <w:bookmarkEnd w:id="10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3.3.2除非采购文件有特别说明，采购代理机构不接受备选的投标方案或有选择的报价。</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3.3.3投标报价不得超过采购预算或最高限价，否则投标文件被视为无效。</w:t>
      </w:r>
      <w:r/>
    </w:p>
    <w:p>
      <w:pPr>
        <w:pStyle w:val="1189"/>
        <w:spacing w:line="420" w:lineRule="exact"/>
        <w:rPr>
          <w:rFonts w:hint="eastAsia" w:ascii="微软雅黑" w:hAnsi="微软雅黑" w:cs="微软雅黑"/>
          <w:bCs w:val="0"/>
          <w:color w:val="auto"/>
          <w:sz w:val="24"/>
          <w:szCs w:val="24"/>
          <w:highlight w:val="none"/>
        </w:rPr>
      </w:pPr>
      <w:r/>
      <w:bookmarkStart w:id="106" w:name="_Toc9113"/>
      <w:r/>
      <w:bookmarkStart w:id="107" w:name="_Toc17210"/>
      <w:r/>
      <w:bookmarkStart w:id="108" w:name="_Toc452384184"/>
      <w:r/>
      <w:bookmarkStart w:id="109" w:name="_Toc1870"/>
      <w:r/>
      <w:bookmarkStart w:id="110" w:name="_Toc26522"/>
      <w:r>
        <w:rPr>
          <w:rFonts w:hint="eastAsia" w:ascii="微软雅黑" w:hAnsi="微软雅黑" w:cs="微软雅黑"/>
          <w:bCs w:val="0"/>
          <w:color w:val="auto"/>
          <w:sz w:val="24"/>
          <w:szCs w:val="24"/>
          <w:highlight w:val="none"/>
        </w:rPr>
        <w:t xml:space="preserve">3.4投标报价中的货币</w:t>
      </w:r>
      <w:bookmarkEnd w:id="106"/>
      <w:r/>
      <w:bookmarkEnd w:id="107"/>
      <w:r/>
      <w:bookmarkEnd w:id="108"/>
      <w:r/>
      <w:bookmarkEnd w:id="109"/>
      <w:r/>
      <w:bookmarkEnd w:id="110"/>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投标报价均须以人民币为计算单位，采购文件另有规定的，从其规定。</w:t>
      </w:r>
      <w:r/>
    </w:p>
    <w:p>
      <w:pPr>
        <w:pStyle w:val="1189"/>
        <w:spacing w:line="420" w:lineRule="exact"/>
        <w:rPr>
          <w:rFonts w:hint="eastAsia" w:ascii="微软雅黑" w:hAnsi="微软雅黑" w:cs="微软雅黑"/>
          <w:bCs w:val="0"/>
          <w:color w:val="auto"/>
          <w:sz w:val="24"/>
          <w:szCs w:val="24"/>
          <w:highlight w:val="none"/>
        </w:rPr>
      </w:pPr>
      <w:r/>
      <w:bookmarkStart w:id="111" w:name="_Toc16380"/>
      <w:r/>
      <w:bookmarkStart w:id="112" w:name="_Toc452384185"/>
      <w:r/>
      <w:bookmarkStart w:id="113" w:name="_Toc18127"/>
      <w:r/>
      <w:bookmarkStart w:id="114" w:name="_Toc65"/>
      <w:r/>
      <w:bookmarkStart w:id="115" w:name="_Toc7925"/>
      <w:r>
        <w:rPr>
          <w:rFonts w:hint="eastAsia" w:ascii="微软雅黑" w:hAnsi="微软雅黑" w:cs="微软雅黑"/>
          <w:bCs w:val="0"/>
          <w:color w:val="auto"/>
          <w:sz w:val="24"/>
          <w:szCs w:val="24"/>
          <w:highlight w:val="none"/>
        </w:rPr>
        <w:t xml:space="preserve">3.5投标保证金</w:t>
      </w:r>
      <w:bookmarkEnd w:id="111"/>
      <w:r/>
      <w:bookmarkEnd w:id="112"/>
      <w:r>
        <w:rPr>
          <w:rFonts w:hint="eastAsia" w:ascii="微软雅黑" w:hAnsi="微软雅黑" w:cs="微软雅黑"/>
          <w:bCs w:val="0"/>
          <w:color w:val="auto"/>
          <w:sz w:val="24"/>
          <w:szCs w:val="24"/>
          <w:highlight w:val="none"/>
        </w:rPr>
        <w:t xml:space="preserve">：无</w:t>
      </w:r>
      <w:bookmarkEnd w:id="113"/>
      <w:r/>
      <w:bookmarkEnd w:id="114"/>
      <w:r/>
      <w:bookmarkEnd w:id="115"/>
      <w:r/>
      <w:r/>
    </w:p>
    <w:p>
      <w:pPr>
        <w:pStyle w:val="1189"/>
        <w:spacing w:line="420" w:lineRule="exact"/>
        <w:rPr>
          <w:rFonts w:hint="eastAsia" w:ascii="微软雅黑" w:hAnsi="微软雅黑" w:cs="微软雅黑"/>
          <w:bCs w:val="0"/>
          <w:color w:val="auto"/>
          <w:sz w:val="24"/>
          <w:szCs w:val="24"/>
          <w:highlight w:val="none"/>
        </w:rPr>
      </w:pPr>
      <w:r/>
      <w:bookmarkStart w:id="116" w:name="_Toc452384186"/>
      <w:r/>
      <w:bookmarkStart w:id="117" w:name="_Toc5583"/>
      <w:r/>
      <w:bookmarkStart w:id="118" w:name="_Toc17830"/>
      <w:r/>
      <w:bookmarkStart w:id="119" w:name="_Toc31418"/>
      <w:r/>
      <w:bookmarkStart w:id="120" w:name="_Toc9201"/>
      <w:r>
        <w:rPr>
          <w:rFonts w:hint="eastAsia" w:ascii="微软雅黑" w:hAnsi="微软雅黑" w:cs="微软雅黑"/>
          <w:bCs w:val="0"/>
          <w:color w:val="auto"/>
          <w:sz w:val="24"/>
          <w:szCs w:val="24"/>
          <w:highlight w:val="none"/>
        </w:rPr>
        <w:t xml:space="preserve">3.6投标有效期</w:t>
      </w:r>
      <w:bookmarkEnd w:id="116"/>
      <w:r/>
      <w:bookmarkEnd w:id="117"/>
      <w:r/>
      <w:bookmarkEnd w:id="118"/>
      <w:r/>
      <w:bookmarkEnd w:id="119"/>
      <w:r/>
      <w:bookmarkEnd w:id="12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189"/>
        <w:spacing w:line="420" w:lineRule="exact"/>
        <w:rPr>
          <w:rFonts w:hint="eastAsia" w:ascii="微软雅黑" w:hAnsi="微软雅黑" w:cs="微软雅黑"/>
          <w:bCs w:val="0"/>
          <w:color w:val="auto"/>
          <w:sz w:val="24"/>
          <w:szCs w:val="24"/>
          <w:highlight w:val="none"/>
        </w:rPr>
      </w:pPr>
      <w:r/>
      <w:bookmarkStart w:id="121" w:name="_Toc452384187"/>
      <w:r/>
      <w:bookmarkStart w:id="122" w:name="_Toc30675"/>
      <w:r/>
      <w:bookmarkStart w:id="123" w:name="_Toc30335"/>
      <w:r/>
      <w:bookmarkStart w:id="124" w:name="_Toc24918"/>
      <w:r/>
      <w:bookmarkStart w:id="125" w:name="_Toc12737"/>
      <w:r>
        <w:rPr>
          <w:rFonts w:hint="eastAsia" w:ascii="微软雅黑" w:hAnsi="微软雅黑" w:cs="微软雅黑"/>
          <w:bCs w:val="0"/>
          <w:color w:val="auto"/>
          <w:sz w:val="24"/>
          <w:szCs w:val="24"/>
          <w:highlight w:val="none"/>
        </w:rPr>
        <w:t xml:space="preserve">3.7投标文件的签署、形式及装订</w:t>
      </w:r>
      <w:bookmarkEnd w:id="121"/>
      <w:r/>
      <w:bookmarkEnd w:id="122"/>
      <w:r/>
      <w:bookmarkEnd w:id="123"/>
      <w:r/>
      <w:bookmarkEnd w:id="124"/>
      <w:r/>
      <w:bookmarkEnd w:id="12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w:t>
      </w:r>
      <w:r>
        <w:rPr>
          <w:rFonts w:hint="eastAsia" w:ascii="微软雅黑" w:hAnsi="微软雅黑" w:cs="微软雅黑"/>
          <w:bCs/>
          <w:color w:val="auto"/>
          <w:highlight w:val="none"/>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3.7.3投标文件如有错误必须修改时，修改处须由法定代表人（授权代表）签字或加盖公章。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3.7.4投标文件需包含评分索引表、目录及页码。投标文件需固定胶装成册。</w:t>
      </w:r>
      <w:r/>
    </w:p>
    <w:p>
      <w:pPr>
        <w:pStyle w:val="1345"/>
        <w:spacing w:line="420" w:lineRule="exact"/>
        <w:rPr>
          <w:rFonts w:hint="eastAsia" w:ascii="微软雅黑" w:hAnsi="微软雅黑" w:cs="微软雅黑"/>
          <w:color w:val="auto"/>
          <w:highlight w:val="none"/>
        </w:rPr>
      </w:pPr>
      <w:r/>
      <w:bookmarkStart w:id="126" w:name="_Toc28144"/>
      <w:r/>
      <w:bookmarkStart w:id="127" w:name="_Toc27523"/>
      <w:r/>
      <w:bookmarkStart w:id="128" w:name="_Toc452384188"/>
      <w:r/>
      <w:bookmarkStart w:id="129" w:name="_Toc30572"/>
      <w:r/>
      <w:bookmarkStart w:id="130" w:name="_Toc6198"/>
      <w:r>
        <w:rPr>
          <w:rFonts w:hint="eastAsia" w:ascii="微软雅黑" w:hAnsi="微软雅黑" w:cs="微软雅黑"/>
          <w:color w:val="auto"/>
          <w:highlight w:val="none"/>
        </w:rPr>
        <w:t xml:space="preserve">四、投标文件的递交</w:t>
      </w:r>
      <w:bookmarkEnd w:id="126"/>
      <w:r/>
      <w:bookmarkEnd w:id="127"/>
      <w:r/>
      <w:bookmarkEnd w:id="128"/>
      <w:r/>
      <w:bookmarkEnd w:id="129"/>
      <w:r/>
      <w:bookmarkEnd w:id="130"/>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4.1</w:t>
      </w:r>
      <w:r>
        <w:rPr>
          <w:rFonts w:hint="eastAsia" w:ascii="微软雅黑" w:hAnsi="微软雅黑" w:eastAsia="微软雅黑" w:cs="微软雅黑"/>
          <w:color w:val="auto"/>
          <w:sz w:val="21"/>
          <w:szCs w:val="21"/>
          <w:highlight w:val="none"/>
        </w:rPr>
        <w:t xml:space="preserve">投标人应当按照《操作手册》规定，在</w:t>
      </w:r>
      <w:r>
        <w:rPr>
          <w:rFonts w:hint="eastAsia" w:ascii="微软雅黑" w:hAnsi="微软雅黑" w:eastAsia="微软雅黑" w:cs="微软雅黑"/>
          <w:color w:val="auto"/>
          <w:sz w:val="21"/>
          <w:szCs w:val="21"/>
          <w:highlight w:val="none"/>
          <w:lang w:eastAsia="zh-CN"/>
        </w:rPr>
        <w:t xml:space="preserve">采购公告</w:t>
      </w:r>
      <w:r>
        <w:rPr>
          <w:rFonts w:hint="eastAsia" w:ascii="微软雅黑" w:hAnsi="微软雅黑" w:eastAsia="微软雅黑" w:cs="微软雅黑"/>
          <w:color w:val="auto"/>
          <w:sz w:val="21"/>
          <w:szCs w:val="21"/>
          <w:highlight w:val="none"/>
        </w:rPr>
        <w:t xml:space="preserve">规定的投标截止时间</w:t>
      </w:r>
      <w:r>
        <w:rPr>
          <w:rFonts w:hint="eastAsia" w:ascii="微软雅黑" w:hAnsi="微软雅黑" w:eastAsia="微软雅黑" w:cs="微软雅黑"/>
          <w:color w:val="auto"/>
          <w:sz w:val="21"/>
          <w:szCs w:val="21"/>
          <w:highlight w:val="none"/>
          <w:lang w:eastAsia="zh-CN"/>
        </w:rPr>
        <w:t xml:space="preserve">前制作并上传电子投标文件。</w:t>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1" w:name="_Toc2168"/>
      <w:r/>
      <w:bookmarkStart w:id="132" w:name="_Toc17051"/>
      <w:r/>
      <w:bookmarkStart w:id="133" w:name="_Toc452384192"/>
      <w:r/>
      <w:bookmarkStart w:id="134" w:name="_Toc11818"/>
      <w:r>
        <w:rPr>
          <w:rFonts w:hint="eastAsia" w:ascii="微软雅黑" w:hAnsi="微软雅黑" w:eastAsia="微软雅黑" w:cs="微软雅黑"/>
          <w:b/>
          <w:bCs w:val="0"/>
          <w:color w:val="auto"/>
          <w:sz w:val="21"/>
          <w:szCs w:val="21"/>
          <w:highlight w:val="none"/>
          <w:lang w:val="en-US" w:eastAsia="zh-CN"/>
        </w:rPr>
        <w:t xml:space="preserve">4.2</w:t>
      </w:r>
      <w:r>
        <w:rPr>
          <w:rFonts w:hint="eastAsia" w:ascii="微软雅黑" w:hAnsi="微软雅黑" w:eastAsia="微软雅黑" w:cs="微软雅黑"/>
          <w:b/>
          <w:bCs w:val="0"/>
          <w:color w:val="auto"/>
          <w:sz w:val="21"/>
          <w:szCs w:val="21"/>
          <w:highlight w:val="none"/>
        </w:rPr>
        <w:t xml:space="preserve">有下列情形的投标文件将被拒收</w:t>
      </w:r>
      <w:bookmarkEnd w:id="131"/>
      <w:r/>
      <w:bookmarkEnd w:id="132"/>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5" w:name="_Toc7486"/>
      <w:r/>
      <w:bookmarkStart w:id="136" w:name="_Toc16853"/>
      <w:r>
        <w:rPr>
          <w:rFonts w:hint="eastAsia" w:ascii="微软雅黑" w:hAnsi="微软雅黑" w:eastAsia="微软雅黑" w:cs="微软雅黑"/>
          <w:b/>
          <w:bCs w:val="0"/>
          <w:color w:val="auto"/>
          <w:sz w:val="21"/>
          <w:szCs w:val="21"/>
          <w:highlight w:val="none"/>
          <w:lang w:val="en-US" w:eastAsia="zh-CN"/>
        </w:rPr>
        <w:t xml:space="preserve">4.2.1</w:t>
      </w:r>
      <w:r>
        <w:rPr>
          <w:rFonts w:hint="eastAsia" w:ascii="微软雅黑" w:hAnsi="微软雅黑" w:eastAsia="微软雅黑" w:cs="微软雅黑"/>
          <w:b/>
          <w:bCs w:val="0"/>
          <w:color w:val="auto"/>
          <w:sz w:val="21"/>
          <w:szCs w:val="21"/>
          <w:highlight w:val="none"/>
        </w:rPr>
        <w:t xml:space="preserve">投标人未按照《操作手册》规定，在“苏采云”系统规定的时间内对投标文件进行解密的。</w:t>
      </w:r>
      <w:bookmarkEnd w:id="135"/>
      <w:r/>
      <w:bookmarkEnd w:id="136"/>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7" w:name="_Toc27804"/>
      <w:r/>
      <w:bookmarkStart w:id="138" w:name="_Toc16859"/>
      <w:r>
        <w:rPr>
          <w:rFonts w:hint="eastAsia" w:ascii="微软雅黑" w:hAnsi="微软雅黑" w:eastAsia="微软雅黑" w:cs="微软雅黑"/>
          <w:b/>
          <w:bCs w:val="0"/>
          <w:color w:val="auto"/>
          <w:sz w:val="21"/>
          <w:szCs w:val="21"/>
          <w:highlight w:val="none"/>
          <w:lang w:val="en-US" w:eastAsia="zh-CN"/>
        </w:rPr>
        <w:t xml:space="preserve">4.2.2</w:t>
      </w:r>
      <w:r>
        <w:rPr>
          <w:rFonts w:hint="eastAsia" w:ascii="微软雅黑" w:hAnsi="微软雅黑" w:eastAsia="微软雅黑" w:cs="微软雅黑"/>
          <w:b/>
          <w:bCs w:val="0"/>
          <w:color w:val="auto"/>
          <w:sz w:val="21"/>
          <w:szCs w:val="21"/>
          <w:highlight w:val="none"/>
        </w:rPr>
        <w:t xml:space="preserve">投标人应充分考虑网络环境、网络带宽等因素可能对投标产生的影响，如因投标人自身原因造成的电子投标文件解密不成功的，做无效投标处理</w:t>
      </w:r>
      <w:bookmarkEnd w:id="137"/>
      <w:r>
        <w:rPr>
          <w:rFonts w:hint="eastAsia" w:ascii="微软雅黑" w:hAnsi="微软雅黑" w:eastAsia="微软雅黑" w:cs="微软雅黑"/>
          <w:b/>
          <w:bCs w:val="0"/>
          <w:color w:val="auto"/>
          <w:sz w:val="21"/>
          <w:szCs w:val="21"/>
          <w:highlight w:val="none"/>
          <w:lang w:val="en-US" w:eastAsia="zh-CN"/>
        </w:rPr>
        <w:t xml:space="preserve">,</w:t>
      </w:r>
      <w:r>
        <w:rPr>
          <w:rFonts w:ascii="微软雅黑" w:hAnsi="微软雅黑" w:eastAsia="微软雅黑" w:cs="微软雅黑"/>
          <w:i w:val="0"/>
          <w:iCs w:val="0"/>
          <w:caps w:val="0"/>
          <w:color w:val="auto"/>
          <w:spacing w:val="0"/>
          <w:sz w:val="21"/>
          <w:szCs w:val="21"/>
          <w:highlight w:val="none"/>
          <w:shd w:val="clear" w:color="auto" w:fill="ffffff"/>
        </w:rPr>
        <w:t xml:space="preserve">但因系统故障导致投标人无法在</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系统规定的时间</w:t>
      </w:r>
      <w:r>
        <w:rPr>
          <w:rFonts w:ascii="微软雅黑" w:hAnsi="微软雅黑" w:eastAsia="微软雅黑" w:cs="微软雅黑"/>
          <w:i w:val="0"/>
          <w:iCs w:val="0"/>
          <w:caps w:val="0"/>
          <w:color w:val="auto"/>
          <w:spacing w:val="0"/>
          <w:sz w:val="21"/>
          <w:szCs w:val="21"/>
          <w:highlight w:val="none"/>
          <w:shd w:val="clear" w:color="auto" w:fill="ffffff"/>
        </w:rPr>
        <w:t xml:space="preserve">内完成签到或解密的情况除外。</w:t>
      </w:r>
      <w:bookmarkEnd w:id="138"/>
      <w:r/>
      <w:r/>
    </w:p>
    <w:p>
      <w:pPr>
        <w:pStyle w:val="1157"/>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9" w:name="_Toc1859"/>
      <w:r/>
      <w:bookmarkStart w:id="140" w:name="_Toc6818"/>
      <w:r/>
      <w:bookmarkStart w:id="141" w:name="_Toc452384190"/>
      <w:r/>
      <w:bookmarkStart w:id="142" w:name="_Toc7646"/>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3</w:t>
      </w:r>
      <w:r>
        <w:rPr>
          <w:rFonts w:hint="eastAsia" w:ascii="微软雅黑" w:hAnsi="微软雅黑" w:eastAsia="微软雅黑" w:cs="微软雅黑"/>
          <w:b/>
          <w:bCs w:val="0"/>
          <w:color w:val="auto"/>
          <w:sz w:val="21"/>
          <w:szCs w:val="21"/>
          <w:highlight w:val="none"/>
        </w:rPr>
        <w:t xml:space="preserve"> 投标截止时间</w:t>
      </w:r>
      <w:bookmarkEnd w:id="139"/>
      <w:r/>
      <w:bookmarkEnd w:id="140"/>
      <w:r/>
      <w:bookmarkEnd w:id="141"/>
      <w:r/>
      <w:bookmarkEnd w:id="142"/>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.1 供应商须在采购文件第一章“投标邀请”规定的投标截止时间前</w:t>
      </w:r>
      <w:r>
        <w:rPr>
          <w:rFonts w:hint="eastAsia" w:ascii="微软雅黑" w:hAnsi="微软雅黑" w:eastAsia="微软雅黑" w:cs="微软雅黑"/>
          <w:color w:val="auto"/>
          <w:sz w:val="21"/>
          <w:szCs w:val="21"/>
          <w:highlight w:val="none"/>
          <w:lang w:eastAsia="zh-CN"/>
        </w:rPr>
        <w:t xml:space="preserve">上传电子投标文件</w:t>
      </w:r>
      <w:r>
        <w:rPr>
          <w:rFonts w:hint="eastAsia" w:ascii="微软雅黑" w:hAnsi="微软雅黑" w:eastAsia="微软雅黑" w:cs="微软雅黑"/>
          <w:color w:val="auto"/>
          <w:sz w:val="21"/>
          <w:szCs w:val="21"/>
          <w:highlight w:val="none"/>
        </w:rPr>
        <w:t xml:space="preserve">。</w:t>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.2 若采购代理机构按3.6.2条规定推迟了投标截止时间，采购代理机构和供应商受投标截止时间制约的所有权利和义务均应以新的截止时间为准。</w:t>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43" w:name="_Toc4410"/>
      <w:r/>
      <w:bookmarkStart w:id="144" w:name="_Toc13827"/>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4</w:t>
      </w:r>
      <w:r>
        <w:rPr>
          <w:rFonts w:hint="eastAsia" w:ascii="微软雅黑" w:hAnsi="微软雅黑" w:eastAsia="微软雅黑" w:cs="微软雅黑"/>
          <w:b/>
          <w:bCs w:val="0"/>
          <w:color w:val="auto"/>
          <w:sz w:val="21"/>
          <w:szCs w:val="21"/>
          <w:highlight w:val="none"/>
        </w:rPr>
        <w:t xml:space="preserve"> 投标文件的修改和撤回</w:t>
      </w:r>
      <w:bookmarkEnd w:id="133"/>
      <w:r/>
      <w:bookmarkEnd w:id="134"/>
      <w:r/>
      <w:bookmarkEnd w:id="143"/>
      <w:r/>
      <w:bookmarkEnd w:id="144"/>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 投标文件的撤回</w:t>
      </w:r>
      <w:r/>
    </w:p>
    <w:p>
      <w:pPr>
        <w:ind w:left="0" w:firstLine="420"/>
        <w:jc w:val="left"/>
        <w:keepLines w:val="0"/>
        <w:keepNext w:val="0"/>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投标人可在投标截止时间前撤回其电子投标文件，具体操作方法见《操作手册》。</w:t>
      </w:r>
      <w:r/>
    </w:p>
    <w:p>
      <w:pPr>
        <w:ind w:left="0" w:firstLine="420"/>
        <w:jc w:val="left"/>
        <w:keepLines w:val="0"/>
        <w:keepNext w:val="0"/>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投标人撤回电子投标文件，则认为其不再参与本项目投标活动。</w:t>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 投标文件的修改</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（1）投标人可在投标截止时间前对其电子投标文件进行修改，具体操作方法见《操作手册》。</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（2）投标截止时间之后，投标人不得对其电子投标文件作任何修改。</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（3）在投标截止时间至采购文件中规定的投标有效期满之间的这段时间内，投标人不得撤回其投标。</w:t>
      </w:r>
      <w:r/>
    </w:p>
    <w:p>
      <w:pPr>
        <w:pStyle w:val="1147"/>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lang w:val="en-US" w:eastAsia="zh-CN" w:bidi="ar-SA"/>
        </w:rPr>
      </w:pPr>
      <w:r/>
      <w:bookmarkStart w:id="145" w:name="_Toc1965"/>
      <w:r/>
      <w:bookmarkStart w:id="146" w:name="_Toc26548"/>
      <w:r>
        <w:rPr>
          <w:rFonts w:hint="eastAsia" w:ascii="微软雅黑" w:hAnsi="微软雅黑" w:eastAsia="微软雅黑" w:cs="微软雅黑"/>
          <w:b/>
          <w:bCs/>
          <w:color w:val="auto"/>
          <w:sz w:val="28"/>
          <w:szCs w:val="32"/>
          <w:highlight w:val="none"/>
          <w:lang w:val="en-US" w:eastAsia="zh-CN" w:bidi="ar-SA"/>
        </w:rPr>
        <w:t xml:space="preserve">五、开标与评标</w:t>
      </w:r>
      <w:bookmarkEnd w:id="145"/>
      <w:r/>
      <w:bookmarkEnd w:id="146"/>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47" w:name="_Toc7072"/>
      <w:r/>
      <w:bookmarkStart w:id="148" w:name="_Toc452384194"/>
      <w:r/>
      <w:bookmarkStart w:id="149" w:name="_Toc4421"/>
      <w:r/>
      <w:bookmarkStart w:id="150" w:name="_Toc10289"/>
      <w:r>
        <w:rPr>
          <w:rFonts w:hint="eastAsia" w:ascii="微软雅黑" w:hAnsi="微软雅黑" w:eastAsia="微软雅黑" w:cs="微软雅黑"/>
          <w:b/>
          <w:bCs w:val="0"/>
          <w:color w:val="auto"/>
          <w:sz w:val="21"/>
          <w:szCs w:val="21"/>
          <w:highlight w:val="none"/>
        </w:rPr>
        <w:t xml:space="preserve">5.1 投标文件启封</w:t>
      </w:r>
      <w:bookmarkEnd w:id="147"/>
      <w:r/>
      <w:bookmarkEnd w:id="148"/>
      <w:r/>
      <w:bookmarkEnd w:id="149"/>
      <w:r/>
      <w:bookmarkEnd w:id="150"/>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5.1.1</w:t>
      </w:r>
      <w:r>
        <w:rPr>
          <w:rFonts w:hint="eastAsia" w:ascii="微软雅黑" w:hAnsi="微软雅黑" w:eastAsia="微软雅黑" w:cs="微软雅黑"/>
          <w:bCs/>
          <w:color w:val="auto"/>
          <w:sz w:val="21"/>
          <w:szCs w:val="21"/>
          <w:highlight w:val="none"/>
        </w:rPr>
        <w:t xml:space="preserve"> </w:t>
      </w:r>
      <w:r>
        <w:rPr>
          <w:rFonts w:hint="eastAsia" w:ascii="微软雅黑" w:hAnsi="微软雅黑" w:eastAsia="微软雅黑" w:cs="微软雅黑"/>
          <w:color w:val="auto"/>
          <w:sz w:val="21"/>
          <w:szCs w:val="21"/>
          <w:highlight w:val="none"/>
        </w:rPr>
        <w:t xml:space="preserve">采购人、采购代理机构</w:t>
      </w:r>
      <w:r>
        <w:rPr>
          <w:rFonts w:hint="eastAsia" w:ascii="微软雅黑" w:hAnsi="微软雅黑" w:eastAsia="微软雅黑" w:cs="微软雅黑"/>
          <w:bCs/>
          <w:color w:val="auto"/>
          <w:sz w:val="21"/>
          <w:szCs w:val="21"/>
          <w:highlight w:val="none"/>
        </w:rPr>
        <w:t xml:space="preserve">在</w:t>
      </w:r>
      <w:r>
        <w:rPr>
          <w:rFonts w:hint="eastAsia" w:ascii="微软雅黑" w:hAnsi="微软雅黑" w:eastAsia="微软雅黑" w:cs="微软雅黑"/>
          <w:bCs/>
          <w:color w:val="auto"/>
          <w:sz w:val="21"/>
          <w:szCs w:val="21"/>
          <w:highlight w:val="none"/>
          <w:lang w:eastAsia="zh-CN"/>
        </w:rPr>
        <w:t xml:space="preserve">采购公告</w:t>
      </w:r>
      <w:r>
        <w:rPr>
          <w:rFonts w:hint="eastAsia" w:ascii="微软雅黑" w:hAnsi="微软雅黑" w:eastAsia="微软雅黑" w:cs="微软雅黑"/>
          <w:bCs/>
          <w:color w:val="auto"/>
          <w:sz w:val="21"/>
          <w:szCs w:val="21"/>
          <w:highlight w:val="none"/>
        </w:rPr>
        <w:t xml:space="preserve">中规定的时间和地点组织公开开标。投标人按照《操作手册》规定参加开标活动，并在</w:t>
      </w:r>
      <w:bookmarkStart w:id="151" w:name="OLE_LINK3"/>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系统规定的时间内</w:t>
      </w:r>
      <w:bookmarkEnd w:id="151"/>
      <w:r>
        <w:rPr>
          <w:rFonts w:hint="eastAsia" w:ascii="微软雅黑" w:hAnsi="微软雅黑" w:eastAsia="微软雅黑" w:cs="微软雅黑"/>
          <w:bCs/>
          <w:color w:val="auto"/>
          <w:sz w:val="21"/>
          <w:szCs w:val="21"/>
          <w:highlight w:val="none"/>
        </w:rPr>
        <w:t xml:space="preserve">对投标文件进行解密。</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系统公布各投标人名称和投标价格。</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.2 投标人在开标过程中涉及到的投标文件解密、开标结果确认等工作，应按照《操作手册》规定执行。</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.3 投标人不足3家的，不得开标。</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.4 投标人如果对开标过程和开标结果有疑义，应当根据《操作手册》规定提出，</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系统中《开标记录表》公布后5分钟内未提出的，视同认可开标结果。</w:t>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52" w:name="_Toc32095"/>
      <w:r/>
      <w:bookmarkStart w:id="153" w:name="_Toc452384195"/>
      <w:r/>
      <w:bookmarkStart w:id="154" w:name="_Toc3406"/>
      <w:r/>
      <w:bookmarkStart w:id="155" w:name="_Toc23099"/>
      <w:r>
        <w:rPr>
          <w:rFonts w:hint="eastAsia" w:ascii="微软雅黑" w:hAnsi="微软雅黑" w:eastAsia="微软雅黑" w:cs="微软雅黑"/>
          <w:b/>
          <w:bCs w:val="0"/>
          <w:color w:val="auto"/>
          <w:sz w:val="21"/>
          <w:szCs w:val="21"/>
          <w:highlight w:val="none"/>
        </w:rPr>
        <w:t xml:space="preserve">5.2 评标委员会</w:t>
      </w:r>
      <w:bookmarkEnd w:id="152"/>
      <w:r/>
      <w:bookmarkEnd w:id="153"/>
      <w:r/>
      <w:bookmarkEnd w:id="154"/>
      <w:r/>
      <w:bookmarkEnd w:id="155"/>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56" w:name="_Toc31905"/>
      <w:r/>
      <w:bookmarkStart w:id="157" w:name="_Toc13666"/>
      <w:r/>
      <w:bookmarkStart w:id="158" w:name="_Toc452384196"/>
      <w:r/>
      <w:bookmarkStart w:id="159" w:name="_Toc19719"/>
      <w:r>
        <w:rPr>
          <w:rFonts w:hint="eastAsia" w:ascii="微软雅黑" w:hAnsi="微软雅黑" w:eastAsia="微软雅黑" w:cs="微软雅黑"/>
          <w:b/>
          <w:bCs w:val="0"/>
          <w:color w:val="auto"/>
          <w:sz w:val="21"/>
          <w:szCs w:val="21"/>
          <w:highlight w:val="none"/>
        </w:rPr>
        <w:t xml:space="preserve">5.3 对投标文件的资格性审查和符合性审查</w:t>
      </w:r>
      <w:bookmarkEnd w:id="156"/>
      <w:r/>
      <w:bookmarkEnd w:id="157"/>
      <w:r/>
      <w:bookmarkEnd w:id="158"/>
      <w:r/>
      <w:bookmarkEnd w:id="159"/>
      <w: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5.3.1 资格性审查的内容包括：</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（1）供应商资质（采购文件第一章要求）；</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（2）投标保证金交纳情况（采购文件第二章供应商须知前附表要求）；</w:t>
      </w: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5.3.2 符合性审查的内容包括：</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rPr>
        <w:t xml:space="preserve">投标文件的有效性(签署、盖章情况等)；</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）投标报价是否超过采购预算或最高限价；</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）对采购文件的响应程度（是否存在重大负偏离等）。</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p>
    <w:p>
      <w:pPr>
        <w:pStyle w:val="1189"/>
        <w:spacing w:line="420" w:lineRule="exact"/>
        <w:rPr>
          <w:rFonts w:hint="eastAsia" w:ascii="微软雅黑" w:hAnsi="微软雅黑" w:cs="微软雅黑"/>
          <w:bCs w:val="0"/>
          <w:color w:val="auto"/>
          <w:sz w:val="24"/>
          <w:szCs w:val="24"/>
          <w:highlight w:val="none"/>
        </w:rPr>
      </w:pPr>
      <w:r/>
      <w:bookmarkStart w:id="160" w:name="_Toc5896"/>
      <w:r/>
      <w:bookmarkStart w:id="161" w:name="_Toc452384197"/>
      <w:r/>
      <w:bookmarkStart w:id="162" w:name="_Toc23900"/>
      <w:r/>
      <w:bookmarkStart w:id="163" w:name="_Toc3913"/>
      <w:r/>
      <w:bookmarkStart w:id="164" w:name="_Toc28567"/>
      <w:r>
        <w:rPr>
          <w:rFonts w:hint="eastAsia" w:ascii="微软雅黑" w:hAnsi="微软雅黑" w:cs="微软雅黑"/>
          <w:bCs w:val="0"/>
          <w:color w:val="auto"/>
          <w:sz w:val="24"/>
          <w:szCs w:val="24"/>
          <w:highlight w:val="none"/>
        </w:rPr>
        <w:t xml:space="preserve">5.4投标文件的澄清</w:t>
      </w:r>
      <w:bookmarkEnd w:id="160"/>
      <w:r/>
      <w:bookmarkEnd w:id="161"/>
      <w:r/>
      <w:bookmarkEnd w:id="162"/>
      <w:r/>
      <w:bookmarkEnd w:id="163"/>
      <w:r/>
      <w:bookmarkEnd w:id="16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p>
    <w:p>
      <w:pPr>
        <w:pStyle w:val="1189"/>
        <w:spacing w:line="420" w:lineRule="exact"/>
        <w:rPr>
          <w:rFonts w:hint="eastAsia" w:ascii="微软雅黑" w:hAnsi="微软雅黑" w:cs="微软雅黑"/>
          <w:bCs w:val="0"/>
          <w:color w:val="auto"/>
          <w:sz w:val="24"/>
          <w:szCs w:val="24"/>
          <w:highlight w:val="none"/>
        </w:rPr>
      </w:pPr>
      <w:r/>
      <w:bookmarkStart w:id="165" w:name="_Toc27862"/>
      <w:r/>
      <w:bookmarkStart w:id="166" w:name="_Toc6372"/>
      <w:r/>
      <w:bookmarkStart w:id="167" w:name="_Toc2242"/>
      <w:r/>
      <w:bookmarkStart w:id="168" w:name="_Toc452384198"/>
      <w:r/>
      <w:bookmarkStart w:id="169" w:name="_Toc5631"/>
      <w:r>
        <w:rPr>
          <w:rFonts w:hint="eastAsia" w:ascii="微软雅黑" w:hAnsi="微软雅黑" w:cs="微软雅黑"/>
          <w:bCs w:val="0"/>
          <w:color w:val="auto"/>
          <w:sz w:val="24"/>
          <w:szCs w:val="24"/>
          <w:highlight w:val="none"/>
        </w:rPr>
        <w:t xml:space="preserve">5.5评标及中标</w:t>
      </w:r>
      <w:bookmarkEnd w:id="165"/>
      <w:r/>
      <w:bookmarkEnd w:id="166"/>
      <w:r/>
      <w:bookmarkEnd w:id="167"/>
      <w:r/>
      <w:bookmarkEnd w:id="168"/>
      <w:r/>
      <w:bookmarkEnd w:id="16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189"/>
        <w:spacing w:line="420" w:lineRule="exact"/>
        <w:rPr>
          <w:rFonts w:hint="eastAsia" w:ascii="微软雅黑" w:hAnsi="微软雅黑" w:cs="微软雅黑"/>
          <w:bCs w:val="0"/>
          <w:color w:val="auto"/>
          <w:sz w:val="24"/>
          <w:szCs w:val="24"/>
          <w:highlight w:val="none"/>
        </w:rPr>
      </w:pPr>
      <w:r/>
      <w:bookmarkStart w:id="170" w:name="_Toc11345"/>
      <w:r/>
      <w:bookmarkStart w:id="171" w:name="_Toc25985"/>
      <w:r/>
      <w:bookmarkStart w:id="172" w:name="_Toc452384199"/>
      <w:r/>
      <w:bookmarkStart w:id="173" w:name="_Toc26358"/>
      <w:r/>
      <w:bookmarkStart w:id="174" w:name="_Toc15281"/>
      <w:r>
        <w:rPr>
          <w:rFonts w:hint="eastAsia" w:ascii="微软雅黑" w:hAnsi="微软雅黑" w:cs="微软雅黑"/>
          <w:bCs w:val="0"/>
          <w:color w:val="auto"/>
          <w:sz w:val="24"/>
          <w:szCs w:val="24"/>
          <w:highlight w:val="none"/>
        </w:rPr>
        <w:t xml:space="preserve">5.6评标过程保密</w:t>
      </w:r>
      <w:bookmarkEnd w:id="170"/>
      <w:r/>
      <w:bookmarkEnd w:id="171"/>
      <w:r/>
      <w:bookmarkEnd w:id="172"/>
      <w:r/>
      <w:bookmarkEnd w:id="173"/>
      <w:r/>
      <w:bookmarkEnd w:id="17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5.6.3在评标期间，采购代理机构将有专门人员与供应商进行联络。</w:t>
      </w:r>
      <w:r/>
    </w:p>
    <w:p>
      <w:pPr>
        <w:pStyle w:val="1189"/>
        <w:spacing w:line="420" w:lineRule="exact"/>
        <w:rPr>
          <w:rFonts w:hint="eastAsia" w:ascii="微软雅黑" w:hAnsi="微软雅黑" w:cs="微软雅黑"/>
          <w:bCs w:val="0"/>
          <w:color w:val="auto"/>
          <w:sz w:val="24"/>
          <w:szCs w:val="24"/>
          <w:highlight w:val="none"/>
        </w:rPr>
      </w:pPr>
      <w:r/>
      <w:bookmarkStart w:id="175" w:name="_Toc452384200"/>
      <w:r/>
      <w:bookmarkStart w:id="176" w:name="_Toc6161"/>
      <w:r/>
      <w:bookmarkStart w:id="177" w:name="_Toc11696"/>
      <w:r/>
      <w:bookmarkStart w:id="178" w:name="_Toc13403"/>
      <w:r/>
      <w:bookmarkStart w:id="179" w:name="_Toc30281"/>
      <w:r>
        <w:rPr>
          <w:rFonts w:hint="eastAsia" w:ascii="微软雅黑" w:hAnsi="微软雅黑" w:cs="微软雅黑"/>
          <w:bCs w:val="0"/>
          <w:color w:val="auto"/>
          <w:sz w:val="24"/>
          <w:szCs w:val="24"/>
          <w:highlight w:val="none"/>
        </w:rPr>
        <w:t xml:space="preserve">5.7投标截止时间结束后参加供应商不足三家情况的处理</w:t>
      </w:r>
      <w:bookmarkEnd w:id="175"/>
      <w:r/>
      <w:bookmarkEnd w:id="176"/>
      <w:r/>
      <w:bookmarkEnd w:id="177"/>
      <w:r/>
      <w:bookmarkEnd w:id="178"/>
      <w:r/>
      <w:bookmarkEnd w:id="179"/>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189"/>
        <w:spacing w:line="420" w:lineRule="exact"/>
        <w:rPr>
          <w:rFonts w:hint="eastAsia" w:ascii="微软雅黑" w:hAnsi="微软雅黑" w:cs="微软雅黑"/>
          <w:bCs w:val="0"/>
          <w:color w:val="auto"/>
          <w:sz w:val="24"/>
          <w:szCs w:val="24"/>
          <w:highlight w:val="none"/>
        </w:rPr>
      </w:pPr>
      <w:r/>
      <w:bookmarkStart w:id="180" w:name="_Toc14481"/>
      <w:r/>
      <w:bookmarkStart w:id="181" w:name="_Toc452384201"/>
      <w:r/>
      <w:bookmarkStart w:id="182" w:name="_Toc31001"/>
      <w:r/>
      <w:bookmarkStart w:id="183" w:name="_Toc12833"/>
      <w:r/>
      <w:bookmarkStart w:id="184" w:name="_Toc8227"/>
      <w:r>
        <w:rPr>
          <w:rFonts w:hint="eastAsia" w:ascii="微软雅黑" w:hAnsi="微软雅黑" w:cs="微软雅黑"/>
          <w:bCs w:val="0"/>
          <w:color w:val="auto"/>
          <w:sz w:val="24"/>
          <w:szCs w:val="24"/>
          <w:highlight w:val="none"/>
        </w:rPr>
        <w:t xml:space="preserve">5.8废标（终止采购活动）</w:t>
      </w:r>
      <w:bookmarkEnd w:id="180"/>
      <w:r/>
      <w:bookmarkEnd w:id="181"/>
      <w:r/>
      <w:bookmarkEnd w:id="182"/>
      <w:r/>
      <w:bookmarkEnd w:id="183"/>
      <w:r/>
      <w:bookmarkEnd w:id="18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5.8.3供应商的报价均超过了采购预算，采购人不能支付的；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p>
    <w:p>
      <w:pPr>
        <w:pStyle w:val="1189"/>
        <w:spacing w:line="420" w:lineRule="exact"/>
        <w:rPr>
          <w:rFonts w:hint="eastAsia" w:ascii="微软雅黑" w:hAnsi="微软雅黑" w:cs="微软雅黑"/>
          <w:bCs w:val="0"/>
          <w:color w:val="auto"/>
          <w:sz w:val="24"/>
          <w:szCs w:val="24"/>
          <w:highlight w:val="none"/>
        </w:rPr>
      </w:pPr>
      <w:r/>
      <w:bookmarkStart w:id="185" w:name="_Toc26119"/>
      <w:r/>
      <w:bookmarkStart w:id="186" w:name="_Toc25877"/>
      <w:r/>
      <w:bookmarkStart w:id="187" w:name="_Toc18356"/>
      <w:r/>
      <w:bookmarkStart w:id="188" w:name="_Toc16290"/>
      <w:r>
        <w:rPr>
          <w:rFonts w:hint="eastAsia" w:ascii="微软雅黑" w:hAnsi="微软雅黑" w:cs="微软雅黑"/>
          <w:bCs w:val="0"/>
          <w:color w:val="auto"/>
          <w:sz w:val="24"/>
          <w:szCs w:val="24"/>
          <w:highlight w:val="none"/>
        </w:rPr>
        <w:t xml:space="preserve">5.9有下列情形之一的，视为投标供应商串通投标，其投标无效：</w:t>
      </w:r>
      <w:bookmarkEnd w:id="185"/>
      <w:r/>
      <w:bookmarkEnd w:id="186"/>
      <w:r/>
      <w:bookmarkEnd w:id="187"/>
      <w:r/>
      <w:bookmarkEnd w:id="18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p>
    <w:p>
      <w:pPr>
        <w:pStyle w:val="1345"/>
        <w:spacing w:line="420" w:lineRule="exact"/>
        <w:rPr>
          <w:rFonts w:hint="eastAsia" w:ascii="微软雅黑" w:hAnsi="微软雅黑" w:cs="微软雅黑"/>
          <w:color w:val="auto"/>
          <w:highlight w:val="none"/>
        </w:rPr>
      </w:pPr>
      <w:r/>
      <w:bookmarkStart w:id="189" w:name="_Toc16539"/>
      <w:r/>
      <w:bookmarkStart w:id="190" w:name="_Toc25642"/>
      <w:r/>
      <w:bookmarkStart w:id="191" w:name="_Toc15764"/>
      <w:r/>
      <w:bookmarkStart w:id="192" w:name="_Toc452384202"/>
      <w:r/>
      <w:bookmarkStart w:id="193" w:name="_Toc19509"/>
      <w:r>
        <w:rPr>
          <w:rFonts w:hint="eastAsia" w:ascii="微软雅黑" w:hAnsi="微软雅黑" w:cs="微软雅黑"/>
          <w:color w:val="auto"/>
          <w:highlight w:val="none"/>
        </w:rPr>
        <w:t xml:space="preserve">六、合同授予及签订</w:t>
      </w:r>
      <w:bookmarkEnd w:id="189"/>
      <w:r/>
      <w:bookmarkEnd w:id="190"/>
      <w:r/>
      <w:bookmarkEnd w:id="191"/>
      <w:r/>
      <w:bookmarkEnd w:id="192"/>
      <w:r/>
      <w:bookmarkEnd w:id="193"/>
      <w:r/>
      <w:r/>
    </w:p>
    <w:p>
      <w:pPr>
        <w:pStyle w:val="1189"/>
        <w:spacing w:line="420" w:lineRule="exact"/>
        <w:rPr>
          <w:rFonts w:hint="eastAsia" w:ascii="微软雅黑" w:hAnsi="微软雅黑" w:cs="微软雅黑"/>
          <w:bCs w:val="0"/>
          <w:color w:val="auto"/>
          <w:sz w:val="24"/>
          <w:szCs w:val="24"/>
          <w:highlight w:val="none"/>
        </w:rPr>
      </w:pPr>
      <w:r/>
      <w:bookmarkStart w:id="194" w:name="_Toc452384203"/>
      <w:r/>
      <w:bookmarkStart w:id="195" w:name="_Toc6259"/>
      <w:r/>
      <w:bookmarkStart w:id="196" w:name="_Toc6552"/>
      <w:r/>
      <w:bookmarkStart w:id="197" w:name="_Toc2419"/>
      <w:r/>
      <w:bookmarkStart w:id="198" w:name="_Toc24253"/>
      <w:r>
        <w:rPr>
          <w:rFonts w:hint="eastAsia" w:ascii="微软雅黑" w:hAnsi="微软雅黑" w:cs="微软雅黑"/>
          <w:bCs w:val="0"/>
          <w:color w:val="auto"/>
          <w:sz w:val="24"/>
          <w:szCs w:val="24"/>
          <w:highlight w:val="none"/>
        </w:rPr>
        <w:t xml:space="preserve">6.1确定中标、成交供应商</w:t>
      </w:r>
      <w:bookmarkEnd w:id="194"/>
      <w:r/>
      <w:bookmarkEnd w:id="195"/>
      <w:r/>
      <w:bookmarkEnd w:id="196"/>
      <w:r/>
      <w:bookmarkEnd w:id="197"/>
      <w:r/>
      <w:bookmarkEnd w:id="19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pStyle w:val="1189"/>
        <w:spacing w:line="420" w:lineRule="exact"/>
        <w:rPr>
          <w:rFonts w:hint="eastAsia" w:ascii="微软雅黑" w:hAnsi="微软雅黑" w:cs="微软雅黑"/>
          <w:bCs w:val="0"/>
          <w:color w:val="auto"/>
          <w:sz w:val="24"/>
          <w:szCs w:val="24"/>
          <w:highlight w:val="none"/>
        </w:rPr>
      </w:pPr>
      <w:r/>
      <w:bookmarkStart w:id="199" w:name="_Toc14115"/>
      <w:r/>
      <w:bookmarkStart w:id="200" w:name="_Toc26991"/>
      <w:r/>
      <w:bookmarkStart w:id="201" w:name="_Toc24458"/>
      <w:r/>
      <w:bookmarkStart w:id="202" w:name="_Toc452384204"/>
      <w:r/>
      <w:bookmarkStart w:id="203" w:name="_Toc21008"/>
      <w:r>
        <w:rPr>
          <w:rFonts w:hint="eastAsia" w:ascii="微软雅黑" w:hAnsi="微软雅黑" w:cs="微软雅黑"/>
          <w:bCs w:val="0"/>
          <w:color w:val="auto"/>
          <w:sz w:val="24"/>
          <w:szCs w:val="24"/>
          <w:highlight w:val="none"/>
        </w:rPr>
        <w:t xml:space="preserve">6.2质疑处理</w:t>
      </w:r>
      <w:bookmarkEnd w:id="199"/>
      <w:r/>
      <w:bookmarkEnd w:id="200"/>
      <w:r/>
      <w:bookmarkEnd w:id="201"/>
      <w:r/>
      <w:bookmarkEnd w:id="202"/>
      <w:r/>
      <w:bookmarkEnd w:id="20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pStyle w:val="1189"/>
        <w:spacing w:line="420" w:lineRule="exact"/>
        <w:rPr>
          <w:rFonts w:hint="eastAsia" w:ascii="微软雅黑" w:hAnsi="微软雅黑" w:cs="微软雅黑"/>
          <w:bCs w:val="0"/>
          <w:color w:val="auto"/>
          <w:sz w:val="24"/>
          <w:szCs w:val="24"/>
          <w:highlight w:val="none"/>
        </w:rPr>
      </w:pPr>
      <w:r/>
      <w:bookmarkStart w:id="204" w:name="_Toc1781"/>
      <w:r/>
      <w:bookmarkStart w:id="205" w:name="_Toc4506"/>
      <w:r/>
      <w:bookmarkStart w:id="206" w:name="_Toc29601"/>
      <w:r/>
      <w:bookmarkStart w:id="207" w:name="_Toc452384205"/>
      <w:r/>
      <w:bookmarkStart w:id="208" w:name="_Toc15425"/>
      <w:r>
        <w:rPr>
          <w:rFonts w:hint="eastAsia" w:ascii="微软雅黑" w:hAnsi="微软雅黑" w:cs="微软雅黑"/>
          <w:bCs w:val="0"/>
          <w:color w:val="auto"/>
          <w:sz w:val="24"/>
          <w:szCs w:val="24"/>
          <w:highlight w:val="none"/>
        </w:rPr>
        <w:t xml:space="preserve">6.3中标通知书</w:t>
      </w:r>
      <w:bookmarkEnd w:id="204"/>
      <w:r/>
      <w:bookmarkEnd w:id="205"/>
      <w:r/>
      <w:bookmarkEnd w:id="206"/>
      <w:r/>
      <w:bookmarkEnd w:id="207"/>
      <w:r/>
      <w:bookmarkEnd w:id="20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p>
    <w:p>
      <w:pPr>
        <w:pStyle w:val="1189"/>
        <w:spacing w:line="420" w:lineRule="exact"/>
        <w:rPr>
          <w:rFonts w:hint="eastAsia" w:ascii="微软雅黑" w:hAnsi="微软雅黑" w:cs="微软雅黑"/>
          <w:bCs w:val="0"/>
          <w:color w:val="auto"/>
          <w:sz w:val="24"/>
          <w:szCs w:val="24"/>
          <w:highlight w:val="none"/>
        </w:rPr>
      </w:pPr>
      <w:r/>
      <w:bookmarkStart w:id="209" w:name="_Toc24863"/>
      <w:r/>
      <w:bookmarkStart w:id="210" w:name="_Toc14281"/>
      <w:r/>
      <w:bookmarkStart w:id="211" w:name="_Toc8978"/>
      <w:r/>
      <w:bookmarkStart w:id="212" w:name="_Toc452384206"/>
      <w:r/>
      <w:bookmarkStart w:id="213" w:name="_Toc8798"/>
      <w:r>
        <w:rPr>
          <w:rFonts w:hint="eastAsia" w:ascii="微软雅黑" w:hAnsi="微软雅黑" w:cs="微软雅黑"/>
          <w:bCs w:val="0"/>
          <w:color w:val="auto"/>
          <w:sz w:val="24"/>
          <w:szCs w:val="24"/>
          <w:highlight w:val="none"/>
        </w:rPr>
        <w:t xml:space="preserve">6.4签订合同</w:t>
      </w:r>
      <w:bookmarkEnd w:id="209"/>
      <w:r/>
      <w:bookmarkEnd w:id="210"/>
      <w:r/>
      <w:bookmarkEnd w:id="211"/>
      <w:r/>
      <w:bookmarkEnd w:id="212"/>
      <w:r/>
      <w:bookmarkEnd w:id="21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57"/>
        <w:rPr>
          <w:rFonts w:hint="eastAsia" w:ascii="微软雅黑" w:hAnsi="微软雅黑" w:cs="微软雅黑"/>
          <w:highlight w:val="none"/>
        </w:rPr>
      </w:pPr>
      <w:r>
        <w:rPr>
          <w:rFonts w:hint="eastAsia" w:ascii="微软雅黑" w:hAnsi="微软雅黑" w:cs="微软雅黑"/>
          <w:highlight w:val="none"/>
        </w:rPr>
      </w:r>
      <w:r/>
    </w:p>
    <w:p>
      <w:pPr>
        <w:pStyle w:val="1157"/>
        <w:rPr>
          <w:rFonts w:hint="eastAsia" w:ascii="微软雅黑" w:hAnsi="微软雅黑" w:cs="微软雅黑"/>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highlight w:val="none"/>
        </w:rPr>
      </w:r>
      <w:r/>
    </w:p>
    <w:p>
      <w:pPr>
        <w:pStyle w:val="1344"/>
        <w:spacing w:line="360" w:lineRule="exact"/>
        <w:rPr>
          <w:rFonts w:hint="eastAsia" w:ascii="微软雅黑" w:hAnsi="微软雅黑" w:cs="微软雅黑"/>
          <w:szCs w:val="32"/>
          <w:highlight w:val="none"/>
        </w:rPr>
      </w:pPr>
      <w:r/>
      <w:bookmarkStart w:id="214" w:name="_Toc27854"/>
      <w:r/>
      <w:bookmarkStart w:id="215" w:name="_Toc28264"/>
      <w:r>
        <w:rPr>
          <w:rFonts w:hint="eastAsia" w:ascii="微软雅黑" w:hAnsi="微软雅黑" w:cs="微软雅黑"/>
          <w:szCs w:val="32"/>
          <w:highlight w:val="none"/>
        </w:rPr>
        <w:t xml:space="preserve">第三章</w:t>
      </w:r>
      <w:bookmarkEnd w:id="44"/>
      <w:r>
        <w:rPr>
          <w:rFonts w:hint="eastAsia" w:ascii="微软雅黑" w:hAnsi="微软雅黑" w:cs="微软雅黑"/>
          <w:szCs w:val="32"/>
          <w:highlight w:val="none"/>
        </w:rPr>
        <w:t xml:space="preserve"> 评标办法和定标原则</w:t>
      </w:r>
      <w:bookmarkEnd w:id="214"/>
      <w:r/>
      <w:bookmarkEnd w:id="215"/>
      <w:r/>
      <w:r/>
    </w:p>
    <w:p>
      <w:pPr>
        <w:ind w:firstLine="420"/>
        <w:spacing w:line="420" w:lineRule="exac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numPr>
          <w:ilvl w:val="0"/>
          <w:numId w:val="0"/>
        </w:num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评审过程中出现下列情形之一的，评审委员会应当启动异常低价投标（响应）审查程序：</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（1）投标（响应）报价低于采购项目预算50%的；</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（2）投标（响应）报价低于采购项目最高限价45%的；</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（3）评审委员会认定的供应商报价过低、有可能影响产品质量或者不能诚信履约的其他情形。</w:t>
      </w:r>
      <w:r/>
    </w:p>
    <w:p>
      <w:pPr>
        <w:ind w:firstLine="420"/>
        <w:jc w:val="left"/>
        <w:spacing w:line="420" w:lineRule="exact"/>
        <w:widowControl/>
        <w:rPr>
          <w:rFonts w:hint="eastAsia" w:ascii="微软雅黑" w:hAnsi="微软雅黑" w:eastAsia="微软雅黑" w:cs="微软雅黑"/>
          <w:spacing w:val="7"/>
          <w:szCs w:val="21"/>
          <w:highlight w:val="none"/>
          <w:lang w:bidi="ar"/>
        </w:rPr>
      </w:pPr>
      <w:r>
        <w:rPr>
          <w:rFonts w:hint="eastAsia" w:ascii="微软雅黑" w:hAnsi="微软雅黑" w:eastAsia="微软雅黑" w:cs="微软雅黑"/>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hint="eastAsia" w:ascii="微软雅黑" w:hAnsi="微软雅黑" w:cs="微软雅黑"/>
          <w:sz w:val="24"/>
          <w:szCs w:val="24"/>
          <w:highlight w:val="none"/>
        </w:rPr>
      </w:pPr>
      <w:r>
        <w:rPr>
          <w:rFonts w:hint="eastAsia" w:ascii="微软雅黑" w:hAnsi="微软雅黑" w:cs="微软雅黑"/>
          <w:b/>
          <w:bCs/>
          <w:sz w:val="28"/>
          <w:szCs w:val="28"/>
          <w:highlight w:val="none"/>
          <w:lang w:val="zh-CN"/>
        </w:rPr>
        <w:t xml:space="preserve">评标细则</w:t>
      </w:r>
      <w:r/>
    </w:p>
    <w:p>
      <w:pPr>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（一）资格性审查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color w:val="auto"/>
                <w:highlight w:val="none"/>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2</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color w:val="auto"/>
                <w:highlight w:val="none"/>
                <w:lang w:val="zh-CN"/>
              </w:rPr>
              <w:t xml:space="preserve">法定代表人授权书盖章原件（</w:t>
            </w:r>
            <w:r>
              <w:rPr>
                <w:rFonts w:hint="eastAsia" w:ascii="微软雅黑" w:hAnsi="微软雅黑" w:cs="微软雅黑"/>
                <w:szCs w:val="21"/>
                <w:highlight w:val="none"/>
              </w:rPr>
              <w:t xml:space="preserve">法定代表人直接参与投标的可以不提供授权书</w:t>
            </w:r>
            <w:r>
              <w:rPr>
                <w:rFonts w:hint="eastAsia" w:ascii="微软雅黑" w:hAnsi="微软雅黑" w:cs="微软雅黑"/>
                <w:color w:val="auto"/>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（二）符合性审查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投标文件的有效性（</w:t>
            </w:r>
            <w:r>
              <w:rPr>
                <w:rFonts w:hint="eastAsia" w:ascii="微软雅黑" w:hAnsi="微软雅黑" w:cs="微软雅黑"/>
                <w:highlight w:val="none"/>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eastAsia="微软雅黑" w:cs="微软雅黑"/>
                <w:highlight w:val="none"/>
                <w:lang w:val="zh-CN" w:eastAsia="zh-CN"/>
              </w:rPr>
            </w:pPr>
            <w:r>
              <w:rPr>
                <w:rFonts w:hint="eastAsia" w:ascii="微软雅黑" w:hAnsi="微软雅黑" w:cs="微软雅黑"/>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符合采购文件第六章格式中(一、1-</w:t>
            </w:r>
            <w:r>
              <w:rPr>
                <w:rFonts w:hint="eastAsia" w:ascii="微软雅黑" w:hAnsi="微软雅黑" w:cs="微软雅黑"/>
                <w:highlight w:val="none"/>
              </w:rPr>
              <w:t xml:space="preserve">5</w:t>
            </w:r>
            <w:r>
              <w:rPr>
                <w:rFonts w:hint="eastAsia" w:ascii="微软雅黑" w:hAnsi="微软雅黑" w:cs="微软雅黑"/>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eastAsia="微软雅黑" w:cs="微软雅黑"/>
                <w:highlight w:val="none"/>
                <w:lang w:val="zh-CN" w:eastAsia="zh-CN"/>
              </w:rPr>
            </w:pPr>
            <w:r>
              <w:rPr>
                <w:rFonts w:hint="eastAsia" w:ascii="微软雅黑" w:hAnsi="微软雅黑" w:cs="微软雅黑"/>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numPr>
          <w:ilvl w:val="0"/>
          <w:numId w:val="9"/>
        </w:numPr>
        <w:spacing w:line="420" w:lineRule="exact"/>
        <w:rPr>
          <w:rFonts w:hint="eastAsia" w:ascii="微软雅黑" w:hAnsi="微软雅黑" w:cs="微软雅黑"/>
          <w:b/>
          <w:bCs/>
          <w:szCs w:val="21"/>
          <w:highlight w:val="none"/>
        </w:rPr>
      </w:pPr>
      <w:r/>
      <w:bookmarkStart w:id="216" w:name="_Hlk72848049"/>
      <w:r>
        <w:rPr>
          <w:rFonts w:hint="eastAsia" w:ascii="微软雅黑" w:hAnsi="微软雅黑" w:cs="微软雅黑"/>
          <w:b/>
          <w:bCs/>
          <w:highlight w:val="none"/>
        </w:rPr>
        <w:t xml:space="preserve">评分因素及分</w:t>
      </w:r>
      <w:r>
        <w:rPr>
          <w:rFonts w:hint="eastAsia" w:ascii="微软雅黑" w:hAnsi="微软雅黑" w:cs="微软雅黑"/>
          <w:b/>
          <w:bCs/>
          <w:szCs w:val="21"/>
          <w:highlight w:val="none"/>
        </w:rPr>
        <w:t xml:space="preserve">值</w:t>
      </w:r>
      <w:r/>
    </w:p>
    <w:tbl>
      <w:tblPr>
        <w:tblStyle w:val="1156"/>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60"/>
        <w:gridCol w:w="6279"/>
        <w:gridCol w:w="919"/>
      </w:tblGrid>
      <w:tr>
        <w:trPr>
          <w:jc w:val="center"/>
          <w:trHeight w:val="556"/>
          <w:tblHeader/>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br w:type="page" w:clear="all"/>
            </w:r>
            <w:r>
              <w:rPr>
                <w:rFonts w:hint="eastAsia" w:ascii="微软雅黑" w:hAnsi="微软雅黑" w:eastAsia="微软雅黑" w:cs="微软雅黑"/>
                <w:b/>
                <w:bCs/>
                <w:sz w:val="21"/>
                <w:szCs w:val="21"/>
                <w:highlight w:val="none"/>
              </w:rPr>
              <w:br w:type="page" w:clear="all"/>
            </w:r>
            <w:r>
              <w:rPr>
                <w:rFonts w:hint="eastAsia" w:ascii="微软雅黑" w:hAnsi="微软雅黑" w:eastAsia="微软雅黑" w:cs="微软雅黑"/>
                <w:b/>
                <w:bCs/>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分值</w:t>
            </w:r>
            <w:r/>
          </w:p>
        </w:tc>
      </w:tr>
      <w:tr>
        <w:trPr>
          <w:jc w:val="center"/>
          <w:trHeight w:val="1747"/>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价格分采用低价优先法计算，即满足采购文件要求且报价最低的投标人报价为评标基准价，其价格分为满分30分。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其它投标人的价格分统一按照以下公式计算：</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报价得分=(评标基准价/该投标人的报价)×30分。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30</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投标人对采购文件具体项目需求的响应程度：全部响应即满足采购文件的技术指标、参数及服务要求的得40分，加“★”为实质性需求参数，有一项不满足视为无效投标，“▲”为重要参数指标，负偏离扣</w:t>
            </w:r>
            <w:r>
              <w:rPr>
                <w:rFonts w:hint="eastAsia" w:ascii="微软雅黑" w:hAnsi="微软雅黑" w:eastAsia="微软雅黑" w:cs="微软雅黑"/>
                <w:sz w:val="21"/>
                <w:szCs w:val="21"/>
                <w:highlight w:val="none"/>
                <w:lang w:val="en-US" w:eastAsia="zh-CN"/>
              </w:rPr>
              <w:t xml:space="preserve">5</w:t>
            </w:r>
            <w:r>
              <w:rPr>
                <w:rFonts w:hint="eastAsia" w:ascii="微软雅黑" w:hAnsi="微软雅黑" w:eastAsia="微软雅黑" w:cs="微软雅黑"/>
                <w:sz w:val="21"/>
                <w:szCs w:val="21"/>
                <w:highlight w:val="none"/>
              </w:rPr>
              <w:t xml:space="preserve">分，其他参数每一条负偏离扣</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分，扣完为止。</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以供应商提供的技术要求响应表为准，标“★”、“▲”号项必须提供相应证明材料，如产品印刷彩页或技术手册或检测报告或技术参数中要求的证明材料等，否则视为负偏离。</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40</w:t>
            </w:r>
            <w:r/>
          </w:p>
        </w:tc>
      </w:tr>
      <w:tr>
        <w:trPr>
          <w:jc w:val="center"/>
          <w:trHeight w:val="1587"/>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投标人提供自2023年1月1日至今承揽过类似项目业绩的，每提供一个得2分，最高得6分。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w:t>
            </w:r>
            <w:r/>
          </w:p>
        </w:tc>
      </w:tr>
      <w:tr>
        <w:trPr>
          <w:jc w:val="center"/>
          <w:trHeight w:val="1587"/>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根据供应商提供的项目实施方案进行打分，内容包括但不限于设备供货方案、实施计划进度、质量控制措施、安装调试等。</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方案内容完整、详细，进度控制及安装调试科学合理，可行性强且完全满足项目实际需求，得8分；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方案内容基本完整，有进度控制及安装调试但略有瑕疵，可基本满足项目实际需求，得5分；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方案内容有缺失，进度控制不明确，项目管理、调试大纲需进一步修改完善方可满足项目实际需求，得2分；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w:t>
            </w:r>
            <w:r/>
          </w:p>
        </w:tc>
      </w:tr>
      <w:tr>
        <w:trPr>
          <w:jc w:val="center"/>
          <w:trHeight w:val="911"/>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根据供应商提供的售后服务进行打分，内容包括但不限于售后服务体系、售后服务人员、售后服务承诺、售后响应时间，质保期内的售后服务范围、质保期满后的售后服务范围进行打分。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售后服务方案完善、服务措施具体、操作性强、响应时间等满足或优于采购文件要求7分;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售后服务方案较完善、服务措施较具体、操作性较强、响应时间等满足采购文件要求得4分;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售后服务方案基本完善、服务措施良好、操作性一般、响应时间等符合采购文件要求得1分；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w:t>
            </w:r>
            <w:r/>
          </w:p>
        </w:tc>
      </w:tr>
      <w:tr>
        <w:trPr>
          <w:jc w:val="center"/>
          <w:trHeight w:val="2440"/>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培训</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对采购方操作、维护人员的培训方案及计划等方面综合评分。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培训方案具体、可实施性强、完全满足采购要求的，得5分；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方案较贴合实际情况、可实施性一般、细节基本满足要求的，得3分；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方案略有瑕疵、细节考虑不全面的，得1分；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w:t>
            </w:r>
            <w:r/>
          </w:p>
        </w:tc>
      </w:tr>
      <w:tr>
        <w:trPr>
          <w:jc w:val="center"/>
          <w:trHeight w:val="1302"/>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项目整体及所有设备满足采购文件免费质保期要求（1年）的得1分，在此基础上整机免费质保期每增加1年加1分，本项最高得3分。如设备质保期不一致按最低增加的质保期计算。</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w:t>
            </w:r>
            <w:r/>
          </w:p>
        </w:tc>
      </w:tr>
      <w:tr>
        <w:trPr>
          <w:jc w:val="center"/>
          <w:trHeight w:val="1733"/>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8.1</w:t>
            </w:r>
            <w:r/>
          </w:p>
        </w:tc>
        <w:tc>
          <w:tcPr>
            <w:tcBorders>
              <w:left w:val="single" w:color="auto" w:sz="4" w:space="0"/>
              <w:right w:val="single" w:color="auto" w:sz="4" w:space="0"/>
            </w:tcBorders>
            <w:tcW w:w="1261"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节能产品</w:t>
            </w:r>
            <w:r/>
          </w:p>
        </w:tc>
        <w:tc>
          <w:tcPr>
            <w:tcBorders>
              <w:top w:val="single" w:color="auto" w:sz="4" w:space="0"/>
              <w:left w:val="single" w:color="auto" w:sz="4" w:space="0"/>
              <w:bottom w:val="single" w:color="auto" w:sz="4" w:space="0"/>
              <w:right w:val="single" w:color="auto" w:sz="4" w:space="0"/>
            </w:tcBorders>
            <w:tcW w:w="6277" w:type="dxa"/>
            <w:vAlign w:val="center"/>
            <w:textDirection w:val="lrTb"/>
            <w:noWrap w:val="false"/>
          </w:tcPr>
          <w:p>
            <w:pPr>
              <w:jc w:val="left"/>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0.5</w:t>
            </w:r>
            <w:r/>
          </w:p>
        </w:tc>
      </w:tr>
      <w:tr>
        <w:trPr>
          <w:jc w:val="center"/>
          <w:trHeight w:val="1288"/>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8.2</w:t>
            </w:r>
            <w:r/>
          </w:p>
        </w:tc>
        <w:tc>
          <w:tcPr>
            <w:tcBorders>
              <w:left w:val="single" w:color="auto" w:sz="4" w:space="0"/>
              <w:right w:val="single" w:color="auto" w:sz="4" w:space="0"/>
            </w:tcBorders>
            <w:tcW w:w="1261"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环境标志产品</w:t>
            </w:r>
            <w:r/>
          </w:p>
        </w:tc>
        <w:tc>
          <w:tcPr>
            <w:tcBorders>
              <w:top w:val="single" w:color="auto" w:sz="4" w:space="0"/>
              <w:left w:val="single" w:color="auto" w:sz="4" w:space="0"/>
              <w:bottom w:val="single" w:color="auto" w:sz="4" w:space="0"/>
              <w:right w:val="single" w:color="auto" w:sz="4" w:space="0"/>
            </w:tcBorders>
            <w:tcW w:w="6277" w:type="dxa"/>
            <w:vAlign w:val="center"/>
            <w:textDirection w:val="lrTb"/>
            <w:noWrap w:val="false"/>
          </w:tcPr>
          <w:p>
            <w:pPr>
              <w:jc w:val="left"/>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投标产品属于财政部、生态环境部公布的“环境标志产品品目清单”范围内的，投标人提供国家确定的认证机构出具的、处于有效期内的该环保产品认证证书复印件的，得0.5分。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0.5</w:t>
            </w:r>
            <w:r/>
          </w:p>
        </w:tc>
      </w:tr>
      <w:tr>
        <w:trPr>
          <w:jc w:val="center"/>
          <w:trHeight w:val="497"/>
        </w:trPr>
        <w:tc>
          <w:tcPr>
            <w:gridSpan w:val="3"/>
            <w:tcBorders>
              <w:left w:val="single" w:color="auto" w:sz="4" w:space="0"/>
              <w:right w:val="single" w:color="auto" w:sz="4" w:space="0"/>
            </w:tcBorders>
            <w:tcW w:w="4503" w:type="pct"/>
            <w:vAlign w:val="center"/>
            <w:textDirection w:val="lrTb"/>
            <w:noWrap w:val="false"/>
          </w:tcPr>
          <w:p>
            <w:pPr>
              <w:ind w:left="0" w:right="0" w:firstLine="0"/>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合计</w:t>
            </w:r>
            <w:r/>
          </w:p>
        </w:tc>
        <w:tc>
          <w:tcPr>
            <w:tcBorders>
              <w:left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=SUM(ABOVE) \* MERGEFORMAT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100</w:t>
            </w:r>
            <w:r>
              <w:rPr>
                <w:rFonts w:hint="eastAsia" w:ascii="微软雅黑" w:hAnsi="微软雅黑" w:eastAsia="微软雅黑" w:cs="微软雅黑"/>
                <w:sz w:val="21"/>
                <w:szCs w:val="21"/>
                <w:highlight w:val="none"/>
              </w:rPr>
              <w:fldChar w:fldCharType="end"/>
            </w:r>
            <w:r/>
          </w:p>
        </w:tc>
      </w:tr>
    </w:tbl>
    <w:p>
      <w:pPr>
        <w:spacing w:line="440" w:lineRule="exact"/>
        <w:rPr>
          <w:rFonts w:hint="eastAsia" w:ascii="微软雅黑" w:hAnsi="微软雅黑" w:cs="微软雅黑"/>
          <w:b/>
          <w:sz w:val="24"/>
          <w:szCs w:val="24"/>
          <w:highlight w:val="none"/>
        </w:rPr>
      </w:pPr>
      <w:r>
        <w:rPr>
          <w:rFonts w:hint="eastAsia" w:ascii="微软雅黑" w:hAnsi="微软雅黑" w:cs="微软雅黑"/>
          <w:b/>
          <w:sz w:val="24"/>
          <w:szCs w:val="24"/>
          <w:highlight w:val="none"/>
        </w:rPr>
        <w:t xml:space="preserve">备注：</w:t>
      </w:r>
      <w:r/>
    </w:p>
    <w:p>
      <w:pPr>
        <w:numPr>
          <w:ilvl w:val="0"/>
          <w:numId w:val="10"/>
        </w:numPr>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政府采购政策功能落实</w:t>
      </w: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color w:val="auto"/>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1.小微型企业价格扣除</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本项目对小型和微型企业产品、服务给予10%的扣除价格，用扣除后的价格参与评审。</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供应商需按照采购文件的要求提供相应的《企业声明函》。</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2.残疾人福利单位价格扣除</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本项目对残疾人福利性单位给予10%的价格扣除，用扣除后的价格参与评审。</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残疾人福利单位需按照采购文件的要求提供《残疾人福利性单位声明函》。</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3.监狱和戒毒企业价格扣除</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本项目对监狱和戒毒企业（简称监狱企业）给予10%的价格扣除，用扣除后的价格参与评审。</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4.残疾人福利单位、监狱企业属于小型、微型企业的，不重复享受政策。</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5.本国产品的价格扣除</w:t>
      </w:r>
      <w:r/>
    </w:p>
    <w:p>
      <w:pPr>
        <w:pStyle w:val="1157"/>
        <w:spacing w:line="400" w:lineRule="exact"/>
        <w:rPr>
          <w:rFonts w:hint="eastAsia" w:ascii="微软雅黑" w:hAnsi="微软雅黑" w:cs="微软雅黑"/>
          <w:highlight w:val="none"/>
        </w:rPr>
      </w:pPr>
      <w:r>
        <w:rPr>
          <w:rFonts w:hint="eastAsia" w:ascii="微软雅黑" w:hAnsi="微软雅黑" w:cs="微软雅黑"/>
          <w:highlight w:val="none"/>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57"/>
        <w:spacing w:line="400" w:lineRule="exact"/>
        <w:rPr>
          <w:rFonts w:hint="eastAsia" w:ascii="微软雅黑" w:hAnsi="微软雅黑" w:cs="微软雅黑"/>
          <w:highlight w:val="none"/>
        </w:rPr>
      </w:pPr>
      <w:r>
        <w:rPr>
          <w:rFonts w:hint="eastAsia" w:ascii="微软雅黑" w:hAnsi="微软雅黑" w:cs="微软雅黑"/>
          <w:highlight w:val="none"/>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二、同品牌投标人的认定</w:t>
      </w:r>
      <w:r/>
    </w:p>
    <w:p>
      <w:pPr>
        <w:ind w:firstLine="420"/>
        <w:spacing w:line="42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highlight w:val="none"/>
          <w:u w:val="single"/>
        </w:rPr>
      </w:pPr>
      <w:r>
        <w:rPr>
          <w:rFonts w:hint="eastAsia" w:ascii="微软雅黑" w:hAnsi="微软雅黑" w:cs="微软雅黑"/>
          <w:highlight w:val="none"/>
        </w:rPr>
        <w:t xml:space="preserve">本项目核心产品：</w:t>
      </w:r>
      <w:r>
        <w:rPr>
          <w:rFonts w:hint="eastAsia" w:ascii="微软雅黑" w:hAnsi="微软雅黑" w:cs="微软雅黑"/>
          <w:highlight w:val="none"/>
          <w:u w:val="single"/>
        </w:rPr>
        <w:t xml:space="preserve">  本项目为单一产品，故不设置核心产品。 </w:t>
      </w:r>
      <w:r/>
    </w:p>
    <w:p>
      <w:pPr>
        <w:pStyle w:val="1157"/>
        <w:ind w:left="0" w:firstLine="0"/>
        <w:rPr>
          <w:rFonts w:hint="eastAsia" w:ascii="微软雅黑" w:hAnsi="微软雅黑" w:cs="微软雅黑"/>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highlight w:val="none"/>
          <w:u w:val="single"/>
        </w:rPr>
      </w:r>
      <w:bookmarkEnd w:id="216"/>
      <w:r/>
      <w:r/>
    </w:p>
    <w:p>
      <w:pPr>
        <w:pStyle w:val="1344"/>
        <w:numPr>
          <w:ilvl w:val="255"/>
          <w:numId w:val="0"/>
        </w:numPr>
        <w:spacing w:line="360" w:lineRule="exact"/>
        <w:rPr>
          <w:rFonts w:hint="eastAsia" w:ascii="微软雅黑" w:hAnsi="微软雅黑" w:cs="微软雅黑"/>
          <w:szCs w:val="32"/>
          <w:highlight w:val="none"/>
        </w:rPr>
      </w:pPr>
      <w:r/>
      <w:bookmarkStart w:id="217" w:name="_Toc6381"/>
      <w:r/>
      <w:bookmarkStart w:id="218" w:name="_Toc2525"/>
      <w:r/>
      <w:bookmarkStart w:id="219" w:name="_Toc21811"/>
      <w:r>
        <w:rPr>
          <w:rFonts w:hint="eastAsia" w:ascii="微软雅黑" w:hAnsi="微软雅黑" w:cs="微软雅黑"/>
          <w:szCs w:val="32"/>
          <w:highlight w:val="none"/>
        </w:rPr>
        <w:t xml:space="preserve">第四章 项目采购需求</w:t>
      </w:r>
      <w:bookmarkEnd w:id="217"/>
      <w:r/>
      <w:bookmarkEnd w:id="218"/>
      <w:r/>
      <w:r/>
    </w:p>
    <w:p>
      <w:pPr>
        <w:rPr>
          <w:b/>
          <w:bCs/>
          <w:highlight w:val="none"/>
        </w:rPr>
      </w:pPr>
      <w:r/>
      <w:bookmarkStart w:id="220" w:name="_Toc22174"/>
      <w:r>
        <w:rPr>
          <w:rFonts w:hint="eastAsia"/>
          <w:b/>
          <w:bCs/>
          <w:highlight w:val="none"/>
        </w:rPr>
        <w:t xml:space="preserve">采购文件中标注“★”的内容为实质性要求，有一项不符合的，作无</w:t>
      </w:r>
      <w:r>
        <w:rPr>
          <w:rFonts w:hint="eastAsia"/>
          <w:b/>
          <w:bCs/>
          <w:highlight w:val="none"/>
          <w:lang w:val="en-US" w:eastAsia="zh-CN"/>
        </w:rPr>
        <w:t xml:space="preserve"> </w:t>
      </w:r>
      <w:r>
        <w:rPr>
          <w:rFonts w:hint="eastAsia"/>
          <w:b/>
          <w:bCs/>
          <w:highlight w:val="none"/>
        </w:rPr>
        <w:t xml:space="preserve">效投标处理。</w:t>
      </w:r>
      <w:r/>
    </w:p>
    <w:p>
      <w:pPr>
        <w:pStyle w:val="1467"/>
        <w:ind w:firstLine="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一、项目基本情况及采购项目清单</w:t>
      </w:r>
      <w:r/>
    </w:p>
    <w:tbl>
      <w:tblPr>
        <w:tblStyle w:val="1156"/>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34"/>
        <w:gridCol w:w="1739"/>
        <w:gridCol w:w="1740"/>
        <w:gridCol w:w="1740"/>
      </w:tblGrid>
      <w:tr>
        <w:trPr>
          <w:jc w:val="center"/>
          <w:trHeight w:val="491"/>
        </w:trPr>
        <w:tc>
          <w:tcPr>
            <w:tcW w:w="1144"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2334"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产品名称</w:t>
            </w:r>
            <w:r/>
          </w:p>
        </w:tc>
        <w:tc>
          <w:tcPr>
            <w:tcW w:w="1739"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数量</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单位</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最高限价</w:t>
            </w:r>
            <w:r/>
          </w:p>
        </w:tc>
      </w:tr>
      <w:tr>
        <w:trPr>
          <w:jc w:val="center"/>
          <w:trHeight w:val="607"/>
        </w:trPr>
        <w:tc>
          <w:tcPr>
            <w:tcW w:w="1144"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2334"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小动物多通道核团神经信号采集系统</w:t>
            </w:r>
            <w:r/>
          </w:p>
        </w:tc>
        <w:tc>
          <w:tcPr>
            <w:tcW w:w="1739"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套</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135万</w:t>
            </w:r>
            <w:r/>
          </w:p>
        </w:tc>
      </w:tr>
    </w:tbl>
    <w:p>
      <w:pPr>
        <w:pStyle w:val="1467"/>
        <w:ind w:firstLine="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二、技术要求（标“★”、“▲”号项必须提供相应证明材料，如产品印刷彩页或技术手册或检测报告或技术参数中要求的证明材料等，并注明页码）</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1.▲系统主机处理能力≥128通道，并且可扩展至不少于256通道数，后续可以升级fMRI兼容记录和多通道无线信号实时传输记录等实验组件。</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2.★32通道微型放大器，重量≤1.5</w:t>
      </w:r>
      <w:r>
        <w:rPr>
          <w:rFonts w:hint="eastAsia"/>
          <w:highlight w:val="none"/>
        </w:rPr>
        <w:t xml:space="preserve">克</w:t>
      </w:r>
      <w:r>
        <w:rPr>
          <w:rFonts w:hint="eastAsia" w:ascii="微软雅黑" w:hAnsi="微软雅黑" w:cs="微软雅黑"/>
          <w:szCs w:val="21"/>
          <w:highlight w:val="none"/>
        </w:rPr>
        <w:t xml:space="preserve">，数字信号输出；具有3D加速传感器及陀螺仪功能，并可将加速传感器数据同步保存在神经信号文件中；内置≥两个红外LED；具有电极在体实时阻抗测试功能。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3.▲64通道微型放大器，数字信号输出；具有电极在体实时阻抗测试功能。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4.★提供</w:t>
      </w:r>
      <w:bookmarkStart w:id="221" w:name="OLE_LINK4"/>
      <w:r>
        <w:rPr>
          <w:rFonts w:hint="eastAsia" w:ascii="微软雅黑" w:hAnsi="微软雅黑" w:cs="微软雅黑"/>
          <w:szCs w:val="21"/>
          <w:highlight w:val="none"/>
        </w:rPr>
        <w:t xml:space="preserve">16通道无线放大采集器</w:t>
      </w:r>
      <w:bookmarkEnd w:id="221"/>
      <w:r>
        <w:rPr>
          <w:rFonts w:hint="eastAsia" w:ascii="微软雅黑" w:hAnsi="微软雅黑" w:cs="微软雅黑"/>
          <w:szCs w:val="21"/>
          <w:highlight w:val="none"/>
        </w:rPr>
        <w:t xml:space="preserve">：无线传输距离≥5米；具有内置微型存储卡；采样率可调节，至少包括：1250Hz-40kHz；可充电锂电池容量可定制，至少包括100mA-2000mA，锂电池工作时长不小于1.5小时；放大器内置3轴加速度芯片。</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5.配套光电一体电动辅助换向器，可实现神经电生理，光遗传，电刺激和动物行为学的同步实验。</w:t>
      </w:r>
      <w:r/>
    </w:p>
    <w:p>
      <w:pPr>
        <w:pStyle w:val="1467"/>
        <w:ind w:right="-210" w:firstLine="420"/>
        <w:jc w:val="left"/>
        <w:keepLines w:val="0"/>
        <w:keepNext w:val="0"/>
        <w:pageBreakBefore w:val="0"/>
        <w:spacing w:line="420" w:lineRule="exact"/>
        <w:widowControl w:val="off"/>
        <w:rPr>
          <w:rFonts w:hint="eastAsia" w:ascii="微软雅黑" w:hAnsi="微软雅黑" w:cs="微软雅黑"/>
          <w:szCs w:val="21"/>
          <w:highlight w:val="none"/>
        </w:rPr>
      </w:pPr>
      <w:r>
        <w:rPr>
          <w:rFonts w:hint="eastAsia" w:ascii="微软雅黑" w:hAnsi="微软雅黑" w:cs="微软雅黑"/>
          <w:szCs w:val="21"/>
          <w:highlight w:val="none"/>
        </w:rPr>
        <w:t xml:space="preserve">6.▲配套神经信号模拟器，具有至少3种类型的连接口，适用于不同类型的微型放大器。</w:t>
      </w:r>
      <w:r/>
    </w:p>
    <w:p>
      <w:pPr>
        <w:pStyle w:val="1467"/>
        <w:ind w:right="-210" w:firstLine="420"/>
        <w:jc w:val="left"/>
        <w:keepLines w:val="0"/>
        <w:keepNext w:val="0"/>
        <w:pageBreakBefore w:val="0"/>
        <w:spacing w:line="420" w:lineRule="exact"/>
        <w:widowControl w:val="off"/>
        <w:rPr>
          <w:rFonts w:hint="eastAsia" w:ascii="微软雅黑" w:hAnsi="微软雅黑" w:cs="微软雅黑"/>
          <w:szCs w:val="21"/>
          <w:highlight w:val="none"/>
        </w:rPr>
      </w:pPr>
      <w:r>
        <w:rPr>
          <w:rFonts w:hint="eastAsia" w:ascii="微软雅黑" w:hAnsi="微软雅黑" w:cs="微软雅黑"/>
          <w:szCs w:val="21"/>
          <w:highlight w:val="none"/>
        </w:rPr>
        <w:t xml:space="preserve">7.配套用于32通道微型放大器连接16通道电极（Samtecs接口）的适配器不少于2个。</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8.★配套颅内压压力监测导管：直径≤1.4F，响应频率≥10KHz，灵敏度至少5µV/V/mmHg。</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9.每个通道采样率不小于30kHz，模数转换精度不小于16Bit；每个通道均可采集多种神经元信号：</w:t>
      </w:r>
      <w:r>
        <w:rPr>
          <w:rFonts w:hint="eastAsia" w:ascii="微软雅黑" w:hAnsi="微软雅黑" w:cs="微软雅黑"/>
          <w:color w:val="000000"/>
          <w:szCs w:val="21"/>
          <w:highlight w:val="none"/>
        </w:rPr>
        <w:t xml:space="preserve">全带宽原始信号（Raw data）、动作电位（Spike）、场电位（LFP）</w:t>
      </w:r>
      <w:r>
        <w:rPr>
          <w:rFonts w:hint="eastAsia" w:ascii="微软雅黑" w:hAnsi="微软雅黑" w:cs="微软雅黑"/>
          <w:szCs w:val="21"/>
          <w:highlight w:val="none"/>
        </w:rPr>
        <w:t xml:space="preserve">；每个通道均可独立设置数字滤波；能对每一通道神经的信噪比进行在线实时测量。</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配套系统软件用于控制系统主机，对神经信号进行处理、可视化和保存。具有数字滤波，可同步提取动作电位和场电位，可进行手动和自动在线spike分类，具有双通道数字示波器、在线实时信噪比分析、电极阻抗测试等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11.同时具有模拟参考通道输入以及数字参考选择这两种参考通道选择方法，每个通道均可独立设置参考通道，并且可以选择只对单位放电进行差分处理而保持场电位的完整性；可以满足通道间的差分式记录。</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12.支持在线或离线数据导入NeuroExplorer,Spike2,MATLAB,C/C++等其他第三方软件。</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13.在线实时频谱分析和频谱热图，可实时进行功率谱计算。</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配套神经元离线分类软件，能够在不少于6台计算机上同时运行并进行神经元离线分类。支持大数据快速导入；数据可保持后台运行；自动保存编辑中的数据文件，中断后可继续进行数据分析；具有手动和自动的Spike分类算法。</w:t>
      </w:r>
      <w:r/>
    </w:p>
    <w:p>
      <w:pPr>
        <w:spacing w:line="420" w:lineRule="exact"/>
        <w:widowControl/>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（二）详细配置</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1. 128通道主机1台</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2. 32通道数字微型放大器2个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3. 64通道数字放大器1个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4. 神经信号模拟器1台</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5. 16通道无线采集器1个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6. 1.4F压力导管1根</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rPr>
        <w:t xml:space="preserve"> 系统软件2套</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8.</w:t>
      </w:r>
      <w:r>
        <w:rPr>
          <w:rFonts w:hint="eastAsia" w:ascii="微软雅黑" w:hAnsi="微软雅黑" w:cs="微软雅黑"/>
          <w:szCs w:val="21"/>
          <w:highlight w:val="none"/>
        </w:rPr>
        <w:t xml:space="preserve"> 神经元数据分析软件1套</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9.</w:t>
      </w:r>
      <w:r>
        <w:rPr>
          <w:rFonts w:hint="eastAsia" w:ascii="微软雅黑" w:hAnsi="微软雅黑" w:cs="微软雅黑"/>
          <w:szCs w:val="21"/>
          <w:highlight w:val="none"/>
        </w:rPr>
        <w:t xml:space="preserve"> 微丝电极10个，配套适配器3个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 硅电极5根，配套适配器1个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11.</w:t>
      </w:r>
      <w:r>
        <w:rPr>
          <w:rFonts w:hint="eastAsia" w:ascii="微软雅黑" w:hAnsi="微软雅黑" w:cs="微软雅黑"/>
          <w:szCs w:val="21"/>
          <w:highlight w:val="none"/>
        </w:rPr>
        <w:t xml:space="preserve"> 压力监测传感器 1个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12.</w:t>
      </w:r>
      <w:r>
        <w:rPr>
          <w:rFonts w:hint="eastAsia" w:ascii="微软雅黑" w:hAnsi="微软雅黑" w:cs="微软雅黑"/>
          <w:szCs w:val="21"/>
          <w:highlight w:val="none"/>
        </w:rPr>
        <w:t xml:space="preserve"> 实验用计算机1台</w:t>
      </w:r>
      <w:r>
        <w:rPr>
          <w:rFonts w:hint="eastAsia" w:ascii="微软雅黑" w:hAnsi="微软雅黑" w:cs="微软雅黑"/>
          <w:szCs w:val="21"/>
          <w:highlight w:val="none"/>
          <w:lang w:eastAsia="zh-CN"/>
        </w:rPr>
        <w:t xml:space="preserve">。</w:t>
      </w:r>
      <w:r/>
    </w:p>
    <w:p>
      <w:pPr>
        <w:spacing w:line="420" w:lineRule="exact"/>
        <w:rPr>
          <w:rFonts w:hint="eastAsia" w:ascii="微软雅黑" w:hAnsi="微软雅黑" w:cs="微软雅黑"/>
          <w:b/>
          <w:bCs/>
          <w:szCs w:val="21"/>
          <w:highlight w:val="none"/>
          <w:lang w:val="zh-CN"/>
        </w:rPr>
      </w:pPr>
      <w:r/>
      <w:bookmarkStart w:id="222" w:name="_Toc9546"/>
      <w:r/>
      <w:bookmarkStart w:id="223" w:name="_Toc13108"/>
      <w:r/>
      <w:bookmarkStart w:id="224" w:name="_Toc8837"/>
      <w:r>
        <w:rPr>
          <w:rFonts w:hint="eastAsia" w:ascii="微软雅黑" w:hAnsi="微软雅黑" w:cs="微软雅黑"/>
          <w:b/>
          <w:bCs/>
          <w:szCs w:val="21"/>
          <w:highlight w:val="none"/>
          <w:lang w:val="zh-CN"/>
        </w:rPr>
        <w:t xml:space="preserve">三、服务要求</w:t>
      </w:r>
      <w:bookmarkEnd w:id="222"/>
      <w:r/>
      <w:bookmarkEnd w:id="223"/>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（1）技术培训：为采购方进行人员培训，提供每年不少于</w:t>
      </w:r>
      <w:r>
        <w:rPr>
          <w:rFonts w:hint="eastAsia" w:ascii="微软雅黑" w:hAnsi="微软雅黑" w:cs="微软雅黑"/>
          <w:szCs w:val="21"/>
          <w:highlight w:val="none"/>
          <w:u w:val="single"/>
        </w:rPr>
        <w:t xml:space="preserve"> 2 </w:t>
      </w:r>
      <w:r>
        <w:rPr>
          <w:rFonts w:hint="eastAsia" w:ascii="微软雅黑" w:hAnsi="微软雅黑" w:cs="微软雅黑"/>
          <w:szCs w:val="21"/>
          <w:highlight w:val="none"/>
          <w:lang w:val="zh-CN"/>
        </w:rPr>
        <w:t xml:space="preserve">次的设备操作培训，培训人员</w:t>
      </w:r>
      <w:r>
        <w:rPr>
          <w:rFonts w:hint="eastAsia" w:ascii="微软雅黑" w:hAnsi="微软雅黑" w:cs="微软雅黑"/>
          <w:szCs w:val="21"/>
          <w:highlight w:val="none"/>
        </w:rPr>
        <w:t xml:space="preserve">数量</w:t>
      </w:r>
      <w:r>
        <w:rPr>
          <w:rFonts w:hint="eastAsia" w:ascii="微软雅黑" w:hAnsi="微软雅黑" w:cs="微软雅黑"/>
          <w:szCs w:val="21"/>
          <w:highlight w:val="none"/>
          <w:lang w:val="zh-CN"/>
        </w:rPr>
        <w:t xml:space="preserve">不低于</w:t>
      </w:r>
      <w:r>
        <w:rPr>
          <w:rFonts w:hint="eastAsia" w:ascii="微软雅黑" w:hAnsi="微软雅黑" w:cs="微软雅黑"/>
          <w:szCs w:val="21"/>
          <w:highlight w:val="none"/>
          <w:u w:val="single"/>
        </w:rPr>
        <w:t xml:space="preserve"> 10 </w:t>
      </w:r>
      <w:r>
        <w:rPr>
          <w:rFonts w:hint="eastAsia" w:ascii="微软雅黑" w:hAnsi="微软雅黑" w:cs="微软雅黑"/>
          <w:szCs w:val="21"/>
          <w:highlight w:val="none"/>
          <w:lang w:val="zh-CN"/>
        </w:rPr>
        <w:t xml:space="preserve">人。</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lang w:val="zh-CN"/>
        </w:rPr>
        <w:t xml:space="preserve">（2）</w:t>
      </w:r>
      <w:r>
        <w:rPr>
          <w:rFonts w:hint="eastAsia" w:ascii="微软雅黑" w:hAnsi="微软雅黑" w:cs="微软雅黑"/>
          <w:szCs w:val="21"/>
          <w:highlight w:val="none"/>
        </w:rPr>
        <w:t xml:space="preserve">免费质保</w:t>
      </w:r>
      <w:r>
        <w:rPr>
          <w:rFonts w:hint="eastAsia" w:ascii="微软雅黑" w:hAnsi="微软雅黑" w:cs="微软雅黑"/>
          <w:szCs w:val="21"/>
          <w:highlight w:val="none"/>
          <w:lang w:val="zh-CN"/>
        </w:rPr>
        <w:t xml:space="preserve">期：</w:t>
      </w:r>
      <w:r>
        <w:rPr>
          <w:rFonts w:hint="eastAsia" w:ascii="微软雅黑" w:hAnsi="微软雅黑" w:cs="微软雅黑"/>
          <w:szCs w:val="21"/>
          <w:highlight w:val="none"/>
        </w:rPr>
        <w:t xml:space="preserve">质保期</w:t>
      </w:r>
      <w:r>
        <w:rPr>
          <w:rFonts w:hint="eastAsia" w:ascii="微软雅黑" w:hAnsi="微软雅黑" w:cs="微软雅黑"/>
          <w:szCs w:val="21"/>
          <w:highlight w:val="none"/>
          <w:u w:val="single"/>
        </w:rPr>
        <w:t xml:space="preserve"> 1 </w:t>
      </w:r>
      <w:r>
        <w:rPr>
          <w:rFonts w:hint="eastAsia" w:ascii="微软雅黑" w:hAnsi="微软雅黑" w:cs="微软雅黑"/>
          <w:szCs w:val="21"/>
          <w:highlight w:val="none"/>
        </w:rPr>
        <w:t xml:space="preserve">年，</w:t>
      </w:r>
      <w:r>
        <w:rPr>
          <w:rFonts w:hint="eastAsia" w:ascii="微软雅黑" w:hAnsi="微软雅黑" w:cs="微软雅黑"/>
          <w:szCs w:val="21"/>
          <w:highlight w:val="none"/>
          <w:lang w:val="zh-CN"/>
        </w:rPr>
        <w:t xml:space="preserve">自验收合格</w:t>
      </w:r>
      <w:r>
        <w:rPr>
          <w:rFonts w:hint="eastAsia" w:ascii="微软雅黑" w:hAnsi="微软雅黑" w:cs="微软雅黑"/>
          <w:szCs w:val="21"/>
          <w:highlight w:val="none"/>
        </w:rPr>
        <w:t xml:space="preserve">次日</w:t>
      </w:r>
      <w:r>
        <w:rPr>
          <w:rFonts w:hint="eastAsia" w:ascii="微软雅黑" w:hAnsi="微软雅黑" w:cs="微软雅黑"/>
          <w:szCs w:val="21"/>
          <w:highlight w:val="none"/>
          <w:lang w:val="zh-CN"/>
        </w:rPr>
        <w:t xml:space="preserve">起</w:t>
      </w:r>
      <w:r>
        <w:rPr>
          <w:rFonts w:hint="eastAsia" w:ascii="微软雅黑" w:hAnsi="微软雅黑" w:cs="微软雅黑"/>
          <w:szCs w:val="21"/>
          <w:highlight w:val="none"/>
        </w:rPr>
        <w:t xml:space="preserve">算</w:t>
      </w:r>
      <w:r>
        <w:rPr>
          <w:rFonts w:hint="eastAsia" w:ascii="微软雅黑" w:hAnsi="微软雅黑" w:cs="微软雅黑"/>
          <w:szCs w:val="21"/>
          <w:highlight w:val="none"/>
          <w:lang w:val="zh-CN"/>
        </w:rPr>
        <w:t xml:space="preserve">。</w:t>
      </w:r>
      <w:r>
        <w:rPr>
          <w:rFonts w:hint="eastAsia"/>
          <w:lang w:eastAsia="zh-CN"/>
        </w:rPr>
        <w:t xml:space="preserve">质保期内，供应商须对货物进行免费的全面校正和维护保养，并保证性能达到货物出厂标准。质保期满后，以具体的优惠价格向采购人提供配件及售后维护（</w:t>
      </w:r>
      <w:r>
        <w:rPr>
          <w:rFonts w:hint="eastAsia"/>
          <w:b/>
          <w:bCs/>
          <w:lang w:eastAsia="zh-CN"/>
        </w:rPr>
        <w:t xml:space="preserve">提供承诺函并加盖</w:t>
      </w:r>
      <w:r>
        <w:rPr>
          <w:rFonts w:hint="eastAsia" w:ascii="微软雅黑" w:hAnsi="微软雅黑" w:cs="微软雅黑"/>
          <w:b/>
          <w:bCs/>
          <w:szCs w:val="21"/>
          <w:highlight w:val="none"/>
          <w:lang w:val="zh-CN"/>
        </w:rPr>
        <w:t xml:space="preserve">投标人</w:t>
      </w:r>
      <w:r>
        <w:rPr>
          <w:rFonts w:hint="eastAsia"/>
          <w:b/>
          <w:bCs/>
          <w:lang w:eastAsia="zh-CN"/>
        </w:rPr>
        <w:t xml:space="preserve">公章</w:t>
      </w:r>
      <w:r>
        <w:rPr>
          <w:rFonts w:hint="eastAsia"/>
          <w:lang w:eastAsia="zh-CN"/>
        </w:rPr>
        <w:t xml:space="preserve">）。</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（3）售后技术服务要求：接到故障通知后</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lang w:val="zh-CN"/>
        </w:rPr>
        <w:t xml:space="preserve">2</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小时内作出答复，一般问题</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lang w:val="zh-CN"/>
        </w:rPr>
        <w:t xml:space="preserve">24</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小时之内解决；若采购方有需求，</w:t>
      </w:r>
      <w:r>
        <w:rPr>
          <w:rFonts w:hint="eastAsia" w:ascii="微软雅黑" w:hAnsi="微软雅黑" w:cs="微软雅黑"/>
          <w:szCs w:val="21"/>
          <w:highlight w:val="none"/>
          <w:u w:val="single"/>
          <w:lang w:val="zh-CN"/>
        </w:rPr>
        <w:t xml:space="preserve">48</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小时内到达现场解决；若遇重大问题在</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lang w:val="zh-CN"/>
        </w:rPr>
        <w:t xml:space="preserve">7</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天内解决。</w:t>
      </w:r>
      <w:r/>
    </w:p>
    <w:p>
      <w:pPr>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lang w:val="zh-CN"/>
        </w:rPr>
        <w:t xml:space="preserve">四、安装要求</w:t>
      </w:r>
      <w:bookmarkEnd w:id="224"/>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设备安装调试：设备到货后，卖方在接到通知的</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lang w:val="zh-CN"/>
        </w:rPr>
        <w:t xml:space="preserve">7</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个工作日内派人前往负责该设备的安装、调试和操作培训，直至达到各项验收指标合格。</w:t>
      </w:r>
      <w:r/>
    </w:p>
    <w:p>
      <w:pPr>
        <w:ind w:firstLine="420"/>
        <w:spacing w:line="420" w:lineRule="exact"/>
        <w:rPr>
          <w:rFonts w:hint="eastAsia"/>
          <w:highlight w:val="none"/>
          <w:lang w:val="zh-CN"/>
        </w:rPr>
      </w:pPr>
      <w:r>
        <w:rPr>
          <w:rFonts w:hint="eastAsia" w:ascii="微软雅黑" w:hAnsi="微软雅黑" w:cs="微软雅黑"/>
          <w:szCs w:val="21"/>
          <w:highlight w:val="none"/>
          <w:lang w:val="zh-CN"/>
        </w:rPr>
        <w:t xml:space="preserve">为保障设备安装验收流程，配合相关工程建设进度，中标人需根据实际情况免费提供设备移机服务（</w:t>
      </w:r>
      <w:r>
        <w:rPr>
          <w:rFonts w:hint="eastAsia" w:ascii="微软雅黑" w:hAnsi="微软雅黑" w:cs="微软雅黑"/>
          <w:b/>
          <w:bCs/>
          <w:szCs w:val="21"/>
          <w:highlight w:val="none"/>
          <w:lang w:val="zh-CN"/>
        </w:rPr>
        <w:t xml:space="preserve">提供承诺书原件加盖投标人公章</w:t>
      </w:r>
      <w:r>
        <w:rPr>
          <w:rFonts w:hint="eastAsia" w:ascii="微软雅黑" w:hAnsi="微软雅黑" w:cs="微软雅黑"/>
          <w:szCs w:val="21"/>
          <w:highlight w:val="none"/>
          <w:lang w:val="zh-CN"/>
        </w:rPr>
        <w:t xml:space="preserve">）。</w:t>
      </w:r>
      <w:r/>
    </w:p>
    <w:p>
      <w:pPr>
        <w:spacing w:line="420" w:lineRule="exact"/>
        <w:rPr>
          <w:rFonts w:hint="eastAsia" w:ascii="微软雅黑" w:hAnsi="微软雅黑" w:cs="微软雅黑"/>
          <w:szCs w:val="21"/>
          <w:highlight w:val="none"/>
          <w:lang w:val="zh-CN"/>
        </w:rPr>
      </w:pPr>
      <w:r/>
      <w:bookmarkStart w:id="225" w:name="_Toc11610"/>
      <w:r>
        <w:rPr>
          <w:rFonts w:hint="eastAsia" w:ascii="微软雅黑" w:hAnsi="微软雅黑" w:cs="微软雅黑"/>
          <w:b/>
          <w:bCs/>
          <w:szCs w:val="21"/>
          <w:highlight w:val="none"/>
          <w:lang w:val="zh-CN"/>
        </w:rPr>
        <w:t xml:space="preserve">五、交货期、交货方式及交货地点</w:t>
      </w:r>
      <w:bookmarkEnd w:id="225"/>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lang w:val="zh-CN"/>
        </w:rPr>
        <w:t xml:space="preserve">1. 交货期：合同签订生效后，进口设备（免税）三个月内、国产设备及进口设备（非免税）一个月内全部设备、材料运抵现场，并安装、调试结束，验收合格，交付买方使用。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2. 交货方式：中标人在买方指定地点交货，并完成安装、调试。</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3. 交货地点：南京医科大学</w:t>
      </w:r>
      <w:r>
        <w:rPr>
          <w:rFonts w:hint="eastAsia" w:ascii="微软雅黑" w:hAnsi="微软雅黑" w:cs="微软雅黑"/>
          <w:szCs w:val="21"/>
          <w:highlight w:val="none"/>
        </w:rPr>
        <w:t xml:space="preserve">指定地点</w:t>
      </w:r>
      <w:r>
        <w:rPr>
          <w:rFonts w:hint="eastAsia" w:ascii="微软雅黑" w:hAnsi="微软雅黑" w:cs="微软雅黑"/>
          <w:szCs w:val="21"/>
          <w:highlight w:val="none"/>
          <w:lang w:val="zh-CN"/>
        </w:rPr>
        <w:t xml:space="preserve">。</w:t>
      </w:r>
      <w:r/>
    </w:p>
    <w:p>
      <w:pPr>
        <w:spacing w:line="420" w:lineRule="exact"/>
        <w:rPr>
          <w:rFonts w:hint="eastAsia" w:ascii="微软雅黑" w:hAnsi="微软雅黑" w:cs="微软雅黑"/>
          <w:b/>
          <w:bCs/>
          <w:szCs w:val="21"/>
          <w:highlight w:val="none"/>
          <w:lang w:val="zh-CN"/>
        </w:rPr>
      </w:pPr>
      <w:r/>
      <w:bookmarkStart w:id="226" w:name="_Toc18026"/>
      <w:r>
        <w:rPr>
          <w:rFonts w:hint="eastAsia" w:ascii="微软雅黑" w:hAnsi="微软雅黑" w:cs="微软雅黑"/>
          <w:b/>
          <w:bCs/>
          <w:szCs w:val="21"/>
          <w:highlight w:val="none"/>
          <w:lang w:val="zh-CN"/>
        </w:rPr>
        <w:t xml:space="preserve">六、其他技术服务需求</w:t>
      </w:r>
      <w:bookmarkEnd w:id="226"/>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spacing w:line="420" w:lineRule="exact"/>
        <w:rPr>
          <w:rFonts w:hint="default" w:ascii="微软雅黑" w:hAnsi="微软雅黑" w:cs="微软雅黑"/>
          <w:b/>
          <w:bCs/>
          <w:color w:val="auto"/>
          <w:szCs w:val="21"/>
          <w:highlight w:val="none"/>
          <w:lang w:val="en-US" w:eastAsia="zh-CN"/>
        </w:rPr>
      </w:pPr>
      <w:r>
        <w:rPr>
          <w:rFonts w:hint="eastAsia" w:ascii="微软雅黑" w:hAnsi="微软雅黑" w:cs="微软雅黑"/>
          <w:b/>
          <w:bCs/>
          <w:color w:val="auto"/>
          <w:szCs w:val="21"/>
          <w:highlight w:val="none"/>
          <w:lang w:val="en-US" w:eastAsia="zh-CN"/>
        </w:rPr>
        <w:t xml:space="preserve">七</w:t>
      </w:r>
      <w:r>
        <w:rPr>
          <w:rFonts w:hint="eastAsia" w:ascii="微软雅黑" w:hAnsi="微软雅黑" w:cs="微软雅黑"/>
          <w:b/>
          <w:bCs/>
          <w:color w:val="auto"/>
          <w:szCs w:val="21"/>
          <w:highlight w:val="none"/>
          <w:lang w:val="zh-CN"/>
        </w:rPr>
        <w:t xml:space="preserve">、</w:t>
      </w:r>
      <w:r>
        <w:rPr>
          <w:rFonts w:hint="default" w:ascii="微软雅黑" w:hAnsi="微软雅黑" w:cs="微软雅黑"/>
          <w:b/>
          <w:bCs/>
          <w:color w:val="auto"/>
          <w:szCs w:val="21"/>
          <w:highlight w:val="none"/>
          <w:lang w:val="en-US" w:eastAsia="zh-CN"/>
        </w:rPr>
        <w:t xml:space="preserve">缴纳履约保证金</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jc w:val="left"/>
        <w:keepLines w:val="0"/>
        <w:keepNext w:val="0"/>
        <w:pageBreakBefore w:val="0"/>
        <w:spacing w:line="440" w:lineRule="exact"/>
        <w:widowControl w:val="off"/>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 xml:space="preserve">南京医科大学指定账户信息具体如下：</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单位名称：南京医科大学</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开 户 行：南京市工行汉中门支行                          </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账    号：4301010109001038622</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注：请在转账时备注“项目名称+履约保证金”字样。</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jc w:val="left"/>
        <w:keepLines w:val="0"/>
        <w:keepNext w:val="0"/>
        <w:pageBreakBefore w:val="0"/>
        <w:spacing w:line="440" w:lineRule="exact"/>
        <w:widowControl w:val="off"/>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3、合同履行过程中，若经学校核实存在货物质量问题或中标供应商违约情形，学校有权在通知中标供应商后，从履约保证金中抵扣相应的补偿或赔偿款项。</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4、履约保证金退还流程</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（1）自货物验收合格之日起12个月后，中标供应商可向学校出具货物最终验收单，并同步提交填写完整的《履约保证金退还申请单》。</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（2）经最终用户签字确认，核实无质量问题且供应商无违约情形后，学校于确认完成后一个月内，将履约保证金一次性无息退还中标供应商。</w:t>
      </w:r>
      <w:r/>
    </w:p>
    <w:p>
      <w:pPr>
        <w:spacing w:line="420" w:lineRule="exact"/>
        <w:rPr>
          <w:rFonts w:hint="eastAsia" w:ascii="微软雅黑" w:hAnsi="微软雅黑" w:cs="微软雅黑"/>
          <w:b/>
          <w:bCs/>
          <w:color w:val="auto"/>
          <w:szCs w:val="21"/>
          <w:highlight w:val="none"/>
          <w:lang w:val="zh-CN"/>
        </w:rPr>
      </w:pPr>
      <w:r/>
      <w:bookmarkStart w:id="227" w:name="_Toc16384"/>
      <w:r>
        <w:rPr>
          <w:rFonts w:hint="eastAsia" w:ascii="微软雅黑" w:hAnsi="微软雅黑" w:cs="微软雅黑"/>
          <w:b/>
          <w:bCs/>
          <w:color w:val="auto"/>
          <w:szCs w:val="21"/>
          <w:highlight w:val="none"/>
        </w:rPr>
        <w:t xml:space="preserve">★</w:t>
      </w:r>
      <w:r>
        <w:rPr>
          <w:rFonts w:hint="eastAsia" w:ascii="微软雅黑" w:hAnsi="微软雅黑" w:cs="微软雅黑"/>
          <w:b/>
          <w:bCs/>
          <w:color w:val="auto"/>
          <w:szCs w:val="21"/>
          <w:highlight w:val="none"/>
          <w:lang w:val="zh-CN"/>
        </w:rPr>
        <w:t xml:space="preserve">八、货款支付</w:t>
      </w:r>
      <w:bookmarkEnd w:id="227"/>
      <w:r/>
      <w:r/>
    </w:p>
    <w:p>
      <w:pPr>
        <w:ind w:firstLine="420"/>
        <w:jc w:val="left"/>
        <w:spacing w:line="420" w:lineRule="exact"/>
        <w:rPr>
          <w:rFonts w:hint="default" w:ascii="微软雅黑" w:hAnsi="微软雅黑" w:cs="微软雅黑"/>
          <w:color w:val="auto"/>
          <w:szCs w:val="21"/>
          <w:highlight w:val="none"/>
          <w:lang w:val="en-US" w:eastAsia="zh-CN"/>
        </w:rPr>
      </w:pPr>
      <w:r/>
      <w:bookmarkStart w:id="228" w:name="_Toc6924"/>
      <w:r>
        <w:rPr>
          <w:rFonts w:hint="default" w:ascii="微软雅黑" w:hAnsi="微软雅黑" w:cs="微软雅黑"/>
          <w:color w:val="auto"/>
          <w:szCs w:val="21"/>
          <w:highlight w:val="none"/>
          <w:lang w:val="en-US" w:eastAsia="zh-CN"/>
        </w:rPr>
        <w:t xml:space="preserve">1、国产设备及进口设备（非免税）</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货物交付、安装、调试且通过验收后一周内</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遇寒暑假和法定节假日顺延</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w:t>
      </w:r>
      <w:r>
        <w:rPr>
          <w:rFonts w:hint="eastAsia" w:ascii="微软雅黑" w:hAnsi="微软雅黑" w:cs="微软雅黑"/>
          <w:color w:val="auto"/>
          <w:szCs w:val="21"/>
          <w:highlight w:val="none"/>
          <w:lang w:val="en-US" w:eastAsia="zh-CN"/>
        </w:rPr>
        <w:t xml:space="preserve">学校</w:t>
      </w:r>
      <w:r>
        <w:rPr>
          <w:rFonts w:hint="default" w:ascii="微软雅黑" w:hAnsi="微软雅黑" w:cs="微软雅黑"/>
          <w:color w:val="auto"/>
          <w:szCs w:val="21"/>
          <w:highlight w:val="none"/>
          <w:lang w:val="en-US" w:eastAsia="zh-CN"/>
        </w:rPr>
        <w:t xml:space="preserve">支付合同总金额的100%，付款之前需收到</w:t>
      </w:r>
      <w:r>
        <w:rPr>
          <w:rFonts w:hint="eastAsia" w:ascii="微软雅黑" w:hAnsi="微软雅黑" w:cs="微软雅黑"/>
          <w:color w:val="auto"/>
          <w:szCs w:val="21"/>
          <w:highlight w:val="none"/>
          <w:lang w:val="en-US" w:eastAsia="zh-CN"/>
        </w:rPr>
        <w:t xml:space="preserve">中标供应商</w:t>
      </w:r>
      <w:r>
        <w:rPr>
          <w:rFonts w:hint="default" w:ascii="微软雅黑" w:hAnsi="微软雅黑" w:cs="微软雅黑"/>
          <w:color w:val="auto"/>
          <w:szCs w:val="21"/>
          <w:highlight w:val="none"/>
          <w:lang w:val="en-US" w:eastAsia="zh-CN"/>
        </w:rPr>
        <w:t xml:space="preserve">开具的合法有效的相应</w:t>
      </w:r>
      <w:r>
        <w:rPr>
          <w:rFonts w:hint="eastAsia" w:ascii="微软雅黑" w:hAnsi="微软雅黑" w:cs="微软雅黑"/>
          <w:color w:val="auto"/>
          <w:szCs w:val="21"/>
          <w:highlight w:val="none"/>
          <w:lang w:val="en-US" w:eastAsia="zh-CN"/>
        </w:rPr>
        <w:t xml:space="preserve">全额</w:t>
      </w:r>
      <w:r>
        <w:rPr>
          <w:rFonts w:hint="default" w:ascii="微软雅黑" w:hAnsi="微软雅黑" w:cs="微软雅黑"/>
          <w:color w:val="auto"/>
          <w:szCs w:val="21"/>
          <w:highlight w:val="none"/>
          <w:lang w:val="en-US" w:eastAsia="zh-CN"/>
        </w:rPr>
        <w:t xml:space="preserve">发票。</w:t>
      </w:r>
      <w:r/>
    </w:p>
    <w:p>
      <w:pPr>
        <w:ind w:firstLine="420"/>
        <w:jc w:val="left"/>
        <w:spacing w:line="420" w:lineRule="exact"/>
        <w:rPr>
          <w:rFonts w:hint="eastAsia" w:ascii="微软雅黑" w:hAnsi="微软雅黑" w:cs="微软雅黑"/>
          <w:color w:val="auto"/>
          <w:szCs w:val="21"/>
          <w:highlight w:val="none"/>
          <w:lang w:val="en-US" w:eastAsia="zh-CN"/>
        </w:rPr>
      </w:pPr>
      <w:r>
        <w:rPr>
          <w:rFonts w:hint="default" w:ascii="微软雅黑" w:hAnsi="微软雅黑" w:cs="微软雅黑"/>
          <w:color w:val="auto"/>
          <w:szCs w:val="21"/>
          <w:highlight w:val="none"/>
          <w:lang w:val="en-US" w:eastAsia="zh-CN"/>
        </w:rPr>
        <w:t xml:space="preserve">2、进口设备（免税）</w:t>
      </w:r>
      <w:r>
        <w:rPr>
          <w:rFonts w:hint="eastAsia" w:ascii="微软雅黑" w:hAnsi="微软雅黑" w:cs="微软雅黑"/>
          <w:color w:val="auto"/>
          <w:szCs w:val="21"/>
          <w:highlight w:val="none"/>
          <w:lang w:val="en-US" w:eastAsia="zh-CN"/>
        </w:rPr>
        <w:t xml:space="preserve">：</w:t>
      </w:r>
      <w:bookmarkStart w:id="229" w:name="_Toc30691"/>
      <w:r/>
      <w:bookmarkStart w:id="230" w:name="_Toc5640"/>
      <w:r/>
      <w:r/>
    </w:p>
    <w:p>
      <w:pPr>
        <w:ind w:firstLine="420"/>
        <w:jc w:val="left"/>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（1）合同签订后，外贸代理公司提供受益人为南京医科大学的100%合同金额的预付款银行保函，保函有效期为</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lang w:val="en-US" w:eastAsia="zh-CN"/>
        </w:rPr>
        <w:t xml:space="preserve">天（供货期＋2个月），银行保函服务费由中标单位承担。</w:t>
      </w:r>
      <w:r/>
    </w:p>
    <w:p>
      <w:pPr>
        <w:ind w:firstLine="420"/>
        <w:jc w:val="left"/>
        <w:spacing w:line="420" w:lineRule="exact"/>
        <w:rPr>
          <w:rFonts w:hint="default"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（2）外贸代理公司收到100%货款后按照合同办理相关进口手续，货到验收合格后由学校通知外贸代理公司一周内开具合法有效的全额发票，并支付100%货款至境外厂家。</w:t>
      </w:r>
      <w:bookmarkEnd w:id="229"/>
      <w:r/>
      <w:bookmarkEnd w:id="230"/>
      <w:r/>
      <w:r/>
    </w:p>
    <w:p>
      <w:pPr>
        <w:numPr>
          <w:ilvl w:val="0"/>
          <w:numId w:val="0"/>
        </w:numP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lang w:eastAsia="zh-CN"/>
        </w:rPr>
        <w:t xml:space="preserve">九、</w:t>
      </w:r>
      <w:r>
        <w:rPr>
          <w:rFonts w:hint="eastAsia" w:ascii="微软雅黑" w:hAnsi="微软雅黑" w:cs="微软雅黑"/>
          <w:b/>
          <w:bCs/>
          <w:szCs w:val="21"/>
          <w:highlight w:val="none"/>
        </w:rPr>
        <w:t xml:space="preserve">投标报价要求</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各档代理费率为:</w:t>
      </w:r>
      <w:bookmarkEnd w:id="228"/>
      <w:r/>
      <w:r/>
    </w:p>
    <w:tbl>
      <w:tblPr>
        <w:tblStyle w:val="11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合同价为20万美元及以上的，代理费率不高于上述代理费中最低一档。</w:t>
            </w:r>
            <w:r/>
          </w:p>
        </w:tc>
      </w:tr>
    </w:tbl>
    <w:p>
      <w:pPr>
        <w:ind w:firstLine="630"/>
        <w:jc w:val="left"/>
        <w:spacing w:line="360" w:lineRule="auto"/>
        <w:rPr>
          <w:rFonts w:hint="eastAsia" w:ascii="宋体" w:hAnsi="宋体" w:cs="宋体"/>
          <w:szCs w:val="21"/>
          <w:highlight w:val="none"/>
        </w:rPr>
      </w:pPr>
      <w:r>
        <w:rPr>
          <w:rFonts w:hint="eastAsia" w:ascii="宋体" w:hAnsi="宋体" w:cs="宋体"/>
          <w:szCs w:val="21"/>
          <w:highlight w:val="none"/>
        </w:rPr>
        <w:t xml:space="preserve">如潜在供应商所投产品为进口产品，请自行综合考虑外贸代理费等报价事宜。</w:t>
      </w:r>
      <w:r/>
    </w:p>
    <w:p>
      <w:pPr>
        <w:pStyle w:val="1157"/>
        <w:rPr>
          <w:highlight w:val="none"/>
        </w:rPr>
        <w:sectPr>
          <w:footnotePr/>
          <w:endnotePr/>
          <w:type w:val="nextPage"/>
          <w:pgSz w:w="11906" w:h="16838" w:orient="portrait"/>
          <w:pgMar w:top="1440" w:right="1803" w:bottom="1440" w:left="1803" w:header="851" w:footer="992" w:gutter="0"/>
          <w:cols w:num="1" w:sep="0" w:space="0" w:equalWidth="1"/>
          <w:docGrid w:linePitch="360"/>
        </w:sectPr>
      </w:pPr>
      <w:r>
        <w:rPr>
          <w:highlight w:val="none"/>
        </w:rPr>
      </w:r>
      <w:bookmarkEnd w:id="219"/>
      <w:r/>
      <w:bookmarkEnd w:id="220"/>
      <w:r/>
      <w:r/>
    </w:p>
    <w:p>
      <w:pPr>
        <w:pStyle w:val="1344"/>
        <w:spacing w:line="360" w:lineRule="exact"/>
        <w:widowControl/>
        <w:rPr>
          <w:rFonts w:hint="eastAsia" w:ascii="微软雅黑" w:hAnsi="微软雅黑" w:cs="微软雅黑"/>
          <w:szCs w:val="32"/>
          <w:highlight w:val="none"/>
        </w:rPr>
      </w:pPr>
      <w:r/>
      <w:bookmarkStart w:id="231" w:name="_Toc3579"/>
      <w:r/>
      <w:bookmarkStart w:id="232" w:name="_Toc22289"/>
      <w:r/>
      <w:bookmarkStart w:id="233" w:name="_Toc2227"/>
      <w:r>
        <w:rPr>
          <w:rFonts w:hint="eastAsia" w:ascii="微软雅黑" w:hAnsi="微软雅黑" w:cs="微软雅黑"/>
          <w:szCs w:val="32"/>
          <w:highlight w:val="none"/>
        </w:rPr>
        <w:t xml:space="preserve">第五章 采购合同</w:t>
      </w:r>
      <w:bookmarkEnd w:id="231"/>
      <w:r/>
      <w:bookmarkEnd w:id="232"/>
      <w:r/>
      <w:bookmarkEnd w:id="233"/>
      <w:r/>
      <w:bookmarkStart w:id="234" w:name="supplier_relation_tel"/>
      <w:r/>
      <w:bookmarkEnd w:id="234"/>
      <w:r/>
      <w:bookmarkStart w:id="235" w:name="purchase_relation_name"/>
      <w:r/>
      <w:bookmarkEnd w:id="235"/>
      <w:r/>
      <w:bookmarkStart w:id="236" w:name="purchase_name_one"/>
      <w:r/>
      <w:bookmarkEnd w:id="236"/>
      <w:r/>
      <w:bookmarkStart w:id="237" w:name="purchase_relation_tel"/>
      <w:r/>
      <w:bookmarkEnd w:id="237"/>
      <w:r/>
      <w:bookmarkStart w:id="238" w:name="purchase_one_start"/>
      <w:r/>
      <w:bookmarkEnd w:id="238"/>
      <w:r/>
      <w:bookmarkStart w:id="239" w:name="supplier_relation_name"/>
      <w:r/>
      <w:bookmarkEnd w:id="239"/>
      <w:r/>
      <w:bookmarkStart w:id="240" w:name="suppliers_name_one"/>
      <w:r/>
      <w:bookmarkEnd w:id="240"/>
      <w:r/>
      <w:bookmarkStart w:id="241" w:name="suppliers_name"/>
      <w:r/>
      <w:bookmarkEnd w:id="241"/>
      <w:r/>
      <w:r/>
    </w:p>
    <w:p>
      <w:pPr>
        <w:pStyle w:val="1167"/>
        <w:ind w:firstLine="480"/>
        <w:spacing w:before="120" w:after="120"/>
        <w:rPr>
          <w:rFonts w:hAnsi="宋体" w:cs="宋体"/>
          <w:b/>
          <w:bCs/>
          <w:sz w:val="24"/>
          <w:highlight w:val="none"/>
          <w:u w:val="single"/>
        </w:rPr>
      </w:pPr>
      <w:r>
        <w:rPr>
          <w:rFonts w:hint="eastAsia" w:hAnsi="宋体" w:cs="宋体"/>
          <w:b/>
          <w:bCs/>
          <w:sz w:val="24"/>
          <w:highlight w:val="none"/>
        </w:rPr>
        <w:t xml:space="preserve"> </w:t>
      </w:r>
      <w:r>
        <w:rPr>
          <w:rFonts w:hint="eastAsia" w:hAnsi="宋体" w:cs="宋体"/>
          <w:b/>
          <w:bCs/>
          <w:sz w:val="24"/>
          <w:highlight w:val="none"/>
          <w:u w:val="single"/>
        </w:rPr>
        <w:t xml:space="preserve">  南京医科大学                                    项目合同              </w:t>
      </w:r>
      <w:r/>
    </w:p>
    <w:p>
      <w:pPr>
        <w:pStyle w:val="1167"/>
        <w:ind w:firstLine="420"/>
        <w:spacing w:before="120" w:after="120"/>
        <w:rPr>
          <w:rFonts w:hint="eastAsia" w:hAnsi="宋体" w:cs="宋体"/>
          <w:highlight w:val="none"/>
        </w:rPr>
      </w:pPr>
      <w:r>
        <w:rPr>
          <w:rFonts w:hint="eastAsia" w:hAnsi="宋体" w:cs="宋体"/>
          <w:highlight w:val="none"/>
        </w:rPr>
        <w:t xml:space="preserve">甲方：（买方）_________         乙方：（卖方）_________ </w:t>
      </w:r>
      <w:r/>
    </w:p>
    <w:p>
      <w:pPr>
        <w:pStyle w:val="1167"/>
        <w:ind w:firstLine="420"/>
        <w:spacing w:before="120" w:after="120"/>
        <w:rPr>
          <w:rFonts w:hint="eastAsia" w:hAnsi="宋体" w:cs="宋体"/>
          <w:highlight w:val="none"/>
          <w:u w:val="single"/>
        </w:rPr>
      </w:pPr>
      <w:r>
        <w:rPr>
          <w:rFonts w:hint="eastAsia" w:hAnsi="宋体" w:cs="宋体"/>
          <w:highlight w:val="none"/>
        </w:rPr>
        <w:t xml:space="preserve">法定代表人：</w:t>
      </w:r>
      <w:r>
        <w:rPr>
          <w:rFonts w:hint="eastAsia" w:hAnsi="宋体" w:cs="宋体"/>
          <w:highlight w:val="none"/>
          <w:u w:val="single"/>
        </w:rPr>
        <w:t xml:space="preserve">          </w:t>
      </w:r>
      <w:r>
        <w:rPr>
          <w:rFonts w:hint="eastAsia" w:hAnsi="宋体" w:cs="宋体"/>
          <w:highlight w:val="none"/>
        </w:rPr>
        <w:t xml:space="preserve">         法定代表人：</w:t>
      </w:r>
      <w:r>
        <w:rPr>
          <w:rFonts w:hint="eastAsia" w:hAnsi="宋体" w:cs="宋体"/>
          <w:highlight w:val="none"/>
          <w:u w:val="single"/>
        </w:rPr>
        <w:t xml:space="preserve">           </w:t>
      </w:r>
      <w:r/>
    </w:p>
    <w:p>
      <w:pPr>
        <w:pStyle w:val="1167"/>
        <w:ind w:firstLine="420"/>
        <w:spacing w:before="120" w:after="120"/>
        <w:rPr>
          <w:rFonts w:hint="eastAsia" w:hAnsi="宋体" w:cs="宋体"/>
          <w:highlight w:val="none"/>
          <w:u w:val="single"/>
        </w:rPr>
      </w:pPr>
      <w:r>
        <w:rPr>
          <w:rFonts w:hint="eastAsia" w:hAnsi="宋体" w:cs="宋体"/>
          <w:highlight w:val="none"/>
        </w:rPr>
        <w:t xml:space="preserve">地址：</w:t>
      </w:r>
      <w:r>
        <w:rPr>
          <w:rFonts w:hint="eastAsia" w:hAnsi="宋体" w:cs="宋体"/>
          <w:highlight w:val="none"/>
          <w:u w:val="single"/>
        </w:rPr>
        <w:t xml:space="preserve">                </w:t>
      </w:r>
      <w:r>
        <w:rPr>
          <w:rFonts w:hint="eastAsia" w:hAnsi="宋体" w:cs="宋体"/>
          <w:highlight w:val="none"/>
        </w:rPr>
        <w:t xml:space="preserve">         地址：</w:t>
      </w:r>
      <w:r>
        <w:rPr>
          <w:rFonts w:hint="eastAsia" w:hAnsi="宋体" w:cs="宋体"/>
          <w:highlight w:val="none"/>
          <w:u w:val="single"/>
        </w:rPr>
        <w:t xml:space="preserve">                 </w:t>
      </w:r>
      <w:r/>
    </w:p>
    <w:p>
      <w:pPr>
        <w:pStyle w:val="1167"/>
        <w:ind w:firstLine="420"/>
        <w:spacing w:before="120" w:after="120"/>
        <w:rPr>
          <w:rFonts w:hint="eastAsia" w:hAnsi="宋体" w:cs="宋体"/>
          <w:highlight w:val="none"/>
          <w:u w:val="single"/>
        </w:rPr>
      </w:pPr>
      <w:r>
        <w:rPr>
          <w:rFonts w:hint="eastAsia" w:hAnsi="宋体" w:cs="宋体"/>
          <w:highlight w:val="none"/>
        </w:rPr>
        <w:t xml:space="preserve">联系人：</w:t>
      </w:r>
      <w:r>
        <w:rPr>
          <w:rFonts w:hint="eastAsia" w:hAnsi="宋体" w:cs="宋体"/>
          <w:highlight w:val="none"/>
          <w:u w:val="single"/>
        </w:rPr>
        <w:t xml:space="preserve">              </w:t>
      </w:r>
      <w:r>
        <w:rPr>
          <w:rFonts w:hint="eastAsia" w:hAnsi="宋体" w:cs="宋体"/>
          <w:highlight w:val="none"/>
        </w:rPr>
        <w:t xml:space="preserve">         联系人：</w:t>
      </w:r>
      <w:r>
        <w:rPr>
          <w:rFonts w:hint="eastAsia" w:hAnsi="宋体" w:cs="宋体"/>
          <w:highlight w:val="none"/>
          <w:u w:val="single"/>
        </w:rPr>
        <w:t xml:space="preserve">                </w:t>
      </w:r>
      <w:r/>
    </w:p>
    <w:p>
      <w:pPr>
        <w:pStyle w:val="1167"/>
        <w:ind w:firstLine="420"/>
        <w:spacing w:before="120" w:after="120"/>
        <w:rPr>
          <w:rFonts w:hint="eastAsia" w:hAnsi="宋体" w:cs="宋体"/>
          <w:highlight w:val="none"/>
        </w:rPr>
      </w:pPr>
      <w:r>
        <w:rPr>
          <w:rFonts w:hint="eastAsia" w:hAnsi="宋体" w:cs="宋体"/>
          <w:highlight w:val="none"/>
        </w:rPr>
        <w:t xml:space="preserve">联系方式：</w:t>
      </w:r>
      <w:r>
        <w:rPr>
          <w:rFonts w:hint="eastAsia" w:hAnsi="宋体" w:cs="宋体"/>
          <w:highlight w:val="none"/>
          <w:u w:val="single"/>
        </w:rPr>
        <w:t xml:space="preserve">            </w:t>
      </w:r>
      <w:r>
        <w:rPr>
          <w:rFonts w:hint="eastAsia" w:hAnsi="宋体" w:cs="宋体"/>
          <w:highlight w:val="none"/>
        </w:rPr>
        <w:t xml:space="preserve">         联系方式：</w:t>
      </w:r>
      <w:r>
        <w:rPr>
          <w:rFonts w:hint="eastAsia" w:hAnsi="宋体" w:cs="宋体"/>
          <w:highlight w:val="none"/>
          <w:u w:val="single"/>
        </w:rPr>
        <w:t xml:space="preserve">             </w:t>
      </w:r>
      <w:r>
        <w:rPr>
          <w:rFonts w:hint="eastAsia" w:hAnsi="宋体" w:cs="宋体"/>
          <w:highlight w:val="none"/>
        </w:rPr>
        <w:t xml:space="preserve">  </w:t>
      </w:r>
      <w:r/>
    </w:p>
    <w:p>
      <w:pPr>
        <w:pStyle w:val="1167"/>
        <w:ind w:firstLine="420"/>
        <w:spacing w:before="120" w:after="120"/>
        <w:rPr>
          <w:rFonts w:hint="eastAsia" w:hAnsi="宋体"/>
          <w:sz w:val="24"/>
          <w:szCs w:val="28"/>
          <w:highlight w:val="none"/>
        </w:rPr>
      </w:pPr>
      <w:r>
        <w:rPr>
          <w:rFonts w:hint="eastAsia" w:hAnsi="宋体" w:cs="宋体"/>
          <w:highlight w:val="none"/>
        </w:rPr>
        <w:t xml:space="preserve">甲、乙双方根据南京医科大学 </w:t>
      </w:r>
      <w:r>
        <w:rPr>
          <w:rFonts w:hint="eastAsia" w:hAnsi="宋体" w:cs="宋体"/>
          <w:highlight w:val="none"/>
          <w:u w:val="single"/>
        </w:rPr>
        <w:t xml:space="preserve">                    项目 </w:t>
      </w:r>
      <w:r>
        <w:rPr>
          <w:rFonts w:hint="eastAsia" w:hAnsi="宋体" w:cs="宋体"/>
          <w:highlight w:val="none"/>
        </w:rPr>
        <w:t xml:space="preserve">公开招标的结果，本着自愿及平等互利的原则，就甲方向乙方购买本合同约定的货物事宜，签署本合同。</w:t>
      </w:r>
      <w:r/>
    </w:p>
    <w:p>
      <w:pPr>
        <w:pStyle w:val="1167"/>
        <w:ind w:firstLine="480"/>
        <w:spacing w:before="120" w:after="120" w:line="330" w:lineRule="atLeast"/>
        <w:rPr>
          <w:rFonts w:hint="eastAsia" w:hAnsi="宋体"/>
          <w:b/>
          <w:sz w:val="24"/>
          <w:szCs w:val="24"/>
          <w:highlight w:val="none"/>
        </w:rPr>
      </w:pPr>
      <w:r>
        <w:rPr>
          <w:rFonts w:hAnsi="宋体"/>
          <w:b/>
          <w:sz w:val="24"/>
          <w:szCs w:val="24"/>
          <w:highlight w:val="none"/>
        </w:rPr>
        <w:t xml:space="preserve">一、货物内容</w:t>
      </w:r>
      <w:r>
        <w:rPr>
          <w:rFonts w:hint="eastAsia" w:hAnsi="宋体"/>
          <w:b/>
          <w:sz w:val="24"/>
          <w:szCs w:val="24"/>
          <w:highlight w:val="none"/>
        </w:rPr>
        <w:t xml:space="preserve">、数量及金额</w:t>
      </w:r>
      <w:r/>
    </w:p>
    <w:tbl>
      <w:tblPr>
        <w:tblStyle w:val="1156"/>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261"/>
        <w:gridCol w:w="889"/>
        <w:gridCol w:w="889"/>
        <w:gridCol w:w="889"/>
        <w:gridCol w:w="896"/>
        <w:gridCol w:w="1402"/>
        <w:gridCol w:w="1407"/>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highlight w:val="none"/>
              </w:rPr>
            </w:pPr>
            <w:r>
              <w:rPr>
                <w:rFonts w:hint="eastAsia" w:ascii="宋体" w:hAnsi="宋体" w:cs="宋体"/>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highlight w:val="none"/>
              </w:rPr>
            </w:pPr>
            <w:r>
              <w:rPr>
                <w:rFonts w:hint="eastAsia" w:ascii="宋体" w:hAnsi="宋体" w:cs="宋体"/>
                <w:b/>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highlight w:val="none"/>
              </w:rPr>
            </w:pPr>
            <w:r>
              <w:rPr>
                <w:rFonts w:hint="eastAsia" w:ascii="宋体" w:hAnsi="宋体" w:cs="宋体"/>
                <w:b/>
                <w:szCs w:val="21"/>
                <w:highlight w:val="none"/>
              </w:rPr>
              <w:t xml:space="preserve">总价（人民币大写）：                         </w:t>
            </w:r>
            <w:r>
              <w:rPr>
                <w:rFonts w:hint="eastAsia" w:ascii="宋体" w:hAnsi="宋体" w:cs="宋体"/>
                <w:szCs w:val="21"/>
                <w:highlight w:val="none"/>
              </w:rPr>
              <w:t xml:space="preserve">合计（小写）：</w:t>
            </w:r>
            <w:r/>
          </w:p>
          <w:p>
            <w:pPr>
              <w:jc w:val="center"/>
              <w:spacing w:line="300" w:lineRule="exact"/>
              <w:rPr>
                <w:rFonts w:hint="eastAsia" w:ascii="宋体" w:hAnsi="宋体" w:cs="宋体"/>
                <w:szCs w:val="21"/>
                <w:highlight w:val="none"/>
              </w:rPr>
            </w:pPr>
            <w:r>
              <w:rPr>
                <w:rFonts w:hint="eastAsia" w:ascii="宋体" w:hAnsi="宋体" w:cs="宋体"/>
                <w:szCs w:val="21"/>
                <w:highlight w:val="none"/>
              </w:rPr>
            </w:r>
            <w:r/>
          </w:p>
          <w:p>
            <w:pPr>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此外，</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二、结算方式</w:t>
      </w:r>
      <w:r/>
    </w:p>
    <w:p>
      <w:pPr>
        <w:pStyle w:val="1167"/>
        <w:ind w:firstLine="480"/>
        <w:spacing w:before="120" w:after="120" w:line="330" w:lineRule="atLeas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2.1结算方式：</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A【</w:t>
      </w:r>
      <w:r>
        <w:rPr>
          <w:rFonts w:hint="eastAsia" w:ascii="宋体" w:hAnsi="宋体" w:eastAsia="宋体" w:cs="宋体"/>
          <w:color w:val="auto"/>
          <w:spacing w:val="8"/>
          <w:sz w:val="24"/>
          <w:highlight w:val="none"/>
        </w:rPr>
        <w:t xml:space="preserve">国产设备及进口设备（非免税）</w:t>
      </w:r>
      <w:r>
        <w:rPr>
          <w:rFonts w:hint="eastAsia" w:ascii="宋体" w:hAnsi="宋体" w:eastAsia="宋体" w:cs="宋体"/>
          <w:sz w:val="24"/>
          <w:szCs w:val="22"/>
          <w:highlight w:val="none"/>
        </w:rPr>
        <w:t xml:space="preserve">】：货物交付、安装、调试且通过验收后一周内（遇寒暑假和法定节假日顺延），学校支付合同总金额的100%，付款之前需收到中标供应商开具的合法有效的相应全额发票。</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B【</w:t>
      </w:r>
      <w:r>
        <w:rPr>
          <w:rFonts w:hint="eastAsia" w:ascii="宋体" w:hAnsi="宋体" w:eastAsia="宋体" w:cs="宋体"/>
          <w:color w:val="auto"/>
          <w:spacing w:val="8"/>
          <w:sz w:val="24"/>
          <w:highlight w:val="none"/>
        </w:rPr>
        <w:t xml:space="preserve">进口设备（免税）</w:t>
      </w:r>
      <w:r>
        <w:rPr>
          <w:rFonts w:hint="eastAsia" w:ascii="宋体" w:hAnsi="宋体" w:eastAsia="宋体" w:cs="宋体"/>
          <w:sz w:val="24"/>
          <w:szCs w:val="22"/>
          <w:highlight w:val="none"/>
        </w:rPr>
        <w:t xml:space="preserve">】：</w:t>
      </w:r>
      <w:r/>
    </w:p>
    <w:p>
      <w:pPr>
        <w:pStyle w:val="1167"/>
        <w:numPr>
          <w:ilvl w:val="0"/>
          <w:numId w:val="14"/>
        </w:numPr>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合同签订后，外贸代理公司提供受益人为南京医科大学的100%合同金额的预付款银行保函，保函有效期为</w:t>
      </w:r>
      <w:r>
        <w:rPr>
          <w:rFonts w:hint="eastAsia" w:ascii="宋体" w:hAnsi="宋体" w:eastAsia="宋体" w:cs="宋体"/>
          <w:sz w:val="24"/>
          <w:szCs w:val="22"/>
          <w:highlight w:val="none"/>
          <w:u w:val="single"/>
          <w:lang w:val="en-US" w:eastAsia="zh-CN"/>
        </w:rPr>
        <w:t xml:space="preserve"> </w:t>
      </w:r>
      <w:r>
        <w:rPr>
          <w:rFonts w:hint="eastAsia"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lang w:val="en-US" w:eastAsia="zh-CN"/>
        </w:rPr>
        <w:t xml:space="preserve"> 天（</w:t>
      </w:r>
      <w:r>
        <w:rPr>
          <w:rFonts w:hint="eastAsia" w:ascii="宋体" w:hAnsi="宋体" w:eastAsia="宋体" w:cs="宋体"/>
          <w:sz w:val="24"/>
          <w:szCs w:val="22"/>
          <w:highlight w:val="none"/>
          <w:lang w:val="en-US" w:eastAsia="zh-CN"/>
        </w:rPr>
        <w:t xml:space="preserve">供货期＋2个月）</w:t>
      </w:r>
      <w:r>
        <w:rPr>
          <w:rFonts w:hint="eastAsia" w:ascii="宋体" w:hAnsi="宋体" w:eastAsia="宋体" w:cs="宋体"/>
          <w:sz w:val="24"/>
          <w:szCs w:val="22"/>
          <w:highlight w:val="none"/>
        </w:rPr>
        <w:t xml:space="preserve">，银行保函服务费由中标单位承担。</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（2）外贸代理公司收到100%货款后按照合同办理相关进口手续，货到验收合格后由学校通知外贸代理公司一周内开具合法有效的全额发票，并支付100%货款至境外厂家。</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2.2履约保证金</w:t>
      </w:r>
      <w:r/>
    </w:p>
    <w:p>
      <w:pPr>
        <w:pStyle w:val="1167"/>
        <w:ind w:firstLine="480"/>
        <w:rPr>
          <w:rFonts w:hint="eastAsia" w:ascii="宋体" w:hAnsi="宋体" w:eastAsia="宋体" w:cs="宋体"/>
          <w:sz w:val="24"/>
          <w:szCs w:val="28"/>
          <w:highlight w:val="none"/>
        </w:rPr>
      </w:pPr>
      <w:r>
        <w:rPr>
          <w:rFonts w:ascii="Wingdings" w:hAnsi="Wingdings" w:eastAsia="Wingdings" w:cs="Wingdings"/>
          <w:sz w:val="24"/>
          <w:szCs w:val="28"/>
          <w:highlight w:val="none"/>
        </w:rPr>
        <w:t xml:space="preserve">¨</w:t>
      </w:r>
      <w:r>
        <w:rPr>
          <w:rFonts w:hint="eastAsia" w:ascii="宋体" w:hAnsi="宋体" w:eastAsia="宋体" w:cs="宋体"/>
          <w:sz w:val="24"/>
          <w:szCs w:val="28"/>
          <w:highlight w:val="none"/>
        </w:rPr>
        <w:t xml:space="preserve">本项目不需要缴纳履约保证金。</w:t>
      </w:r>
      <w:r/>
    </w:p>
    <w:p>
      <w:pPr>
        <w:pStyle w:val="1167"/>
        <w:ind w:firstLine="480"/>
        <w:rPr>
          <w:rFonts w:hint="eastAsia" w:ascii="宋体" w:hAnsi="宋体" w:eastAsia="宋体" w:cs="宋体"/>
          <w:sz w:val="24"/>
          <w:szCs w:val="28"/>
          <w:highlight w:val="none"/>
        </w:rPr>
      </w:pPr>
      <w:r>
        <w:rPr>
          <w:rFonts w:ascii="Wingdings" w:hAnsi="Wingdings" w:eastAsia="Wingdings" w:cs="Wingdings"/>
          <w:sz w:val="24"/>
          <w:szCs w:val="28"/>
          <w:highlight w:val="none"/>
        </w:rPr>
        <w:t xml:space="preserve">¨</w:t>
      </w:r>
      <w:r>
        <w:rPr>
          <w:rFonts w:hint="eastAsia" w:ascii="宋体" w:hAnsi="宋体" w:eastAsia="宋体" w:cs="宋体"/>
          <w:sz w:val="24"/>
          <w:szCs w:val="28"/>
          <w:highlight w:val="none"/>
        </w:rPr>
        <w:t xml:space="preserve">本项目需要缴纳履约保证金，具体要求如下：</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（1）供应商中标后7个工作日内，将中标合同金额10%的履约保证金以银行对公转账形式支付至</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指定账户，并将加盖单位公章的银行回执单或网银截图递交至</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凭付款凭证及到款情况办理合同签订相关手续。</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南京医科大学指定账户信息具体如下：</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单位名称：南京医科大学</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开 户 行：南京市工行汉中门支行                          </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账    号：4301010109001038622</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注：请在转账时备注“项目名称+履约保证保金”字样。</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2</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合同履行过程中，若经</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核实存在货物质量问题或</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违约情形，</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有权在通知</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后，从履约保证金中抵扣相应的补偿或赔偿款项。</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履约保证金退还流程</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自货物验收合格之日起12个月后，</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可向</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出具货物最终验收单，并同步提交填写完整的《履约保证金退还申请单》。经最终用户签字确认，核实无质量问题且</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无违约情形后，</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于确认完成后一个月内，将履约保证金一次性无息退还</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2.3当采购数量与实际使用数量不一致时，乙方应根据实际使用量供货，合同的最终结算金额按实际使用量乘以本合同约定的成交单价进行计算。</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2.4乙方指定账户信息：</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开户行：</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户名：</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账号：</w:t>
      </w:r>
      <w:r/>
    </w:p>
    <w:p>
      <w:pPr>
        <w:pStyle w:val="1167"/>
        <w:ind w:firstLine="480"/>
        <w:rPr>
          <w:rFonts w:hint="eastAsia" w:ascii="宋体" w:hAnsi="宋体" w:eastAsia="宋体" w:cs="宋体"/>
          <w:color w:val="auto"/>
          <w:sz w:val="24"/>
          <w:szCs w:val="24"/>
          <w:highlight w:val="none"/>
        </w:rPr>
      </w:pPr>
      <w:r>
        <w:rPr>
          <w:rFonts w:hint="eastAsia" w:ascii="宋体" w:hAnsi="宋体" w:eastAsia="宋体" w:cs="宋体"/>
          <w:sz w:val="24"/>
          <w:szCs w:val="28"/>
          <w:highlight w:val="none"/>
        </w:rPr>
        <w:t xml:space="preserve">上述账户信息，如有变更，乙方应在变更前3日内书面通知甲方。否则，由此产生的后果由乙方承担。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三、交付方式、时间及地点</w:t>
      </w:r>
      <w:r/>
    </w:p>
    <w:p>
      <w:pPr>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）交货期：</w:t>
      </w:r>
      <w:r>
        <w:rPr>
          <w:rFonts w:hint="eastAsia" w:ascii="宋体" w:hAnsi="宋体" w:eastAsia="宋体" w:cs="宋体"/>
          <w:color w:val="auto"/>
          <w:sz w:val="24"/>
          <w:szCs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eastAsia="宋体" w:cs="宋体"/>
          <w:sz w:val="24"/>
          <w:highlight w:val="none"/>
          <w:lang w:val="zh-CN"/>
        </w:rPr>
        <w:t xml:space="preserve">，交付采购方使用。</w:t>
      </w:r>
      <w:r/>
    </w:p>
    <w:p>
      <w:pPr>
        <w:pStyle w:val="1167"/>
        <w:ind w:firstLine="480"/>
        <w:spacing w:before="120" w:after="120" w:line="330" w:lineRule="atLeas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）交货方式：中标人在采购方指定地点交货，并完成安装、调试。</w:t>
      </w:r>
      <w:r/>
    </w:p>
    <w:p>
      <w:pPr>
        <w:pStyle w:val="1167"/>
        <w:ind w:firstLine="480"/>
        <w:spacing w:before="120" w:after="120" w:line="330" w:lineRule="atLeas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）交货地点：南京医科大学指定地点。</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四、货物包装、发运及运输</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乙方应在货物发运前根据运输距离、防潮、防震、防锈和防破损装卸等要求进行相应的包装，以保证货物安全运达甲方指定地点。</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使用说明书、质量检验证明书、随配附件和工具以及清单一并附于货物内。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乙方在货物发运手续办理完毕后24小时内或货到甲方48小时前通知甲方，以准备接货。</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货物在交付甲方前发生的风险均由乙方负责。</w:t>
      </w:r>
      <w:r/>
    </w:p>
    <w:p>
      <w:pPr>
        <w:pStyle w:val="1167"/>
        <w:ind w:firstLine="482"/>
        <w:spacing w:before="120" w:after="120" w:line="330" w:lineRule="atLeas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五、质量保证及售后服务</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5.3上述货物的质保期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年。（自交货验收合格次日起计算），因人为因素出现的故障不在免费保修范围内。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在质保期内，乙方应对货物出现的质量及安全问题负责处理解决并承担一切费用。</w:t>
      </w:r>
      <w:r/>
    </w:p>
    <w:p>
      <w:pPr>
        <w:pStyle w:val="1167"/>
        <w:ind w:right="-210" w:firstLine="480"/>
        <w:keepLines w:val="0"/>
        <w:keepNext w:val="0"/>
        <w:pageBreakBefore w:val="0"/>
        <w:spacing w:before="120" w:after="120" w:line="33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六、调试和验收</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乙方交货前应对货物全面检查并对验收文件进行整理，列出清单提交甲方，检验的结果亦应随货物交甲方。</w:t>
      </w:r>
      <w:r/>
    </w:p>
    <w:p>
      <w:pPr>
        <w:pStyle w:val="1167"/>
        <w:ind w:firstLine="480"/>
        <w:spacing w:before="120" w:after="120" w:line="330" w:lineRule="atLeas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6.2 甲方对乙方提供的货物在使用前进行调试时，乙方需负责安装并培训甲方的使用操作人员，并协助甲方一起调试，直到符合技术要求。</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 设备、材料安装、调试结束，甲、乙双方派员共同验收，达到验收标准则验收合格。验收完毕后出具验收结果报告并经双方签字确认；验收相关费用由乙方承担。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七、技术资料</w:t>
      </w:r>
      <w:r/>
    </w:p>
    <w:p>
      <w:pPr>
        <w:pStyle w:val="1167"/>
        <w:ind w:firstLine="480"/>
        <w:spacing w:before="120" w:after="120" w:line="330" w:lineRule="atLeas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7.1乙方应按招标文件规定的时间向甲方提供使用货物的有关技术资料。</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八、知识产权</w:t>
      </w:r>
      <w:r/>
    </w:p>
    <w:p>
      <w:pPr>
        <w:ind w:firstLine="480"/>
        <w:spacing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九、违约责任</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乙方履约的前提下，甲方无故迟延支付货款的,甲方应按逾期付款总额每日万分之五向乙方支付违约金。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9.8 乙方履行义务不符合合同约定时，甲方有权扣减总货款的10%作为违约金。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十、不可抗力事件处理</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在合同有效期内，任何一方因不可抗力事件导致不能履行合同，则合同履行期可延长，其延长期与不可抗力影响期相同。</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不可抗力事件发生后，应立即通知对方，并寄送有关权威机构出具的证明。</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不可抗力事件延续30天以上，双方应通过友好协商，确定是否继续履行合同。</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十一、诉讼</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十二、合同生效及其它</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12.1招投标文件、中标通知书作为合同的附件，与本合同具有同等法律效力。合同经双方法定代表人或授权委托代表人签字、盖章后生效。</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12.2本合同未尽事宜，遵照《中华人民共和国民法典》有关条文执行。</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本合同正本一式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1167"/>
        <w:ind w:firstLine="480"/>
        <w:spacing w:before="120" w:after="12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（以下无正文，为签字盖章处）</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167"/>
        <w:spacing w:before="120" w:after="120"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南京医科大学（盖章）                 乙方： （盖章）</w:t>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地址：南京市江宁区龙眠大道101号            地址： </w:t>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               法定代表人/授权代表：（签字）</w:t>
      </w:r>
      <w:r/>
    </w:p>
    <w:p>
      <w:pPr>
        <w:pStyle w:val="1167"/>
        <w:spacing w:before="120" w:after="120" w:line="300" w:lineRule="auto"/>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sz w:val="28"/>
          <w:szCs w:val="28"/>
          <w:highlight w:val="none"/>
          <w:lang w:val="zh-CN" w:eastAsia="zh-CN"/>
        </w:rPr>
      </w:pPr>
      <w:r>
        <w:rPr>
          <w:rFonts w:hint="eastAsia" w:ascii="Times New Roman" w:hAnsi="Times New Roman" w:eastAsia="仿宋" w:cs="Times New Roman"/>
          <w:sz w:val="28"/>
          <w:szCs w:val="28"/>
          <w:highlight w:val="none"/>
          <w:lang w:val="en-US" w:eastAsia="zh-CN"/>
        </w:rPr>
        <w:t xml:space="preserve">附件1：分项报价表</w:t>
      </w:r>
      <w:r/>
    </w:p>
    <w:tbl>
      <w:tblPr>
        <w:tblStyle w:val="1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单价</w:t>
            </w:r>
            <w:r/>
          </w:p>
          <w:p>
            <w:pPr>
              <w:jc w:val="center"/>
              <w:rPr>
                <w:highlight w:val="none"/>
              </w:rPr>
            </w:pPr>
            <w:r>
              <w:rPr>
                <w:rFonts w:hint="eastAsia"/>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总价</w:t>
            </w:r>
            <w:r/>
          </w:p>
          <w:p>
            <w:pPr>
              <w:jc w:val="center"/>
              <w:rPr>
                <w:highlight w:val="none"/>
              </w:rPr>
            </w:pPr>
            <w:r>
              <w:rPr>
                <w:rFonts w:hint="eastAsia"/>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highlight w:val="none"/>
              </w:rPr>
            </w:pPr>
            <w:r>
              <w:rPr>
                <w:rFonts w:hint="eastAsia"/>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r>
    </w:tbl>
    <w:p>
      <w:pPr>
        <w:rPr>
          <w:highlight w:val="none"/>
        </w:rPr>
      </w:pPr>
      <w:r>
        <w:rPr>
          <w:highlight w:val="none"/>
        </w:rPr>
      </w:r>
      <w:r/>
    </w:p>
    <w:p>
      <w:pPr>
        <w:jc w:val="left"/>
        <w:keepLines w:val="0"/>
        <w:keepNext w:val="0"/>
        <w:pageBreakBefore w:val="0"/>
        <w:spacing w:line="560" w:lineRule="exact"/>
        <w:widowControl w:val="off"/>
        <w:rPr>
          <w:rFonts w:hint="eastAsia"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val="en-US" w:eastAsia="zh-CN"/>
        </w:rPr>
        <w:t xml:space="preserve">附件2：货物配置清单</w:t>
      </w:r>
      <w:r/>
    </w:p>
    <w:p>
      <w:pPr>
        <w:pStyle w:val="1157"/>
        <w:rPr>
          <w:rFonts w:hint="default"/>
          <w:highlight w:val="none"/>
          <w:lang w:val="en-US" w:eastAsia="zh-CN"/>
        </w:rPr>
      </w:pPr>
      <w:r>
        <w:rPr>
          <w:rFonts w:hint="default"/>
          <w:highlight w:val="none"/>
          <w:lang w:val="en-US" w:eastAsia="zh-CN"/>
        </w:rPr>
      </w:r>
      <w:r/>
    </w:p>
    <w:p>
      <w:pPr>
        <w:pStyle w:val="1164"/>
        <w:ind w:left="0"/>
        <w:rPr>
          <w:rFonts w:hint="default"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附件3：履约保证金退还申请单</w:t>
      </w:r>
      <w:r/>
    </w:p>
    <w:p>
      <w:pPr>
        <w:spacing w:line="480" w:lineRule="auto"/>
        <w:rPr>
          <w:sz w:val="24"/>
          <w:highlight w:val="none"/>
        </w:rPr>
      </w:pPr>
      <w:r>
        <w:rPr>
          <w:rFonts w:hint="eastAsia"/>
          <w:sz w:val="24"/>
          <w:highlight w:val="none"/>
        </w:rPr>
        <w:t xml:space="preserve">制表单位：</w:t>
      </w:r>
      <w:r>
        <w:rPr>
          <w:sz w:val="24"/>
          <w:highlight w:val="none"/>
        </w:rPr>
        <w:t xml:space="preserve">                                               </w:t>
      </w:r>
      <w:r/>
    </w:p>
    <w:tbl>
      <w:tblPr>
        <w:tblStyle w:val="1156"/>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32"/>
                <w:szCs w:val="32"/>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自验收合格之日起，已正常使用满一年且无违约情况发生。</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right="960" w:firstLine="360"/>
              <w:jc w:val="center"/>
              <w:rPr>
                <w:rFonts w:hint="eastAsia" w:ascii="宋体" w:hAnsi="宋体" w:eastAsia="宋体" w:cs="宋体"/>
                <w:sz w:val="24"/>
                <w:highlight w:val="none"/>
              </w:rPr>
            </w:pPr>
            <w:r>
              <w:rPr>
                <w:rFonts w:hint="eastAsia" w:ascii="宋体" w:hAnsi="宋体" w:eastAsia="宋体" w:cs="宋体"/>
                <w:sz w:val="24"/>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960"/>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539"/>
        <w:ind w:firstLine="0"/>
        <w:rPr>
          <w:rFonts w:hint="eastAsia"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ind w:left="489" w:hanging="420"/>
        <w:spacing w:line="360" w:lineRule="auto"/>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p>
      <w:pPr>
        <w:spacing w:line="360" w:lineRule="auto"/>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p>
      <w:pPr>
        <w:jc w:val="left"/>
        <w:widowControl/>
        <w:rPr>
          <w:rStyle w:val="1538"/>
          <w:rFonts w:hint="eastAsia" w:ascii="微软雅黑" w:hAnsi="微软雅黑" w:cs="微软雅黑"/>
          <w:bCs/>
          <w:szCs w:val="21"/>
          <w:highlight w:val="none"/>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szCs w:val="21"/>
          <w:highlight w:val="none"/>
        </w:rPr>
      </w:r>
      <w:r/>
    </w:p>
    <w:p>
      <w:pPr>
        <w:pStyle w:val="1344"/>
        <w:rPr>
          <w:rFonts w:hint="eastAsia" w:ascii="微软雅黑" w:hAnsi="微软雅黑" w:cs="微软雅黑"/>
          <w:szCs w:val="32"/>
          <w:highlight w:val="none"/>
        </w:rPr>
      </w:pPr>
      <w:r/>
      <w:bookmarkStart w:id="242" w:name="_Toc13204"/>
      <w:r/>
      <w:bookmarkStart w:id="243" w:name="_Toc19909"/>
      <w:r/>
      <w:bookmarkStart w:id="244" w:name="_Toc26814"/>
      <w:r>
        <w:rPr>
          <w:rFonts w:hint="eastAsia" w:ascii="微软雅黑" w:hAnsi="微软雅黑" w:cs="微软雅黑"/>
          <w:highlight w:val="none"/>
        </w:rPr>
        <w:t xml:space="preserve">第六章 投标文件格式</w:t>
      </w:r>
      <w:bookmarkEnd w:id="242"/>
      <w:r>
        <w:rPr>
          <w:rFonts w:hint="eastAsia" w:ascii="微软雅黑" w:hAnsi="微软雅黑" w:cs="微软雅黑"/>
          <w:highlight w:val="none"/>
        </w:rPr>
        <w:t xml:space="preserve">及附件</w:t>
      </w:r>
      <w:bookmarkEnd w:id="243"/>
      <w:r/>
      <w:bookmarkEnd w:id="244"/>
      <w:r/>
      <w:r/>
    </w:p>
    <w:p>
      <w:pPr>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8"/>
          <w:szCs w:val="28"/>
          <w:highlight w:val="none"/>
        </w:rPr>
        <w:t xml:space="preserve"> </w:t>
      </w:r>
      <w:r>
        <w:rPr>
          <w:rFonts w:hint="eastAsia" w:ascii="微软雅黑" w:hAnsi="微软雅黑" w:cs="微软雅黑"/>
          <w:b/>
          <w:bCs/>
          <w:sz w:val="24"/>
          <w:szCs w:val="24"/>
          <w:highlight w:val="none"/>
        </w:rPr>
        <w:t xml:space="preserve"> 注：</w:t>
      </w:r>
      <w:r/>
    </w:p>
    <w:p>
      <w:pPr>
        <w:numPr>
          <w:ilvl w:val="0"/>
          <w:numId w:val="15"/>
        </w:numPr>
        <w:ind w:hanging="205"/>
        <w:jc w:val="left"/>
        <w:spacing w:line="400" w:lineRule="exact"/>
        <w:widowControl/>
        <w:rPr>
          <w:szCs w:val="21"/>
          <w:highlight w:val="none"/>
        </w:rPr>
      </w:pPr>
      <w:r>
        <w:rPr>
          <w:rFonts w:hint="eastAsia" w:ascii="微软雅黑" w:hAnsi="微软雅黑" w:cs="微软雅黑"/>
          <w:szCs w:val="21"/>
          <w:highlight w:val="none"/>
        </w:rPr>
        <w:t xml:space="preserve">本部分内容仅供格式参考。</w:t>
      </w:r>
      <w:r/>
    </w:p>
    <w:p>
      <w:pPr>
        <w:pStyle w:val="1362"/>
        <w:numPr>
          <w:ilvl w:val="0"/>
          <w:numId w:val="15"/>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请投标供应商按照以下文件的要求格式、内容，顺序制作投标文件，并请编制目录及页码，否则可能将影响对投标文件的评价。</w:t>
      </w:r>
      <w:r/>
    </w:p>
    <w:p>
      <w:pPr>
        <w:numPr>
          <w:ilvl w:val="0"/>
          <w:numId w:val="15"/>
        </w:numPr>
        <w:ind w:hanging="205"/>
        <w:spacing w:line="400" w:lineRule="exact"/>
        <w:rPr>
          <w:szCs w:val="21"/>
          <w:highlight w:val="none"/>
        </w:rPr>
      </w:pPr>
      <w:r>
        <w:rPr>
          <w:rFonts w:hint="eastAsia"/>
          <w:szCs w:val="21"/>
          <w:highlight w:val="none"/>
        </w:rPr>
        <w:t xml:space="preserve">供应商提交的材料不予退还。</w:t>
      </w:r>
      <w:r/>
    </w:p>
    <w:p>
      <w:pPr>
        <w:pStyle w:val="1362"/>
        <w:ind w:left="1260"/>
        <w:rPr>
          <w:highlight w:val="none"/>
        </w:rPr>
      </w:pPr>
      <w:r>
        <w:rPr>
          <w:highlight w:val="none"/>
        </w:rPr>
      </w:r>
      <w:r/>
    </w:p>
    <w:p>
      <w:pPr>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p>
    <w:p>
      <w:pPr>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投标文件</w:t>
      </w:r>
      <w:r/>
    </w:p>
    <w:p>
      <w:pPr>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项目编号：</w:t>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投标单位（全称）：</w:t>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p>
    <w:p>
      <w:pPr>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日期：</w:t>
      </w:r>
      <w:r/>
    </w:p>
    <w:p>
      <w:pPr>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p>
    <w:p>
      <w:pPr>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目录</w:t>
      </w:r>
      <w:r/>
    </w:p>
    <w:p>
      <w:pPr>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请投标单位编制目录及页码，否则可能将影响对投标文件的评价。</w:t>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br w:type="page" w:clear="all"/>
      </w:r>
      <w:r/>
    </w:p>
    <w:p>
      <w:pPr>
        <w:pStyle w:val="1164"/>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资格审查索引表</w:t>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（具体详见第一章投标邀请申请人的资格要求）</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jc w:val="center"/>
        <w:spacing w:line="420" w:lineRule="exact"/>
        <w:widowControl/>
        <w:rPr>
          <w:rFonts w:hint="eastAsia" w:ascii="微软雅黑" w:hAnsi="微软雅黑" w:cs="微软雅黑"/>
          <w:b/>
          <w:bCs/>
          <w:sz w:val="28"/>
          <w:szCs w:val="28"/>
          <w:highlight w:val="none"/>
        </w:rPr>
      </w:pPr>
      <w:r>
        <w:rPr>
          <w:rFonts w:hint="eastAsia" w:ascii="微软雅黑" w:hAnsi="微软雅黑" w:cs="微软雅黑"/>
          <w:highlight w:val="none"/>
        </w:rPr>
        <w:br w:type="page" w:clear="all"/>
      </w:r>
      <w:r>
        <w:rPr>
          <w:rFonts w:hint="eastAsia" w:ascii="微软雅黑" w:hAnsi="微软雅黑" w:cs="微软雅黑"/>
          <w:b/>
          <w:bCs/>
          <w:sz w:val="28"/>
          <w:szCs w:val="28"/>
          <w:highlight w:val="none"/>
        </w:rPr>
        <w:t xml:space="preserve">评分索引表</w:t>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（具体详见第三章评标办法和定标原则）</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47"/>
        <w:jc w:val="center"/>
        <w:rPr>
          <w:rFonts w:hint="eastAsia" w:ascii="微软雅黑" w:hAnsi="微软雅黑" w:eastAsia="微软雅黑" w:cs="微软雅黑"/>
          <w:b/>
          <w:bCs/>
          <w:sz w:val="28"/>
          <w:szCs w:val="32"/>
          <w:highlight w:val="none"/>
        </w:rPr>
      </w:pPr>
      <w:r>
        <w:rPr>
          <w:rFonts w:hint="eastAsia" w:ascii="微软雅黑" w:hAnsi="微软雅黑" w:cs="微软雅黑"/>
          <w:highlight w:val="none"/>
        </w:rPr>
        <w:br w:type="page" w:clear="all"/>
      </w:r>
      <w:bookmarkStart w:id="245" w:name="_Toc6833"/>
      <w:r/>
      <w:bookmarkStart w:id="246" w:name="_Toc7915"/>
      <w:r/>
      <w:bookmarkStart w:id="247" w:name="_Toc24615"/>
      <w:r/>
      <w:bookmarkStart w:id="248" w:name="_Toc20471"/>
      <w:r/>
      <w:bookmarkStart w:id="249" w:name="_Toc17106"/>
      <w:r/>
      <w:bookmarkStart w:id="250" w:name="_Toc615"/>
      <w:r>
        <w:rPr>
          <w:rFonts w:hint="eastAsia" w:ascii="微软雅黑" w:hAnsi="微软雅黑" w:eastAsia="微软雅黑" w:cs="微软雅黑"/>
          <w:b/>
          <w:bCs/>
          <w:sz w:val="28"/>
          <w:szCs w:val="32"/>
          <w:highlight w:val="none"/>
        </w:rPr>
        <w:t xml:space="preserve">一、投标函、投标报价及项目相关文件</w:t>
      </w:r>
      <w:bookmarkEnd w:id="245"/>
      <w:r/>
      <w:bookmarkEnd w:id="246"/>
      <w:r/>
      <w:bookmarkEnd w:id="247"/>
      <w:r/>
      <w:bookmarkEnd w:id="248"/>
      <w:r/>
      <w:bookmarkEnd w:id="249"/>
      <w:r/>
      <w:bookmarkEnd w:id="250"/>
      <w:r/>
      <w:r/>
    </w:p>
    <w:p>
      <w:pPr>
        <w:pStyle w:val="1148"/>
        <w:jc w:val="center"/>
        <w:rPr>
          <w:rFonts w:hint="eastAsia" w:ascii="微软雅黑" w:hAnsi="微软雅黑" w:eastAsia="微软雅黑" w:cs="微软雅黑"/>
          <w:b/>
          <w:sz w:val="24"/>
          <w:szCs w:val="24"/>
          <w:highlight w:val="none"/>
        </w:rPr>
      </w:pPr>
      <w:r/>
      <w:bookmarkStart w:id="251" w:name="_Toc11047"/>
      <w:r/>
      <w:bookmarkStart w:id="252" w:name="_Toc13722"/>
      <w:r/>
      <w:bookmarkStart w:id="253" w:name="_Toc8176"/>
      <w:r/>
      <w:bookmarkStart w:id="254" w:name="_Toc4374"/>
      <w:r/>
      <w:bookmarkStart w:id="255" w:name="_Toc26973"/>
      <w:r/>
      <w:bookmarkStart w:id="256" w:name="_Toc22978"/>
      <w:r>
        <w:rPr>
          <w:rFonts w:hint="eastAsia" w:ascii="微软雅黑" w:hAnsi="微软雅黑" w:eastAsia="微软雅黑" w:cs="微软雅黑"/>
          <w:b/>
          <w:sz w:val="24"/>
          <w:szCs w:val="24"/>
          <w:highlight w:val="none"/>
        </w:rPr>
        <w:t xml:space="preserve">1.投标函</w:t>
      </w:r>
      <w:bookmarkEnd w:id="251"/>
      <w:r/>
      <w:bookmarkEnd w:id="252"/>
      <w:r/>
      <w:bookmarkEnd w:id="253"/>
      <w:r/>
      <w:bookmarkEnd w:id="254"/>
      <w:r/>
      <w:bookmarkEnd w:id="255"/>
      <w:r/>
      <w:bookmarkEnd w:id="256"/>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你们项目名称：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highlight w:val="none"/>
        </w:rPr>
        <w:t xml:space="preserve">不对采购文件本身提出质疑。</w:t>
      </w:r>
      <w:r>
        <w:rPr>
          <w:rFonts w:hint="eastAsia" w:ascii="微软雅黑" w:hAnsi="微软雅黑" w:cs="微软雅黑"/>
          <w:highlight w:val="none"/>
        </w:rPr>
        <w:t xml:space="preserve">否则，属于不诚信和故意扰乱采购活动行为，我们将无条件接受处罚。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4、我们同意提供采购代理机构要求的有关本次采购的所有资料。</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6、如果我们中标，为执行合同，我们将按供应商须知有关要求提供必要的履约保证。</w:t>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ind w:firstLine="2520"/>
        <w:spacing w:line="440" w:lineRule="exact"/>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地址：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电话：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法定代表人（授权代表）（签字/盖章）：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职务：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日期：       </w:t>
      </w:r>
      <w:r/>
    </w:p>
    <w:p>
      <w:pPr>
        <w:rPr>
          <w:rFonts w:hint="eastAsia" w:ascii="微软雅黑" w:hAnsi="微软雅黑" w:cs="微软雅黑"/>
          <w:highlight w:val="none"/>
        </w:rPr>
      </w:pPr>
      <w:r>
        <w:rPr>
          <w:rFonts w:hint="eastAsia" w:ascii="微软雅黑" w:hAnsi="微软雅黑" w:cs="微软雅黑"/>
          <w:highlight w:val="none"/>
        </w:rPr>
      </w:r>
      <w:r/>
    </w:p>
    <w:p>
      <w:pPr>
        <w:pStyle w:val="1148"/>
        <w:jc w:val="center"/>
        <w:rPr>
          <w:rFonts w:hint="eastAsia" w:ascii="微软雅黑" w:hAnsi="微软雅黑" w:eastAsia="微软雅黑" w:cs="微软雅黑"/>
          <w:b/>
          <w:sz w:val="24"/>
          <w:szCs w:val="24"/>
          <w:highlight w:val="none"/>
        </w:rPr>
      </w:pPr>
      <w:r/>
      <w:bookmarkStart w:id="257" w:name="_Toc11596"/>
      <w:r/>
      <w:bookmarkStart w:id="258" w:name="_Toc15166"/>
      <w:r/>
      <w:bookmarkStart w:id="259" w:name="_Toc27460"/>
      <w:r/>
      <w:bookmarkStart w:id="260" w:name="_Toc20264"/>
      <w:r/>
      <w:bookmarkStart w:id="261" w:name="_Toc28250"/>
      <w:r/>
      <w:bookmarkStart w:id="262" w:name="_Toc12701"/>
      <w:r>
        <w:rPr>
          <w:rFonts w:hint="eastAsia" w:ascii="微软雅黑" w:hAnsi="微软雅黑" w:eastAsia="微软雅黑" w:cs="微软雅黑"/>
          <w:b/>
          <w:sz w:val="24"/>
          <w:szCs w:val="24"/>
          <w:highlight w:val="none"/>
        </w:rPr>
        <w:t xml:space="preserve">2.开标一览表</w:t>
      </w:r>
      <w:bookmarkEnd w:id="257"/>
      <w:r/>
      <w:bookmarkEnd w:id="258"/>
      <w:r/>
      <w:bookmarkEnd w:id="259"/>
      <w:r/>
      <w:bookmarkEnd w:id="260"/>
      <w:r/>
      <w:bookmarkEnd w:id="261"/>
      <w:r/>
      <w:bookmarkEnd w:id="262"/>
      <w:r/>
      <w:r/>
    </w:p>
    <w:tbl>
      <w:tblPr>
        <w:tblStyle w:val="1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项目名称</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cantSplit/>
          <w:trHeight w:val="891"/>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项目编号</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cantSplit/>
          <w:trHeight w:val="1087"/>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投标报价总计</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t xml:space="preserve">（大写）人民币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元整</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（小写）￥</w:t>
            </w:r>
            <w:r>
              <w:rPr>
                <w:rFonts w:hint="eastAsia" w:ascii="微软雅黑" w:hAnsi="微软雅黑" w:cs="微软雅黑"/>
                <w:highlight w:val="none"/>
                <w:u w:val="single"/>
              </w:rPr>
              <w:t xml:space="preserve">             </w:t>
            </w:r>
            <w:r/>
          </w:p>
        </w:tc>
      </w:tr>
    </w:tbl>
    <w:p>
      <w:pPr>
        <w:spacing w:before="4" w:line="420" w:lineRule="exact"/>
        <w:widowControl/>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日期：</w:t>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注意:</w:t>
      </w:r>
      <w:r/>
    </w:p>
    <w:p>
      <w:pPr>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（1）投标报价应包括采购文件所规定的招标范围的全部内容</w:t>
      </w:r>
      <w:r>
        <w:rPr>
          <w:rFonts w:hint="eastAsia" w:ascii="微软雅黑" w:hAnsi="微软雅黑" w:cs="微软雅黑"/>
          <w:b/>
          <w:bCs/>
          <w:sz w:val="18"/>
          <w:szCs w:val="18"/>
          <w:highlight w:val="none"/>
        </w:rPr>
        <w:t xml:space="preserve">。</w:t>
      </w:r>
      <w:r/>
    </w:p>
    <w:p>
      <w:pPr>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（2）供应商不得实质性改动开标一览表格式及内容。</w:t>
      </w:r>
      <w:r/>
    </w:p>
    <w:p>
      <w:pPr>
        <w:pStyle w:val="1164"/>
        <w:ind w:left="0" w:firstLine="360"/>
        <w:spacing w:line="360" w:lineRule="exact"/>
        <w:rPr>
          <w:rFonts w:hint="eastAsia" w:ascii="微软雅黑" w:hAnsi="微软雅黑" w:cs="微软雅黑"/>
          <w:sz w:val="18"/>
          <w:szCs w:val="18"/>
          <w:highlight w:val="none"/>
        </w:rPr>
      </w:pPr>
      <w:r>
        <w:rPr>
          <w:rFonts w:hint="eastAsia" w:ascii="微软雅黑" w:hAnsi="微软雅黑" w:cs="微软雅黑"/>
          <w:b/>
          <w:bCs/>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pStyle w:val="1148"/>
        <w:jc w:val="center"/>
        <w:tabs>
          <w:tab w:val="left" w:pos="0" w:leader="none"/>
        </w:tabs>
        <w:rPr>
          <w:rFonts w:hint="eastAsia" w:ascii="微软雅黑" w:hAnsi="微软雅黑" w:eastAsia="微软雅黑" w:cs="微软雅黑"/>
          <w:b/>
          <w:szCs w:val="28"/>
          <w:highlight w:val="none"/>
        </w:rPr>
      </w:pPr>
      <w:r/>
      <w:bookmarkStart w:id="263" w:name="_Toc17085"/>
      <w:r/>
      <w:bookmarkStart w:id="264" w:name="_Toc403725575"/>
      <w:r>
        <w:rPr>
          <w:rFonts w:hint="eastAsia" w:ascii="微软雅黑" w:hAnsi="微软雅黑" w:eastAsia="微软雅黑" w:cs="微软雅黑"/>
          <w:b/>
          <w:sz w:val="24"/>
          <w:szCs w:val="24"/>
          <w:highlight w:val="none"/>
        </w:rPr>
        <w:br w:type="page" w:clear="all"/>
      </w:r>
      <w:bookmarkStart w:id="265" w:name="_Toc23896"/>
      <w:r/>
      <w:bookmarkStart w:id="266" w:name="_Toc25833"/>
      <w:r/>
      <w:bookmarkStart w:id="267" w:name="_Toc4608"/>
      <w:r/>
      <w:bookmarkStart w:id="268" w:name="_Toc26889"/>
      <w:r/>
      <w:bookmarkStart w:id="269" w:name="_Toc28530"/>
      <w:r>
        <w:rPr>
          <w:rFonts w:hint="eastAsia" w:ascii="微软雅黑" w:hAnsi="微软雅黑" w:eastAsia="微软雅黑" w:cs="微软雅黑"/>
          <w:b/>
          <w:sz w:val="24"/>
          <w:szCs w:val="24"/>
          <w:highlight w:val="none"/>
        </w:rPr>
        <w:t xml:space="preserve">3.</w:t>
      </w:r>
      <w:bookmarkEnd w:id="263"/>
      <w:r/>
      <w:bookmarkEnd w:id="264"/>
      <w:r/>
      <w:bookmarkEnd w:id="265"/>
      <w:r/>
      <w:bookmarkEnd w:id="266"/>
      <w:r/>
      <w:bookmarkStart w:id="270" w:name="_Toc15869"/>
      <w:r>
        <w:rPr>
          <w:rFonts w:hint="eastAsia" w:ascii="微软雅黑" w:hAnsi="微软雅黑" w:eastAsia="微软雅黑" w:cs="微软雅黑"/>
          <w:b/>
          <w:szCs w:val="28"/>
          <w:highlight w:val="none"/>
        </w:rPr>
        <w:t xml:space="preserve">投标报价明细表</w:t>
      </w:r>
      <w:bookmarkEnd w:id="267"/>
      <w:r/>
      <w:bookmarkEnd w:id="268"/>
      <w:r/>
      <w:bookmarkEnd w:id="269"/>
      <w:r/>
      <w:bookmarkEnd w:id="270"/>
      <w:r/>
      <w:r/>
    </w:p>
    <w:tbl>
      <w:tblPr>
        <w:tblStyle w:val="1156"/>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规格</w:t>
            </w:r>
            <w:r/>
          </w:p>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bCs/>
                <w:szCs w:val="21"/>
                <w:highlight w:val="none"/>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szCs w:val="21"/>
                <w:highlight w:val="none"/>
              </w:rPr>
            </w:pPr>
            <w:r>
              <w:rPr>
                <w:rFonts w:hint="eastAsia" w:ascii="微软雅黑" w:hAnsi="微软雅黑" w:cs="微软雅黑"/>
                <w:szCs w:val="21"/>
                <w:highlight w:val="none"/>
              </w:rPr>
              <w:t xml:space="preserve">大写：</w:t>
            </w:r>
            <w:r>
              <w:rPr>
                <w:rFonts w:hint="eastAsia" w:ascii="微软雅黑" w:hAnsi="微软雅黑" w:cs="微软雅黑"/>
                <w:szCs w:val="21"/>
                <w:highlight w:val="none"/>
                <w:u w:val="single"/>
              </w:rPr>
              <w:t xml:space="preserve">人民币      元整；  </w:t>
            </w:r>
            <w:r>
              <w:rPr>
                <w:rFonts w:hint="eastAsia" w:ascii="微软雅黑" w:hAnsi="微软雅黑" w:cs="微软雅黑"/>
                <w:szCs w:val="21"/>
                <w:highlight w:val="none"/>
              </w:rPr>
              <w:t xml:space="preserve">  </w:t>
            </w:r>
            <w:r/>
          </w:p>
          <w:p>
            <w:pPr>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小写：</w:t>
            </w:r>
            <w:r>
              <w:rPr>
                <w:rFonts w:hint="eastAsia" w:ascii="微软雅黑" w:hAnsi="微软雅黑" w:cs="微软雅黑"/>
                <w:szCs w:val="21"/>
                <w:highlight w:val="none"/>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szCs w:val="21"/>
                <w:highlight w:val="none"/>
              </w:rPr>
            </w:pPr>
            <w:r>
              <w:rPr>
                <w:rFonts w:hint="eastAsia" w:ascii="微软雅黑" w:hAnsi="微软雅黑" w:cs="微软雅黑"/>
                <w:sz w:val="28"/>
                <w:szCs w:val="28"/>
                <w:highlight w:val="none"/>
              </w:rPr>
              <w:t xml:space="preserve">本采购包中提供的符合本国产品标准的产品成本之和占该采购包提供的全部产品成本之和的比例为</w:t>
            </w:r>
            <w:r>
              <w:rPr>
                <w:rFonts w:hint="eastAsia" w:ascii="微软雅黑" w:hAnsi="微软雅黑" w:cs="微软雅黑"/>
                <w:sz w:val="28"/>
                <w:szCs w:val="28"/>
                <w:highlight w:val="none"/>
                <w:u w:val="single"/>
              </w:rPr>
              <w:t xml:space="preserve">        </w:t>
            </w:r>
            <w:r>
              <w:rPr>
                <w:rFonts w:hint="eastAsia" w:ascii="微软雅黑" w:hAnsi="微软雅黑" w:cs="微软雅黑"/>
                <w:sz w:val="28"/>
                <w:szCs w:val="28"/>
                <w:highlight w:val="none"/>
              </w:rPr>
              <w:t xml:space="preserve">%。</w:t>
            </w:r>
            <w:r/>
          </w:p>
        </w:tc>
      </w:tr>
    </w:tbl>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rPr>
          <w:rFonts w:hint="eastAsia" w:ascii="微软雅黑" w:hAnsi="微软雅黑" w:cs="微软雅黑"/>
          <w:highlight w:val="none"/>
        </w:rPr>
      </w:pPr>
      <w:r>
        <w:rPr>
          <w:rFonts w:hint="eastAsia" w:ascii="微软雅黑" w:hAnsi="微软雅黑" w:cs="微软雅黑"/>
          <w:highlight w:val="none"/>
        </w:rPr>
        <w:t xml:space="preserve">日期：          </w:t>
      </w:r>
      <w:r/>
    </w:p>
    <w:p>
      <w:pPr>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总价=单价*数量，数量由供应商自行计算并填列。</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上表中的“投标报价总计”应当等于“开标一览表”中“投标报价总计”数。</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6"/>
        </w:numPr>
        <w:ind w:left="0" w:firstLine="0"/>
        <w:jc w:val="left"/>
        <w:spacing w:line="360" w:lineRule="exact"/>
        <w:tabs>
          <w:tab w:val="left" w:pos="220" w:leader="none"/>
        </w:tabs>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报价明细表中不得有零元报价或免费赠送产品。</w:t>
      </w:r>
      <w:r/>
    </w:p>
    <w:p>
      <w:pPr>
        <w:numPr>
          <w:ilvl w:val="0"/>
          <w:numId w:val="16"/>
        </w:numPr>
        <w:ind w:left="0" w:firstLine="0"/>
        <w:jc w:val="left"/>
        <w:spacing w:line="360" w:lineRule="exact"/>
        <w:tabs>
          <w:tab w:val="left" w:pos="220" w:leader="none"/>
        </w:tabs>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48"/>
        <w:jc w:val="center"/>
        <w:spacing w:before="260" w:after="260" w:line="416" w:lineRule="auto"/>
        <w:rPr>
          <w:rFonts w:hint="eastAsia" w:ascii="微软雅黑" w:hAnsi="微软雅黑" w:eastAsia="微软雅黑" w:cs="微软雅黑"/>
          <w:b/>
          <w:bCs/>
          <w:sz w:val="24"/>
          <w:szCs w:val="24"/>
          <w:highlight w:val="none"/>
        </w:rPr>
      </w:pPr>
      <w:r/>
      <w:bookmarkStart w:id="271" w:name="_Toc3643"/>
      <w:r/>
      <w:bookmarkStart w:id="272" w:name="_Toc31996"/>
      <w:r/>
      <w:bookmarkStart w:id="273" w:name="_Toc3044"/>
      <w:r/>
      <w:bookmarkStart w:id="274" w:name="_Toc15771"/>
      <w:r/>
      <w:bookmarkStart w:id="275" w:name="_Toc30873"/>
      <w:r/>
      <w:bookmarkStart w:id="276" w:name="_Toc365968480"/>
      <w:r/>
      <w:bookmarkStart w:id="277" w:name="_Toc2098"/>
      <w:r>
        <w:rPr>
          <w:rFonts w:hint="eastAsia" w:ascii="微软雅黑" w:hAnsi="微软雅黑" w:eastAsia="微软雅黑" w:cs="微软雅黑"/>
          <w:b/>
          <w:bCs/>
          <w:sz w:val="24"/>
          <w:szCs w:val="24"/>
          <w:highlight w:val="none"/>
        </w:rPr>
        <w:t xml:space="preserve">4.技术要求响应表</w:t>
      </w:r>
      <w:bookmarkEnd w:id="271"/>
      <w:r/>
      <w:bookmarkEnd w:id="272"/>
      <w:r/>
      <w:bookmarkEnd w:id="273"/>
      <w:r/>
      <w:bookmarkEnd w:id="274"/>
      <w:r/>
      <w:bookmarkEnd w:id="275"/>
      <w:r/>
      <w:bookmarkEnd w:id="276"/>
      <w:r/>
      <w:bookmarkEnd w:id="277"/>
      <w:r/>
      <w:r/>
    </w:p>
    <w:tbl>
      <w:tblPr>
        <w:tblStyle w:val="1156"/>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172"/>
        <w:gridCol w:w="2170"/>
        <w:gridCol w:w="1851"/>
        <w:gridCol w:w="1851"/>
      </w:tblGrid>
      <w:tr>
        <w:trPr>
          <w:jc w:val="center"/>
          <w:trHeight w:val="1193"/>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证明材料所在页</w:t>
            </w:r>
            <w:r/>
          </w:p>
        </w:tc>
      </w:tr>
      <w:tr>
        <w:trPr>
          <w:jc w:val="center"/>
          <w:trHeight w:val="767"/>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r>
        <w:trPr>
          <w:jc w:val="center"/>
          <w:trHeight w:val="612"/>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r>
        <w:trPr>
          <w:jc w:val="center"/>
          <w:trHeight w:val="645"/>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bl>
    <w:p>
      <w:pPr>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日期：</w:t>
      </w:r>
      <w:r/>
    </w:p>
    <w:p>
      <w:pPr>
        <w:ind w:firstLine="140"/>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投标供应商根据项目方案添加的设备、材料等也请列出。</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是否偏离用符号“+、=、-”分别表示正偏离、完全响应、负偏离。</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sz w:val="18"/>
          <w:szCs w:val="18"/>
          <w:highlight w:val="none"/>
        </w:rPr>
        <w:t xml:space="preserve">未列入上表的视为不响应采购文件要求。</w:t>
      </w:r>
      <w:r>
        <w:rPr>
          <w:rFonts w:hint="eastAsia" w:ascii="微软雅黑" w:hAnsi="微软雅黑" w:cs="微软雅黑"/>
          <w:sz w:val="18"/>
          <w:szCs w:val="18"/>
          <w:highlight w:val="none"/>
        </w:rPr>
        <w:t xml:space="preserve">投标供应商必须根据所投货物、工程或服务的实际情况如实填写，评委会如发现有虚假描述的，该投标文件视为无效。</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若投标文件中出现技术参数和功能与此表表述不一致的，以此表为准。</w:t>
      </w:r>
      <w:r/>
    </w:p>
    <w:p>
      <w:pPr>
        <w:pStyle w:val="1164"/>
        <w:ind w:left="1260"/>
        <w:rPr>
          <w:rFonts w:hint="eastAsia" w:ascii="微软雅黑" w:hAnsi="微软雅黑" w:cs="微软雅黑"/>
          <w:szCs w:val="21"/>
          <w:highlight w:val="none"/>
        </w:rPr>
      </w:pPr>
      <w:r>
        <w:rPr>
          <w:rFonts w:hint="eastAsia" w:ascii="微软雅黑" w:hAnsi="微软雅黑" w:cs="微软雅黑"/>
          <w:szCs w:val="21"/>
          <w:highlight w:val="none"/>
        </w:rPr>
      </w:r>
      <w:r/>
    </w:p>
    <w:p>
      <w:pPr>
        <w:rPr>
          <w:rFonts w:hint="eastAsia" w:ascii="微软雅黑" w:hAnsi="微软雅黑" w:cs="微软雅黑"/>
          <w:szCs w:val="21"/>
          <w:highlight w:val="none"/>
        </w:rPr>
      </w:pPr>
      <w:r>
        <w:rPr>
          <w:rFonts w:hint="eastAsia" w:ascii="微软雅黑" w:hAnsi="微软雅黑" w:cs="微软雅黑"/>
          <w:szCs w:val="21"/>
          <w:highlight w:val="none"/>
        </w:rPr>
      </w:r>
      <w:r/>
    </w:p>
    <w:p>
      <w:pPr>
        <w:pStyle w:val="1164"/>
        <w:ind w:left="0"/>
        <w:rPr>
          <w:rFonts w:hint="eastAsia" w:ascii="微软雅黑" w:hAnsi="微软雅黑" w:cs="微软雅黑"/>
          <w:highlight w:val="none"/>
        </w:rPr>
      </w:pPr>
      <w:r>
        <w:rPr>
          <w:rFonts w:hint="eastAsia" w:ascii="微软雅黑" w:hAnsi="微软雅黑" w:cs="微软雅黑"/>
          <w:highlight w:val="none"/>
        </w:rPr>
      </w:r>
      <w:r/>
    </w:p>
    <w:p>
      <w:pPr>
        <w:pStyle w:val="1148"/>
        <w:rPr>
          <w:rFonts w:hint="eastAsia" w:ascii="微软雅黑" w:hAnsi="微软雅黑" w:eastAsia="微软雅黑" w:cs="微软雅黑"/>
          <w:highlight w:val="none"/>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78" w:name="_Toc493455961"/>
      <w:r/>
      <w:bookmarkStart w:id="279" w:name="_Toc365968482"/>
      <w:r/>
      <w:r/>
    </w:p>
    <w:p>
      <w:pPr>
        <w:pStyle w:val="1148"/>
        <w:jc w:val="center"/>
        <w:spacing w:before="260" w:after="260" w:line="416" w:lineRule="auto"/>
        <w:rPr>
          <w:rFonts w:hint="eastAsia" w:ascii="微软雅黑" w:hAnsi="微软雅黑" w:eastAsia="微软雅黑" w:cs="微软雅黑"/>
          <w:b/>
          <w:sz w:val="24"/>
          <w:szCs w:val="24"/>
          <w:highlight w:val="none"/>
        </w:rPr>
      </w:pPr>
      <w:r/>
      <w:bookmarkStart w:id="280" w:name="_Toc3562"/>
      <w:r/>
      <w:bookmarkStart w:id="281" w:name="_Toc9969"/>
      <w:r/>
      <w:bookmarkStart w:id="282" w:name="_Toc12809"/>
      <w:r/>
      <w:bookmarkStart w:id="283" w:name="_Toc6066"/>
      <w:r/>
      <w:bookmarkStart w:id="284" w:name="_Toc32589"/>
      <w:r/>
      <w:bookmarkStart w:id="285" w:name="_Toc8167"/>
      <w:r>
        <w:rPr>
          <w:rFonts w:hint="eastAsia" w:ascii="微软雅黑" w:hAnsi="微软雅黑" w:eastAsia="微软雅黑" w:cs="微软雅黑"/>
          <w:b/>
          <w:sz w:val="24"/>
          <w:szCs w:val="24"/>
          <w:highlight w:val="none"/>
        </w:rPr>
        <w:t xml:space="preserve">5.商务要求响应表</w:t>
      </w:r>
      <w:bookmarkEnd w:id="278"/>
      <w:r/>
      <w:bookmarkEnd w:id="279"/>
      <w:r/>
      <w:bookmarkEnd w:id="280"/>
      <w:r/>
      <w:bookmarkEnd w:id="281"/>
      <w:r/>
      <w:bookmarkEnd w:id="282"/>
      <w:r/>
      <w:bookmarkEnd w:id="283"/>
      <w:r/>
      <w:bookmarkEnd w:id="284"/>
      <w:r/>
      <w:bookmarkEnd w:id="285"/>
      <w:r/>
      <w:r/>
    </w:p>
    <w:tbl>
      <w:tblPr>
        <w:tblStyle w:val="115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偏离</w:t>
            </w:r>
            <w:r/>
          </w:p>
          <w:p>
            <w:pPr>
              <w:jc w:val="center"/>
              <w:rPr>
                <w:rFonts w:hint="eastAsia" w:ascii="微软雅黑" w:hAnsi="微软雅黑" w:cs="微软雅黑"/>
                <w:b/>
                <w:bCs/>
                <w:highlight w:val="none"/>
              </w:rPr>
            </w:pPr>
            <w:r>
              <w:rPr>
                <w:rFonts w:hint="eastAsia" w:ascii="微软雅黑" w:hAnsi="微软雅黑" w:cs="微软雅黑"/>
                <w:b/>
                <w:bCs/>
                <w:highlight w:val="none"/>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bl>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p>
    <w:p>
      <w:pPr>
        <w:rPr>
          <w:rFonts w:hint="eastAsia" w:ascii="微软雅黑" w:hAnsi="微软雅黑" w:cs="微软雅黑"/>
          <w:sz w:val="18"/>
          <w:szCs w:val="18"/>
          <w:highlight w:val="none"/>
        </w:rPr>
      </w:pPr>
      <w:r/>
      <w:bookmarkStart w:id="286" w:name="_Toc351733249"/>
      <w:r/>
      <w:bookmarkStart w:id="287" w:name="_Toc365968484"/>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此表为表样，行数可自行添加，但表式不变。</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投标供应商根据项目添加的服务承诺、培训等也请列出。</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3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③</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是否偏离用符号“+、=、-”分别表示正偏离、完全响应、负偏离。</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4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④</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sz w:val="18"/>
          <w:szCs w:val="18"/>
          <w:highlight w:val="none"/>
        </w:rPr>
        <w:t xml:space="preserve">未列入上表的视为不响应采购文件要求。</w:t>
      </w:r>
      <w:r>
        <w:rPr>
          <w:rFonts w:hint="eastAsia" w:ascii="微软雅黑" w:hAnsi="微软雅黑" w:cs="微软雅黑"/>
          <w:sz w:val="18"/>
          <w:szCs w:val="18"/>
          <w:highlight w:val="none"/>
        </w:rPr>
        <w:t xml:space="preserve">投标供应商必须根据所将提供服务的实际情况如实填写，评委会如发现有虚假描述的，该投标文件视为无效。</w:t>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b/>
          <w:sz w:val="24"/>
          <w:szCs w:val="24"/>
          <w:highlight w:val="none"/>
        </w:rPr>
      </w:pPr>
      <w:r/>
      <w:bookmarkStart w:id="288" w:name="_Toc21386"/>
      <w:r/>
      <w:bookmarkStart w:id="289" w:name="_Toc6511"/>
      <w:r/>
      <w:bookmarkStart w:id="290" w:name="_Toc7701"/>
      <w:r/>
      <w:bookmarkStart w:id="291" w:name="_Toc32186"/>
      <w:r>
        <w:rPr>
          <w:rFonts w:hint="eastAsia" w:ascii="微软雅黑" w:hAnsi="微软雅黑" w:cs="微软雅黑"/>
          <w:b/>
          <w:sz w:val="24"/>
          <w:szCs w:val="24"/>
          <w:highlight w:val="none"/>
        </w:rPr>
        <w:br w:type="page" w:clear="all"/>
      </w:r>
      <w:r/>
    </w:p>
    <w:p>
      <w:pPr>
        <w:pStyle w:val="1148"/>
        <w:jc w:val="center"/>
        <w:rPr>
          <w:rFonts w:hint="eastAsia" w:ascii="微软雅黑" w:hAnsi="微软雅黑" w:eastAsia="微软雅黑" w:cs="微软雅黑"/>
          <w:b/>
          <w:sz w:val="24"/>
          <w:szCs w:val="24"/>
          <w:highlight w:val="none"/>
        </w:rPr>
      </w:pPr>
      <w:r/>
      <w:bookmarkStart w:id="292" w:name="_Toc24972"/>
      <w:r/>
      <w:bookmarkStart w:id="293" w:name="_Toc26843"/>
      <w:r>
        <w:rPr>
          <w:rFonts w:hint="eastAsia" w:ascii="微软雅黑" w:hAnsi="微软雅黑" w:eastAsia="微软雅黑" w:cs="微软雅黑"/>
          <w:b/>
          <w:sz w:val="24"/>
          <w:szCs w:val="24"/>
          <w:highlight w:val="none"/>
        </w:rPr>
        <w:t xml:space="preserve">6.项目实施方案</w:t>
      </w:r>
      <w:bookmarkEnd w:id="286"/>
      <w:r/>
      <w:bookmarkEnd w:id="287"/>
      <w:r/>
      <w:bookmarkEnd w:id="288"/>
      <w:r/>
      <w:bookmarkEnd w:id="289"/>
      <w:r/>
      <w:bookmarkEnd w:id="290"/>
      <w:r/>
      <w:bookmarkEnd w:id="291"/>
      <w:r/>
      <w:bookmarkEnd w:id="292"/>
      <w:r/>
      <w:bookmarkEnd w:id="293"/>
      <w:r/>
      <w:r/>
    </w:p>
    <w:p>
      <w:pPr>
        <w:jc w:val="cente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spacing w:line="420" w:lineRule="exact"/>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jc w:val="center"/>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jc w:val="center"/>
        <w:spacing w:before="4"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rPr>
      </w:r>
      <w:r/>
    </w:p>
    <w:p>
      <w:pPr>
        <w:pStyle w:val="1148"/>
        <w:jc w:val="center"/>
        <w:rPr>
          <w:rFonts w:hint="eastAsia" w:ascii="微软雅黑" w:hAnsi="微软雅黑" w:eastAsia="微软雅黑" w:cs="微软雅黑"/>
          <w:b/>
          <w:sz w:val="24"/>
          <w:szCs w:val="24"/>
          <w:highlight w:val="none"/>
        </w:rPr>
      </w:pPr>
      <w:r/>
      <w:bookmarkStart w:id="294" w:name="_Toc30534"/>
      <w:r/>
      <w:bookmarkStart w:id="295" w:name="_Toc23735"/>
      <w:r/>
      <w:bookmarkStart w:id="296" w:name="_Toc15270"/>
      <w:r/>
      <w:bookmarkStart w:id="297" w:name="_Toc9652"/>
      <w:r/>
      <w:bookmarkStart w:id="298" w:name="_Toc24270"/>
      <w:r/>
      <w:bookmarkStart w:id="299" w:name="_Toc31736"/>
      <w:r/>
      <w:bookmarkStart w:id="300" w:name="_Toc397526836"/>
      <w:r/>
      <w:bookmarkStart w:id="301" w:name="_Toc449976348"/>
      <w:r/>
      <w:bookmarkStart w:id="302" w:name="_Toc457827980"/>
      <w:r>
        <w:rPr>
          <w:rFonts w:hint="eastAsia" w:ascii="微软雅黑" w:hAnsi="微软雅黑" w:eastAsia="微软雅黑" w:cs="微软雅黑"/>
          <w:b/>
          <w:sz w:val="24"/>
          <w:szCs w:val="24"/>
          <w:highlight w:val="none"/>
        </w:rPr>
        <w:t xml:space="preserve">7.售后服务方案</w:t>
      </w:r>
      <w:bookmarkEnd w:id="294"/>
      <w:r/>
      <w:bookmarkEnd w:id="295"/>
      <w:r/>
      <w:bookmarkEnd w:id="296"/>
      <w:r/>
      <w:bookmarkEnd w:id="297"/>
      <w:r/>
      <w:bookmarkEnd w:id="298"/>
      <w:r/>
      <w:bookmarkEnd w:id="299"/>
      <w:r/>
      <w:r/>
    </w:p>
    <w:p>
      <w:pPr>
        <w:rPr>
          <w:rFonts w:hint="eastAsia" w:ascii="微软雅黑" w:hAnsi="微软雅黑" w:cs="微软雅黑"/>
          <w:highlight w:val="none"/>
        </w:rPr>
      </w:pPr>
      <w:r/>
      <w:bookmarkStart w:id="303" w:name="_Toc493246896"/>
      <w:r/>
      <w:bookmarkStart w:id="304" w:name="_Toc475540203"/>
      <w:r/>
      <w:bookmarkStart w:id="305" w:name="_Toc481681071"/>
      <w:r/>
      <w:bookmarkStart w:id="306" w:name="_Toc459327385"/>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highlight w:val="none"/>
        </w:rPr>
      </w:pPr>
      <w:r>
        <w:rPr>
          <w:rFonts w:hint="eastAsia" w:ascii="微软雅黑" w:hAnsi="微软雅黑" w:cs="微软雅黑"/>
          <w:highlight w:val="none"/>
        </w:rPr>
      </w:r>
      <w:bookmarkEnd w:id="300"/>
      <w:r/>
      <w:bookmarkEnd w:id="301"/>
      <w:r/>
      <w:bookmarkEnd w:id="302"/>
      <w:r/>
      <w:bookmarkEnd w:id="303"/>
      <w:r/>
      <w:bookmarkEnd w:id="304"/>
      <w:r/>
      <w:bookmarkEnd w:id="305"/>
      <w:r/>
      <w:bookmarkEnd w:id="306"/>
      <w:r/>
      <w:r/>
    </w:p>
    <w:p>
      <w:pPr>
        <w:pStyle w:val="1148"/>
        <w:jc w:val="center"/>
        <w:rPr>
          <w:rFonts w:hint="eastAsia" w:ascii="微软雅黑" w:hAnsi="微软雅黑" w:eastAsia="微软雅黑" w:cs="微软雅黑"/>
          <w:b/>
          <w:sz w:val="24"/>
          <w:szCs w:val="24"/>
          <w:highlight w:val="none"/>
        </w:rPr>
      </w:pPr>
      <w:r>
        <w:rPr>
          <w:rFonts w:hint="eastAsia" w:ascii="微软雅黑" w:hAnsi="微软雅黑" w:eastAsia="微软雅黑" w:cs="微软雅黑"/>
          <w:highlight w:val="none"/>
        </w:rPr>
        <w:br w:type="page" w:clear="all"/>
      </w:r>
      <w:bookmarkStart w:id="307" w:name="_Toc24136"/>
      <w:r/>
      <w:bookmarkStart w:id="308" w:name="_Toc30482"/>
      <w:r/>
      <w:bookmarkStart w:id="309" w:name="_Toc32438"/>
      <w:r/>
      <w:bookmarkStart w:id="310" w:name="_Toc27939"/>
      <w:r/>
      <w:bookmarkStart w:id="311" w:name="_Toc2821"/>
      <w:r/>
      <w:bookmarkStart w:id="312" w:name="_Toc24098"/>
      <w:r>
        <w:rPr>
          <w:rFonts w:hint="eastAsia" w:ascii="微软雅黑" w:hAnsi="微软雅黑" w:eastAsia="微软雅黑" w:cs="微软雅黑"/>
          <w:b/>
          <w:sz w:val="24"/>
          <w:szCs w:val="24"/>
          <w:highlight w:val="none"/>
        </w:rPr>
        <w:t xml:space="preserve">8.经营业绩（提供合同复印件）</w:t>
      </w:r>
      <w:bookmarkEnd w:id="307"/>
      <w:r/>
      <w:bookmarkEnd w:id="308"/>
      <w:r/>
      <w:bookmarkEnd w:id="309"/>
      <w:r/>
      <w:bookmarkEnd w:id="310"/>
      <w:r/>
      <w:bookmarkEnd w:id="311"/>
      <w:r/>
      <w:bookmarkEnd w:id="312"/>
      <w:r/>
      <w:r/>
    </w:p>
    <w:tbl>
      <w:tblPr>
        <w:tblStyle w:val="115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p>
        </w:tc>
        <w:tc>
          <w:tcPr>
            <w:tcW w:w="1211"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业绩名称</w:t>
            </w:r>
            <w:r/>
          </w:p>
        </w:tc>
        <w:tc>
          <w:tcPr>
            <w:tcW w:w="1055"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采购单位及联系人、联系方式</w:t>
            </w:r>
            <w:r/>
          </w:p>
        </w:tc>
        <w:tc>
          <w:tcPr>
            <w:tcW w:w="672" w:type="pct"/>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签订</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时间</w:t>
            </w:r>
            <w:r/>
          </w:p>
        </w:tc>
        <w:tc>
          <w:tcPr>
            <w:tcW w:w="682"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合同金额</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（万元）</w:t>
            </w:r>
            <w:r/>
          </w:p>
        </w:tc>
        <w:tc>
          <w:tcPr>
            <w:tcW w:w="1013"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证明材料</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bl>
    <w:p>
      <w:pP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pStyle w:val="1164"/>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此表为表样，行数可自行添加。</w:t>
      </w:r>
      <w:r/>
    </w:p>
    <w:p>
      <w:pPr>
        <w:ind w:firstLine="36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color w:val="ff0000"/>
          <w:sz w:val="18"/>
          <w:szCs w:val="18"/>
          <w:highlight w:val="none"/>
        </w:rPr>
      </w:pPr>
      <w:r>
        <w:rPr>
          <w:rFonts w:hint="eastAsia" w:ascii="微软雅黑" w:hAnsi="微软雅黑" w:cs="微软雅黑"/>
          <w:color w:val="ff0000"/>
          <w:sz w:val="18"/>
          <w:szCs w:val="18"/>
          <w:highlight w:val="none"/>
        </w:rPr>
      </w:r>
      <w:r/>
    </w:p>
    <w:p>
      <w:pPr>
        <w:ind w:firstLine="360"/>
        <w:spacing w:before="19" w:line="420" w:lineRule="exact"/>
        <w:widowControl/>
        <w:rPr>
          <w:rFonts w:hint="eastAsia" w:ascii="微软雅黑" w:hAnsi="微软雅黑" w:cs="微软雅黑"/>
          <w:color w:val="ff0000"/>
          <w:sz w:val="18"/>
          <w:szCs w:val="18"/>
          <w:highlight w:val="none"/>
        </w:rPr>
      </w:pPr>
      <w:r>
        <w:rPr>
          <w:rFonts w:hint="eastAsia" w:ascii="微软雅黑" w:hAnsi="微软雅黑" w:cs="微软雅黑"/>
          <w:color w:val="ff0000"/>
          <w:sz w:val="18"/>
          <w:szCs w:val="18"/>
          <w:highlight w:val="none"/>
        </w:rPr>
      </w:r>
      <w:r/>
    </w:p>
    <w:p>
      <w:pPr>
        <w:ind w:firstLine="360"/>
        <w:spacing w:before="19" w:line="420" w:lineRule="exact"/>
        <w:widowControl/>
        <w:rPr>
          <w:rFonts w:hint="eastAsia" w:ascii="微软雅黑" w:hAnsi="微软雅黑" w:cs="微软雅黑"/>
          <w:b/>
          <w:color w:val="ff0000"/>
          <w:szCs w:val="21"/>
          <w:highlight w:val="none"/>
        </w:rPr>
      </w:pPr>
      <w:r>
        <w:rPr>
          <w:rFonts w:hint="eastAsia" w:ascii="微软雅黑" w:hAnsi="微软雅黑" w:cs="微软雅黑"/>
          <w:color w:val="ff0000"/>
          <w:sz w:val="18"/>
          <w:szCs w:val="18"/>
          <w:highlight w:val="none"/>
        </w:rPr>
        <w:t xml:space="preserve"> </w:t>
      </w:r>
      <w:r>
        <w:rPr>
          <w:rFonts w:hint="eastAsia" w:ascii="微软雅黑" w:hAnsi="微软雅黑" w:cs="微软雅黑"/>
          <w:b/>
          <w:i/>
          <w:iCs/>
          <w:color w:val="ff0000"/>
          <w:sz w:val="24"/>
          <w:szCs w:val="24"/>
          <w:highlight w:val="none"/>
          <w:u w:val="single"/>
        </w:rPr>
        <w:t xml:space="preserve">注： 1－5项为必须提供的内容，未提供或未按要求提供将不能通过符合性审查。</w:t>
      </w:r>
      <w:r/>
    </w:p>
    <w:p>
      <w:pPr>
        <w:rPr>
          <w:rFonts w:hint="eastAsia" w:ascii="微软雅黑" w:hAnsi="微软雅黑" w:eastAsia="微软雅黑" w:cs="微软雅黑"/>
          <w:b/>
          <w:bCs/>
          <w:highlight w:val="none"/>
        </w:rPr>
      </w:pPr>
      <w:r/>
      <w:bookmarkStart w:id="313" w:name="_Toc22911"/>
      <w:r/>
      <w:bookmarkStart w:id="314" w:name="_Toc15656"/>
      <w:r/>
      <w:bookmarkStart w:id="315" w:name="_Toc26920"/>
      <w:r>
        <w:rPr>
          <w:rFonts w:hint="eastAsia" w:ascii="微软雅黑" w:hAnsi="微软雅黑" w:eastAsia="微软雅黑" w:cs="微软雅黑"/>
          <w:b/>
          <w:bCs/>
          <w:highlight w:val="none"/>
        </w:rPr>
        <w:br w:type="page" w:clear="all"/>
      </w:r>
      <w:r/>
    </w:p>
    <w:p>
      <w:pPr>
        <w:pStyle w:val="1147"/>
        <w:jc w:val="center"/>
        <w:rPr>
          <w:rFonts w:hint="eastAsia" w:ascii="微软雅黑" w:hAnsi="微软雅黑" w:eastAsia="微软雅黑" w:cs="微软雅黑"/>
          <w:b/>
          <w:bCs/>
          <w:sz w:val="28"/>
          <w:szCs w:val="32"/>
          <w:highlight w:val="none"/>
        </w:rPr>
      </w:pPr>
      <w:r/>
      <w:bookmarkStart w:id="316" w:name="_Toc29907"/>
      <w:r>
        <w:rPr>
          <w:rFonts w:hint="eastAsia" w:ascii="微软雅黑" w:hAnsi="微软雅黑" w:eastAsia="微软雅黑" w:cs="微软雅黑"/>
          <w:b/>
          <w:bCs/>
          <w:sz w:val="28"/>
          <w:szCs w:val="32"/>
          <w:highlight w:val="none"/>
          <w:lang w:eastAsia="zh-CN"/>
        </w:rPr>
        <w:t xml:space="preserve">二</w:t>
      </w:r>
      <w:r>
        <w:rPr>
          <w:rFonts w:hint="eastAsia" w:ascii="微软雅黑" w:hAnsi="微软雅黑" w:eastAsia="微软雅黑" w:cs="微软雅黑"/>
          <w:b/>
          <w:bCs/>
          <w:sz w:val="28"/>
          <w:szCs w:val="32"/>
          <w:highlight w:val="none"/>
        </w:rPr>
        <w:t xml:space="preserve">、其他相关附表格式</w:t>
      </w:r>
      <w:bookmarkEnd w:id="313"/>
      <w:r/>
      <w:bookmarkEnd w:id="314"/>
      <w:r/>
      <w:bookmarkEnd w:id="315"/>
      <w:r/>
      <w:bookmarkEnd w:id="316"/>
      <w:r/>
      <w:bookmarkStart w:id="317" w:name="_Toc11531"/>
      <w:r/>
      <w:bookmarkEnd w:id="317"/>
      <w:r/>
      <w:r/>
    </w:p>
    <w:p>
      <w:pPr>
        <w:pStyle w:val="1148"/>
        <w:ind w:left="0" w:right="0" w:firstLine="0"/>
        <w:jc w:val="center"/>
        <w:rPr>
          <w:rFonts w:hint="eastAsia" w:ascii="微软雅黑" w:hAnsi="微软雅黑" w:eastAsia="微软雅黑" w:cs="微软雅黑"/>
          <w:b/>
          <w:bCs/>
          <w:sz w:val="22"/>
          <w:szCs w:val="21"/>
          <w:highlight w:val="none"/>
        </w:rPr>
      </w:pPr>
      <w:r/>
      <w:bookmarkStart w:id="318" w:name="_Toc2594"/>
      <w:r/>
      <w:bookmarkStart w:id="319" w:name="__x000F_二、资格证明文件"/>
      <w:r/>
      <w:bookmarkStart w:id="320" w:name="_Toc23461"/>
      <w:r/>
      <w:bookmarkStart w:id="321" w:name="_Toc20940"/>
      <w:r/>
      <w:bookmarkStart w:id="322" w:name="_Toc15819"/>
      <w:r/>
      <w:bookmarkStart w:id="323" w:name="_Toc6592"/>
      <w:r/>
      <w:bookmarkStart w:id="324" w:name="_Toc8288"/>
      <w:r/>
      <w:bookmarkStart w:id="325" w:name="_Toc16145"/>
      <w:r/>
      <w:bookmarkStart w:id="326" w:name="_Toc3266"/>
      <w:r/>
      <w:bookmarkStart w:id="327" w:name="_Toc20254"/>
      <w:r/>
      <w:bookmarkStart w:id="328" w:name="_Toc1448"/>
      <w:r/>
      <w:bookmarkStart w:id="329" w:name="_Toc403725583"/>
      <w:r/>
      <w:bookmarkStart w:id="330" w:name="_Toc487098617"/>
      <w:r>
        <w:rPr>
          <w:rFonts w:hint="eastAsia" w:ascii="微软雅黑" w:hAnsi="微软雅黑" w:eastAsia="微软雅黑" w:cs="微软雅黑"/>
          <w:b/>
          <w:bCs/>
          <w:sz w:val="22"/>
          <w:szCs w:val="21"/>
          <w:highlight w:val="none"/>
          <w:lang w:val="en-US" w:eastAsia="zh-CN"/>
        </w:rPr>
        <w:t xml:space="preserve">1.</w:t>
      </w:r>
      <w:r>
        <w:rPr>
          <w:rFonts w:hint="eastAsia" w:ascii="微软雅黑" w:hAnsi="微软雅黑" w:eastAsia="微软雅黑" w:cs="微软雅黑"/>
          <w:b/>
          <w:bCs/>
          <w:sz w:val="22"/>
          <w:szCs w:val="21"/>
          <w:highlight w:val="none"/>
        </w:rPr>
        <w:t xml:space="preserve">法人授权委托书</w:t>
      </w:r>
      <w:bookmarkEnd w:id="318"/>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本授权书宣告：</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地    址：</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法定代表人： </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受托人：姓名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性别：</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出生日期：</w:t>
      </w:r>
      <w:r>
        <w:rPr>
          <w:rFonts w:hint="eastAsia" w:ascii="微软雅黑" w:hAnsi="微软雅黑" w:cs="微软雅黑"/>
          <w:highlight w:val="none"/>
          <w:u w:val="single"/>
        </w:rPr>
        <w:t xml:space="preserve">    年    月   日</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所在单位：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职务：</w:t>
      </w:r>
      <w:r>
        <w:rPr>
          <w:rFonts w:hint="eastAsia" w:ascii="微软雅黑" w:hAnsi="微软雅黑" w:cs="微软雅黑"/>
          <w:highlight w:val="none"/>
          <w:u w:val="single"/>
        </w:rPr>
        <w:t xml:space="preserve">           </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身 份 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联系方式： </w:t>
      </w:r>
      <w:r>
        <w:rPr>
          <w:rFonts w:hint="eastAsia" w:ascii="微软雅黑" w:hAnsi="微软雅黑" w:cs="微软雅黑"/>
          <w:highlight w:val="none"/>
          <w:u w:val="single"/>
        </w:rPr>
        <w:t xml:space="preserve">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兹委托受托人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合法地代表我单位参加江苏省华采招标有限公司组织的项目名称：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委托期限：至上述事宜处理完毕止。</w:t>
      </w:r>
      <w:r/>
    </w:p>
    <w:p>
      <w:pPr>
        <w:spacing w:line="440" w:lineRule="exact"/>
        <w:rPr>
          <w:rFonts w:hint="eastAsia" w:ascii="微软雅黑" w:hAnsi="微软雅黑" w:cs="微软雅黑"/>
          <w:highlight w:val="none"/>
        </w:rPr>
      </w:pP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76672;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7564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highlight w:val="none"/>
        </w:rPr>
        <w:t xml:space="preserve">附：</w:t>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委托单位：    （公章）                     </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  （签字/盖章）</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授权代表：  （签字/盖章）   </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年     月     日</w:t>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highlight w:val="none"/>
        </w:rPr>
        <w:t xml:space="preserve">注：</w:t>
      </w:r>
      <w:r>
        <w:rPr>
          <w:rFonts w:hint="eastAsia" w:ascii="微软雅黑" w:hAnsi="微软雅黑" w:cs="微软雅黑"/>
          <w:sz w:val="18"/>
          <w:szCs w:val="18"/>
          <w:highlight w:val="none"/>
        </w:rPr>
        <w:t xml:space="preserve">供应商提供的所有证件必须真实有效，务必保证证件在有效期内。</w:t>
      </w:r>
      <w:r/>
    </w:p>
    <w:p>
      <w:pPr>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bookmarkEnd w:id="319"/>
      <w:r/>
      <w:r/>
    </w:p>
    <w:p>
      <w:pPr>
        <w:pStyle w:val="1148"/>
        <w:jc w:val="left"/>
        <w:rPr>
          <w:rFonts w:hint="eastAsia" w:ascii="微软雅黑" w:hAnsi="微软雅黑" w:eastAsia="微软雅黑" w:cs="微软雅黑"/>
          <w:b/>
          <w:bCs/>
          <w:sz w:val="22"/>
          <w:szCs w:val="21"/>
          <w:highlight w:val="none"/>
        </w:rPr>
      </w:pPr>
      <w:r/>
      <w:bookmarkStart w:id="331" w:name="_Toc9754"/>
      <w:r/>
      <w:bookmarkStart w:id="332" w:name="_Toc28584"/>
      <w:r/>
      <w:bookmarkStart w:id="333" w:name="_Toc31805"/>
      <w:r/>
      <w:bookmarkStart w:id="334" w:name="_Toc23785"/>
      <w:r/>
      <w:bookmarkStart w:id="335" w:name="_Toc19265"/>
      <w:r>
        <w:rPr>
          <w:rFonts w:hint="eastAsia" w:ascii="微软雅黑" w:hAnsi="微软雅黑" w:eastAsia="微软雅黑" w:cs="微软雅黑"/>
          <w:b/>
          <w:bCs/>
          <w:sz w:val="22"/>
          <w:szCs w:val="21"/>
          <w:highlight w:val="none"/>
        </w:rPr>
        <w:t xml:space="preserve">2.声明</w:t>
      </w:r>
      <w:bookmarkEnd w:id="331"/>
      <w:r>
        <w:rPr>
          <w:rFonts w:hint="eastAsia" w:ascii="微软雅黑" w:hAnsi="微软雅黑" w:eastAsia="微软雅黑" w:cs="微软雅黑"/>
          <w:b/>
          <w:bCs/>
          <w:sz w:val="22"/>
          <w:szCs w:val="21"/>
          <w:highlight w:val="none"/>
        </w:rPr>
        <w:t xml:space="preserve">（参考格式）</w:t>
      </w:r>
      <w:bookmarkEnd w:id="332"/>
      <w:r/>
      <w:bookmarkEnd w:id="333"/>
      <w:r/>
      <w:bookmarkEnd w:id="334"/>
      <w:r/>
      <w:bookmarkEnd w:id="335"/>
      <w:r/>
      <w:r/>
    </w:p>
    <w:p>
      <w:pPr>
        <w:jc w:val="center"/>
        <w:spacing w:before="156"/>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声  明</w:t>
      </w:r>
      <w:r/>
    </w:p>
    <w:p>
      <w:pPr>
        <w:ind w:firstLine="420"/>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spacing w:line="360" w:lineRule="auto"/>
        <w:rPr>
          <w:rFonts w:hint="eastAsia" w:ascii="微软雅黑" w:hAnsi="微软雅黑" w:cs="微软雅黑"/>
          <w:szCs w:val="21"/>
          <w:highlight w:val="none"/>
        </w:rPr>
      </w:pPr>
      <w:r>
        <w:rPr>
          <w:rFonts w:hint="eastAsia" w:ascii="微软雅黑" w:hAnsi="微软雅黑" w:cs="微软雅黑"/>
          <w:sz w:val="24"/>
          <w:szCs w:val="24"/>
          <w:highlight w:val="none"/>
        </w:rPr>
        <w:t xml:space="preserve">                   </w:t>
      </w:r>
      <w:r>
        <w:rPr>
          <w:rFonts w:hint="eastAsia" w:ascii="微软雅黑" w:hAnsi="微软雅黑" w:cs="微软雅黑"/>
          <w:szCs w:val="21"/>
          <w:highlight w:val="none"/>
        </w:rPr>
        <w:t xml:space="preserve">供应商全称（公章）：</w:t>
      </w:r>
      <w:r/>
    </w:p>
    <w:p>
      <w:pPr>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法定代表人（或授权代表）签章/签字：</w:t>
      </w:r>
      <w:r/>
    </w:p>
    <w:p>
      <w:pPr>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日期：</w:t>
      </w:r>
      <w:r/>
    </w:p>
    <w:p>
      <w:pPr>
        <w:pStyle w:val="1164"/>
        <w:ind w:left="0"/>
        <w:rPr>
          <w:rFonts w:hint="eastAsia" w:ascii="微软雅黑" w:hAnsi="微软雅黑" w:cs="微软雅黑"/>
          <w:szCs w:val="21"/>
          <w:highlight w:val="none"/>
        </w:rPr>
      </w:pPr>
      <w:r>
        <w:rPr>
          <w:rFonts w:hint="eastAsia" w:ascii="微软雅黑" w:hAnsi="微软雅黑" w:cs="微软雅黑"/>
          <w:szCs w:val="21"/>
          <w:highlight w:val="none"/>
        </w:rPr>
      </w:r>
      <w:r/>
    </w:p>
    <w:p>
      <w:pPr>
        <w:pStyle w:val="1164"/>
        <w:ind w:left="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p>
    <w:p>
      <w:pPr>
        <w:pStyle w:val="1164"/>
        <w:numPr>
          <w:ilvl w:val="0"/>
          <w:numId w:val="0"/>
        </w:numPr>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lang w:val="en-US" w:eastAsia="zh-CN"/>
        </w:rPr>
        <w:t xml:space="preserve">1</w:t>
      </w:r>
      <w:r>
        <w:rPr>
          <w:rFonts w:hint="eastAsia" w:ascii="微软雅黑" w:hAnsi="微软雅黑" w:cs="微软雅黑"/>
          <w:b/>
          <w:bCs/>
          <w:szCs w:val="21"/>
          <w:highlight w:val="none"/>
        </w:rPr>
        <w:t xml:space="preserve">. 重大违法记录</w:t>
      </w:r>
      <w:r>
        <w:rPr>
          <w:rFonts w:hint="eastAsia" w:ascii="微软雅黑" w:hAnsi="微软雅黑" w:cs="微软雅黑"/>
          <w:b/>
          <w:bCs/>
          <w:spacing w:val="-5"/>
          <w:highlight w:val="none"/>
        </w:rPr>
        <w:t xml:space="preserve">是指供应商因违法经营受到刑事处罚或者责令停产停业、吊销许可证或者执   </w:t>
      </w:r>
      <w:r>
        <w:rPr>
          <w:rFonts w:hint="eastAsia" w:ascii="微软雅黑" w:hAnsi="微软雅黑" w:cs="微软雅黑"/>
          <w:b/>
          <w:bCs/>
          <w:spacing w:val="-5"/>
          <w:highlight w:val="none"/>
        </w:rPr>
        <w:t xml:space="preserve">照、较大数额罚款等行政处罚。</w:t>
      </w:r>
      <w:r/>
    </w:p>
    <w:p>
      <w:pPr>
        <w:pStyle w:val="1164"/>
        <w:ind w:left="0"/>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2. 较大数额罚款标准参照财库[2022]3号文规定执行，指的是200万元以上数额。</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bookmarkEnd w:id="320"/>
      <w:r/>
      <w:bookmarkEnd w:id="321"/>
      <w:r/>
      <w:bookmarkEnd w:id="322"/>
      <w:r/>
      <w:bookmarkEnd w:id="323"/>
      <w:r/>
      <w:bookmarkEnd w:id="324"/>
      <w:r/>
      <w:bookmarkEnd w:id="325"/>
      <w:r/>
      <w:bookmarkEnd w:id="326"/>
      <w:r/>
      <w:r/>
    </w:p>
    <w:p>
      <w:pPr>
        <w:pStyle w:val="1148"/>
        <w:jc w:val="left"/>
        <w:rPr>
          <w:rFonts w:hint="eastAsia" w:ascii="微软雅黑" w:hAnsi="微软雅黑" w:eastAsia="微软雅黑" w:cs="微软雅黑"/>
          <w:b/>
          <w:bCs/>
          <w:sz w:val="22"/>
          <w:szCs w:val="21"/>
          <w:highlight w:val="none"/>
        </w:rPr>
      </w:pPr>
      <w:r/>
      <w:bookmarkStart w:id="336" w:name="_Toc917"/>
      <w:r/>
      <w:bookmarkStart w:id="337" w:name="_Toc29673"/>
      <w:r/>
      <w:bookmarkStart w:id="338" w:name="_Toc23764"/>
      <w:r/>
      <w:bookmarkStart w:id="339" w:name="_Toc7473"/>
      <w:r/>
      <w:bookmarkStart w:id="340" w:name="_Toc851"/>
      <w:r/>
      <w:bookmarkStart w:id="341" w:name="_Toc24637"/>
      <w:r/>
      <w:bookmarkStart w:id="342" w:name="_Toc1147"/>
      <w:r/>
      <w:bookmarkStart w:id="343" w:name="_Toc14311"/>
      <w:r>
        <w:rPr>
          <w:rFonts w:hint="eastAsia" w:ascii="微软雅黑" w:hAnsi="微软雅黑" w:eastAsia="微软雅黑" w:cs="微软雅黑"/>
          <w:b/>
          <w:bCs/>
          <w:sz w:val="22"/>
          <w:szCs w:val="21"/>
          <w:highlight w:val="none"/>
        </w:rPr>
        <w:t xml:space="preserve">3.承诺（参考格式）</w:t>
      </w:r>
      <w:bookmarkEnd w:id="336"/>
      <w:r/>
      <w:bookmarkEnd w:id="337"/>
      <w:r/>
      <w:bookmarkEnd w:id="338"/>
      <w:r/>
      <w:bookmarkEnd w:id="339"/>
      <w:r/>
      <w:r/>
    </w:p>
    <w:p>
      <w:pPr>
        <w:jc w:val="center"/>
        <w:rPr>
          <w:rFonts w:hint="eastAsia" w:ascii="微软雅黑" w:hAnsi="微软雅黑" w:eastAsia="微软雅黑" w:cs="微软雅黑"/>
          <w:b/>
          <w:bCs/>
          <w:sz w:val="22"/>
          <w:szCs w:val="21"/>
          <w:highlight w:val="none"/>
          <w:lang w:val="en-US" w:eastAsia="zh-CN" w:bidi="ar-SA"/>
        </w:rPr>
      </w:pPr>
      <w:r>
        <w:rPr>
          <w:rFonts w:hint="eastAsia" w:ascii="微软雅黑" w:hAnsi="微软雅黑" w:eastAsia="微软雅黑" w:cs="微软雅黑"/>
          <w:b/>
          <w:bCs/>
          <w:sz w:val="22"/>
          <w:szCs w:val="21"/>
          <w:highlight w:val="none"/>
          <w:lang w:val="en-US" w:eastAsia="zh-CN" w:bidi="ar-SA"/>
        </w:rPr>
        <w:t xml:space="preserve">承  诺</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我公司承诺：</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我单位未组成联合体投标，中标后不进行分包、转包。</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我单位负责人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（负责人姓名、身份证号），与我单位存在直接控股、管理关系的单位为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（单位名称），不存在与我单位负责人为同一人或者存在直接控股、管理关系的不同供应商同时参加本项目同一包投标的情形。</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特此承诺。</w:t>
      </w:r>
      <w:r/>
    </w:p>
    <w:p>
      <w:pPr>
        <w:rPr>
          <w:rFonts w:hint="eastAsia" w:ascii="微软雅黑" w:hAnsi="微软雅黑" w:cs="微软雅黑"/>
          <w:bCs/>
          <w:szCs w:val="21"/>
          <w:highlight w:val="none"/>
        </w:rPr>
      </w:pPr>
      <w:r>
        <w:rPr>
          <w:rFonts w:hint="eastAsia" w:ascii="微软雅黑" w:hAnsi="微软雅黑" w:cs="微软雅黑"/>
          <w:bCs/>
          <w:szCs w:val="21"/>
          <w:highlight w:val="none"/>
        </w:rPr>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61"/>
        <w:ind w:firstLine="399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供应商全称（公章）：</w:t>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法定代表人（或授权代表）签章/签字：</w:t>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p>
    <w:p>
      <w:pPr>
        <w:pStyle w:val="1148"/>
        <w:spacing w:before="0" w:after="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br w:type="page" w:clear="all"/>
      </w:r>
      <w:bookmarkStart w:id="344" w:name="_Toc24103"/>
      <w:r>
        <w:rPr>
          <w:rFonts w:hint="eastAsia" w:ascii="微软雅黑" w:hAnsi="微软雅黑" w:eastAsia="微软雅黑" w:cs="微软雅黑"/>
          <w:b/>
          <w:bCs/>
          <w:sz w:val="24"/>
          <w:szCs w:val="24"/>
          <w:highlight w:val="none"/>
        </w:rPr>
        <w:t xml:space="preserve">附件1.中小企业声明函</w:t>
      </w:r>
      <w:bookmarkEnd w:id="327"/>
      <w:r/>
      <w:bookmarkEnd w:id="328"/>
      <w:r/>
      <w:bookmarkEnd w:id="329"/>
      <w:r/>
      <w:bookmarkEnd w:id="330"/>
      <w:r/>
      <w:bookmarkEnd w:id="340"/>
      <w:r/>
      <w:bookmarkEnd w:id="341"/>
      <w:r/>
      <w:bookmarkEnd w:id="342"/>
      <w:r/>
      <w:bookmarkEnd w:id="343"/>
      <w:r/>
      <w:bookmarkEnd w:id="344"/>
      <w:r/>
      <w:r/>
    </w:p>
    <w:p>
      <w:pP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（如不属于中小企业，则无需提供此声明函）</w:t>
      </w:r>
      <w:r/>
    </w:p>
    <w:p>
      <w:pPr>
        <w:jc w:val="center"/>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中小企业声明函（货物）</w:t>
      </w:r>
      <w:r/>
    </w:p>
    <w:p>
      <w:pPr>
        <w:ind w:firstLine="420"/>
        <w:jc w:val="left"/>
        <w:keepLines/>
        <w:keepNext/>
        <w:spacing w:line="400" w:lineRule="exact"/>
        <w:rPr>
          <w:rFonts w:hint="eastAsia" w:ascii="微软雅黑" w:hAnsi="微软雅黑" w:cs="微软雅黑"/>
          <w:highlight w:val="none"/>
        </w:rPr>
      </w:pPr>
      <w:r/>
      <w:bookmarkStart w:id="345" w:name="_Toc3254"/>
      <w:r>
        <w:rPr>
          <w:rFonts w:hint="eastAsia" w:ascii="微软雅黑" w:hAnsi="微软雅黑" w:cs="微软雅黑"/>
          <w:highlight w:val="none"/>
        </w:rPr>
        <w:t xml:space="preserve">本公司（联合体）郑重声明，根据《政府采购促进中小企业发展管理办法》（财库[2020]46 号）的规定，本公司（联合体）参加</w:t>
      </w:r>
      <w:r>
        <w:rPr>
          <w:rFonts w:hint="eastAsia" w:ascii="微软雅黑" w:hAnsi="微软雅黑" w:cs="微软雅黑"/>
          <w:highlight w:val="none"/>
          <w:u w:val="single"/>
        </w:rPr>
        <w:t xml:space="preserve">        （单位名称）</w:t>
      </w:r>
      <w:r>
        <w:rPr>
          <w:rFonts w:hint="eastAsia" w:ascii="微软雅黑" w:hAnsi="微软雅黑" w:cs="微软雅黑"/>
          <w:highlight w:val="none"/>
        </w:rPr>
        <w:t xml:space="preserve">的</w:t>
      </w:r>
      <w:r>
        <w:rPr>
          <w:rFonts w:hint="eastAsia" w:ascii="微软雅黑" w:hAnsi="微软雅黑" w:cs="微软雅黑"/>
          <w:highlight w:val="none"/>
          <w:u w:val="single"/>
        </w:rPr>
        <w:t xml:space="preserve">        （项目名称）</w:t>
      </w:r>
      <w:r>
        <w:rPr>
          <w:rFonts w:hint="eastAsia" w:ascii="微软雅黑" w:hAnsi="微软雅黑" w:cs="微软雅黑"/>
          <w:highlight w:val="none"/>
        </w:rPr>
        <w:t xml:space="preserve">采购活动，提 供的货物全部由符合政策要求的中小企业制造。相关企业 （含联合体中的中小企业、签订分包意向协议的中小企业）的具体情况如下：</w:t>
      </w:r>
      <w:bookmarkEnd w:id="345"/>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6" w:name="_Toc26323"/>
      <w:r>
        <w:rPr>
          <w:rFonts w:hint="eastAsia" w:ascii="微软雅黑" w:hAnsi="微软雅黑" w:cs="微软雅黑"/>
          <w:highlight w:val="none"/>
        </w:rPr>
        <w:t xml:space="preserve">1、</w:t>
      </w:r>
      <w:r>
        <w:rPr>
          <w:rFonts w:hint="eastAsia" w:ascii="微软雅黑" w:hAnsi="微软雅黑" w:cs="微软雅黑"/>
          <w:highlight w:val="none"/>
          <w:u w:val="single"/>
        </w:rPr>
        <w:t xml:space="preserve">                    （标的名称）</w:t>
      </w:r>
      <w:r>
        <w:rPr>
          <w:rFonts w:hint="eastAsia" w:ascii="微软雅黑" w:hAnsi="微软雅黑" w:cs="微软雅黑"/>
          <w:highlight w:val="none"/>
        </w:rPr>
        <w:t xml:space="preserve">，属于</w:t>
      </w:r>
      <w:r>
        <w:rPr>
          <w:rFonts w:hint="eastAsia" w:ascii="微软雅黑" w:hAnsi="微软雅黑" w:cs="微软雅黑"/>
          <w:highlight w:val="none"/>
          <w:u w:val="single"/>
        </w:rPr>
        <w:t xml:space="preserve">（采购文件中明确的所属行业） </w:t>
      </w:r>
      <w:r>
        <w:rPr>
          <w:rFonts w:hint="eastAsia" w:ascii="微软雅黑" w:hAnsi="微软雅黑" w:cs="微软雅黑"/>
          <w:highlight w:val="none"/>
        </w:rPr>
        <w:t xml:space="preserve">行业；制造商为</w:t>
      </w:r>
      <w:r>
        <w:rPr>
          <w:rFonts w:hint="eastAsia" w:ascii="微软雅黑" w:hAnsi="微软雅黑" w:cs="微软雅黑"/>
          <w:highlight w:val="none"/>
          <w:u w:val="single"/>
        </w:rPr>
        <w:t xml:space="preserve">     （企业名称）</w:t>
      </w:r>
      <w:r>
        <w:rPr>
          <w:rFonts w:hint="eastAsia" w:ascii="微软雅黑" w:hAnsi="微软雅黑" w:cs="微软雅黑"/>
          <w:highlight w:val="none"/>
        </w:rPr>
        <w:t xml:space="preserve">，从业人员</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人，营业收入为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万元，资产总额为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万元 ，属于</w:t>
      </w:r>
      <w:r>
        <w:rPr>
          <w:rFonts w:hint="eastAsia" w:ascii="微软雅黑" w:hAnsi="微软雅黑" w:cs="微软雅黑"/>
          <w:highlight w:val="none"/>
          <w:u w:val="single"/>
        </w:rPr>
        <w:t xml:space="preserve">         （中型企业、小 型企业、微型企业）</w:t>
      </w:r>
      <w:r>
        <w:rPr>
          <w:rFonts w:hint="eastAsia" w:ascii="微软雅黑" w:hAnsi="微软雅黑" w:cs="微软雅黑"/>
          <w:highlight w:val="none"/>
        </w:rPr>
        <w:t xml:space="preserve">；</w:t>
      </w:r>
      <w:bookmarkEnd w:id="346"/>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7" w:name="_Toc3885"/>
      <w:r>
        <w:rPr>
          <w:rFonts w:hint="eastAsia" w:ascii="微软雅黑" w:hAnsi="微软雅黑" w:cs="微软雅黑"/>
          <w:highlight w:val="none"/>
        </w:rPr>
        <w:t xml:space="preserve">……</w:t>
      </w:r>
      <w:bookmarkEnd w:id="347"/>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8" w:name="_Toc20124"/>
      <w:r>
        <w:rPr>
          <w:rFonts w:hint="eastAsia" w:ascii="微软雅黑" w:hAnsi="微软雅黑" w:cs="微软雅黑"/>
          <w:highlight w:val="none"/>
        </w:rPr>
        <w:t xml:space="preserve">以上企业，不属于大企业的分支机构，不存在控股股东 为大企业的情形，也不存在与大企业的负责人为同一人的情形。</w:t>
      </w:r>
      <w:bookmarkEnd w:id="348"/>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9" w:name="_Toc4666"/>
      <w:r>
        <w:rPr>
          <w:rFonts w:hint="eastAsia" w:ascii="微软雅黑" w:hAnsi="微软雅黑" w:cs="微软雅黑"/>
          <w:highlight w:val="none"/>
        </w:rPr>
        <w:t xml:space="preserve">本企业对上述声明内容的真实性负责。如有虚假，将依法承担相应责任。</w:t>
      </w:r>
      <w:bookmarkEnd w:id="349"/>
      <w:r>
        <w:rPr>
          <w:rFonts w:hint="eastAsia" w:ascii="微软雅黑" w:hAnsi="微软雅黑" w:cs="微软雅黑"/>
          <w:highlight w:val="none"/>
        </w:rPr>
        <w:t xml:space="preserve"> </w:t>
      </w:r>
      <w:r/>
    </w:p>
    <w:p>
      <w:pPr>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ind w:firstLine="420"/>
        <w:jc w:val="right"/>
        <w:spacing w:line="420" w:lineRule="exact"/>
        <w:rPr>
          <w:rFonts w:hint="eastAsia" w:ascii="微软雅黑" w:hAnsi="微软雅黑" w:cs="微软雅黑"/>
          <w:highlight w:val="none"/>
        </w:rPr>
      </w:pPr>
      <w:r/>
      <w:bookmarkStart w:id="350" w:name="_Toc7691"/>
      <w:r>
        <w:rPr>
          <w:rFonts w:hint="eastAsia" w:ascii="微软雅黑" w:hAnsi="微软雅黑" w:cs="微软雅黑"/>
          <w:highlight w:val="none"/>
        </w:rPr>
        <w:t xml:space="preserve">企业名称（盖章）：</w:t>
      </w:r>
      <w:bookmarkEnd w:id="350"/>
      <w:r>
        <w:rPr>
          <w:rFonts w:hint="eastAsia" w:ascii="微软雅黑" w:hAnsi="微软雅黑" w:cs="微软雅黑"/>
          <w:highlight w:val="none"/>
        </w:rPr>
        <w:t xml:space="preserve"> </w:t>
      </w:r>
      <w:r/>
    </w:p>
    <w:p>
      <w:pPr>
        <w:ind w:firstLine="420"/>
        <w:jc w:val="right"/>
        <w:spacing w:line="420" w:lineRule="exact"/>
        <w:rPr>
          <w:rFonts w:hint="eastAsia" w:ascii="微软雅黑" w:hAnsi="微软雅黑" w:cs="微软雅黑"/>
          <w:highlight w:val="none"/>
        </w:rPr>
      </w:pPr>
      <w:r/>
      <w:bookmarkStart w:id="351" w:name="_Toc8519"/>
      <w:r>
        <w:rPr>
          <w:rFonts w:hint="eastAsia" w:ascii="微软雅黑" w:hAnsi="微软雅黑" w:cs="微软雅黑"/>
          <w:highlight w:val="none"/>
        </w:rPr>
        <w:t xml:space="preserve">日 期：</w:t>
      </w:r>
      <w:bookmarkEnd w:id="351"/>
      <w:r/>
      <w:r/>
    </w:p>
    <w:p>
      <w:pPr>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ind w:firstLine="420"/>
        <w:spacing w:line="420" w:lineRule="exact"/>
        <w:rPr>
          <w:rFonts w:hint="eastAsia" w:ascii="微软雅黑" w:hAnsi="微软雅黑" w:cs="微软雅黑"/>
          <w:szCs w:val="21"/>
          <w:highlight w:val="none"/>
        </w:rPr>
      </w:pPr>
      <w:r>
        <w:rPr>
          <w:rFonts w:hint="eastAsia" w:ascii="微软雅黑" w:hAnsi="微软雅黑" w:cs="微软雅黑"/>
          <w:highlight w:val="none"/>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spacing w:line="420" w:lineRule="exact"/>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spacing w:line="300" w:lineRule="exact"/>
        <w:rPr>
          <w:rFonts w:hint="eastAsia" w:ascii="微软雅黑" w:hAnsi="微软雅黑" w:cs="微软雅黑"/>
          <w:b/>
          <w:bCs/>
          <w:szCs w:val="21"/>
          <w:highlight w:val="none"/>
        </w:rPr>
      </w:pPr>
      <w:r/>
      <w:bookmarkStart w:id="352" w:name="_Toc17448"/>
      <w:r/>
      <w:bookmarkStart w:id="353" w:name="_Toc25461"/>
      <w:r>
        <w:rPr>
          <w:rFonts w:hint="eastAsia" w:ascii="微软雅黑" w:hAnsi="微软雅黑" w:cs="微软雅黑"/>
          <w:b/>
          <w:bCs/>
          <w:szCs w:val="21"/>
          <w:highlight w:val="none"/>
          <w:lang w:val="zh-CN"/>
        </w:rPr>
        <w:br w:type="page" w:clear="all"/>
      </w:r>
      <w:r>
        <w:rPr>
          <w:rFonts w:hint="eastAsia" w:ascii="微软雅黑" w:hAnsi="微软雅黑" w:cs="微软雅黑"/>
          <w:b/>
          <w:bCs/>
          <w:szCs w:val="21"/>
          <w:highlight w:val="none"/>
          <w:lang w:val="zh-CN"/>
        </w:rPr>
        <w:t xml:space="preserve">供应商情况告知表</w:t>
      </w:r>
      <w:r>
        <w:rPr>
          <w:rFonts w:hint="eastAsia" w:ascii="微软雅黑" w:hAnsi="微软雅黑" w:cs="微软雅黑"/>
          <w:b/>
          <w:bCs/>
          <w:szCs w:val="21"/>
          <w:highlight w:val="none"/>
        </w:rPr>
        <w:t xml:space="preserve">—附表</w:t>
      </w:r>
      <w:bookmarkEnd w:id="352"/>
      <w:r/>
      <w:r/>
    </w:p>
    <w:p>
      <w:pPr>
        <w:pStyle w:val="1161"/>
        <w:spacing w:line="3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中小微企业划型标准如下：</w:t>
      </w:r>
      <w:r/>
    </w:p>
    <w:tbl>
      <w:tblPr>
        <w:tblStyle w:val="115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jc w:val="left"/>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软件和信息技术服务</w:t>
            </w:r>
            <w:r>
              <w:rPr>
                <w:rFonts w:hint="eastAsia" w:ascii="微软雅黑" w:hAnsi="微软雅黑" w:eastAsia="微软雅黑" w:cs="微软雅黑"/>
                <w:b/>
                <w:szCs w:val="21"/>
                <w:highlight w:val="none"/>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bl>
    <w:p>
      <w:pPr>
        <w:pStyle w:val="1157"/>
        <w:ind w:firstLine="376"/>
        <w:spacing w:line="300" w:lineRule="exact"/>
        <w:rPr>
          <w:rFonts w:hint="eastAsia" w:ascii="微软雅黑" w:hAnsi="微软雅黑" w:cs="微软雅黑"/>
          <w:spacing w:val="-3"/>
          <w:highlight w:val="none"/>
        </w:rPr>
      </w:pPr>
      <w:r>
        <w:rPr>
          <w:rFonts w:hint="eastAsia" w:ascii="微软雅黑" w:hAnsi="微软雅黑" w:cs="微软雅黑"/>
          <w:spacing w:val="-11"/>
          <w:highlight w:val="none"/>
        </w:rPr>
        <w:t xml:space="preserve">说明：上述标准参照《关于印发中小企业划型标准规定的通知</w:t>
      </w:r>
      <w:r>
        <w:rPr>
          <w:rFonts w:hint="eastAsia" w:ascii="微软雅黑" w:hAnsi="微软雅黑" w:cs="微软雅黑"/>
          <w:spacing w:val="-157"/>
          <w:highlight w:val="none"/>
        </w:rPr>
        <w:t xml:space="preserve">》</w:t>
      </w:r>
      <w:r>
        <w:rPr>
          <w:rFonts w:hint="eastAsia" w:ascii="微软雅黑" w:hAnsi="微软雅黑" w:cs="微软雅黑"/>
          <w:spacing w:val="-3"/>
          <w:highlight w:val="none"/>
        </w:rPr>
        <w:t xml:space="preserve">》（</w:t>
      </w:r>
      <w:r>
        <w:rPr>
          <w:rFonts w:hint="eastAsia" w:ascii="微软雅黑" w:hAnsi="微软雅黑" w:cs="微软雅黑"/>
          <w:spacing w:val="-11"/>
          <w:highlight w:val="none"/>
        </w:rPr>
        <w:t xml:space="preserve">工信部联企业〔</w:t>
      </w:r>
      <w:r>
        <w:rPr>
          <w:rFonts w:hint="eastAsia" w:ascii="微软雅黑" w:hAnsi="微软雅黑" w:cs="微软雅黑"/>
          <w:highlight w:val="none"/>
        </w:rPr>
        <w:t xml:space="preserve">2011〕300号</w:t>
      </w:r>
      <w:r>
        <w:rPr>
          <w:rFonts w:hint="eastAsia" w:ascii="微软雅黑" w:hAnsi="微软雅黑" w:cs="微软雅黑"/>
          <w:spacing w:val="-108"/>
          <w:highlight w:val="none"/>
        </w:rPr>
        <w:t xml:space="preserve">）</w:t>
      </w:r>
      <w:r>
        <w:rPr>
          <w:rFonts w:hint="eastAsia" w:ascii="微软雅黑" w:hAnsi="微软雅黑" w:cs="微软雅黑"/>
          <w:spacing w:val="-3"/>
          <w:highlight w:val="none"/>
        </w:rPr>
        <w:t xml:space="preserve">），大型、中型和小型企业须同时满足所列指标的下限，否则下划一档；微型企业只须满足所列指标中的一项即可。</w:t>
      </w:r>
      <w:r/>
    </w:p>
    <w:p>
      <w:pPr>
        <w:pStyle w:val="1148"/>
        <w:spacing w:line="300" w:lineRule="exact"/>
        <w:rPr>
          <w:rFonts w:hint="eastAsia" w:ascii="微软雅黑" w:hAnsi="微软雅黑" w:eastAsia="微软雅黑" w:cs="微软雅黑"/>
          <w:szCs w:val="24"/>
          <w:highlight w:val="none"/>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szCs w:val="24"/>
          <w:highlight w:val="none"/>
        </w:rPr>
      </w:r>
      <w:r/>
    </w:p>
    <w:p>
      <w:pPr>
        <w:pStyle w:val="1148"/>
        <w:spacing w:line="420" w:lineRule="exact"/>
        <w:rPr>
          <w:rFonts w:hint="eastAsia" w:ascii="微软雅黑" w:hAnsi="微软雅黑" w:eastAsia="微软雅黑" w:cs="微软雅黑"/>
          <w:b/>
          <w:bCs/>
          <w:sz w:val="24"/>
          <w:szCs w:val="24"/>
          <w:highlight w:val="none"/>
        </w:rPr>
      </w:pPr>
      <w:r/>
      <w:bookmarkStart w:id="354" w:name="_Toc27170"/>
      <w:r/>
      <w:bookmarkStart w:id="355" w:name="_Toc481"/>
      <w:r/>
      <w:bookmarkStart w:id="356" w:name="_Toc26178"/>
      <w:r/>
      <w:bookmarkStart w:id="357" w:name="_Toc10360"/>
      <w:r/>
      <w:bookmarkStart w:id="358" w:name="_Toc28560"/>
      <w:r/>
      <w:bookmarkStart w:id="359" w:name="_Toc21219"/>
      <w:r>
        <w:rPr>
          <w:rFonts w:hint="eastAsia" w:ascii="微软雅黑" w:hAnsi="微软雅黑" w:eastAsia="微软雅黑" w:cs="微软雅黑"/>
          <w:b/>
          <w:bCs/>
          <w:sz w:val="24"/>
          <w:szCs w:val="24"/>
          <w:highlight w:val="none"/>
        </w:rPr>
        <w:t xml:space="preserve">附件2.残疾人福利性单位声明函</w:t>
      </w:r>
      <w:bookmarkEnd w:id="353"/>
      <w:r/>
      <w:bookmarkEnd w:id="354"/>
      <w:r/>
      <w:bookmarkEnd w:id="355"/>
      <w:r/>
      <w:bookmarkEnd w:id="356"/>
      <w:r/>
      <w:bookmarkEnd w:id="357"/>
      <w:r/>
      <w:bookmarkEnd w:id="358"/>
      <w:r/>
      <w:bookmarkEnd w:id="359"/>
      <w:r/>
      <w:r/>
    </w:p>
    <w:p>
      <w:pP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（如不属于残疾人福利性单位，则无需提供此声明函）</w:t>
      </w:r>
      <w:r/>
    </w:p>
    <w:p>
      <w:pPr>
        <w:rPr>
          <w:rFonts w:hint="eastAsia" w:ascii="微软雅黑" w:hAnsi="微软雅黑" w:cs="微软雅黑"/>
          <w:highlight w:val="none"/>
        </w:rPr>
      </w:pPr>
      <w:r>
        <w:rPr>
          <w:rFonts w:hint="eastAsia" w:ascii="微软雅黑" w:hAnsi="微软雅黑" w:cs="微软雅黑"/>
          <w:highlight w:val="none"/>
        </w:rPr>
      </w:r>
      <w:r/>
    </w:p>
    <w:p>
      <w:pPr>
        <w:pStyle w:val="1180"/>
        <w:ind w:firstLine="420"/>
        <w:jc w:val="center"/>
        <w:spacing w:before="106" w:beforeAutospacing="0" w:after="106" w:afterAutospacing="0" w:line="30" w:lineRule="atLeast"/>
        <w:rPr>
          <w:rFonts w:hint="eastAsia" w:ascii="微软雅黑" w:hAnsi="微软雅黑" w:eastAsia="微软雅黑" w:cs="微软雅黑"/>
          <w:bCs/>
          <w:sz w:val="28"/>
          <w:szCs w:val="32"/>
          <w:highlight w:val="none"/>
        </w:rPr>
      </w:pPr>
      <w:r>
        <w:rPr>
          <w:rFonts w:hint="eastAsia" w:ascii="微软雅黑" w:hAnsi="微软雅黑" w:eastAsia="微软雅黑" w:cs="微软雅黑"/>
          <w:bCs/>
          <w:sz w:val="28"/>
          <w:szCs w:val="32"/>
          <w:highlight w:val="none"/>
        </w:rPr>
        <w:t xml:space="preserve">残疾人福利性单位声明函</w:t>
      </w:r>
      <w:r/>
    </w:p>
    <w:p>
      <w:pPr>
        <w:pStyle w:val="1180"/>
        <w:ind w:firstLine="420"/>
        <w:jc w:val="both"/>
        <w:spacing w:before="106" w:beforeAutospacing="0" w:after="106" w:afterAutospacing="0"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单位的</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80"/>
        <w:ind w:firstLine="420"/>
        <w:jc w:val="both"/>
        <w:spacing w:before="106" w:beforeAutospacing="0" w:after="106" w:afterAutospacing="0"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本单位对上述声明的真实性负责。如有虚假，将依法承担相应责任。</w:t>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企业名称（盖章）：</w:t>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p>
    <w:p>
      <w:pPr>
        <w:pStyle w:val="1148"/>
        <w:spacing w:line="420" w:lineRule="exact"/>
        <w:rPr>
          <w:rFonts w:hint="eastAsia" w:ascii="微软雅黑" w:hAnsi="微软雅黑" w:eastAsia="微软雅黑" w:cs="微软雅黑"/>
          <w:b/>
          <w:szCs w:val="22"/>
          <w:highlight w:val="none"/>
        </w:rPr>
      </w:pPr>
      <w:r>
        <w:rPr>
          <w:rFonts w:hint="eastAsia" w:ascii="微软雅黑" w:hAnsi="微软雅黑" w:eastAsia="微软雅黑" w:cs="微软雅黑"/>
          <w:b/>
          <w:bCs/>
          <w:highlight w:val="none"/>
        </w:rPr>
        <w:br w:type="page" w:clear="all"/>
      </w:r>
      <w:bookmarkStart w:id="360" w:name="_Toc30762"/>
      <w:r/>
      <w:bookmarkStart w:id="361" w:name="_Toc10769"/>
      <w:r/>
      <w:bookmarkStart w:id="362" w:name="_Toc31239"/>
      <w:r>
        <w:rPr>
          <w:rFonts w:hint="eastAsia" w:ascii="微软雅黑" w:hAnsi="微软雅黑" w:eastAsia="微软雅黑" w:cs="微软雅黑"/>
          <w:b/>
          <w:sz w:val="24"/>
          <w:szCs w:val="24"/>
          <w:highlight w:val="none"/>
        </w:rPr>
        <w:t xml:space="preserve">附件3.关于符合本国产品标准的声明函</w:t>
      </w:r>
      <w:bookmarkEnd w:id="360"/>
      <w:r/>
      <w:bookmarkEnd w:id="361"/>
      <w:r/>
      <w:bookmarkEnd w:id="362"/>
      <w:r/>
      <w:r/>
    </w:p>
    <w:p>
      <w:pPr>
        <w:jc w:val="center"/>
        <w:spacing w:line="420" w:lineRule="exact"/>
        <w:rPr>
          <w:rFonts w:hint="eastAsia" w:ascii="微软雅黑" w:hAnsi="微软雅黑" w:cs="微软雅黑"/>
          <w:b/>
          <w:bCs/>
          <w:sz w:val="22"/>
          <w:highlight w:val="none"/>
        </w:rPr>
      </w:pPr>
      <w:r>
        <w:rPr>
          <w:rFonts w:hint="eastAsia" w:ascii="微软雅黑" w:hAnsi="微软雅黑" w:cs="微软雅黑"/>
          <w:b/>
          <w:bCs/>
          <w:sz w:val="22"/>
          <w:highlight w:val="none"/>
        </w:rPr>
        <w:t xml:space="preserve">关于符合本国产品标准的声明函</w:t>
      </w:r>
      <w:r/>
    </w:p>
    <w:p>
      <w:pPr>
        <w:pStyle w:val="1180"/>
        <w:ind w:firstLine="420"/>
        <w:spacing w:before="0" w:beforeAutospacing="0" w:after="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shd w:val="clear" w:color="auto" w:fill="ffffff"/>
        </w:rPr>
        <w:t xml:space="preserve">1.</w:t>
      </w:r>
      <w:r>
        <w:rPr>
          <w:rStyle w:val="1184"/>
          <w:rFonts w:hint="eastAsia" w:ascii="微软雅黑" w:hAnsi="微软雅黑" w:eastAsia="微软雅黑" w:cs="微软雅黑"/>
          <w:i w:val="0"/>
          <w:highlight w:val="none"/>
          <w:u w:val="single"/>
          <w:shd w:val="clear" w:color="auto" w:fill="ffffff"/>
        </w:rPr>
        <w:t xml:space="preserve">（产品名称1）</w:t>
      </w:r>
      <w:r>
        <w:rPr>
          <w:rStyle w:val="1184"/>
          <w:rFonts w:hint="eastAsia" w:ascii="微软雅黑" w:hAnsi="微软雅黑" w:eastAsia="微软雅黑" w:cs="微软雅黑"/>
          <w:i w:val="0"/>
          <w:highlight w:val="none"/>
          <w:shd w:val="clear" w:color="auto" w:fill="ffffff"/>
          <w:vertAlign w:val="superscript"/>
        </w:rPr>
        <w:t xml:space="preserve">1</w:t>
      </w:r>
      <w:r>
        <w:rPr>
          <w:rFonts w:hint="eastAsia" w:ascii="微软雅黑" w:hAnsi="微软雅黑" w:eastAsia="微软雅黑" w:cs="微软雅黑"/>
          <w:highlight w:val="none"/>
          <w:shd w:val="clear" w:color="auto" w:fill="ffffff"/>
        </w:rPr>
        <w:t xml:space="preserve">，生产厂为</w:t>
      </w:r>
      <w:r>
        <w:rPr>
          <w:rStyle w:val="1184"/>
          <w:rFonts w:hint="eastAsia" w:ascii="微软雅黑" w:hAnsi="微软雅黑" w:eastAsia="微软雅黑" w:cs="微软雅黑"/>
          <w:i w:val="0"/>
          <w:highlight w:val="none"/>
          <w:u w:val="single"/>
          <w:shd w:val="clear" w:color="auto" w:fill="ffffff"/>
        </w:rPr>
        <w:t xml:space="preserve">（厂名）</w:t>
      </w:r>
      <w:r>
        <w:rPr>
          <w:rStyle w:val="1184"/>
          <w:rFonts w:hint="eastAsia" w:ascii="微软雅黑" w:hAnsi="微软雅黑" w:eastAsia="微软雅黑" w:cs="微软雅黑"/>
          <w:i w:val="0"/>
          <w:highlight w:val="none"/>
          <w:shd w:val="clear" w:color="auto" w:fill="ffffff"/>
          <w:vertAlign w:val="superscript"/>
        </w:rPr>
        <w:t xml:space="preserve">2</w:t>
      </w:r>
      <w:r>
        <w:rPr>
          <w:rFonts w:hint="eastAsia" w:ascii="微软雅黑" w:hAnsi="微软雅黑" w:eastAsia="微软雅黑" w:cs="微软雅黑"/>
          <w:highlight w:val="none"/>
          <w:shd w:val="clear" w:color="auto" w:fill="ffffff"/>
        </w:rPr>
        <w:t xml:space="preserve">，厂址为</w:t>
      </w:r>
      <w:r>
        <w:rPr>
          <w:rStyle w:val="1184"/>
          <w:rFonts w:hint="eastAsia" w:ascii="微软雅黑" w:hAnsi="微软雅黑" w:eastAsia="微软雅黑" w:cs="微软雅黑"/>
          <w:i w:val="0"/>
          <w:highlight w:val="none"/>
          <w:u w:val="single"/>
          <w:shd w:val="clear" w:color="auto" w:fill="ffffff"/>
        </w:rPr>
        <w:t xml:space="preserve">（生产厂址）</w:t>
      </w:r>
      <w:r>
        <w:rPr>
          <w:rFonts w:hint="eastAsia" w:ascii="微软雅黑" w:hAnsi="微软雅黑" w:eastAsia="微软雅黑" w:cs="微软雅黑"/>
          <w:highlight w:val="none"/>
          <w:shd w:val="clear" w:color="auto" w:fill="ffffff"/>
        </w:rPr>
        <w:t xml:space="preserve">。</w:t>
      </w:r>
      <w:r>
        <w:rPr>
          <w:rFonts w:hint="eastAsia" w:ascii="微软雅黑" w:hAnsi="微软雅黑" w:eastAsia="微软雅黑" w:cs="微软雅黑"/>
          <w:highlight w:val="none"/>
          <w:u w:val="single"/>
          <w:shd w:val="clear" w:color="auto" w:fill="ffffff"/>
        </w:rPr>
        <w:t xml:space="preserve"> </w:t>
      </w:r>
      <w:r>
        <w:rPr>
          <w:rStyle w:val="1184"/>
          <w:rFonts w:hint="eastAsia" w:ascii="微软雅黑" w:hAnsi="微软雅黑" w:eastAsia="微软雅黑" w:cs="微软雅黑"/>
          <w:i w:val="0"/>
          <w:highlight w:val="none"/>
          <w:u w:val="single"/>
          <w:shd w:val="clear" w:color="auto" w:fill="ffffff"/>
        </w:rPr>
        <w:t xml:space="preserve">（产品名称1） </w:t>
      </w:r>
      <w:r>
        <w:rPr>
          <w:rFonts w:hint="eastAsia" w:ascii="微软雅黑" w:hAnsi="微软雅黑" w:eastAsia="微软雅黑" w:cs="微软雅黑"/>
          <w:highlight w:val="none"/>
          <w:shd w:val="clear" w:color="auto" w:fill="ffffff"/>
        </w:rPr>
        <w:t xml:space="preserve">的中国境内生产的组件成本占比≥</w:t>
      </w:r>
      <w:r>
        <w:rPr>
          <w:rStyle w:val="1184"/>
          <w:rFonts w:hint="eastAsia" w:ascii="微软雅黑" w:hAnsi="微软雅黑" w:eastAsia="微软雅黑" w:cs="微软雅黑"/>
          <w:i w:val="0"/>
          <w:highlight w:val="none"/>
          <w:u w:val="single"/>
          <w:shd w:val="clear" w:color="auto" w:fill="ffffff"/>
        </w:rPr>
        <w:t xml:space="preserve">（规定比例）</w:t>
      </w:r>
      <w:r>
        <w:rPr>
          <w:rStyle w:val="1184"/>
          <w:rFonts w:hint="eastAsia" w:ascii="微软雅黑" w:hAnsi="微软雅黑" w:eastAsia="微软雅黑" w:cs="微软雅黑"/>
          <w:i w:val="0"/>
          <w:highlight w:val="none"/>
          <w:shd w:val="clear" w:color="auto" w:fill="ffffff"/>
          <w:vertAlign w:val="superscript"/>
        </w:rPr>
        <w:t xml:space="preserve">3</w:t>
      </w:r>
      <w:r>
        <w:rPr>
          <w:rFonts w:hint="eastAsia" w:ascii="微软雅黑" w:hAnsi="微软雅黑" w:eastAsia="微软雅黑" w:cs="微软雅黑"/>
          <w:highlight w:val="none"/>
          <w:shd w:val="clear" w:color="auto" w:fill="ffffff"/>
        </w:rPr>
        <w:t xml:space="preserve">。</w:t>
      </w:r>
      <w:r>
        <w:rPr>
          <w:rStyle w:val="1184"/>
          <w:rFonts w:hint="eastAsia" w:ascii="微软雅黑" w:hAnsi="微软雅黑" w:eastAsia="微软雅黑" w:cs="微软雅黑"/>
          <w:i w:val="0"/>
          <w:highlight w:val="none"/>
          <w:u w:val="single"/>
          <w:shd w:val="clear" w:color="auto" w:fill="ffffff"/>
        </w:rPr>
        <w:t xml:space="preserve">（产品名称1）</w:t>
      </w:r>
      <w:r>
        <w:rPr>
          <w:rFonts w:hint="eastAsia" w:ascii="微软雅黑" w:hAnsi="微软雅黑" w:eastAsia="微软雅黑" w:cs="微软雅黑"/>
          <w:highlight w:val="none"/>
          <w:shd w:val="clear" w:color="auto" w:fill="ffffff"/>
        </w:rPr>
        <w:t xml:space="preserve">的</w:t>
      </w:r>
      <w:r>
        <w:rPr>
          <w:rStyle w:val="1184"/>
          <w:rFonts w:hint="eastAsia" w:ascii="微软雅黑" w:hAnsi="微软雅黑" w:eastAsia="微软雅黑" w:cs="微软雅黑"/>
          <w:i w:val="0"/>
          <w:highlight w:val="none"/>
          <w:u w:val="single"/>
          <w:shd w:val="clear" w:color="auto" w:fill="ffffff"/>
        </w:rPr>
        <w:t xml:space="preserve">（关键组件）</w:t>
      </w:r>
      <w:r>
        <w:rPr>
          <w:rStyle w:val="1184"/>
          <w:rFonts w:hint="eastAsia" w:ascii="微软雅黑" w:hAnsi="微软雅黑" w:eastAsia="微软雅黑" w:cs="微软雅黑"/>
          <w:i w:val="0"/>
          <w:highlight w:val="none"/>
          <w:shd w:val="clear" w:color="auto" w:fill="ffffff"/>
          <w:vertAlign w:val="superscript"/>
        </w:rPr>
        <w:t xml:space="preserve">4</w:t>
      </w:r>
      <w:r>
        <w:rPr>
          <w:rFonts w:hint="eastAsia" w:ascii="微软雅黑" w:hAnsi="微软雅黑" w:eastAsia="微软雅黑" w:cs="微软雅黑"/>
          <w:highlight w:val="none"/>
          <w:shd w:val="clear" w:color="auto" w:fill="ffffff"/>
        </w:rPr>
        <w:t xml:space="preserve">在中国境内生产。</w:t>
      </w:r>
      <w:r>
        <w:rPr>
          <w:rStyle w:val="1184"/>
          <w:rFonts w:hint="eastAsia" w:ascii="微软雅黑" w:hAnsi="微软雅黑" w:eastAsia="微软雅黑" w:cs="微软雅黑"/>
          <w:i w:val="0"/>
          <w:highlight w:val="none"/>
          <w:u w:val="single"/>
          <w:shd w:val="clear" w:color="auto" w:fill="ffffff"/>
        </w:rPr>
        <w:t xml:space="preserve">（产品名称1）</w:t>
      </w:r>
      <w:r>
        <w:rPr>
          <w:rFonts w:hint="eastAsia" w:ascii="微软雅黑" w:hAnsi="微软雅黑" w:eastAsia="微软雅黑" w:cs="微软雅黑"/>
          <w:highlight w:val="none"/>
          <w:shd w:val="clear" w:color="auto" w:fill="ffffff"/>
        </w:rPr>
        <w:t xml:space="preserve">的</w:t>
      </w:r>
      <w:r>
        <w:rPr>
          <w:rStyle w:val="1184"/>
          <w:rFonts w:hint="eastAsia" w:ascii="微软雅黑" w:hAnsi="微软雅黑" w:eastAsia="微软雅黑" w:cs="微软雅黑"/>
          <w:i w:val="0"/>
          <w:highlight w:val="none"/>
          <w:u w:val="single"/>
          <w:shd w:val="clear" w:color="auto" w:fill="ffffff"/>
        </w:rPr>
        <w:t xml:space="preserve">（关键工序）</w:t>
      </w:r>
      <w:r>
        <w:rPr>
          <w:rStyle w:val="1184"/>
          <w:rFonts w:hint="eastAsia" w:ascii="微软雅黑" w:hAnsi="微软雅黑" w:eastAsia="微软雅黑" w:cs="微软雅黑"/>
          <w:i w:val="0"/>
          <w:highlight w:val="none"/>
          <w:shd w:val="clear" w:color="auto" w:fill="ffffff"/>
          <w:vertAlign w:val="superscript"/>
        </w:rPr>
        <w:t xml:space="preserve">5</w:t>
      </w:r>
      <w:r>
        <w:rPr>
          <w:rFonts w:hint="eastAsia" w:ascii="微软雅黑" w:hAnsi="微软雅黑" w:eastAsia="微软雅黑" w:cs="微软雅黑"/>
          <w:highlight w:val="none"/>
          <w:shd w:val="clear" w:color="auto" w:fill="ffffff"/>
        </w:rPr>
        <w:t xml:space="preserve">在中国境内完成。</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本公司（单位）对上述声明内容的真实性负责。如有虚假，愿承担相应法律责任。</w:t>
      </w:r>
      <w:r/>
    </w:p>
    <w:p>
      <w:pPr>
        <w:pStyle w:val="118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w:r>
      <w:r/>
    </w:p>
    <w:p>
      <w:pPr>
        <w:pStyle w:val="1180"/>
        <w:ind w:right="480" w:firstLine="37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公司（单位）名称（盖章）：　        </w:t>
      </w:r>
      <w:r/>
    </w:p>
    <w:p>
      <w:pPr>
        <w:pStyle w:val="1180"/>
        <w:jc w:val="center"/>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                                日期：　   年　  月　  日         </w:t>
      </w:r>
      <w:r/>
    </w:p>
    <w:p>
      <w:pPr>
        <w:pStyle w:val="118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__________________</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1.产品如有型号，请在“产品名称”栏一并填写。</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2.生产厂名与厂址应与生产厂营业执照载明的相关信息保持一致。</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3.该产品的中国境内生产的组件成本占比相关要求实施前，“规定比例”栏可不填，下同。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4.该产品的关键组件要求实施前，“关键组件”栏可不填，下同。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shd w:val="clear" w:color="auto" w:fill="ffffff"/>
        </w:rPr>
      </w:pPr>
      <w:r>
        <w:rPr>
          <w:rFonts w:hint="eastAsia" w:ascii="微软雅黑" w:hAnsi="微软雅黑" w:eastAsia="微软雅黑" w:cs="微软雅黑"/>
          <w:sz w:val="22"/>
          <w:highlight w:val="none"/>
          <w:shd w:val="clear" w:color="auto" w:fill="ffffff"/>
        </w:rPr>
        <w:t xml:space="preserve">5.该产品的关键工序要求实施前，“关键工序”栏可不填，下同。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shd w:val="clear" w:color="auto" w:fill="ffffff"/>
        </w:rPr>
      </w:pPr>
      <w:r>
        <w:rPr>
          <w:rFonts w:hint="eastAsia" w:ascii="微软雅黑" w:hAnsi="微软雅黑" w:eastAsia="微软雅黑" w:cs="微软雅黑"/>
          <w:sz w:val="22"/>
          <w:highlight w:val="none"/>
          <w:shd w:val="clear" w:color="auto" w:fill="ffffff"/>
        </w:rPr>
        <w:t xml:space="preserve">6.用斜线划除的地方无需填写。</w:t>
      </w:r>
      <w:r/>
    </w:p>
    <w:p>
      <w:pPr>
        <w:pStyle w:val="1180"/>
        <w:ind w:firstLine="420"/>
        <w:jc w:val="both"/>
        <w:spacing w:before="106" w:beforeAutospacing="0" w:after="106"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rPr>
          <w:rFonts w:hint="eastAsia" w:ascii="微软雅黑" w:hAnsi="微软雅黑" w:cs="微软雅黑"/>
          <w:highlight w:val="none"/>
        </w:rPr>
      </w:pPr>
      <w:r>
        <w:rPr>
          <w:rFonts w:hint="eastAsia" w:ascii="微软雅黑" w:hAnsi="微软雅黑" w:cs="微软雅黑"/>
          <w:highlight w:val="none"/>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苏采云编号待定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93"/>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9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52"/>
      <w:isLgl w:val="false"/>
      <w:suff w:val="tab"/>
      <w:lvlText w:val="%1)"/>
      <w:lvlJc w:val="left"/>
      <w:pPr>
        <w:ind w:left="990" w:hanging="360"/>
        <w:tabs>
          <w:tab w:val="left" w:pos="990" w:leader="none"/>
        </w:tabs>
      </w:pPr>
      <w:rPr>
        <w:rFonts w:hint="eastAsia"/>
      </w:rPr>
    </w:lvl>
    <w:lvl w:ilvl="1">
      <w:start w:val="1"/>
      <w:numFmt w:val="lowerLetter"/>
      <w:pStyle w:val="1478"/>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bullet"/>
      <w:pStyle w:val="1526"/>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japaneseCounting"/>
      <w:pStyle w:val="1531"/>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80"/>
      <w:isLgl w:val="false"/>
      <w:suff w:val="tab"/>
      <w:lvlText w:val="%1."/>
      <w:lvlJc w:val="left"/>
      <w:pPr>
        <w:tabs>
          <w:tab w:val="left" w:pos="360" w:leader="none"/>
        </w:tabs>
      </w:pPr>
      <w:rPr>
        <w:rFonts w:hint="eastAsia"/>
      </w:rPr>
    </w:lvl>
    <w:lvl w:ilvl="1">
      <w:start w:val="1"/>
      <w:numFmt w:val="decimal"/>
      <w:pStyle w:val="1485"/>
      <w:isLgl w:val="false"/>
      <w:suff w:val="tab"/>
      <w:lvlText w:val="%1.%2"/>
      <w:lvlJc w:val="left"/>
      <w:pPr>
        <w:tabs>
          <w:tab w:val="left" w:pos="720" w:leader="none"/>
        </w:tabs>
      </w:pPr>
      <w:rPr>
        <w:rFonts w:hint="eastAsia"/>
        <w:b w:val="0"/>
        <w:bCs w:val="0"/>
        <w:i w:val="0"/>
        <w:iCs w:val="0"/>
      </w:rPr>
    </w:lvl>
    <w:lvl w:ilvl="2">
      <w:start w:val="1"/>
      <w:numFmt w:val="decimal"/>
      <w:pStyle w:val="1492"/>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17"/>
  </w:num>
  <w:num w:numId="3">
    <w:abstractNumId w:val="7"/>
  </w:num>
  <w:num w:numId="4">
    <w:abstractNumId w:val="0"/>
  </w:num>
  <w:num w:numId="5">
    <w:abstractNumId w:val="11"/>
  </w:num>
  <w:num w:numId="6">
    <w:abstractNumId w:val="13"/>
  </w:num>
  <w:num w:numId="7">
    <w:abstractNumId w:val="16"/>
  </w:num>
  <w:num w:numId="8">
    <w:abstractNumId w:val="4"/>
  </w:num>
  <w:num w:numId="9">
    <w:abstractNumId w:val="9"/>
  </w:num>
  <w:num w:numId="10">
    <w:abstractNumId w:val="3"/>
  </w:num>
  <w:num w:numId="11">
    <w:abstractNumId w:val="2"/>
  </w:num>
  <w:num w:numId="12">
    <w:abstractNumId w:val="1"/>
  </w:num>
  <w:num w:numId="13">
    <w:abstractNumId w:val="12"/>
  </w:num>
  <w:num w:numId="14">
    <w:abstractNumId w:val="5"/>
  </w:num>
  <w:num w:numId="15">
    <w:abstractNumId w:val="8"/>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09">
    <w:name w:val="Heading 1 Char"/>
    <w:basedOn w:val="1155"/>
    <w:link w:val="1146"/>
    <w:uiPriority w:val="9"/>
    <w:rPr>
      <w:rFonts w:ascii="Arial" w:hAnsi="Arial" w:eastAsia="Arial" w:cs="Arial"/>
      <w:sz w:val="40"/>
      <w:szCs w:val="40"/>
    </w:rPr>
  </w:style>
  <w:style w:type="character" w:styleId="1110">
    <w:name w:val="Heading 2 Char"/>
    <w:basedOn w:val="1155"/>
    <w:link w:val="1147"/>
    <w:uiPriority w:val="9"/>
    <w:rPr>
      <w:rFonts w:ascii="Arial" w:hAnsi="Arial" w:eastAsia="Arial" w:cs="Arial"/>
      <w:sz w:val="34"/>
    </w:rPr>
  </w:style>
  <w:style w:type="character" w:styleId="1111">
    <w:name w:val="Heading 3 Char"/>
    <w:basedOn w:val="1155"/>
    <w:link w:val="1148"/>
    <w:uiPriority w:val="9"/>
    <w:rPr>
      <w:rFonts w:ascii="Arial" w:hAnsi="Arial" w:eastAsia="Arial" w:cs="Arial"/>
      <w:sz w:val="30"/>
      <w:szCs w:val="30"/>
    </w:rPr>
  </w:style>
  <w:style w:type="character" w:styleId="1112">
    <w:name w:val="Heading 4 Char"/>
    <w:basedOn w:val="1155"/>
    <w:link w:val="1149"/>
    <w:uiPriority w:val="9"/>
    <w:rPr>
      <w:rFonts w:ascii="Arial" w:hAnsi="Arial" w:eastAsia="Arial" w:cs="Arial"/>
      <w:b/>
      <w:bCs/>
      <w:sz w:val="26"/>
      <w:szCs w:val="26"/>
    </w:rPr>
  </w:style>
  <w:style w:type="character" w:styleId="1113">
    <w:name w:val="Heading 5 Char"/>
    <w:basedOn w:val="1155"/>
    <w:link w:val="1150"/>
    <w:uiPriority w:val="9"/>
    <w:rPr>
      <w:rFonts w:ascii="Arial" w:hAnsi="Arial" w:eastAsia="Arial" w:cs="Arial"/>
      <w:b/>
      <w:bCs/>
      <w:sz w:val="24"/>
      <w:szCs w:val="24"/>
    </w:rPr>
  </w:style>
  <w:style w:type="character" w:styleId="1114">
    <w:name w:val="Heading 6 Char"/>
    <w:basedOn w:val="1155"/>
    <w:link w:val="1151"/>
    <w:uiPriority w:val="9"/>
    <w:rPr>
      <w:rFonts w:ascii="Arial" w:hAnsi="Arial" w:eastAsia="Arial" w:cs="Arial"/>
      <w:b/>
      <w:bCs/>
      <w:sz w:val="22"/>
      <w:szCs w:val="22"/>
    </w:rPr>
  </w:style>
  <w:style w:type="character" w:styleId="1115">
    <w:name w:val="Heading 7 Char"/>
    <w:basedOn w:val="1155"/>
    <w:link w:val="1152"/>
    <w:uiPriority w:val="9"/>
    <w:rPr>
      <w:rFonts w:ascii="Arial" w:hAnsi="Arial" w:eastAsia="Arial" w:cs="Arial"/>
      <w:b/>
      <w:bCs/>
      <w:i/>
      <w:iCs/>
      <w:sz w:val="22"/>
      <w:szCs w:val="22"/>
    </w:rPr>
  </w:style>
  <w:style w:type="character" w:styleId="1116">
    <w:name w:val="Heading 8 Char"/>
    <w:basedOn w:val="1155"/>
    <w:link w:val="1153"/>
    <w:uiPriority w:val="9"/>
    <w:rPr>
      <w:rFonts w:ascii="Arial" w:hAnsi="Arial" w:eastAsia="Arial" w:cs="Arial"/>
      <w:i/>
      <w:iCs/>
      <w:sz w:val="22"/>
      <w:szCs w:val="22"/>
    </w:rPr>
  </w:style>
  <w:style w:type="character" w:styleId="1117">
    <w:name w:val="Heading 9 Char"/>
    <w:basedOn w:val="1155"/>
    <w:link w:val="1154"/>
    <w:uiPriority w:val="9"/>
    <w:rPr>
      <w:rFonts w:ascii="Arial" w:hAnsi="Arial" w:eastAsia="Arial" w:cs="Arial"/>
      <w:i/>
      <w:iCs/>
      <w:sz w:val="21"/>
      <w:szCs w:val="21"/>
    </w:rPr>
  </w:style>
  <w:style w:type="character" w:styleId="1118">
    <w:name w:val="Title Char"/>
    <w:basedOn w:val="1155"/>
    <w:link w:val="1181"/>
    <w:uiPriority w:val="10"/>
    <w:rPr>
      <w:sz w:val="48"/>
      <w:szCs w:val="48"/>
    </w:rPr>
  </w:style>
  <w:style w:type="character" w:styleId="1119">
    <w:name w:val="Subtitle Char"/>
    <w:basedOn w:val="1155"/>
    <w:link w:val="1174"/>
    <w:uiPriority w:val="11"/>
    <w:rPr>
      <w:sz w:val="24"/>
      <w:szCs w:val="24"/>
    </w:rPr>
  </w:style>
  <w:style w:type="character" w:styleId="1120">
    <w:name w:val="Quote Char"/>
    <w:link w:val="1210"/>
    <w:uiPriority w:val="29"/>
    <w:rPr>
      <w:i/>
    </w:rPr>
  </w:style>
  <w:style w:type="character" w:styleId="1121">
    <w:name w:val="Header Char"/>
    <w:basedOn w:val="1155"/>
    <w:link w:val="1171"/>
    <w:uiPriority w:val="99"/>
  </w:style>
  <w:style w:type="character" w:styleId="1122">
    <w:name w:val="Caption Char"/>
    <w:basedOn w:val="1159"/>
    <w:link w:val="1170"/>
    <w:uiPriority w:val="99"/>
  </w:style>
  <w:style w:type="table" w:styleId="1123">
    <w:name w:val="Plain Table 1"/>
    <w:basedOn w:val="11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4">
    <w:name w:val="Plain Table 2"/>
    <w:basedOn w:val="11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5">
    <w:name w:val="Plain Table 3"/>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6">
    <w:name w:val="Plain Table 4"/>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name w:val="Plain Table 5"/>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8">
    <w:name w:val="Grid Table 1 Light"/>
    <w:basedOn w:val="11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9">
    <w:name w:val="Grid Table 2"/>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0">
    <w:name w:val="Grid Table 3"/>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4"/>
    <w:basedOn w:val="11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name w:val="Grid Table 5 Dark"/>
    <w:basedOn w:val="11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6 Colorful"/>
    <w:basedOn w:val="11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4">
    <w:name w:val="Grid Table 7 Colorful"/>
    <w:basedOn w:val="11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List Table 1 Light"/>
    <w:basedOn w:val="11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name w:val="List Table 2"/>
    <w:basedOn w:val="11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7">
    <w:name w:val="List Table 3"/>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8">
    <w:name w:val="List Table 4"/>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5 Dark"/>
    <w:basedOn w:val="11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6 Colorful"/>
    <w:basedOn w:val="11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1">
    <w:name w:val="List Table 7 Colorful"/>
    <w:basedOn w:val="11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42">
    <w:name w:val="Footnote Text Char"/>
    <w:link w:val="1175"/>
    <w:uiPriority w:val="99"/>
    <w:rPr>
      <w:sz w:val="18"/>
    </w:rPr>
  </w:style>
  <w:style w:type="character" w:styleId="1143">
    <w:name w:val="Endnote Text Char"/>
    <w:link w:val="1169"/>
    <w:uiPriority w:val="99"/>
    <w:rPr>
      <w:sz w:val="20"/>
    </w:rPr>
  </w:style>
  <w:style w:type="paragraph" w:styleId="1144">
    <w:name w:val="TOC Heading"/>
    <w:uiPriority w:val="39"/>
    <w:unhideWhenUsed/>
  </w:style>
  <w:style w:type="paragraph" w:styleId="1145" w:default="1">
    <w:name w:val="Normal"/>
    <w:next w:val="1157"/>
    <w:uiPriority w:val="0"/>
    <w:qFormat/>
    <w:pPr>
      <w:jc w:val="both"/>
      <w:widowControl w:val="off"/>
    </w:pPr>
    <w:rPr>
      <w:rFonts w:ascii="Times New Roman" w:hAnsi="Times New Roman" w:eastAsia="微软雅黑" w:cs="Times New Roman"/>
      <w:sz w:val="21"/>
      <w:szCs w:val="22"/>
      <w:lang w:val="en-US" w:eastAsia="zh-CN" w:bidi="ar-SA"/>
    </w:rPr>
  </w:style>
  <w:style w:type="paragraph" w:styleId="1146">
    <w:name w:val="Heading 1"/>
    <w:basedOn w:val="1145"/>
    <w:next w:val="1145"/>
    <w:link w:val="1198"/>
    <w:uiPriority w:val="9"/>
    <w:qFormat/>
    <w:pPr>
      <w:keepLines/>
      <w:keepNext/>
      <w:spacing w:before="480" w:after="200"/>
      <w:outlineLvl w:val="0"/>
    </w:pPr>
    <w:rPr>
      <w:rFonts w:ascii="Arial" w:hAnsi="Arial" w:eastAsia="Arial" w:cs="Arial"/>
      <w:sz w:val="40"/>
      <w:szCs w:val="40"/>
    </w:rPr>
  </w:style>
  <w:style w:type="paragraph" w:styleId="1147">
    <w:name w:val="Heading 2"/>
    <w:basedOn w:val="1146"/>
    <w:next w:val="1157"/>
    <w:link w:val="1199"/>
    <w:uiPriority w:val="9"/>
    <w:unhideWhenUsed/>
    <w:qFormat/>
    <w:pPr>
      <w:keepLines/>
      <w:keepNext/>
      <w:spacing w:before="360" w:after="200"/>
      <w:outlineLvl w:val="1"/>
    </w:pPr>
    <w:rPr>
      <w:rFonts w:ascii="Arial" w:hAnsi="Arial" w:eastAsia="Arial" w:cs="Arial"/>
      <w:sz w:val="34"/>
    </w:rPr>
  </w:style>
  <w:style w:type="paragraph" w:styleId="1148">
    <w:name w:val="Heading 3"/>
    <w:basedOn w:val="1145"/>
    <w:next w:val="1145"/>
    <w:link w:val="1200"/>
    <w:uiPriority w:val="9"/>
    <w:unhideWhenUsed/>
    <w:qFormat/>
    <w:pPr>
      <w:keepLines/>
      <w:keepNext/>
      <w:spacing w:before="320" w:after="200"/>
      <w:outlineLvl w:val="2"/>
    </w:pPr>
    <w:rPr>
      <w:rFonts w:ascii="Arial" w:hAnsi="Arial" w:eastAsia="Arial" w:cs="Arial"/>
      <w:sz w:val="30"/>
      <w:szCs w:val="30"/>
    </w:rPr>
  </w:style>
  <w:style w:type="paragraph" w:styleId="1149">
    <w:name w:val="Heading 4"/>
    <w:basedOn w:val="1145"/>
    <w:next w:val="1145"/>
    <w:link w:val="1201"/>
    <w:uiPriority w:val="9"/>
    <w:unhideWhenUsed/>
    <w:qFormat/>
    <w:pPr>
      <w:keepLines/>
      <w:keepNext/>
      <w:spacing w:before="320" w:after="200"/>
      <w:outlineLvl w:val="3"/>
    </w:pPr>
    <w:rPr>
      <w:rFonts w:ascii="Arial" w:hAnsi="Arial" w:eastAsia="Arial" w:cs="Arial"/>
      <w:b/>
      <w:bCs/>
      <w:sz w:val="26"/>
      <w:szCs w:val="26"/>
    </w:rPr>
  </w:style>
  <w:style w:type="paragraph" w:styleId="1150">
    <w:name w:val="Heading 5"/>
    <w:basedOn w:val="1145"/>
    <w:next w:val="1145"/>
    <w:link w:val="1202"/>
    <w:uiPriority w:val="9"/>
    <w:unhideWhenUsed/>
    <w:qFormat/>
    <w:pPr>
      <w:keepLines/>
      <w:keepNext/>
      <w:spacing w:before="320" w:after="200"/>
      <w:outlineLvl w:val="4"/>
    </w:pPr>
    <w:rPr>
      <w:rFonts w:ascii="Arial" w:hAnsi="Arial" w:eastAsia="Arial" w:cs="Arial"/>
      <w:b/>
      <w:bCs/>
      <w:sz w:val="24"/>
      <w:szCs w:val="24"/>
    </w:rPr>
  </w:style>
  <w:style w:type="paragraph" w:styleId="1151">
    <w:name w:val="Heading 6"/>
    <w:basedOn w:val="1145"/>
    <w:next w:val="1145"/>
    <w:link w:val="1203"/>
    <w:uiPriority w:val="9"/>
    <w:unhideWhenUsed/>
    <w:qFormat/>
    <w:pPr>
      <w:keepLines/>
      <w:keepNext/>
      <w:spacing w:before="320" w:after="200"/>
      <w:outlineLvl w:val="5"/>
    </w:pPr>
    <w:rPr>
      <w:rFonts w:ascii="Arial" w:hAnsi="Arial" w:eastAsia="Arial" w:cs="Arial"/>
      <w:b/>
      <w:bCs/>
      <w:sz w:val="22"/>
    </w:rPr>
  </w:style>
  <w:style w:type="paragraph" w:styleId="1152">
    <w:name w:val="Heading 7"/>
    <w:basedOn w:val="1145"/>
    <w:next w:val="1145"/>
    <w:link w:val="1204"/>
    <w:uiPriority w:val="9"/>
    <w:unhideWhenUsed/>
    <w:qFormat/>
    <w:pPr>
      <w:keepLines/>
      <w:keepNext/>
      <w:spacing w:before="320" w:after="200"/>
      <w:outlineLvl w:val="6"/>
    </w:pPr>
    <w:rPr>
      <w:rFonts w:ascii="Arial" w:hAnsi="Arial" w:eastAsia="Arial" w:cs="Arial"/>
      <w:b/>
      <w:bCs/>
      <w:i/>
      <w:iCs/>
      <w:sz w:val="22"/>
    </w:rPr>
  </w:style>
  <w:style w:type="paragraph" w:styleId="1153">
    <w:name w:val="Heading 8"/>
    <w:basedOn w:val="1145"/>
    <w:next w:val="1145"/>
    <w:link w:val="1205"/>
    <w:uiPriority w:val="9"/>
    <w:unhideWhenUsed/>
    <w:qFormat/>
    <w:pPr>
      <w:keepLines/>
      <w:keepNext/>
      <w:spacing w:before="320" w:after="200"/>
      <w:outlineLvl w:val="7"/>
    </w:pPr>
    <w:rPr>
      <w:rFonts w:ascii="Arial" w:hAnsi="Arial" w:eastAsia="Arial" w:cs="Arial"/>
      <w:i/>
      <w:iCs/>
      <w:sz w:val="22"/>
    </w:rPr>
  </w:style>
  <w:style w:type="paragraph" w:styleId="1154">
    <w:name w:val="Heading 9"/>
    <w:basedOn w:val="1145"/>
    <w:next w:val="1145"/>
    <w:link w:val="1206"/>
    <w:uiPriority w:val="9"/>
    <w:unhideWhenUsed/>
    <w:qFormat/>
    <w:pPr>
      <w:keepLines/>
      <w:keepNext/>
      <w:spacing w:before="320" w:after="200"/>
      <w:outlineLvl w:val="8"/>
    </w:pPr>
    <w:rPr>
      <w:rFonts w:ascii="Arial" w:hAnsi="Arial" w:eastAsia="Arial" w:cs="Arial"/>
      <w:i/>
      <w:iCs/>
      <w:szCs w:val="21"/>
    </w:rPr>
  </w:style>
  <w:style w:type="character" w:styleId="1155" w:default="1">
    <w:name w:val="Default Paragraph Font"/>
    <w:uiPriority w:val="1"/>
    <w:semiHidden/>
    <w:unhideWhenUsed/>
    <w:qFormat/>
  </w:style>
  <w:style w:type="table" w:styleId="1156" w:default="1">
    <w:name w:val="Normal Table"/>
    <w:uiPriority w:val="99"/>
    <w:semiHidden/>
    <w:unhideWhenUsed/>
    <w:qFormat/>
    <w:tblPr>
      <w:tblCellMar>
        <w:left w:w="108" w:type="dxa"/>
        <w:top w:w="0" w:type="dxa"/>
        <w:right w:w="108" w:type="dxa"/>
        <w:bottom w:w="0" w:type="dxa"/>
      </w:tblCellMar>
    </w:tblPr>
  </w:style>
  <w:style w:type="paragraph" w:styleId="1157">
    <w:name w:val="Normal Indent"/>
    <w:basedOn w:val="1145"/>
    <w:next w:val="1145"/>
    <w:uiPriority w:val="0"/>
    <w:qFormat/>
    <w:pPr>
      <w:ind w:firstLine="420"/>
    </w:pPr>
    <w:rPr>
      <w:rFonts w:asciiTheme="minorHAnsi" w:hAnsiTheme="minorHAnsi"/>
      <w:szCs w:val="21"/>
    </w:rPr>
  </w:style>
  <w:style w:type="paragraph" w:styleId="1158">
    <w:name w:val="toc 7"/>
    <w:basedOn w:val="1145"/>
    <w:next w:val="1145"/>
    <w:uiPriority w:val="39"/>
    <w:unhideWhenUsed/>
    <w:qFormat/>
    <w:pPr>
      <w:ind w:left="1701"/>
      <w:spacing w:after="57"/>
    </w:pPr>
  </w:style>
  <w:style w:type="paragraph" w:styleId="1159">
    <w:name w:val="Caption"/>
    <w:basedOn w:val="1145"/>
    <w:next w:val="11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0">
    <w:name w:val="annotation text"/>
    <w:basedOn w:val="1145"/>
    <w:uiPriority w:val="99"/>
    <w:semiHidden/>
    <w:unhideWhenUsed/>
    <w:qFormat/>
    <w:pPr>
      <w:jc w:val="left"/>
    </w:pPr>
  </w:style>
  <w:style w:type="paragraph" w:styleId="1161">
    <w:name w:val="Body Text"/>
    <w:basedOn w:val="1145"/>
    <w:next w:val="1162"/>
    <w:uiPriority w:val="0"/>
    <w:qFormat/>
    <w:rPr>
      <w:rFonts w:ascii="仿宋_GB2312" w:hAnsi="宋体" w:eastAsia="仿宋_GB2312"/>
      <w:sz w:val="24"/>
      <w:szCs w:val="24"/>
    </w:rPr>
  </w:style>
  <w:style w:type="paragraph" w:styleId="1162" w:customStyle="1">
    <w:name w:val="Default"/>
    <w:next w:val="1163"/>
    <w:uiPriority w:val="0"/>
    <w:qFormat/>
    <w:pPr>
      <w:widowControl w:val="off"/>
    </w:pPr>
    <w:rPr>
      <w:rFonts w:ascii="宋体" w:hAnsi="Times New Roman" w:eastAsia="宋体" w:cs="宋体"/>
      <w:color w:val="000000"/>
      <w:sz w:val="24"/>
      <w:szCs w:val="24"/>
      <w:lang w:val="en-US" w:eastAsia="zh-CN" w:bidi="ar-SA"/>
    </w:rPr>
  </w:style>
  <w:style w:type="paragraph" w:styleId="1163">
    <w:name w:val="Intense Quote"/>
    <w:basedOn w:val="1145"/>
    <w:next w:val="1145"/>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64">
    <w:name w:val="index 4"/>
    <w:basedOn w:val="1145"/>
    <w:next w:val="1145"/>
    <w:uiPriority w:val="99"/>
    <w:unhideWhenUsed/>
    <w:qFormat/>
    <w:pPr>
      <w:ind w:left="600"/>
    </w:pPr>
    <w:rPr>
      <w:rFonts w:ascii="Verdana" w:hAnsi="Verdana"/>
      <w:szCs w:val="20"/>
    </w:rPr>
  </w:style>
  <w:style w:type="paragraph" w:styleId="1165">
    <w:name w:val="toc 5"/>
    <w:basedOn w:val="1145"/>
    <w:next w:val="1145"/>
    <w:uiPriority w:val="39"/>
    <w:unhideWhenUsed/>
    <w:qFormat/>
    <w:pPr>
      <w:ind w:left="1134"/>
      <w:spacing w:after="57"/>
    </w:pPr>
  </w:style>
  <w:style w:type="paragraph" w:styleId="1166">
    <w:name w:val="toc 3"/>
    <w:basedOn w:val="1145"/>
    <w:next w:val="1145"/>
    <w:uiPriority w:val="39"/>
    <w:unhideWhenUsed/>
    <w:qFormat/>
    <w:pPr>
      <w:ind w:left="567"/>
    </w:pPr>
    <w:rPr>
      <w:rFonts w:ascii="微软雅黑" w:hAnsi="微软雅黑" w:cs="微软雅黑"/>
    </w:rPr>
  </w:style>
  <w:style w:type="paragraph" w:styleId="1167">
    <w:name w:val="Plain Text"/>
    <w:basedOn w:val="1145"/>
    <w:uiPriority w:val="0"/>
    <w:qFormat/>
    <w:rPr>
      <w:rFonts w:ascii="宋体" w:hAnsi="Courier New" w:cs="Courier New"/>
      <w:szCs w:val="21"/>
    </w:rPr>
  </w:style>
  <w:style w:type="paragraph" w:styleId="1168">
    <w:name w:val="toc 8"/>
    <w:basedOn w:val="1145"/>
    <w:next w:val="1145"/>
    <w:uiPriority w:val="39"/>
    <w:unhideWhenUsed/>
    <w:qFormat/>
    <w:pPr>
      <w:ind w:left="1984"/>
      <w:spacing w:after="57"/>
    </w:pPr>
  </w:style>
  <w:style w:type="paragraph" w:styleId="1169">
    <w:name w:val="endnote text"/>
    <w:basedOn w:val="1145"/>
    <w:link w:val="1342"/>
    <w:uiPriority w:val="99"/>
    <w:semiHidden/>
    <w:unhideWhenUsed/>
    <w:qFormat/>
    <w:rPr>
      <w:sz w:val="20"/>
    </w:rPr>
  </w:style>
  <w:style w:type="paragraph" w:styleId="1170">
    <w:name w:val="Footer"/>
    <w:basedOn w:val="1145"/>
    <w:link w:val="1215"/>
    <w:uiPriority w:val="99"/>
    <w:unhideWhenUsed/>
    <w:qFormat/>
    <w:pPr>
      <w:tabs>
        <w:tab w:val="center" w:pos="7143" w:leader="none"/>
        <w:tab w:val="right" w:pos="14287" w:leader="none"/>
      </w:tabs>
    </w:pPr>
  </w:style>
  <w:style w:type="paragraph" w:styleId="1171">
    <w:name w:val="Header"/>
    <w:basedOn w:val="1145"/>
    <w:link w:val="1213"/>
    <w:uiPriority w:val="99"/>
    <w:unhideWhenUsed/>
    <w:qFormat/>
    <w:pPr>
      <w:tabs>
        <w:tab w:val="center" w:pos="7143" w:leader="none"/>
        <w:tab w:val="right" w:pos="14287" w:leader="none"/>
      </w:tabs>
    </w:pPr>
  </w:style>
  <w:style w:type="paragraph" w:styleId="1172">
    <w:name w:val="toc 1"/>
    <w:basedOn w:val="1145"/>
    <w:next w:val="1145"/>
    <w:uiPriority w:val="39"/>
    <w:unhideWhenUsed/>
    <w:qFormat/>
    <w:rPr>
      <w:rFonts w:ascii="微软雅黑" w:hAnsi="微软雅黑" w:cs="微软雅黑"/>
      <w:b/>
    </w:rPr>
  </w:style>
  <w:style w:type="paragraph" w:styleId="1173">
    <w:name w:val="toc 4"/>
    <w:basedOn w:val="1145"/>
    <w:next w:val="1145"/>
    <w:uiPriority w:val="39"/>
    <w:unhideWhenUsed/>
    <w:qFormat/>
    <w:pPr>
      <w:ind w:left="850"/>
      <w:spacing w:after="57"/>
    </w:pPr>
  </w:style>
  <w:style w:type="paragraph" w:styleId="1174">
    <w:name w:val="Subtitle"/>
    <w:basedOn w:val="1145"/>
    <w:next w:val="1145"/>
    <w:link w:val="1209"/>
    <w:uiPriority w:val="11"/>
    <w:qFormat/>
    <w:pPr>
      <w:spacing w:before="200" w:after="200"/>
    </w:pPr>
    <w:rPr>
      <w:sz w:val="24"/>
      <w:szCs w:val="24"/>
    </w:rPr>
  </w:style>
  <w:style w:type="paragraph" w:styleId="1175">
    <w:name w:val="footnote text"/>
    <w:basedOn w:val="1145"/>
    <w:link w:val="1341"/>
    <w:uiPriority w:val="99"/>
    <w:semiHidden/>
    <w:unhideWhenUsed/>
    <w:qFormat/>
    <w:pPr>
      <w:spacing w:after="40"/>
    </w:pPr>
    <w:rPr>
      <w:sz w:val="18"/>
    </w:rPr>
  </w:style>
  <w:style w:type="paragraph" w:styleId="1176">
    <w:name w:val="toc 6"/>
    <w:basedOn w:val="1145"/>
    <w:next w:val="1145"/>
    <w:uiPriority w:val="39"/>
    <w:unhideWhenUsed/>
    <w:qFormat/>
    <w:pPr>
      <w:ind w:left="1417"/>
      <w:spacing w:after="57"/>
    </w:pPr>
  </w:style>
  <w:style w:type="paragraph" w:styleId="1177">
    <w:name w:val="table of figures"/>
    <w:basedOn w:val="1145"/>
    <w:next w:val="1145"/>
    <w:uiPriority w:val="99"/>
    <w:unhideWhenUsed/>
    <w:qFormat/>
  </w:style>
  <w:style w:type="paragraph" w:styleId="1178">
    <w:name w:val="toc 2"/>
    <w:basedOn w:val="1145"/>
    <w:next w:val="1145"/>
    <w:uiPriority w:val="39"/>
    <w:unhideWhenUsed/>
    <w:qFormat/>
    <w:pPr>
      <w:ind w:left="283"/>
    </w:pPr>
    <w:rPr>
      <w:rFonts w:ascii="微软雅黑" w:hAnsi="微软雅黑" w:cs="微软雅黑"/>
    </w:rPr>
  </w:style>
  <w:style w:type="paragraph" w:styleId="1179">
    <w:name w:val="toc 9"/>
    <w:basedOn w:val="1145"/>
    <w:next w:val="1145"/>
    <w:uiPriority w:val="39"/>
    <w:unhideWhenUsed/>
    <w:qFormat/>
    <w:pPr>
      <w:ind w:left="2268"/>
      <w:spacing w:after="57"/>
    </w:pPr>
  </w:style>
  <w:style w:type="paragraph" w:styleId="1180">
    <w:name w:val="Normal (Web)"/>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81">
    <w:name w:val="Title"/>
    <w:basedOn w:val="1145"/>
    <w:next w:val="1145"/>
    <w:link w:val="1208"/>
    <w:uiPriority w:val="10"/>
    <w:qFormat/>
    <w:pPr>
      <w:contextualSpacing/>
      <w:spacing w:before="300" w:after="200"/>
    </w:pPr>
    <w:rPr>
      <w:sz w:val="48"/>
      <w:szCs w:val="48"/>
    </w:rPr>
  </w:style>
  <w:style w:type="table" w:styleId="11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3">
    <w:name w:val="endnote reference"/>
    <w:uiPriority w:val="99"/>
    <w:semiHidden/>
    <w:unhideWhenUsed/>
    <w:qFormat/>
    <w:rPr>
      <w:vertAlign w:val="superscript"/>
    </w:rPr>
  </w:style>
  <w:style w:type="character" w:styleId="1184">
    <w:name w:val="Emphasis"/>
    <w:basedOn w:val="1155"/>
    <w:uiPriority w:val="20"/>
    <w:qFormat/>
    <w:rPr>
      <w:i/>
    </w:rPr>
  </w:style>
  <w:style w:type="character" w:styleId="1185">
    <w:name w:val="Hyperlink"/>
    <w:uiPriority w:val="99"/>
    <w:unhideWhenUsed/>
    <w:qFormat/>
    <w:rPr>
      <w:color w:val="0000ff" w:themeColor="hyperlink"/>
      <w:u w:val="single"/>
      <w14:textFill>
        <w14:solidFill>
          <w14:schemeClr w14:val="hlink"/>
        </w14:solidFill>
      </w14:textFill>
    </w:rPr>
  </w:style>
  <w:style w:type="character" w:styleId="1186">
    <w:name w:val="annotation reference"/>
    <w:basedOn w:val="1155"/>
    <w:uiPriority w:val="99"/>
    <w:semiHidden/>
    <w:unhideWhenUsed/>
    <w:qFormat/>
    <w:rPr>
      <w:sz w:val="21"/>
      <w:szCs w:val="21"/>
    </w:rPr>
  </w:style>
  <w:style w:type="character" w:styleId="1187">
    <w:name w:val="footnote reference"/>
    <w:uiPriority w:val="99"/>
    <w:unhideWhenUsed/>
    <w:qFormat/>
    <w:rPr>
      <w:vertAlign w:val="superscript"/>
    </w:rPr>
  </w:style>
  <w:style w:type="character" w:styleId="1188" w:customStyle="1">
    <w:name w:val="标题 3 字符"/>
    <w:link w:val="1189"/>
    <w:uiPriority w:val="0"/>
    <w:qFormat/>
    <w:rPr>
      <w:rFonts w:ascii="Times New Roman" w:hAnsi="Times New Roman" w:eastAsia="微软雅黑" w:cs="Times New Roman"/>
      <w:b/>
      <w:bCs/>
      <w:sz w:val="21"/>
      <w:szCs w:val="32"/>
    </w:rPr>
  </w:style>
  <w:style w:type="paragraph" w:styleId="1189" w:customStyle="1">
    <w:name w:val="标题 31"/>
    <w:basedOn w:val="1145"/>
    <w:next w:val="1190"/>
    <w:link w:val="1188"/>
    <w:uiPriority w:val="0"/>
    <w:qFormat/>
    <w:pPr>
      <w:jc w:val="left"/>
      <w:keepLines/>
      <w:keepNext/>
      <w:spacing w:line="440" w:lineRule="exact"/>
      <w:outlineLvl w:val="2"/>
    </w:pPr>
    <w:rPr>
      <w:b/>
      <w:bCs/>
      <w:szCs w:val="32"/>
    </w:rPr>
  </w:style>
  <w:style w:type="paragraph" w:styleId="1190" w:customStyle="1">
    <w:name w:val="正文缩进1"/>
    <w:basedOn w:val="1145"/>
    <w:uiPriority w:val="0"/>
    <w:qFormat/>
    <w:pPr>
      <w:ind w:firstLine="420"/>
      <w:jc w:val="left"/>
      <w:spacing w:line="360" w:lineRule="atLeast"/>
    </w:pPr>
    <w:rPr>
      <w:rFonts w:eastAsia="宋体"/>
      <w:szCs w:val="21"/>
    </w:rPr>
  </w:style>
  <w:style w:type="character" w:styleId="1191" w:customStyle="1">
    <w:name w:val="标题 4 字符"/>
    <w:link w:val="1192"/>
    <w:uiPriority w:val="0"/>
    <w:qFormat/>
    <w:rPr>
      <w:rFonts w:ascii="Arial" w:hAnsi="Arial"/>
      <w:b/>
      <w:bCs/>
      <w:sz w:val="24"/>
      <w:szCs w:val="28"/>
    </w:rPr>
  </w:style>
  <w:style w:type="paragraph" w:styleId="1192" w:customStyle="1">
    <w:name w:val="标题 41"/>
    <w:basedOn w:val="1145"/>
    <w:next w:val="1145"/>
    <w:link w:val="1191"/>
    <w:uiPriority w:val="0"/>
    <w:qFormat/>
    <w:pPr>
      <w:keepLines/>
      <w:keepNext/>
      <w:spacing w:line="360" w:lineRule="auto"/>
      <w:outlineLvl w:val="3"/>
    </w:pPr>
    <w:rPr>
      <w:rFonts w:ascii="Arial" w:hAnsi="Arial" w:eastAsia="宋体"/>
      <w:b/>
      <w:bCs/>
      <w:sz w:val="24"/>
      <w:szCs w:val="28"/>
    </w:rPr>
  </w:style>
  <w:style w:type="character" w:styleId="1193" w:customStyle="1">
    <w:name w:val="标题 5 字符"/>
    <w:link w:val="1194"/>
    <w:uiPriority w:val="0"/>
    <w:qFormat/>
    <w:rPr>
      <w:rFonts w:ascii="Calibri" w:hAnsi="Calibri"/>
      <w:b/>
      <w:bCs/>
      <w:sz w:val="28"/>
      <w:szCs w:val="28"/>
    </w:rPr>
  </w:style>
  <w:style w:type="paragraph" w:styleId="1194" w:customStyle="1">
    <w:name w:val="标题 51"/>
    <w:basedOn w:val="1145"/>
    <w:next w:val="1145"/>
    <w:link w:val="1193"/>
    <w:uiPriority w:val="0"/>
    <w:qFormat/>
    <w:pPr>
      <w:keepLines/>
      <w:keepNext/>
      <w:spacing w:before="280" w:after="290" w:line="376" w:lineRule="auto"/>
      <w:outlineLvl w:val="4"/>
    </w:pPr>
    <w:rPr>
      <w:rFonts w:ascii="Calibri" w:hAnsi="Calibri" w:eastAsia="宋体"/>
      <w:b/>
      <w:bCs/>
      <w:sz w:val="28"/>
      <w:szCs w:val="28"/>
    </w:rPr>
  </w:style>
  <w:style w:type="paragraph" w:styleId="1195" w:customStyle="1">
    <w:name w:val="正文首行缩进 21"/>
    <w:basedOn w:val="1196"/>
    <w:next w:val="1145"/>
    <w:uiPriority w:val="99"/>
    <w:qFormat/>
    <w:pPr>
      <w:ind w:firstLine="420"/>
      <w:spacing w:after="200" w:line="440" w:lineRule="exact"/>
    </w:pPr>
    <w:rPr>
      <w:rFonts w:ascii="Calibri" w:hAnsi="Calibri" w:eastAsia="宋体" w:cs="Calibri"/>
      <w:sz w:val="21"/>
      <w:szCs w:val="21"/>
    </w:rPr>
  </w:style>
  <w:style w:type="paragraph" w:styleId="1196" w:customStyle="1">
    <w:name w:val="正文文本缩进11"/>
    <w:basedOn w:val="1145"/>
    <w:next w:val="1197"/>
    <w:uiPriority w:val="0"/>
    <w:qFormat/>
    <w:pPr>
      <w:ind w:firstLine="645"/>
    </w:pPr>
    <w:rPr>
      <w:rFonts w:ascii="楷体_GB2312" w:eastAsia="楷体_GB2312"/>
      <w:sz w:val="32"/>
      <w:szCs w:val="32"/>
    </w:rPr>
  </w:style>
  <w:style w:type="paragraph" w:styleId="1197" w:customStyle="1">
    <w:name w:val="寄信人地址1"/>
    <w:basedOn w:val="1145"/>
    <w:uiPriority w:val="0"/>
    <w:qFormat/>
    <w:rPr>
      <w:rFonts w:ascii="Arial" w:hAnsi="Arial" w:eastAsia="宋体"/>
    </w:rPr>
  </w:style>
  <w:style w:type="character" w:styleId="1198" w:customStyle="1">
    <w:name w:val="标题 1 字符1"/>
    <w:link w:val="1146"/>
    <w:uiPriority w:val="9"/>
    <w:qFormat/>
    <w:rPr>
      <w:rFonts w:ascii="Arial" w:hAnsi="Arial" w:eastAsia="Arial" w:cs="Arial"/>
      <w:sz w:val="40"/>
      <w:szCs w:val="40"/>
    </w:rPr>
  </w:style>
  <w:style w:type="character" w:styleId="1199" w:customStyle="1">
    <w:name w:val="标题 2 字符1"/>
    <w:link w:val="1147"/>
    <w:uiPriority w:val="9"/>
    <w:qFormat/>
    <w:rPr>
      <w:rFonts w:ascii="Arial" w:hAnsi="Arial" w:eastAsia="Arial" w:cs="Arial"/>
      <w:sz w:val="34"/>
    </w:rPr>
  </w:style>
  <w:style w:type="character" w:styleId="1200" w:customStyle="1">
    <w:name w:val="标题 3 字符1"/>
    <w:link w:val="1148"/>
    <w:uiPriority w:val="9"/>
    <w:qFormat/>
    <w:rPr>
      <w:rFonts w:ascii="Arial" w:hAnsi="Arial" w:eastAsia="Arial" w:cs="Arial"/>
      <w:sz w:val="30"/>
      <w:szCs w:val="30"/>
    </w:rPr>
  </w:style>
  <w:style w:type="character" w:styleId="1201" w:customStyle="1">
    <w:name w:val="标题 4 字符1"/>
    <w:link w:val="1149"/>
    <w:uiPriority w:val="9"/>
    <w:qFormat/>
    <w:rPr>
      <w:rFonts w:ascii="Arial" w:hAnsi="Arial" w:eastAsia="Arial" w:cs="Arial"/>
      <w:b/>
      <w:bCs/>
      <w:sz w:val="26"/>
      <w:szCs w:val="26"/>
    </w:rPr>
  </w:style>
  <w:style w:type="character" w:styleId="1202" w:customStyle="1">
    <w:name w:val="标题 5 字符1"/>
    <w:link w:val="1150"/>
    <w:uiPriority w:val="9"/>
    <w:qFormat/>
    <w:rPr>
      <w:rFonts w:ascii="Arial" w:hAnsi="Arial" w:eastAsia="Arial" w:cs="Arial"/>
      <w:b/>
      <w:bCs/>
      <w:sz w:val="24"/>
      <w:szCs w:val="24"/>
    </w:rPr>
  </w:style>
  <w:style w:type="character" w:styleId="1203" w:customStyle="1">
    <w:name w:val="标题 6 字符"/>
    <w:link w:val="1151"/>
    <w:uiPriority w:val="9"/>
    <w:qFormat/>
    <w:rPr>
      <w:rFonts w:ascii="Arial" w:hAnsi="Arial" w:eastAsia="Arial" w:cs="Arial"/>
      <w:b/>
      <w:bCs/>
      <w:sz w:val="22"/>
      <w:szCs w:val="22"/>
    </w:rPr>
  </w:style>
  <w:style w:type="character" w:styleId="1204" w:customStyle="1">
    <w:name w:val="标题 7 字符"/>
    <w:link w:val="1152"/>
    <w:uiPriority w:val="9"/>
    <w:qFormat/>
    <w:rPr>
      <w:rFonts w:ascii="Arial" w:hAnsi="Arial" w:eastAsia="Arial" w:cs="Arial"/>
      <w:b/>
      <w:bCs/>
      <w:i/>
      <w:iCs/>
      <w:sz w:val="22"/>
      <w:szCs w:val="22"/>
    </w:rPr>
  </w:style>
  <w:style w:type="character" w:styleId="1205" w:customStyle="1">
    <w:name w:val="标题 8 字符"/>
    <w:link w:val="1153"/>
    <w:uiPriority w:val="9"/>
    <w:qFormat/>
    <w:rPr>
      <w:rFonts w:ascii="Arial" w:hAnsi="Arial" w:eastAsia="Arial" w:cs="Arial"/>
      <w:i/>
      <w:iCs/>
      <w:sz w:val="22"/>
      <w:szCs w:val="22"/>
    </w:rPr>
  </w:style>
  <w:style w:type="character" w:styleId="1206" w:customStyle="1">
    <w:name w:val="标题 9 字符"/>
    <w:link w:val="1154"/>
    <w:uiPriority w:val="9"/>
    <w:qFormat/>
    <w:rPr>
      <w:rFonts w:ascii="Arial" w:hAnsi="Arial" w:eastAsia="Arial" w:cs="Arial"/>
      <w:i/>
      <w:iCs/>
      <w:sz w:val="21"/>
      <w:szCs w:val="21"/>
    </w:rPr>
  </w:style>
  <w:style w:type="paragraph" w:styleId="1207">
    <w:name w:val="No Spacing"/>
    <w:uiPriority w:val="1"/>
    <w:qFormat/>
    <w:rPr>
      <w:rFonts w:ascii="Times New Roman" w:hAnsi="Times New Roman" w:eastAsia="宋体" w:cs="Times New Roman"/>
      <w:lang w:val="en-US" w:eastAsia="zh-CN" w:bidi="ar-SA"/>
    </w:rPr>
  </w:style>
  <w:style w:type="character" w:styleId="1208" w:customStyle="1">
    <w:name w:val="标题 字符"/>
    <w:link w:val="1181"/>
    <w:uiPriority w:val="10"/>
    <w:qFormat/>
    <w:rPr>
      <w:sz w:val="48"/>
      <w:szCs w:val="48"/>
    </w:rPr>
  </w:style>
  <w:style w:type="character" w:styleId="1209" w:customStyle="1">
    <w:name w:val="副标题 字符"/>
    <w:link w:val="1174"/>
    <w:uiPriority w:val="11"/>
    <w:qFormat/>
    <w:rPr>
      <w:sz w:val="24"/>
      <w:szCs w:val="24"/>
    </w:rPr>
  </w:style>
  <w:style w:type="paragraph" w:styleId="1210">
    <w:name w:val="Quote"/>
    <w:basedOn w:val="1145"/>
    <w:next w:val="1145"/>
    <w:link w:val="1211"/>
    <w:uiPriority w:val="29"/>
    <w:qFormat/>
    <w:pPr>
      <w:ind w:left="720" w:right="720"/>
    </w:pPr>
    <w:rPr>
      <w:i/>
    </w:rPr>
  </w:style>
  <w:style w:type="character" w:styleId="1211" w:customStyle="1">
    <w:name w:val="引用 字符"/>
    <w:link w:val="1210"/>
    <w:uiPriority w:val="29"/>
    <w:qFormat/>
    <w:rPr>
      <w:i/>
    </w:rPr>
  </w:style>
  <w:style w:type="character" w:styleId="1212" w:customStyle="1">
    <w:name w:val="Intense Quote Char"/>
    <w:uiPriority w:val="30"/>
    <w:qFormat/>
    <w:rPr>
      <w:i/>
    </w:rPr>
  </w:style>
  <w:style w:type="character" w:styleId="1213" w:customStyle="1">
    <w:name w:val="页眉 字符1"/>
    <w:link w:val="1171"/>
    <w:uiPriority w:val="99"/>
    <w:qFormat/>
  </w:style>
  <w:style w:type="character" w:styleId="1214" w:customStyle="1">
    <w:name w:val="Footer Char"/>
    <w:uiPriority w:val="99"/>
    <w:qFormat/>
  </w:style>
  <w:style w:type="character" w:styleId="1215" w:customStyle="1">
    <w:name w:val="页脚 字符1"/>
    <w:link w:val="1170"/>
    <w:uiPriority w:val="99"/>
    <w:qFormat/>
  </w:style>
  <w:style w:type="table" w:styleId="12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1" w:customStyle="1">
    <w:name w:val="脚注文本 字符"/>
    <w:link w:val="1175"/>
    <w:uiPriority w:val="99"/>
    <w:qFormat/>
    <w:rPr>
      <w:sz w:val="18"/>
    </w:rPr>
  </w:style>
  <w:style w:type="character" w:styleId="1342" w:customStyle="1">
    <w:name w:val="尾注文本 字符"/>
    <w:link w:val="1169"/>
    <w:uiPriority w:val="99"/>
    <w:qFormat/>
    <w:rPr>
      <w:sz w:val="20"/>
    </w:rPr>
  </w:style>
  <w:style w:type="paragraph" w:styleId="1343" w:customStyle="1">
    <w:name w:val="TOC 标题1"/>
    <w:uiPriority w:val="39"/>
    <w:unhideWhenUsed/>
    <w:qFormat/>
    <w:rPr>
      <w:rFonts w:ascii="Times New Roman" w:hAnsi="Times New Roman" w:eastAsia="宋体" w:cs="Times New Roman"/>
      <w:lang w:val="en-US" w:eastAsia="zh-CN" w:bidi="ar-SA"/>
    </w:rPr>
  </w:style>
  <w:style w:type="paragraph" w:styleId="1344" w:customStyle="1">
    <w:name w:val="标题 11"/>
    <w:basedOn w:val="1145"/>
    <w:next w:val="1145"/>
    <w:link w:val="1348"/>
    <w:uiPriority w:val="0"/>
    <w:qFormat/>
    <w:pPr>
      <w:jc w:val="center"/>
      <w:keepLines/>
      <w:keepNext/>
      <w:spacing w:before="340" w:after="330"/>
      <w:outlineLvl w:val="0"/>
    </w:pPr>
    <w:rPr>
      <w:rFonts w:ascii="Calibri" w:hAnsi="Calibri"/>
      <w:b/>
      <w:bCs/>
      <w:sz w:val="32"/>
      <w:szCs w:val="44"/>
    </w:rPr>
  </w:style>
  <w:style w:type="paragraph" w:styleId="1345" w:customStyle="1">
    <w:name w:val="标题 21"/>
    <w:basedOn w:val="1145"/>
    <w:next w:val="1145"/>
    <w:link w:val="1349"/>
    <w:uiPriority w:val="0"/>
    <w:qFormat/>
    <w:pPr>
      <w:jc w:val="center"/>
      <w:keepLines/>
      <w:keepNext/>
      <w:spacing w:before="260" w:after="260"/>
      <w:outlineLvl w:val="1"/>
    </w:pPr>
    <w:rPr>
      <w:rFonts w:ascii="Cambria" w:hAnsi="Cambria"/>
      <w:b/>
      <w:bCs/>
      <w:sz w:val="28"/>
      <w:szCs w:val="32"/>
    </w:rPr>
  </w:style>
  <w:style w:type="character" w:styleId="1346" w:customStyle="1">
    <w:name w:val="默认段落字体1"/>
    <w:uiPriority w:val="1"/>
    <w:unhideWhenUsed/>
    <w:qFormat/>
  </w:style>
  <w:style w:type="table" w:styleId="1347" w:customStyle="1">
    <w:name w:val="普通表格1"/>
    <w:uiPriority w:val="99"/>
    <w:unhideWhenUsed/>
    <w:qFormat/>
    <w:tblPr>
      <w:tblCellMar>
        <w:left w:w="0" w:type="dxa"/>
        <w:top w:w="0" w:type="dxa"/>
        <w:right w:w="0" w:type="dxa"/>
        <w:bottom w:w="0" w:type="dxa"/>
      </w:tblCellMar>
    </w:tblPr>
  </w:style>
  <w:style w:type="character" w:styleId="1348" w:customStyle="1">
    <w:name w:val="标题 1 字符"/>
    <w:link w:val="1344"/>
    <w:uiPriority w:val="0"/>
    <w:qFormat/>
    <w:rPr>
      <w:rFonts w:ascii="Calibri" w:hAnsi="Calibri" w:eastAsia="微软雅黑"/>
      <w:b/>
      <w:bCs/>
      <w:sz w:val="32"/>
      <w:szCs w:val="44"/>
    </w:rPr>
  </w:style>
  <w:style w:type="character" w:styleId="1349" w:customStyle="1">
    <w:name w:val="标题 2 字符"/>
    <w:link w:val="1345"/>
    <w:uiPriority w:val="0"/>
    <w:qFormat/>
    <w:rPr>
      <w:rFonts w:ascii="Cambria" w:hAnsi="Cambria" w:eastAsia="微软雅黑" w:cs="Times New Roman"/>
      <w:b/>
      <w:bCs/>
      <w:sz w:val="28"/>
      <w:szCs w:val="32"/>
    </w:rPr>
  </w:style>
  <w:style w:type="paragraph" w:styleId="1350" w:customStyle="1">
    <w:name w:val="目录 71"/>
    <w:basedOn w:val="1145"/>
    <w:next w:val="1145"/>
    <w:uiPriority w:val="39"/>
    <w:qFormat/>
    <w:pPr>
      <w:ind w:left="2520"/>
    </w:pPr>
    <w:rPr>
      <w:szCs w:val="24"/>
    </w:rPr>
  </w:style>
  <w:style w:type="paragraph" w:styleId="1351" w:customStyle="1">
    <w:name w:val="题注1"/>
    <w:basedOn w:val="1145"/>
    <w:next w:val="1145"/>
    <w:uiPriority w:val="35"/>
    <w:qFormat/>
    <w:rPr>
      <w:rFonts w:ascii="Cambria" w:hAnsi="Cambria" w:eastAsia="黑体"/>
      <w:sz w:val="20"/>
      <w:szCs w:val="20"/>
    </w:rPr>
  </w:style>
  <w:style w:type="paragraph" w:styleId="1352" w:customStyle="1">
    <w:name w:val="列表项目符号1"/>
    <w:basedOn w:val="1145"/>
    <w:uiPriority w:val="0"/>
    <w:qFormat/>
    <w:pPr>
      <w:numPr>
        <w:ilvl w:val="0"/>
        <w:numId w:val="1"/>
      </w:numPr>
      <w:spacing w:line="360" w:lineRule="atLeast"/>
      <w:tabs>
        <w:tab w:val="left" w:pos="360" w:leader="none"/>
      </w:tabs>
    </w:pPr>
    <w:rPr>
      <w:rFonts w:ascii="Arial" w:hAnsi="Arial"/>
      <w:szCs w:val="21"/>
    </w:rPr>
  </w:style>
  <w:style w:type="paragraph" w:styleId="1353" w:customStyle="1">
    <w:name w:val="文档结构图1"/>
    <w:basedOn w:val="1145"/>
    <w:link w:val="1354"/>
    <w:uiPriority w:val="0"/>
    <w:qFormat/>
    <w:rPr>
      <w:rFonts w:ascii="宋体" w:eastAsia="宋体"/>
      <w:sz w:val="18"/>
      <w:szCs w:val="18"/>
    </w:rPr>
  </w:style>
  <w:style w:type="character" w:styleId="1354" w:customStyle="1">
    <w:name w:val="文档结构图 字符"/>
    <w:link w:val="1353"/>
    <w:uiPriority w:val="0"/>
    <w:qFormat/>
    <w:rPr>
      <w:rFonts w:ascii="宋体"/>
      <w:sz w:val="18"/>
      <w:szCs w:val="18"/>
    </w:rPr>
  </w:style>
  <w:style w:type="paragraph" w:styleId="1355" w:customStyle="1">
    <w:name w:val="批注文字1"/>
    <w:basedOn w:val="1145"/>
    <w:link w:val="1356"/>
    <w:uiPriority w:val="0"/>
    <w:semiHidden/>
    <w:qFormat/>
    <w:pPr>
      <w:jc w:val="left"/>
    </w:pPr>
    <w:rPr>
      <w:rFonts w:eastAsia="宋体"/>
      <w:sz w:val="20"/>
      <w:szCs w:val="21"/>
    </w:rPr>
  </w:style>
  <w:style w:type="character" w:styleId="1356" w:customStyle="1">
    <w:name w:val="批注文字 字符"/>
    <w:link w:val="1355"/>
    <w:uiPriority w:val="0"/>
    <w:semiHidden/>
    <w:qFormat/>
    <w:rPr>
      <w:rFonts w:ascii="Times New Roman" w:hAnsi="Times New Roman" w:eastAsia="宋体" w:cs="Times New Roman"/>
      <w:szCs w:val="21"/>
    </w:rPr>
  </w:style>
  <w:style w:type="paragraph" w:styleId="1357" w:customStyle="1">
    <w:name w:val="正文文本1"/>
    <w:basedOn w:val="1145"/>
    <w:next w:val="1145"/>
    <w:link w:val="1358"/>
    <w:uiPriority w:val="0"/>
    <w:qFormat/>
    <w:rPr>
      <w:rFonts w:ascii="仿宋_GB2312" w:hAnsi="宋体" w:eastAsia="仿宋_GB2312"/>
      <w:sz w:val="24"/>
      <w:szCs w:val="24"/>
    </w:rPr>
  </w:style>
  <w:style w:type="character" w:styleId="1358" w:customStyle="1">
    <w:name w:val="正文文本 字符"/>
    <w:link w:val="1357"/>
    <w:uiPriority w:val="0"/>
    <w:qFormat/>
    <w:rPr>
      <w:rFonts w:ascii="仿宋_GB2312" w:hAnsi="宋体" w:eastAsia="仿宋_GB2312" w:cs="仿宋_GB2312"/>
      <w:sz w:val="24"/>
      <w:szCs w:val="24"/>
    </w:rPr>
  </w:style>
  <w:style w:type="paragraph" w:styleId="1359" w:customStyle="1">
    <w:name w:val="正文文本缩进1"/>
    <w:basedOn w:val="1145"/>
    <w:link w:val="1360"/>
    <w:uiPriority w:val="0"/>
    <w:qFormat/>
    <w:pPr>
      <w:ind w:firstLine="403"/>
      <w:spacing w:line="440" w:lineRule="exact"/>
    </w:pPr>
    <w:rPr>
      <w:rFonts w:ascii="宋体" w:hAnsi="宋体" w:eastAsia="宋体"/>
      <w:sz w:val="20"/>
      <w:szCs w:val="21"/>
    </w:rPr>
  </w:style>
  <w:style w:type="character" w:styleId="1360" w:customStyle="1">
    <w:name w:val="正文文本缩进 字符"/>
    <w:link w:val="1359"/>
    <w:uiPriority w:val="0"/>
    <w:qFormat/>
    <w:rPr>
      <w:rFonts w:ascii="宋体" w:hAnsi="宋体" w:eastAsia="宋体" w:cs="宋体"/>
      <w:szCs w:val="21"/>
    </w:rPr>
  </w:style>
  <w:style w:type="paragraph" w:styleId="1361" w:customStyle="1">
    <w:name w:val="文本块1"/>
    <w:basedOn w:val="1145"/>
    <w:next w:val="1145"/>
    <w:uiPriority w:val="99"/>
    <w:unhideWhenUsed/>
    <w:qFormat/>
    <w:pPr>
      <w:ind w:left="1440" w:right="1440"/>
      <w:spacing w:after="120"/>
    </w:pPr>
  </w:style>
  <w:style w:type="paragraph" w:styleId="1362" w:customStyle="1">
    <w:name w:val="索引 411"/>
    <w:basedOn w:val="1145"/>
    <w:next w:val="1145"/>
    <w:uiPriority w:val="99"/>
    <w:unhideWhenUsed/>
    <w:qFormat/>
    <w:pPr>
      <w:ind w:left="600"/>
    </w:pPr>
    <w:rPr>
      <w:rFonts w:ascii="Verdana" w:hAnsi="Verdana"/>
      <w:szCs w:val="20"/>
    </w:rPr>
  </w:style>
  <w:style w:type="paragraph" w:styleId="1363" w:customStyle="1">
    <w:name w:val="目录 51"/>
    <w:basedOn w:val="1145"/>
    <w:next w:val="1145"/>
    <w:uiPriority w:val="39"/>
    <w:qFormat/>
    <w:pPr>
      <w:ind w:left="1680"/>
    </w:pPr>
    <w:rPr>
      <w:szCs w:val="24"/>
    </w:rPr>
  </w:style>
  <w:style w:type="paragraph" w:styleId="1364" w:customStyle="1">
    <w:name w:val="目录 31"/>
    <w:basedOn w:val="1145"/>
    <w:next w:val="1145"/>
    <w:uiPriority w:val="39"/>
    <w:unhideWhenUsed/>
    <w:qFormat/>
    <w:pPr>
      <w:ind w:left="840"/>
      <w:spacing w:line="340" w:lineRule="exact"/>
    </w:pPr>
    <w:rPr>
      <w:rFonts w:ascii="Calibri" w:hAnsi="Calibri"/>
    </w:rPr>
  </w:style>
  <w:style w:type="paragraph" w:styleId="1365" w:customStyle="1">
    <w:name w:val="纯文本1"/>
    <w:basedOn w:val="1145"/>
    <w:link w:val="1366"/>
    <w:uiPriority w:val="0"/>
    <w:qFormat/>
    <w:rPr>
      <w:rFonts w:ascii="宋体" w:hAnsi="Courier New" w:eastAsia="宋体"/>
      <w:sz w:val="28"/>
      <w:szCs w:val="28"/>
    </w:rPr>
  </w:style>
  <w:style w:type="character" w:styleId="1366" w:customStyle="1">
    <w:name w:val="纯文本 字符"/>
    <w:link w:val="1365"/>
    <w:uiPriority w:val="0"/>
    <w:qFormat/>
    <w:rPr>
      <w:rFonts w:ascii="宋体" w:hAnsi="Courier New" w:eastAsia="宋体" w:cs="宋体"/>
      <w:sz w:val="28"/>
      <w:szCs w:val="28"/>
    </w:rPr>
  </w:style>
  <w:style w:type="paragraph" w:styleId="1367" w:customStyle="1">
    <w:name w:val="目录 81"/>
    <w:basedOn w:val="1145"/>
    <w:next w:val="1145"/>
    <w:uiPriority w:val="39"/>
    <w:qFormat/>
    <w:pPr>
      <w:ind w:left="2940"/>
    </w:pPr>
    <w:rPr>
      <w:szCs w:val="24"/>
    </w:rPr>
  </w:style>
  <w:style w:type="paragraph" w:styleId="1368" w:customStyle="1">
    <w:name w:val="日期1"/>
    <w:basedOn w:val="1145"/>
    <w:next w:val="1145"/>
    <w:link w:val="1369"/>
    <w:uiPriority w:val="0"/>
    <w:qFormat/>
    <w:pPr>
      <w:ind w:left="100"/>
    </w:pPr>
    <w:rPr>
      <w:rFonts w:eastAsia="宋体"/>
      <w:sz w:val="20"/>
      <w:szCs w:val="21"/>
    </w:rPr>
  </w:style>
  <w:style w:type="character" w:styleId="1369" w:customStyle="1">
    <w:name w:val="日期 字符"/>
    <w:link w:val="1368"/>
    <w:uiPriority w:val="0"/>
    <w:qFormat/>
    <w:rPr>
      <w:rFonts w:ascii="Times New Roman" w:hAnsi="Times New Roman" w:eastAsia="宋体" w:cs="Times New Roman"/>
      <w:szCs w:val="21"/>
    </w:rPr>
  </w:style>
  <w:style w:type="paragraph" w:styleId="1370" w:customStyle="1">
    <w:name w:val="正文文本缩进 21"/>
    <w:basedOn w:val="1145"/>
    <w:link w:val="1371"/>
    <w:uiPriority w:val="0"/>
    <w:qFormat/>
    <w:pPr>
      <w:ind w:firstLine="420"/>
      <w:spacing w:line="440" w:lineRule="exact"/>
    </w:pPr>
    <w:rPr>
      <w:rFonts w:ascii="宋体" w:hAnsi="宋体" w:eastAsia="宋体"/>
      <w:sz w:val="20"/>
      <w:szCs w:val="21"/>
    </w:rPr>
  </w:style>
  <w:style w:type="character" w:styleId="1371" w:customStyle="1">
    <w:name w:val="正文文本缩进 2 字符"/>
    <w:link w:val="1370"/>
    <w:uiPriority w:val="0"/>
    <w:qFormat/>
    <w:rPr>
      <w:rFonts w:ascii="宋体" w:hAnsi="宋体" w:eastAsia="宋体" w:cs="宋体"/>
      <w:szCs w:val="21"/>
    </w:rPr>
  </w:style>
  <w:style w:type="paragraph" w:styleId="1372" w:customStyle="1">
    <w:name w:val="批注框文本1"/>
    <w:basedOn w:val="1145"/>
    <w:link w:val="1373"/>
    <w:uiPriority w:val="0"/>
    <w:semiHidden/>
    <w:qFormat/>
    <w:rPr>
      <w:rFonts w:eastAsia="宋体"/>
      <w:sz w:val="18"/>
      <w:szCs w:val="18"/>
    </w:rPr>
  </w:style>
  <w:style w:type="character" w:styleId="1373" w:customStyle="1">
    <w:name w:val="批注框文本 字符"/>
    <w:link w:val="1372"/>
    <w:uiPriority w:val="0"/>
    <w:semiHidden/>
    <w:qFormat/>
    <w:rPr>
      <w:rFonts w:ascii="Times New Roman" w:hAnsi="Times New Roman" w:eastAsia="宋体" w:cs="Times New Roman"/>
      <w:sz w:val="18"/>
      <w:szCs w:val="18"/>
    </w:rPr>
  </w:style>
  <w:style w:type="paragraph" w:styleId="1374" w:customStyle="1">
    <w:name w:val="页脚1"/>
    <w:basedOn w:val="1145"/>
    <w:link w:val="1375"/>
    <w:uiPriority w:val="0"/>
    <w:unhideWhenUsed/>
    <w:qFormat/>
    <w:pPr>
      <w:jc w:val="left"/>
      <w:tabs>
        <w:tab w:val="center" w:pos="4153" w:leader="none"/>
        <w:tab w:val="right" w:pos="8306" w:leader="none"/>
      </w:tabs>
    </w:pPr>
    <w:rPr>
      <w:rFonts w:ascii="宋体" w:eastAsia="宋体"/>
      <w:sz w:val="18"/>
      <w:szCs w:val="18"/>
    </w:rPr>
  </w:style>
  <w:style w:type="character" w:styleId="1375" w:customStyle="1">
    <w:name w:val="页脚 字符"/>
    <w:link w:val="1374"/>
    <w:uiPriority w:val="0"/>
    <w:qFormat/>
    <w:rPr>
      <w:rFonts w:ascii="宋体" w:hAnsi="Times New Roman" w:eastAsia="宋体" w:cs="Times New Roman"/>
      <w:sz w:val="18"/>
      <w:szCs w:val="18"/>
    </w:rPr>
  </w:style>
  <w:style w:type="paragraph" w:styleId="1376" w:customStyle="1">
    <w:name w:val="页眉1"/>
    <w:basedOn w:val="1145"/>
    <w:link w:val="1377"/>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77" w:customStyle="1">
    <w:name w:val="页眉 字符"/>
    <w:link w:val="1376"/>
    <w:uiPriority w:val="0"/>
    <w:qFormat/>
    <w:rPr>
      <w:rFonts w:ascii="宋体" w:hAnsi="Times New Roman" w:eastAsia="宋体" w:cs="Times New Roman"/>
      <w:sz w:val="18"/>
      <w:szCs w:val="18"/>
    </w:rPr>
  </w:style>
  <w:style w:type="paragraph" w:styleId="1378" w:customStyle="1">
    <w:name w:val="目录 11"/>
    <w:basedOn w:val="1145"/>
    <w:next w:val="1145"/>
    <w:uiPriority w:val="39"/>
    <w:unhideWhenUsed/>
    <w:qFormat/>
    <w:pPr>
      <w:spacing w:line="400" w:lineRule="exact"/>
    </w:pPr>
    <w:rPr>
      <w:rFonts w:ascii="Calibri" w:hAnsi="Calibri"/>
      <w:b/>
    </w:rPr>
  </w:style>
  <w:style w:type="paragraph" w:styleId="1379" w:customStyle="1">
    <w:name w:val="目录 41"/>
    <w:basedOn w:val="1145"/>
    <w:next w:val="1145"/>
    <w:uiPriority w:val="39"/>
    <w:qFormat/>
    <w:pPr>
      <w:ind w:left="1260"/>
    </w:pPr>
    <w:rPr>
      <w:szCs w:val="24"/>
    </w:rPr>
  </w:style>
  <w:style w:type="paragraph" w:styleId="1380" w:customStyle="1">
    <w:name w:val="目录 61"/>
    <w:basedOn w:val="1145"/>
    <w:next w:val="1145"/>
    <w:uiPriority w:val="39"/>
    <w:qFormat/>
    <w:pPr>
      <w:ind w:left="2100"/>
    </w:pPr>
    <w:rPr>
      <w:szCs w:val="24"/>
    </w:rPr>
  </w:style>
  <w:style w:type="paragraph" w:styleId="1381" w:customStyle="1">
    <w:name w:val="目录 21"/>
    <w:basedOn w:val="1145"/>
    <w:next w:val="1145"/>
    <w:uiPriority w:val="39"/>
    <w:unhideWhenUsed/>
    <w:qFormat/>
    <w:pPr>
      <w:ind w:left="420"/>
      <w:spacing w:line="360" w:lineRule="exact"/>
    </w:pPr>
    <w:rPr>
      <w:rFonts w:ascii="Calibri" w:hAnsi="Calibri"/>
    </w:rPr>
  </w:style>
  <w:style w:type="paragraph" w:styleId="1382" w:customStyle="1">
    <w:name w:val="目录 91"/>
    <w:basedOn w:val="1145"/>
    <w:next w:val="1145"/>
    <w:uiPriority w:val="39"/>
    <w:qFormat/>
    <w:pPr>
      <w:ind w:left="3360"/>
    </w:pPr>
    <w:rPr>
      <w:szCs w:val="24"/>
    </w:rPr>
  </w:style>
  <w:style w:type="paragraph" w:styleId="1383" w:customStyle="1">
    <w:name w:val="正文文本 21"/>
    <w:basedOn w:val="1145"/>
    <w:uiPriority w:val="0"/>
    <w:qFormat/>
    <w:rPr>
      <w:rFonts w:ascii="华文细黑" w:hAnsi="华文细黑" w:eastAsia="华文细黑"/>
      <w:b/>
      <w:bCs/>
      <w:sz w:val="24"/>
      <w:szCs w:val="20"/>
    </w:rPr>
  </w:style>
  <w:style w:type="paragraph" w:styleId="1384" w:customStyle="1">
    <w:name w:val="普通(网站)1"/>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85" w:customStyle="1">
    <w:name w:val="批注主题1"/>
    <w:basedOn w:val="1355"/>
    <w:next w:val="1355"/>
    <w:link w:val="1386"/>
    <w:uiPriority w:val="99"/>
    <w:unhideWhenUsed/>
    <w:qFormat/>
    <w:rPr>
      <w:b/>
      <w:bCs/>
      <w:sz w:val="21"/>
      <w:szCs w:val="22"/>
    </w:rPr>
  </w:style>
  <w:style w:type="character" w:styleId="1386" w:customStyle="1">
    <w:name w:val="批注主题 字符"/>
    <w:link w:val="1385"/>
    <w:uiPriority w:val="99"/>
    <w:semiHidden/>
    <w:qFormat/>
    <w:rPr>
      <w:rFonts w:ascii="Times New Roman" w:hAnsi="Times New Roman" w:eastAsia="宋体" w:cs="Times New Roman"/>
      <w:b/>
      <w:bCs/>
      <w:sz w:val="21"/>
      <w:szCs w:val="22"/>
    </w:rPr>
  </w:style>
  <w:style w:type="paragraph" w:styleId="1387" w:customStyle="1">
    <w:name w:val="正文首行缩进1"/>
    <w:basedOn w:val="1357"/>
    <w:uiPriority w:val="0"/>
    <w:qFormat/>
    <w:pPr>
      <w:ind w:firstLine="420"/>
    </w:pPr>
  </w:style>
  <w:style w:type="table" w:styleId="1388" w:customStyle="1">
    <w:name w:val="网格型1"/>
    <w:basedOn w:val="1347"/>
    <w:uiPriority w:val="0"/>
    <w:qFormat/>
    <w:tblPr>
      <w:tblCellMar>
        <w:left w:w="0" w:type="dxa"/>
        <w:top w:w="0" w:type="dxa"/>
        <w:right w:w="0" w:type="dxa"/>
        <w:bottom w:w="0" w:type="dxa"/>
      </w:tblCellMar>
    </w:tblPr>
  </w:style>
  <w:style w:type="character" w:styleId="1389" w:customStyle="1">
    <w:name w:val="要点1"/>
    <w:basedOn w:val="1346"/>
    <w:uiPriority w:val="0"/>
    <w:qFormat/>
    <w:rPr>
      <w:b/>
      <w:bCs/>
    </w:rPr>
  </w:style>
  <w:style w:type="character" w:styleId="1390" w:customStyle="1">
    <w:name w:val="页码1"/>
    <w:uiPriority w:val="0"/>
    <w:qFormat/>
  </w:style>
  <w:style w:type="character" w:styleId="1391" w:customStyle="1">
    <w:name w:val="已访问的超链接1"/>
    <w:uiPriority w:val="99"/>
    <w:qFormat/>
    <w:rPr>
      <w:color w:val="000000"/>
      <w:sz w:val="18"/>
      <w:szCs w:val="18"/>
      <w:u w:val="none"/>
    </w:rPr>
  </w:style>
  <w:style w:type="character" w:styleId="1392" w:customStyle="1">
    <w:name w:val="强调1"/>
    <w:uiPriority w:val="20"/>
    <w:qFormat/>
    <w:rPr>
      <w:i/>
      <w:iCs/>
    </w:rPr>
  </w:style>
  <w:style w:type="character" w:styleId="1393" w:customStyle="1">
    <w:name w:val="超链接1"/>
    <w:uiPriority w:val="99"/>
    <w:qFormat/>
    <w:rPr>
      <w:color w:val="000000"/>
      <w:sz w:val="18"/>
      <w:szCs w:val="18"/>
      <w:u w:val="none"/>
    </w:rPr>
  </w:style>
  <w:style w:type="character" w:styleId="1394" w:customStyle="1">
    <w:name w:val="批注引用1"/>
    <w:uiPriority w:val="0"/>
    <w:semiHidden/>
    <w:qFormat/>
    <w:rPr>
      <w:sz w:val="21"/>
      <w:szCs w:val="21"/>
    </w:rPr>
  </w:style>
  <w:style w:type="paragraph" w:styleId="1395" w:customStyle="1">
    <w:name w:val="无间隔1"/>
    <w:uiPriority w:val="1"/>
    <w:qFormat/>
    <w:rPr>
      <w:rFonts w:ascii="Tahoma" w:hAnsi="Tahoma" w:eastAsia="微软雅黑" w:cs="Times New Roman"/>
      <w:sz w:val="22"/>
      <w:szCs w:val="22"/>
      <w:lang w:val="en-US" w:eastAsia="zh-CN" w:bidi="ar-SA"/>
    </w:rPr>
  </w:style>
  <w:style w:type="paragraph" w:styleId="1396" w:customStyle="1">
    <w:name w:val="首行缩进"/>
    <w:basedOn w:val="1145"/>
    <w:uiPriority w:val="0"/>
    <w:qFormat/>
    <w:pPr>
      <w:ind w:firstLine="420"/>
      <w:spacing w:line="360" w:lineRule="auto"/>
    </w:pPr>
  </w:style>
  <w:style w:type="character" w:styleId="1397" w:customStyle="1">
    <w:name w:val="displayarti"/>
    <w:uiPriority w:val="0"/>
    <w:qFormat/>
    <w:rPr>
      <w:color w:val="ffffff"/>
      <w:shd w:val="clear" w:color="auto" w:fill="a00000"/>
    </w:rPr>
  </w:style>
  <w:style w:type="character" w:styleId="1398" w:customStyle="1">
    <w:name w:val="layui-laypage-curr"/>
    <w:uiPriority w:val="0"/>
    <w:qFormat/>
  </w:style>
  <w:style w:type="character" w:styleId="1399" w:customStyle="1">
    <w:name w:val="gpa"/>
    <w:uiPriority w:val="0"/>
    <w:qFormat/>
    <w:rPr>
      <w:rFonts w:ascii="Arial" w:hAnsi="Arial" w:cs="Arial"/>
      <w:sz w:val="15"/>
      <w:szCs w:val="15"/>
    </w:rPr>
  </w:style>
  <w:style w:type="character" w:styleId="1400" w:customStyle="1">
    <w:name w:val="font71"/>
    <w:uiPriority w:val="0"/>
    <w:qFormat/>
    <w:rPr>
      <w:rFonts w:hint="eastAsia" w:ascii="宋体" w:hAnsi="宋体" w:eastAsia="宋体" w:cs="宋体"/>
      <w:color w:val="ff0000"/>
      <w:sz w:val="24"/>
      <w:szCs w:val="24"/>
      <w:u w:val="none"/>
    </w:rPr>
  </w:style>
  <w:style w:type="character" w:styleId="1401" w:customStyle="1">
    <w:name w:val="1page sec3 Char"/>
    <w:uiPriority w:val="0"/>
    <w:qFormat/>
    <w:rPr>
      <w:rFonts w:eastAsia="宋体"/>
      <w:sz w:val="18"/>
      <w:szCs w:val="18"/>
      <w:lang w:val="en-US" w:eastAsia="zh-CN" w:bidi="ar-SA"/>
    </w:rPr>
  </w:style>
  <w:style w:type="character" w:styleId="1402" w:customStyle="1">
    <w:name w:val="z-窗体顶端 字符"/>
    <w:link w:val="1403"/>
    <w:uiPriority w:val="99"/>
    <w:semiHidden/>
    <w:qFormat/>
    <w:rPr>
      <w:rFonts w:ascii="Arial" w:hAnsi="Arial" w:eastAsia="宋体" w:cs="Arial"/>
      <w:vanish/>
      <w:sz w:val="16"/>
      <w:szCs w:val="16"/>
    </w:rPr>
  </w:style>
  <w:style w:type="paragraph" w:styleId="1403" w:customStyle="1">
    <w:name w:val="z-窗体顶端1"/>
    <w:basedOn w:val="1145"/>
    <w:next w:val="1145"/>
    <w:link w:val="1402"/>
    <w:uiPriority w:val="99"/>
    <w:unhideWhenUsed/>
    <w:qFormat/>
    <w:pPr>
      <w:jc w:val="center"/>
      <w:widowControl/>
      <w:pBdr>
        <w:bottom w:val="single" w:color="000000" w:sz="6" w:space="1"/>
      </w:pBdr>
    </w:pPr>
    <w:rPr>
      <w:rFonts w:ascii="Arial" w:hAnsi="Arial" w:eastAsia="宋体"/>
      <w:vanish/>
      <w:sz w:val="16"/>
      <w:szCs w:val="16"/>
    </w:rPr>
  </w:style>
  <w:style w:type="character" w:styleId="1404" w:customStyle="1">
    <w:name w:val="z-窗体底端 字符"/>
    <w:link w:val="1405"/>
    <w:uiPriority w:val="99"/>
    <w:semiHidden/>
    <w:qFormat/>
    <w:rPr>
      <w:rFonts w:ascii="Arial" w:hAnsi="Arial" w:eastAsia="宋体" w:cs="Arial"/>
      <w:vanish/>
      <w:sz w:val="16"/>
      <w:szCs w:val="16"/>
    </w:rPr>
  </w:style>
  <w:style w:type="paragraph" w:styleId="1405" w:customStyle="1">
    <w:name w:val="z-窗体底端1"/>
    <w:basedOn w:val="1145"/>
    <w:next w:val="1145"/>
    <w:link w:val="1404"/>
    <w:uiPriority w:val="99"/>
    <w:unhideWhenUsed/>
    <w:qFormat/>
    <w:pPr>
      <w:jc w:val="center"/>
      <w:widowControl/>
      <w:pBdr>
        <w:top w:val="single" w:color="000000" w:sz="6" w:space="1"/>
      </w:pBdr>
    </w:pPr>
    <w:rPr>
      <w:rFonts w:ascii="Arial" w:hAnsi="Arial" w:eastAsia="宋体"/>
      <w:vanish/>
      <w:sz w:val="16"/>
      <w:szCs w:val="16"/>
    </w:rPr>
  </w:style>
  <w:style w:type="character" w:styleId="1406" w:customStyle="1">
    <w:name w:val="正文文字 Char Char"/>
    <w:uiPriority w:val="0"/>
    <w:qFormat/>
    <w:rPr>
      <w:rFonts w:ascii="仿宋_GB2312" w:hAnsi="宋体" w:eastAsia="仿宋_GB2312" w:cs="仿宋_GB2312"/>
      <w:sz w:val="24"/>
      <w:szCs w:val="24"/>
    </w:rPr>
  </w:style>
  <w:style w:type="character" w:styleId="1407" w:customStyle="1">
    <w:name w:val="apple-style-span"/>
    <w:uiPriority w:val="0"/>
    <w:qFormat/>
  </w:style>
  <w:style w:type="character" w:styleId="1408" w:customStyle="1">
    <w:name w:val="label"/>
    <w:uiPriority w:val="0"/>
    <w:qFormat/>
    <w:rPr>
      <w:color w:val="999999"/>
    </w:rPr>
  </w:style>
  <w:style w:type="character" w:styleId="1409" w:customStyle="1">
    <w:name w:val="Char Char13"/>
    <w:uiPriority w:val="0"/>
    <w:qFormat/>
    <w:rPr>
      <w:b/>
      <w:bCs/>
      <w:sz w:val="44"/>
      <w:szCs w:val="44"/>
    </w:rPr>
  </w:style>
  <w:style w:type="character" w:styleId="1410" w:customStyle="1">
    <w:name w:val="font91"/>
    <w:uiPriority w:val="0"/>
    <w:qFormat/>
    <w:rPr>
      <w:rFonts w:hint="eastAsia" w:ascii="宋体" w:hAnsi="宋体" w:eastAsia="宋体" w:cs="宋体"/>
      <w:b/>
      <w:color w:val="000000"/>
      <w:sz w:val="20"/>
      <w:szCs w:val="20"/>
      <w:u w:val="none"/>
    </w:rPr>
  </w:style>
  <w:style w:type="character" w:styleId="1411" w:customStyle="1">
    <w:name w:val="font51"/>
    <w:uiPriority w:val="0"/>
    <w:qFormat/>
    <w:rPr>
      <w:rFonts w:hint="eastAsia" w:ascii="宋体" w:hAnsi="宋体" w:eastAsia="宋体" w:cs="宋体"/>
      <w:color w:val="000000"/>
      <w:sz w:val="21"/>
      <w:szCs w:val="21"/>
      <w:u w:val="none"/>
    </w:rPr>
  </w:style>
  <w:style w:type="character" w:styleId="1412" w:customStyle="1">
    <w:name w:val="不明显强调1"/>
    <w:uiPriority w:val="19"/>
    <w:qFormat/>
    <w:rPr>
      <w:i/>
      <w:iCs/>
      <w:color w:val="808080"/>
    </w:rPr>
  </w:style>
  <w:style w:type="character" w:styleId="1413" w:customStyle="1">
    <w:name w:val="hover12"/>
    <w:uiPriority w:val="0"/>
    <w:qFormat/>
  </w:style>
  <w:style w:type="character" w:styleId="1414" w:customStyle="1">
    <w:name w:val="_Style 6"/>
    <w:uiPriority w:val="19"/>
    <w:qFormat/>
    <w:rPr>
      <w:i/>
      <w:iCs/>
      <w:color w:val="808080"/>
    </w:rPr>
  </w:style>
  <w:style w:type="character" w:styleId="1415" w:customStyle="1">
    <w:name w:val="font31"/>
    <w:uiPriority w:val="0"/>
    <w:qFormat/>
    <w:rPr>
      <w:rFonts w:hint="eastAsia" w:ascii="宋体" w:hAnsi="宋体" w:eastAsia="宋体" w:cs="宋体"/>
      <w:b/>
      <w:color w:val="000000"/>
      <w:sz w:val="24"/>
      <w:szCs w:val="24"/>
      <w:u w:val="none"/>
    </w:rPr>
  </w:style>
  <w:style w:type="character" w:styleId="1416" w:customStyle="1">
    <w:name w:val="纯文本 Char2"/>
    <w:uiPriority w:val="0"/>
    <w:qFormat/>
    <w:rPr>
      <w:rFonts w:ascii="宋体" w:hAnsi="Courier New" w:eastAsia="宋体"/>
      <w:sz w:val="24"/>
      <w:lang w:val="en-US" w:eastAsia="zh-CN" w:bidi="ar-SA"/>
    </w:rPr>
  </w:style>
  <w:style w:type="character" w:styleId="1417" w:customStyle="1">
    <w:name w:val="selected"/>
    <w:uiPriority w:val="0"/>
    <w:qFormat/>
    <w:rPr>
      <w:shd w:val="clear" w:color="auto" w:fill="b00006"/>
    </w:rPr>
  </w:style>
  <w:style w:type="character" w:styleId="1418" w:customStyle="1">
    <w:name w:val="文档结构图 Char1"/>
    <w:uiPriority w:val="99"/>
    <w:semiHidden/>
    <w:qFormat/>
    <w:rPr>
      <w:rFonts w:ascii="宋体"/>
      <w:sz w:val="18"/>
      <w:szCs w:val="18"/>
    </w:rPr>
  </w:style>
  <w:style w:type="character" w:styleId="1419" w:customStyle="1">
    <w:name w:val="Char Char5"/>
    <w:uiPriority w:val="0"/>
    <w:qFormat/>
    <w:rPr>
      <w:rFonts w:ascii="宋体" w:hAnsi="Courier New" w:eastAsia="宋体" w:cs="宋体"/>
      <w:sz w:val="28"/>
      <w:szCs w:val="28"/>
      <w:lang w:val="en-US" w:eastAsia="zh-CN"/>
    </w:rPr>
  </w:style>
  <w:style w:type="character" w:styleId="1420" w:customStyle="1">
    <w:name w:val="font101"/>
    <w:uiPriority w:val="0"/>
    <w:qFormat/>
    <w:rPr>
      <w:rFonts w:hint="eastAsia" w:ascii="宋体" w:hAnsi="宋体" w:eastAsia="宋体" w:cs="宋体"/>
      <w:color w:val="000000"/>
      <w:sz w:val="24"/>
      <w:szCs w:val="24"/>
      <w:u w:val="none"/>
    </w:rPr>
  </w:style>
  <w:style w:type="character" w:styleId="1421" w:customStyle="1">
    <w:name w:val="font01"/>
    <w:uiPriority w:val="0"/>
    <w:qFormat/>
    <w:rPr>
      <w:rFonts w:ascii="Calibri" w:hAnsi="Calibri" w:cs="Calibri"/>
      <w:color w:val="000000"/>
      <w:sz w:val="21"/>
      <w:szCs w:val="21"/>
      <w:u w:val="none"/>
    </w:rPr>
  </w:style>
  <w:style w:type="character" w:styleId="1422" w:customStyle="1">
    <w:name w:val="font41"/>
    <w:uiPriority w:val="0"/>
    <w:qFormat/>
    <w:rPr>
      <w:rFonts w:hint="eastAsia" w:ascii="宋体" w:hAnsi="宋体" w:eastAsia="宋体" w:cs="宋体"/>
      <w:color w:val="000000"/>
      <w:sz w:val="24"/>
      <w:szCs w:val="24"/>
      <w:u w:val="none"/>
    </w:rPr>
  </w:style>
  <w:style w:type="character" w:styleId="1423" w:customStyle="1">
    <w:name w:val="font112"/>
    <w:uiPriority w:val="0"/>
    <w:qFormat/>
    <w:rPr>
      <w:rFonts w:hint="eastAsia" w:ascii="宋体" w:hAnsi="宋体" w:eastAsia="宋体" w:cs="宋体"/>
      <w:color w:val="000000"/>
      <w:sz w:val="20"/>
      <w:szCs w:val="20"/>
      <w:u w:val="none"/>
    </w:rPr>
  </w:style>
  <w:style w:type="paragraph" w:styleId="1424" w:customStyle="1">
    <w:name w:val="xl7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25" w:customStyle="1">
    <w:name w:val="四级条标题"/>
    <w:basedOn w:val="1426"/>
    <w:next w:val="1145"/>
    <w:uiPriority w:val="0"/>
    <w:qFormat/>
    <w:pPr>
      <w:outlineLvl w:val="5"/>
    </w:pPr>
  </w:style>
  <w:style w:type="paragraph" w:styleId="1426" w:customStyle="1">
    <w:name w:val="三级条标题"/>
    <w:basedOn w:val="1427"/>
    <w:next w:val="1145"/>
    <w:uiPriority w:val="0"/>
    <w:qFormat/>
    <w:pPr>
      <w:outlineLvl w:val="4"/>
    </w:pPr>
  </w:style>
  <w:style w:type="paragraph" w:styleId="1427" w:customStyle="1">
    <w:name w:val="二级条标题"/>
    <w:basedOn w:val="1428"/>
    <w:next w:val="1145"/>
    <w:uiPriority w:val="0"/>
    <w:qFormat/>
    <w:pPr>
      <w:outlineLvl w:val="3"/>
    </w:pPr>
  </w:style>
  <w:style w:type="paragraph" w:styleId="1428" w:customStyle="1">
    <w:name w:val="一级条标题"/>
    <w:next w:val="1145"/>
    <w:uiPriority w:val="0"/>
    <w:qFormat/>
    <w:pPr>
      <w:outlineLvl w:val="2"/>
    </w:pPr>
    <w:rPr>
      <w:rFonts w:ascii="Times New Roman" w:hAnsi="Times New Roman" w:eastAsia="黑体" w:cs="Times New Roman"/>
      <w:sz w:val="21"/>
      <w:szCs w:val="21"/>
      <w:lang w:val="en-US" w:eastAsia="zh-CN" w:bidi="ar-SA"/>
    </w:rPr>
  </w:style>
  <w:style w:type="paragraph" w:styleId="1429" w:customStyle="1">
    <w:name w:val="标准称谓"/>
    <w:next w:val="1145"/>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30" w:customStyle="1">
    <w:name w:val="xl6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1" w:customStyle="1">
    <w:name w:val="xl9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32" w:customStyle="1">
    <w:name w:val="彩色列表1"/>
    <w:basedOn w:val="1145"/>
    <w:uiPriority w:val="0"/>
    <w:qFormat/>
    <w:pPr>
      <w:ind w:firstLine="420"/>
    </w:pPr>
    <w:rPr>
      <w:szCs w:val="24"/>
    </w:rPr>
  </w:style>
  <w:style w:type="paragraph" w:styleId="1433" w:customStyle="1">
    <w:name w:val="xl76"/>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34" w:customStyle="1">
    <w:name w:val="EnvelopeReturn1"/>
    <w:basedOn w:val="1145"/>
    <w:uiPriority w:val="0"/>
    <w:qFormat/>
    <w:rPr>
      <w:rFonts w:ascii="Arial" w:hAnsi="Arial"/>
    </w:rPr>
  </w:style>
  <w:style w:type="paragraph" w:styleId="1435" w:customStyle="1">
    <w:name w:val="列出段落"/>
    <w:basedOn w:val="1145"/>
    <w:uiPriority w:val="0"/>
    <w:qFormat/>
    <w:pPr>
      <w:ind w:firstLine="420"/>
    </w:pPr>
    <w:rPr>
      <w:szCs w:val="24"/>
    </w:rPr>
  </w:style>
  <w:style w:type="paragraph" w:styleId="1436" w:customStyle="1">
    <w:name w:val="tc"/>
    <w:basedOn w:val="1145"/>
    <w:uiPriority w:val="0"/>
    <w:qFormat/>
    <w:pPr>
      <w:jc w:val="center"/>
    </w:pPr>
    <w:rPr>
      <w:szCs w:val="24"/>
    </w:rPr>
  </w:style>
  <w:style w:type="paragraph" w:styleId="1437" w:customStyle="1">
    <w:name w:val="正文宋体4"/>
    <w:basedOn w:val="1145"/>
    <w:uiPriority w:val="0"/>
    <w:qFormat/>
    <w:pPr>
      <w:ind w:firstLine="359"/>
      <w:tabs>
        <w:tab w:val="left" w:pos="0" w:leader="none"/>
      </w:tabs>
    </w:pPr>
    <w:rPr>
      <w:rFonts w:ascii="仿宋_GB2312" w:eastAsia="仿宋_GB2312"/>
      <w:b/>
      <w:color w:val="000000"/>
      <w:sz w:val="24"/>
      <w:szCs w:val="24"/>
    </w:rPr>
  </w:style>
  <w:style w:type="paragraph" w:styleId="1438" w:customStyle="1">
    <w:name w:val="Char Char"/>
    <w:basedOn w:val="1145"/>
    <w:uiPriority w:val="0"/>
    <w:qFormat/>
    <w:pPr>
      <w:tabs>
        <w:tab w:val="left" w:pos="360" w:leader="none"/>
      </w:tabs>
    </w:pPr>
    <w:rPr>
      <w:sz w:val="24"/>
      <w:szCs w:val="24"/>
    </w:rPr>
  </w:style>
  <w:style w:type="paragraph" w:styleId="1439" w:customStyle="1">
    <w:name w:val="xl7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0" w:customStyle="1">
    <w:name w:val="BodyTextIndent1"/>
    <w:basedOn w:val="1145"/>
    <w:next w:val="1434"/>
    <w:uiPriority w:val="0"/>
    <w:qFormat/>
    <w:pPr>
      <w:ind w:firstLine="403"/>
      <w:spacing w:line="440" w:lineRule="exact"/>
    </w:pPr>
    <w:rPr>
      <w:rFonts w:ascii="宋体" w:hAnsi="宋体" w:eastAsia="宋体"/>
      <w:szCs w:val="21"/>
    </w:rPr>
  </w:style>
  <w:style w:type="paragraph" w:styleId="1441" w:customStyle="1">
    <w:name w:val="！正文"/>
    <w:basedOn w:val="1145"/>
    <w:uiPriority w:val="0"/>
    <w:qFormat/>
    <w:pPr>
      <w:ind w:firstLine="200"/>
      <w:spacing w:line="480" w:lineRule="exact"/>
    </w:pPr>
    <w:rPr>
      <w:rFonts w:ascii="宋体" w:hAnsi="宋体"/>
      <w:lang w:val="zh-CN"/>
    </w:rPr>
  </w:style>
  <w:style w:type="paragraph" w:styleId="1442" w:customStyle="1">
    <w:name w:val="_Style 2"/>
    <w:basedOn w:val="1145"/>
    <w:uiPriority w:val="0"/>
    <w:qFormat/>
    <w:pPr>
      <w:ind w:firstLine="420"/>
    </w:pPr>
    <w:rPr>
      <w:rFonts w:ascii="Calibri" w:hAnsi="Calibri"/>
    </w:rPr>
  </w:style>
  <w:style w:type="paragraph" w:styleId="1443" w:customStyle="1">
    <w:name w:val="xl111"/>
    <w:basedOn w:val="114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44" w:customStyle="1">
    <w:name w:val="xl92"/>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45" w:customStyle="1">
    <w:name w:val="font5"/>
    <w:basedOn w:val="1145"/>
    <w:uiPriority w:val="0"/>
    <w:qFormat/>
    <w:pPr>
      <w:jc w:val="left"/>
      <w:spacing w:before="100" w:beforeAutospacing="1" w:after="100" w:afterAutospacing="1"/>
      <w:widowControl/>
    </w:pPr>
    <w:rPr>
      <w:color w:val="000000"/>
      <w:sz w:val="20"/>
      <w:szCs w:val="20"/>
    </w:rPr>
  </w:style>
  <w:style w:type="paragraph" w:styleId="1446" w:customStyle="1">
    <w:name w:val="font6"/>
    <w:basedOn w:val="1145"/>
    <w:uiPriority w:val="0"/>
    <w:qFormat/>
    <w:pPr>
      <w:jc w:val="left"/>
      <w:spacing w:before="100" w:beforeAutospacing="1" w:after="100" w:afterAutospacing="1"/>
      <w:widowControl/>
    </w:pPr>
    <w:rPr>
      <w:color w:val="000000"/>
      <w:szCs w:val="21"/>
    </w:rPr>
  </w:style>
  <w:style w:type="paragraph" w:styleId="1447" w:customStyle="1">
    <w:name w:val="xl7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8" w:customStyle="1">
    <w:name w:val="xl112"/>
    <w:basedOn w:val="114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49" w:customStyle="1">
    <w:name w:val="正文1"/>
    <w:basedOn w:val="1145"/>
    <w:uiPriority w:val="0"/>
    <w:qFormat/>
    <w:pPr>
      <w:ind w:firstLine="490"/>
      <w:spacing w:line="360" w:lineRule="auto"/>
    </w:pPr>
    <w:rPr>
      <w:rFonts w:ascii="宋体" w:hAnsi="宋体" w:eastAsia="宋体"/>
      <w:sz w:val="24"/>
      <w:szCs w:val="28"/>
    </w:rPr>
  </w:style>
  <w:style w:type="paragraph" w:styleId="1450" w:customStyle="1">
    <w:name w:val="xl8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1" w:customStyle="1">
    <w:name w:val="xl10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font14"/>
    <w:basedOn w:val="1145"/>
    <w:uiPriority w:val="0"/>
    <w:qFormat/>
    <w:pPr>
      <w:jc w:val="left"/>
      <w:spacing w:before="100" w:beforeAutospacing="1" w:after="100" w:afterAutospacing="1"/>
      <w:widowControl/>
    </w:pPr>
    <w:rPr>
      <w:rFonts w:ascii="宋体" w:hAnsi="宋体" w:cs="宋体"/>
      <w:color w:val="000000"/>
      <w:szCs w:val="21"/>
    </w:rPr>
  </w:style>
  <w:style w:type="paragraph" w:styleId="1453" w:customStyle="1">
    <w:name w:val="font9"/>
    <w:basedOn w:val="1145"/>
    <w:uiPriority w:val="0"/>
    <w:qFormat/>
    <w:pPr>
      <w:jc w:val="left"/>
      <w:spacing w:before="100" w:beforeAutospacing="1" w:after="100" w:afterAutospacing="1"/>
      <w:widowControl/>
    </w:pPr>
    <w:rPr>
      <w:rFonts w:ascii="宋体" w:hAnsi="宋体" w:cs="宋体"/>
      <w:color w:val="000000"/>
      <w:szCs w:val="21"/>
    </w:rPr>
  </w:style>
  <w:style w:type="paragraph" w:styleId="1454" w:customStyle="1">
    <w:name w:val="xl99"/>
    <w:basedOn w:val="11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55" w:customStyle="1">
    <w:name w:val="xl105"/>
    <w:basedOn w:val="1145"/>
    <w:uiPriority w:val="0"/>
    <w:qFormat/>
    <w:pPr>
      <w:jc w:val="left"/>
      <w:spacing w:before="100" w:beforeAutospacing="1" w:after="100" w:afterAutospacing="1"/>
      <w:widowControl/>
    </w:pPr>
    <w:rPr>
      <w:rFonts w:ascii="宋体" w:hAnsi="宋体" w:cs="宋体"/>
      <w:sz w:val="20"/>
      <w:szCs w:val="20"/>
    </w:rPr>
  </w:style>
  <w:style w:type="paragraph" w:styleId="1456" w:customStyle="1">
    <w:name w:val="xl79"/>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57" w:customStyle="1">
    <w:name w:val="xl80"/>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58" w:customStyle="1">
    <w:name w:val="Char1"/>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459" w:customStyle="1">
    <w:name w:val="xl8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60" w:customStyle="1">
    <w:name w:val="xl94"/>
    <w:basedOn w:val="114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1" w:customStyle="1">
    <w:name w:val="xl97"/>
    <w:basedOn w:val="1145"/>
    <w:uiPriority w:val="0"/>
    <w:qFormat/>
    <w:pPr>
      <w:jc w:val="left"/>
      <w:spacing w:before="100" w:beforeAutospacing="1" w:after="100" w:afterAutospacing="1"/>
      <w:widowControl/>
    </w:pPr>
    <w:rPr>
      <w:rFonts w:ascii="宋体" w:hAnsi="宋体" w:cs="宋体"/>
      <w:szCs w:val="21"/>
    </w:rPr>
  </w:style>
  <w:style w:type="paragraph" w:styleId="1462" w:customStyle="1">
    <w:name w:val="TOC 标题2"/>
    <w:basedOn w:val="1344"/>
    <w:next w:val="1145"/>
    <w:uiPriority w:val="39"/>
    <w:qFormat/>
    <w:pPr>
      <w:jc w:val="left"/>
      <w:spacing w:before="480" w:after="0" w:line="276" w:lineRule="auto"/>
      <w:widowControl/>
      <w:outlineLvl w:val="9"/>
    </w:pPr>
    <w:rPr>
      <w:rFonts w:ascii="Cambria" w:hAnsi="Cambria"/>
      <w:color w:val="365f91"/>
      <w:sz w:val="28"/>
      <w:szCs w:val="28"/>
    </w:rPr>
  </w:style>
  <w:style w:type="paragraph" w:styleId="1463" w:customStyle="1">
    <w:name w:val="font7"/>
    <w:basedOn w:val="1145"/>
    <w:uiPriority w:val="0"/>
    <w:qFormat/>
    <w:pPr>
      <w:jc w:val="left"/>
      <w:spacing w:before="100" w:beforeAutospacing="1" w:after="100" w:afterAutospacing="1"/>
      <w:widowControl/>
    </w:pPr>
    <w:rPr>
      <w:b/>
      <w:bCs/>
      <w:color w:val="000000"/>
      <w:szCs w:val="21"/>
    </w:rPr>
  </w:style>
  <w:style w:type="paragraph" w:styleId="1464" w:customStyle="1">
    <w:name w:val="xl6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5" w:customStyle="1">
    <w:name w:val="xl100"/>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6" w:customStyle="1">
    <w:name w:val="xl106"/>
    <w:basedOn w:val="114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67">
    <w:name w:val="List Paragraph"/>
    <w:basedOn w:val="1145"/>
    <w:uiPriority w:val="34"/>
    <w:qFormat/>
    <w:pPr>
      <w:ind w:firstLine="420"/>
    </w:pPr>
    <w:rPr>
      <w:rFonts w:ascii="Calibri" w:hAnsi="Calibri"/>
    </w:rPr>
  </w:style>
  <w:style w:type="paragraph" w:styleId="1468" w:customStyle="1">
    <w:name w:val="段"/>
    <w:uiPriority w:val="0"/>
    <w:qFormat/>
    <w:pPr>
      <w:ind w:firstLine="200"/>
      <w:jc w:val="both"/>
    </w:pPr>
    <w:rPr>
      <w:rFonts w:ascii="宋体" w:hAnsi="Times New Roman" w:eastAsia="宋体" w:cs="宋体"/>
      <w:sz w:val="21"/>
      <w:szCs w:val="21"/>
      <w:lang w:val="en-US" w:eastAsia="zh-CN" w:bidi="ar-SA"/>
    </w:rPr>
  </w:style>
  <w:style w:type="paragraph" w:styleId="1469" w:customStyle="1">
    <w:name w:val="font11"/>
    <w:basedOn w:val="1145"/>
    <w:uiPriority w:val="0"/>
    <w:qFormat/>
    <w:pPr>
      <w:jc w:val="left"/>
      <w:spacing w:before="100" w:beforeAutospacing="1" w:after="100" w:afterAutospacing="1"/>
      <w:widowControl/>
    </w:pPr>
    <w:rPr>
      <w:rFonts w:ascii="宋体" w:hAnsi="宋体" w:cs="宋体"/>
      <w:color w:val="000000"/>
      <w:sz w:val="18"/>
      <w:szCs w:val="18"/>
    </w:rPr>
  </w:style>
  <w:style w:type="paragraph" w:styleId="1470" w:customStyle="1">
    <w:name w:val="xl7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1" w:customStyle="1">
    <w:name w:val="xl77"/>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2" w:customStyle="1">
    <w:name w:val="列出段落3"/>
    <w:basedOn w:val="1145"/>
    <w:uiPriority w:val="34"/>
    <w:qFormat/>
    <w:pPr>
      <w:ind w:firstLine="200"/>
      <w:spacing w:line="360" w:lineRule="auto"/>
      <w:widowControl/>
    </w:pPr>
    <w:rPr>
      <w:rFonts w:ascii="Calibri" w:hAnsi="Calibri"/>
      <w:sz w:val="24"/>
    </w:rPr>
  </w:style>
  <w:style w:type="paragraph" w:styleId="1473" w:customStyle="1">
    <w:name w:val="前言、引言标题"/>
    <w:next w:val="1145"/>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74" w:customStyle="1">
    <w:name w:val="xl95"/>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75" w:customStyle="1">
    <w:name w:val="xl8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76" w:customStyle="1">
    <w:name w:val="font8"/>
    <w:basedOn w:val="1145"/>
    <w:uiPriority w:val="0"/>
    <w:qFormat/>
    <w:pPr>
      <w:jc w:val="left"/>
      <w:spacing w:before="100" w:beforeAutospacing="1" w:after="100" w:afterAutospacing="1"/>
      <w:widowControl/>
    </w:pPr>
    <w:rPr>
      <w:rFonts w:ascii="宋体" w:hAnsi="宋体" w:cs="宋体"/>
      <w:b/>
      <w:bCs/>
      <w:color w:val="000000"/>
      <w:szCs w:val="21"/>
    </w:rPr>
  </w:style>
  <w:style w:type="paragraph" w:styleId="1477" w:customStyle="1">
    <w:name w:val="List Paragraph1"/>
    <w:basedOn w:val="1145"/>
    <w:uiPriority w:val="34"/>
    <w:qFormat/>
    <w:pPr>
      <w:ind w:firstLine="420"/>
    </w:pPr>
    <w:rPr>
      <w:rFonts w:ascii="Calibri" w:hAnsi="Calibri" w:eastAsia="宋体"/>
    </w:rPr>
  </w:style>
  <w:style w:type="paragraph" w:styleId="1478"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79" w:customStyle="1">
    <w:name w:val="xl104"/>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0" w:customStyle="1">
    <w:name w:val="程序1"/>
    <w:next w:val="1145"/>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81"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82" w:customStyle="1">
    <w:name w:val="正文 A"/>
    <w:next w:val="1483"/>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83" w:customStyle="1">
    <w:name w:val="索引 41"/>
    <w:next w:val="1482"/>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84" w:customStyle="1">
    <w:name w:val="xl6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5"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86" w:customStyle="1">
    <w:name w:val="xl91"/>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87" w:customStyle="1">
    <w:name w:val="Table Paragraph"/>
    <w:basedOn w:val="1145"/>
    <w:uiPriority w:val="1"/>
    <w:qFormat/>
    <w:rPr>
      <w:rFonts w:ascii="宋体" w:hAnsi="宋体" w:eastAsia="宋体" w:cs="宋体"/>
      <w:lang w:val="zh-CN" w:bidi="zh-CN"/>
    </w:rPr>
  </w:style>
  <w:style w:type="paragraph" w:styleId="1488" w:customStyle="1">
    <w:name w:val="xl9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89" w:customStyle="1">
    <w:name w:val="xl88"/>
    <w:basedOn w:val="114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0" w:customStyle="1">
    <w:name w:val="xl85"/>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91"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92"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493" w:customStyle="1">
    <w:name w:val="注："/>
    <w:next w:val="1145"/>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494" w:customStyle="1">
    <w:name w:val="xl89"/>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95" w:customStyle="1">
    <w:name w:val="reader-word-layer"/>
    <w:basedOn w:val="1145"/>
    <w:uiPriority w:val="0"/>
    <w:qFormat/>
    <w:pPr>
      <w:jc w:val="left"/>
      <w:spacing w:before="100" w:beforeAutospacing="1" w:after="100" w:afterAutospacing="1"/>
      <w:widowControl/>
    </w:pPr>
    <w:rPr>
      <w:rFonts w:ascii="宋体" w:hAnsi="宋体" w:cs="宋体"/>
      <w:sz w:val="24"/>
      <w:szCs w:val="24"/>
    </w:rPr>
  </w:style>
  <w:style w:type="paragraph" w:styleId="1496" w:customStyle="1">
    <w:name w:val="Char11"/>
    <w:basedOn w:val="1145"/>
    <w:uiPriority w:val="0"/>
    <w:qFormat/>
    <w:rPr>
      <w:rFonts w:ascii="仿宋_GB2312" w:eastAsia="仿宋_GB2312"/>
      <w:b/>
      <w:sz w:val="32"/>
      <w:szCs w:val="32"/>
    </w:rPr>
  </w:style>
  <w:style w:type="paragraph" w:styleId="1497" w:customStyle="1">
    <w:name w:val="xl83"/>
    <w:basedOn w:val="114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98" w:customStyle="1">
    <w:name w:val="_Style 191"/>
    <w:basedOn w:val="1145"/>
    <w:next w:val="1435"/>
    <w:uiPriority w:val="34"/>
    <w:qFormat/>
    <w:pPr>
      <w:ind w:firstLine="420"/>
      <w:jc w:val="left"/>
      <w:spacing w:after="200"/>
      <w:widowControl/>
    </w:pPr>
    <w:rPr>
      <w:rFonts w:ascii="Tahoma" w:hAnsi="Tahoma"/>
      <w:sz w:val="22"/>
    </w:rPr>
  </w:style>
  <w:style w:type="paragraph" w:styleId="1499" w:customStyle="1">
    <w:name w:val="xl71"/>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0" w:customStyle="1">
    <w:name w:val="列出段落1"/>
    <w:basedOn w:val="1145"/>
    <w:uiPriority w:val="34"/>
    <w:qFormat/>
    <w:pPr>
      <w:ind w:firstLine="420"/>
      <w:spacing w:before="156" w:after="156" w:line="360" w:lineRule="auto"/>
    </w:pPr>
    <w:rPr>
      <w:rFonts w:ascii="Calibri" w:hAnsi="Calibri" w:cs="Calibri"/>
      <w:lang w:eastAsia="ar-SA"/>
    </w:rPr>
  </w:style>
  <w:style w:type="paragraph" w:styleId="1501" w:customStyle="1">
    <w:name w:val="章标题"/>
    <w:next w:val="1145"/>
    <w:uiPriority w:val="0"/>
    <w:qFormat/>
    <w:pPr>
      <w:jc w:val="both"/>
      <w:outlineLvl w:val="1"/>
    </w:pPr>
    <w:rPr>
      <w:rFonts w:ascii="黑体" w:hAnsi="Times New Roman" w:eastAsia="黑体" w:cs="黑体"/>
      <w:sz w:val="21"/>
      <w:szCs w:val="21"/>
      <w:lang w:val="en-US" w:eastAsia="zh-CN" w:bidi="ar-SA"/>
    </w:rPr>
  </w:style>
  <w:style w:type="paragraph" w:styleId="1502" w:customStyle="1">
    <w:name w:val="xl82"/>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03" w:customStyle="1">
    <w:name w:val="xl72"/>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4" w:customStyle="1">
    <w:name w:val="font12"/>
    <w:basedOn w:val="1145"/>
    <w:uiPriority w:val="0"/>
    <w:qFormat/>
    <w:pPr>
      <w:jc w:val="left"/>
      <w:spacing w:before="100" w:beforeAutospacing="1" w:after="100" w:afterAutospacing="1"/>
      <w:widowControl/>
    </w:pPr>
    <w:rPr>
      <w:rFonts w:ascii="宋体" w:hAnsi="宋体" w:cs="宋体"/>
      <w:color w:val="000000"/>
      <w:sz w:val="20"/>
      <w:szCs w:val="20"/>
    </w:rPr>
  </w:style>
  <w:style w:type="paragraph" w:styleId="1505" w:customStyle="1">
    <w:name w:val="Char"/>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506" w:customStyle="1">
    <w:name w:val="font10"/>
    <w:basedOn w:val="1145"/>
    <w:uiPriority w:val="0"/>
    <w:qFormat/>
    <w:pPr>
      <w:jc w:val="left"/>
      <w:spacing w:before="100" w:beforeAutospacing="1" w:after="100" w:afterAutospacing="1"/>
      <w:widowControl/>
    </w:pPr>
    <w:rPr>
      <w:rFonts w:ascii="宋体" w:hAnsi="宋体" w:cs="宋体"/>
      <w:color w:val="000000"/>
      <w:sz w:val="22"/>
    </w:rPr>
  </w:style>
  <w:style w:type="paragraph" w:styleId="1507" w:customStyle="1">
    <w:name w:val="xl109"/>
    <w:basedOn w:val="114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08" w:customStyle="1">
    <w:name w:val="xl103"/>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09" w:customStyle="1">
    <w:name w:val="xl102"/>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0" w:customStyle="1">
    <w:name w:val="xl6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1" w:customStyle="1">
    <w:name w:val="xl93"/>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12" w:customStyle="1">
    <w:name w:val="BodyText1I21"/>
    <w:basedOn w:val="1440"/>
    <w:next w:val="1145"/>
    <w:uiPriority w:val="0"/>
    <w:qFormat/>
    <w:pPr>
      <w:ind w:firstLine="420"/>
    </w:pPr>
    <w:rPr>
      <w:rFonts w:ascii="Calibri" w:hAnsi="Calibri"/>
    </w:rPr>
  </w:style>
  <w:style w:type="paragraph" w:styleId="1513"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14" w:customStyle="1">
    <w:name w:val="xl107"/>
    <w:basedOn w:val="114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15" w:customStyle="1">
    <w:name w:val="xl73"/>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17" w:customStyle="1">
    <w:name w:val="xl9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18" w:customStyle="1">
    <w:name w:val="font13"/>
    <w:basedOn w:val="1145"/>
    <w:uiPriority w:val="0"/>
    <w:qFormat/>
    <w:pPr>
      <w:jc w:val="left"/>
      <w:spacing w:before="100" w:beforeAutospacing="1" w:after="100" w:afterAutospacing="1"/>
      <w:widowControl/>
    </w:pPr>
    <w:rPr>
      <w:rFonts w:ascii="宋体" w:hAnsi="宋体" w:cs="宋体"/>
      <w:sz w:val="18"/>
      <w:szCs w:val="18"/>
    </w:rPr>
  </w:style>
  <w:style w:type="paragraph" w:styleId="1519" w:customStyle="1">
    <w:name w:val="xl81"/>
    <w:basedOn w:val="1145"/>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20" w:customStyle="1">
    <w:name w:val="xl69"/>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1" w:customStyle="1">
    <w:name w:val="五级条标题"/>
    <w:basedOn w:val="1425"/>
    <w:next w:val="1145"/>
    <w:uiPriority w:val="0"/>
    <w:qFormat/>
    <w:pPr>
      <w:outlineLvl w:val="6"/>
    </w:pPr>
  </w:style>
  <w:style w:type="paragraph" w:styleId="1522" w:customStyle="1">
    <w:name w:val="xl110"/>
    <w:basedOn w:val="114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23" w:customStyle="1">
    <w:name w:val="xl101"/>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24"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25" w:customStyle="1">
    <w:name w:val="未处理的提及1"/>
    <w:uiPriority w:val="99"/>
    <w:unhideWhenUsed/>
    <w:qFormat/>
    <w:rPr>
      <w:color w:val="605e5c"/>
      <w:shd w:val="clear" w:color="auto" w:fill="e1dfdd"/>
    </w:rPr>
  </w:style>
  <w:style w:type="paragraph" w:styleId="1526" w:customStyle="1">
    <w:name w:val="样式5"/>
    <w:basedOn w:val="1357"/>
    <w:uiPriority w:val="1"/>
    <w:qFormat/>
    <w:pPr>
      <w:numPr>
        <w:ilvl w:val="0"/>
        <w:numId w:val="5"/>
      </w:numPr>
      <w:ind w:firstLine="0"/>
      <w:jc w:val="left"/>
      <w:spacing w:line="360" w:lineRule="auto"/>
    </w:pPr>
    <w:rPr>
      <w:rFonts w:ascii="Arial" w:hAnsi="Arial" w:eastAsia="宋体"/>
      <w:szCs w:val="22"/>
    </w:rPr>
  </w:style>
  <w:style w:type="paragraph" w:styleId="1527" w:customStyle="1">
    <w:name w:val="样式2"/>
    <w:basedOn w:val="1145"/>
    <w:uiPriority w:val="0"/>
    <w:qFormat/>
    <w:pPr>
      <w:spacing w:line="410" w:lineRule="atLeast"/>
    </w:pPr>
    <w:rPr>
      <w:szCs w:val="20"/>
    </w:rPr>
  </w:style>
  <w:style w:type="paragraph" w:styleId="1528" w:customStyle="1">
    <w:name w:val="样式3"/>
    <w:basedOn w:val="1365"/>
    <w:uiPriority w:val="0"/>
    <w:qFormat/>
    <w:rPr>
      <w:rFonts w:hAnsi="宋体" w:cs="宋体"/>
      <w:szCs w:val="21"/>
    </w:rPr>
  </w:style>
  <w:style w:type="paragraph" w:styleId="1529" w:customStyle="1">
    <w:name w:val="样式6"/>
    <w:basedOn w:val="1357"/>
    <w:uiPriority w:val="1"/>
    <w:qFormat/>
    <w:pPr>
      <w:ind w:left="500" w:right="100"/>
      <w:jc w:val="left"/>
      <w:spacing w:line="360" w:lineRule="auto"/>
    </w:pPr>
    <w:rPr>
      <w:rFonts w:ascii="Arial" w:hAnsi="Arial" w:eastAsia="宋体"/>
      <w:szCs w:val="22"/>
    </w:rPr>
  </w:style>
  <w:style w:type="character" w:styleId="1530" w:customStyle="1">
    <w:name w:val="样式1 Char"/>
    <w:link w:val="1531"/>
    <w:uiPriority w:val="0"/>
    <w:qFormat/>
    <w:rPr>
      <w:rFonts w:ascii="宋体" w:hAnsi="宋体"/>
      <w:szCs w:val="21"/>
    </w:rPr>
  </w:style>
  <w:style w:type="paragraph" w:styleId="1531" w:customStyle="1">
    <w:name w:val="样式1"/>
    <w:basedOn w:val="1145"/>
    <w:link w:val="1530"/>
    <w:uiPriority w:val="0"/>
    <w:qFormat/>
    <w:pPr>
      <w:numPr>
        <w:ilvl w:val="0"/>
        <w:numId w:val="6"/>
      </w:numPr>
    </w:pPr>
    <w:rPr>
      <w:rFonts w:ascii="宋体" w:hAnsi="宋体"/>
      <w:szCs w:val="21"/>
    </w:rPr>
  </w:style>
  <w:style w:type="paragraph" w:styleId="1532" w:customStyle="1">
    <w:name w:val="List Paragraph2"/>
    <w:basedOn w:val="1145"/>
    <w:uiPriority w:val="0"/>
    <w:qFormat/>
    <w:pPr>
      <w:ind w:firstLine="420"/>
    </w:pPr>
    <w:rPr>
      <w:szCs w:val="20"/>
    </w:rPr>
  </w:style>
  <w:style w:type="paragraph" w:styleId="1533" w:customStyle="1">
    <w:name w:val="一级目录"/>
    <w:next w:val="1145"/>
    <w:uiPriority w:val="99"/>
    <w:qFormat/>
    <w:pPr>
      <w:jc w:val="center"/>
      <w:outlineLvl w:val="0"/>
    </w:pPr>
    <w:rPr>
      <w:rFonts w:ascii="黑体" w:hAnsi="Times New Roman" w:eastAsia="黑体" w:cs="Times New Roman"/>
      <w:b/>
      <w:sz w:val="44"/>
      <w:szCs w:val="22"/>
      <w:lang w:val="en-US" w:eastAsia="zh-CN" w:bidi="ar-SA"/>
    </w:rPr>
  </w:style>
  <w:style w:type="paragraph" w:styleId="1534" w:customStyle="1">
    <w:name w:val="标准文本"/>
    <w:basedOn w:val="1145"/>
    <w:uiPriority w:val="0"/>
    <w:qFormat/>
    <w:pPr>
      <w:ind w:firstLine="480"/>
      <w:spacing w:line="360" w:lineRule="auto"/>
    </w:pPr>
    <w:rPr>
      <w:rFonts w:eastAsia="Calibri" w:cs="宋体"/>
      <w:sz w:val="24"/>
      <w:lang w:val="zh-CN"/>
    </w:rPr>
  </w:style>
  <w:style w:type="paragraph" w:styleId="1535" w:customStyle="1">
    <w:name w:val="msolistparagraph"/>
    <w:basedOn w:val="1145"/>
    <w:uiPriority w:val="0"/>
    <w:qFormat/>
    <w:pPr>
      <w:ind w:firstLine="420"/>
    </w:pPr>
  </w:style>
  <w:style w:type="paragraph" w:styleId="1536" w:customStyle="1">
    <w:name w:val="样式 样式 首行缩进:  2 字符 + 行距: 1.5 倍行距"/>
    <w:basedOn w:val="1145"/>
    <w:uiPriority w:val="0"/>
    <w:qFormat/>
    <w:pPr>
      <w:ind w:firstLine="470"/>
      <w:spacing w:line="360" w:lineRule="auto"/>
    </w:pPr>
    <w:rPr>
      <w:rFonts w:eastAsia="Calibri" w:cs="宋体"/>
      <w:sz w:val="24"/>
      <w:szCs w:val="20"/>
      <w:lang w:val="zh-CN"/>
    </w:rPr>
  </w:style>
  <w:style w:type="paragraph" w:styleId="1537" w:customStyle="1">
    <w:name w:val="招标"/>
    <w:basedOn w:val="1145"/>
    <w:uiPriority w:val="0"/>
    <w:qFormat/>
    <w:pPr>
      <w:ind w:firstLine="420"/>
      <w:jc w:val="left"/>
      <w:spacing w:line="400" w:lineRule="exact"/>
    </w:pPr>
    <w:rPr>
      <w:rFonts w:ascii="宋体" w:hAnsi="宋体"/>
    </w:rPr>
  </w:style>
  <w:style w:type="character" w:styleId="1538" w:customStyle="1">
    <w:name w:val="16"/>
    <w:uiPriority w:val="0"/>
    <w:qFormat/>
    <w:rPr>
      <w:rFonts w:ascii="Calibri" w:hAnsi="Calibri" w:cs="Calibri"/>
    </w:rPr>
  </w:style>
  <w:style w:type="paragraph" w:styleId="1539" w:customStyle="1">
    <w:name w:val="普通正文"/>
    <w:basedOn w:val="1145"/>
    <w:uiPriority w:val="0"/>
    <w:qFormat/>
    <w:pPr>
      <w:ind w:firstLine="480"/>
      <w:spacing w:before="120" w:after="120"/>
      <w:widowControl w:val="off"/>
    </w:pPr>
    <w:rPr>
      <w:rFonts w:ascii="Arial" w:hAnsi="Arial" w:cs="Times New Roman"/>
      <w:sz w:val="24"/>
      <w:szCs w:val="24"/>
    </w:r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徐雪</cp:lastModifiedBy>
  <cp:revision>12</cp:revision>
  <dcterms:created xsi:type="dcterms:W3CDTF">2024-07-03T09:40:00Z</dcterms:created>
  <dcterms:modified xsi:type="dcterms:W3CDTF">2026-05-22T09:14:15Z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02C176055BB24A90AAC32DABDCD9BEC9_13</vt:lpwstr>
  </property>
  <property fmtid="{D5CDD505-2E9C-101B-9397-08002B2CF9AE}" pid="4" name="KSOTemplateDocerSaveRecord">
    <vt:lpwstr>eyJoZGlkIjoiODViY2JkMjU3NGYzZTEwMzZmMGFkZWViYmNkYWU3NDIiLCJ1c2VySWQiOiIzNTQ1ODYxODEifQ==</vt:lpwstr>
  </property>
</Properties>
</file>