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DD01">
      <w:pPr>
        <w:spacing w:line="360" w:lineRule="auto"/>
        <w:jc w:val="right"/>
        <w:rPr>
          <w:rFonts w:hint="eastAsia" w:ascii="宋体" w:hAnsi="宋体" w:eastAsia="宋体" w:cs="宋体"/>
          <w:b/>
          <w:bCs/>
          <w:kern w:val="2"/>
          <w:sz w:val="32"/>
          <w:szCs w:val="32"/>
          <w:highlight w:val="none"/>
          <w:lang w:eastAsia="zh-CN"/>
        </w:rPr>
      </w:pPr>
      <w:r>
        <w:rPr>
          <w:rFonts w:hint="eastAsia" w:ascii="宋体" w:hAnsi="宋体" w:cs="宋体"/>
          <w:b/>
          <w:bCs/>
          <w:kern w:val="2"/>
          <w:sz w:val="32"/>
          <w:szCs w:val="32"/>
          <w:highlight w:val="none"/>
        </w:rPr>
        <w:t>项目编</w:t>
      </w:r>
      <w:bookmarkStart w:id="250" w:name="_GoBack"/>
      <w:bookmarkEnd w:id="250"/>
      <w:r>
        <w:rPr>
          <w:rFonts w:hint="eastAsia" w:ascii="宋体" w:hAnsi="宋体" w:cs="宋体"/>
          <w:b/>
          <w:bCs/>
          <w:kern w:val="2"/>
          <w:sz w:val="32"/>
          <w:szCs w:val="32"/>
          <w:highlight w:val="none"/>
        </w:rPr>
        <w:t>号：</w:t>
      </w:r>
      <w:r>
        <w:rPr>
          <w:rFonts w:hint="eastAsia" w:ascii="宋体" w:hAnsi="宋体" w:cs="宋体"/>
          <w:b/>
          <w:bCs/>
          <w:kern w:val="2"/>
          <w:sz w:val="32"/>
          <w:szCs w:val="32"/>
          <w:highlight w:val="none"/>
          <w:lang w:eastAsia="zh-CN"/>
        </w:rPr>
        <w:t>YNLH202603030202</w:t>
      </w:r>
    </w:p>
    <w:p w14:paraId="4845B228">
      <w:pPr>
        <w:rPr>
          <w:rFonts w:ascii="宋体" w:hAnsi="宋体"/>
          <w:sz w:val="44"/>
          <w:szCs w:val="44"/>
        </w:rPr>
      </w:pPr>
    </w:p>
    <w:p w14:paraId="44162887">
      <w:pPr>
        <w:pStyle w:val="2"/>
      </w:pPr>
    </w:p>
    <w:p w14:paraId="29CCC384">
      <w:pPr>
        <w:pStyle w:val="18"/>
        <w:spacing w:line="800" w:lineRule="exact"/>
        <w:jc w:val="center"/>
        <w:rPr>
          <w:rFonts w:hint="eastAsia" w:hAnsi="宋体" w:eastAsia="宋体" w:cs="宋体"/>
          <w:b/>
          <w:bCs/>
          <w:spacing w:val="-20"/>
          <w:sz w:val="56"/>
          <w:szCs w:val="56"/>
          <w:lang w:eastAsia="zh-CN"/>
        </w:rPr>
      </w:pPr>
      <w:r>
        <w:rPr>
          <w:rFonts w:hint="eastAsia" w:hAnsi="宋体" w:cs="宋体"/>
          <w:b/>
          <w:bCs/>
          <w:spacing w:val="-20"/>
          <w:sz w:val="56"/>
          <w:szCs w:val="56"/>
          <w:lang w:eastAsia="zh-CN"/>
        </w:rPr>
        <w:t>昆明市融媒体中心2026年报纸印刷用新闻纸采购（二次）</w:t>
      </w:r>
    </w:p>
    <w:p w14:paraId="34CFD3D4">
      <w:pPr>
        <w:pStyle w:val="2"/>
        <w:rPr>
          <w:rFonts w:ascii="宋体" w:hAnsi="宋体" w:cs="宋体"/>
          <w:sz w:val="28"/>
          <w:szCs w:val="28"/>
        </w:rPr>
      </w:pPr>
    </w:p>
    <w:p w14:paraId="1D16F0C2">
      <w:pPr>
        <w:pStyle w:val="2"/>
        <w:jc w:val="both"/>
        <w:rPr>
          <w:rFonts w:ascii="宋体" w:hAnsi="宋体" w:cs="宋体"/>
          <w:sz w:val="28"/>
          <w:szCs w:val="28"/>
        </w:rPr>
      </w:pPr>
    </w:p>
    <w:p w14:paraId="68B00725">
      <w:pPr>
        <w:pStyle w:val="2"/>
        <w:rPr>
          <w:rFonts w:ascii="宋体" w:hAnsi="宋体" w:cs="宋体"/>
          <w:sz w:val="28"/>
          <w:szCs w:val="28"/>
        </w:rPr>
      </w:pPr>
    </w:p>
    <w:p w14:paraId="2FEBD67B">
      <w:pPr>
        <w:pStyle w:val="16"/>
        <w:ind w:left="0"/>
      </w:pPr>
    </w:p>
    <w:p w14:paraId="3C189F4E">
      <w:pPr>
        <w:jc w:val="center"/>
        <w:rPr>
          <w:rFonts w:ascii="宋体" w:hAnsi="宋体" w:cs="宋体"/>
          <w:sz w:val="28"/>
          <w:szCs w:val="28"/>
        </w:rPr>
      </w:pPr>
      <w:r>
        <w:rPr>
          <w:rFonts w:hint="eastAsia" w:ascii="宋体" w:hAnsi="宋体" w:cs="宋体"/>
          <w:b/>
          <w:bCs/>
          <w:sz w:val="96"/>
          <w:szCs w:val="96"/>
        </w:rPr>
        <w:t>招标文件</w:t>
      </w:r>
    </w:p>
    <w:p w14:paraId="668D3180">
      <w:pPr>
        <w:pStyle w:val="2"/>
      </w:pPr>
    </w:p>
    <w:p w14:paraId="03CA91B5">
      <w:pPr>
        <w:pStyle w:val="2"/>
        <w:rPr>
          <w:rFonts w:ascii="宋体" w:hAnsi="宋体" w:cs="宋体"/>
          <w:sz w:val="28"/>
          <w:szCs w:val="28"/>
        </w:rPr>
      </w:pPr>
      <w:r>
        <w:rPr>
          <w:rFonts w:hint="eastAsia" w:ascii="宋体" w:hAnsi="宋体" w:cs="宋体"/>
        </w:rPr>
        <w:drawing>
          <wp:anchor distT="0" distB="0" distL="114300" distR="114300" simplePos="0" relativeHeight="251660288" behindDoc="1" locked="0" layoutInCell="1" allowOverlap="1">
            <wp:simplePos x="0" y="0"/>
            <wp:positionH relativeFrom="column">
              <wp:posOffset>2210435</wp:posOffset>
            </wp:positionH>
            <wp:positionV relativeFrom="paragraph">
              <wp:posOffset>89535</wp:posOffset>
            </wp:positionV>
            <wp:extent cx="1998345" cy="1661795"/>
            <wp:effectExtent l="0" t="0" r="1905" b="1460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rcRect b="1917"/>
                    <a:stretch>
                      <a:fillRect/>
                    </a:stretch>
                  </pic:blipFill>
                  <pic:spPr>
                    <a:xfrm flipH="1">
                      <a:off x="0" y="0"/>
                      <a:ext cx="1998345" cy="1661795"/>
                    </a:xfrm>
                    <a:prstGeom prst="rect">
                      <a:avLst/>
                    </a:prstGeom>
                    <a:noFill/>
                    <a:ln>
                      <a:noFill/>
                    </a:ln>
                  </pic:spPr>
                </pic:pic>
              </a:graphicData>
            </a:graphic>
          </wp:anchor>
        </w:drawing>
      </w:r>
    </w:p>
    <w:p w14:paraId="0DFBB304">
      <w:pPr>
        <w:pStyle w:val="2"/>
        <w:rPr>
          <w:rFonts w:ascii="宋体" w:hAnsi="宋体" w:cs="宋体"/>
          <w:sz w:val="28"/>
          <w:szCs w:val="28"/>
        </w:rPr>
      </w:pPr>
    </w:p>
    <w:p w14:paraId="1F966B58">
      <w:pPr>
        <w:pStyle w:val="2"/>
        <w:rPr>
          <w:rFonts w:ascii="宋体" w:hAnsi="宋体" w:cs="宋体"/>
          <w:sz w:val="28"/>
          <w:szCs w:val="28"/>
        </w:rPr>
      </w:pPr>
    </w:p>
    <w:p w14:paraId="3B560B23">
      <w:pPr>
        <w:pStyle w:val="2"/>
        <w:rPr>
          <w:rFonts w:ascii="宋体" w:hAnsi="宋体" w:cs="宋体"/>
          <w:sz w:val="28"/>
          <w:szCs w:val="28"/>
        </w:rPr>
      </w:pPr>
    </w:p>
    <w:p w14:paraId="584B00E8">
      <w:pPr>
        <w:pStyle w:val="2"/>
        <w:rPr>
          <w:rFonts w:ascii="宋体" w:hAnsi="宋体" w:cs="宋体"/>
          <w:sz w:val="28"/>
          <w:szCs w:val="28"/>
        </w:rPr>
      </w:pPr>
    </w:p>
    <w:p w14:paraId="750BC207">
      <w:pPr>
        <w:pStyle w:val="2"/>
        <w:rPr>
          <w:rFonts w:ascii="宋体" w:hAnsi="宋体" w:cs="宋体"/>
          <w:b/>
          <w:sz w:val="36"/>
          <w:szCs w:val="36"/>
        </w:rPr>
      </w:pPr>
    </w:p>
    <w:p w14:paraId="33A06E4E">
      <w:pPr>
        <w:pStyle w:val="2"/>
        <w:spacing w:line="480" w:lineRule="auto"/>
        <w:ind w:firstLine="1084" w:firstLineChars="300"/>
        <w:rPr>
          <w:rFonts w:hint="eastAsia" w:ascii="宋体" w:hAnsi="宋体" w:eastAsia="宋体" w:cs="宋体"/>
          <w:b/>
          <w:sz w:val="36"/>
          <w:szCs w:val="36"/>
          <w:u w:val="single"/>
          <w:lang w:eastAsia="zh-CN"/>
        </w:rPr>
      </w:pPr>
      <w:r>
        <w:rPr>
          <w:rFonts w:hint="eastAsia" w:ascii="宋体" w:hAnsi="宋体" w:cs="宋体"/>
          <w:b/>
          <w:sz w:val="36"/>
          <w:szCs w:val="36"/>
        </w:rPr>
        <w:t>采   购   人：</w:t>
      </w:r>
      <w:r>
        <w:rPr>
          <w:rFonts w:hint="eastAsia" w:ascii="宋体" w:hAnsi="宋体" w:cs="宋体"/>
          <w:b/>
          <w:sz w:val="36"/>
          <w:szCs w:val="36"/>
          <w:lang w:eastAsia="zh-CN"/>
        </w:rPr>
        <w:t>昆明市融媒体中心</w:t>
      </w:r>
    </w:p>
    <w:p w14:paraId="3CCC0D34">
      <w:pPr>
        <w:pStyle w:val="2"/>
        <w:spacing w:line="480" w:lineRule="auto"/>
        <w:ind w:firstLine="1084" w:firstLineChars="300"/>
        <w:rPr>
          <w:rFonts w:ascii="宋体" w:hAnsi="宋体" w:cs="宋体"/>
          <w:b/>
          <w:sz w:val="36"/>
          <w:szCs w:val="36"/>
          <w:u w:val="single"/>
        </w:rPr>
      </w:pPr>
      <w:r>
        <w:rPr>
          <w:rFonts w:hint="eastAsia" w:ascii="宋体" w:hAnsi="宋体" w:cs="宋体"/>
          <w:b/>
          <w:sz w:val="36"/>
          <w:szCs w:val="36"/>
        </w:rPr>
        <w:t>采购代理机构：云南力宏建设工程咨询有限公司</w:t>
      </w:r>
    </w:p>
    <w:p w14:paraId="49DEEE72">
      <w:pPr>
        <w:pStyle w:val="2"/>
        <w:ind w:firstLine="1084" w:firstLineChars="300"/>
        <w:jc w:val="both"/>
        <w:rPr>
          <w:rFonts w:hint="eastAsia" w:ascii="宋体" w:hAnsi="宋体" w:cs="宋体"/>
          <w:b/>
          <w:sz w:val="36"/>
          <w:szCs w:val="36"/>
          <w:lang w:eastAsia="zh-CN"/>
        </w:rPr>
      </w:pPr>
      <w:r>
        <w:rPr>
          <w:rFonts w:hint="eastAsia" w:ascii="宋体" w:hAnsi="宋体" w:cs="宋体"/>
          <w:b/>
          <w:sz w:val="36"/>
          <w:szCs w:val="36"/>
        </w:rPr>
        <w:t>日        期：</w:t>
      </w:r>
      <w:r>
        <w:rPr>
          <w:rFonts w:hint="eastAsia" w:ascii="宋体" w:hAnsi="宋体" w:cs="宋体"/>
          <w:b/>
          <w:sz w:val="36"/>
          <w:szCs w:val="36"/>
          <w:lang w:eastAsia="zh-CN"/>
        </w:rPr>
        <w:t>2026年</w:t>
      </w:r>
      <w:r>
        <w:rPr>
          <w:rFonts w:hint="eastAsia" w:ascii="宋体" w:hAnsi="宋体" w:cs="宋体"/>
          <w:b/>
          <w:sz w:val="36"/>
          <w:szCs w:val="36"/>
          <w:lang w:val="en-US" w:eastAsia="zh-CN"/>
        </w:rPr>
        <w:t>4</w:t>
      </w:r>
      <w:r>
        <w:rPr>
          <w:rFonts w:hint="eastAsia" w:ascii="宋体" w:hAnsi="宋体" w:cs="宋体"/>
          <w:b/>
          <w:sz w:val="36"/>
          <w:szCs w:val="36"/>
          <w:lang w:eastAsia="zh-CN"/>
        </w:rPr>
        <w:t>月</w:t>
      </w:r>
    </w:p>
    <w:p w14:paraId="6F4B830C">
      <w:pPr>
        <w:rPr>
          <w:rFonts w:hint="eastAsia" w:ascii="宋体" w:hAnsi="宋体" w:cs="宋体"/>
          <w:b/>
          <w:sz w:val="36"/>
          <w:szCs w:val="36"/>
          <w:lang w:eastAsia="zh-CN"/>
        </w:rPr>
      </w:pPr>
    </w:p>
    <w:p w14:paraId="44BECCF9">
      <w:pPr>
        <w:rPr>
          <w:rFonts w:hint="eastAsia" w:ascii="宋体" w:hAnsi="宋体" w:cs="宋体"/>
          <w:b/>
          <w:sz w:val="36"/>
          <w:szCs w:val="36"/>
          <w:lang w:eastAsia="zh-CN"/>
        </w:rPr>
        <w:sectPr>
          <w:headerReference r:id="rId3" w:type="default"/>
          <w:headerReference r:id="rId4" w:type="even"/>
          <w:footerReference r:id="rId5" w:type="even"/>
          <w:pgSz w:w="11906" w:h="16838"/>
          <w:pgMar w:top="1440" w:right="1083" w:bottom="1440" w:left="1083" w:header="720" w:footer="720" w:gutter="0"/>
          <w:cols w:space="720" w:num="1"/>
          <w:titlePg/>
          <w:docGrid w:type="lines" w:linePitch="317" w:charSpace="0"/>
        </w:sectPr>
      </w:pPr>
    </w:p>
    <w:p w14:paraId="4E8234AB">
      <w:pPr>
        <w:jc w:val="center"/>
        <w:rPr>
          <w:rFonts w:ascii="宋体" w:hAnsi="宋体" w:cs="宋体"/>
          <w:b/>
          <w:bCs/>
          <w:sz w:val="44"/>
          <w:szCs w:val="44"/>
        </w:rPr>
      </w:pPr>
      <w:r>
        <w:rPr>
          <w:rFonts w:hint="eastAsia" w:ascii="宋体" w:hAnsi="宋体" w:cs="宋体"/>
          <w:b/>
          <w:bCs/>
          <w:sz w:val="44"/>
          <w:szCs w:val="44"/>
        </w:rPr>
        <w:t>目  录</w:t>
      </w:r>
    </w:p>
    <w:p w14:paraId="07185FBB">
      <w:pPr>
        <w:pStyle w:val="23"/>
        <w:tabs>
          <w:tab w:val="right" w:leader="dot" w:pos="9740"/>
        </w:tabs>
      </w:pPr>
      <w:r>
        <w:rPr>
          <w:rFonts w:hint="eastAsia" w:ascii="宋体" w:hAnsi="宋体" w:cs="宋体"/>
          <w:b w:val="0"/>
          <w:bCs w:val="0"/>
          <w:caps w:val="0"/>
          <w:sz w:val="24"/>
          <w:szCs w:val="24"/>
        </w:rPr>
        <w:fldChar w:fldCharType="begin"/>
      </w:r>
      <w:r>
        <w:rPr>
          <w:rFonts w:hint="eastAsia" w:ascii="宋体" w:hAnsi="宋体" w:cs="宋体"/>
          <w:b w:val="0"/>
          <w:bCs w:val="0"/>
          <w:caps w:val="0"/>
          <w:sz w:val="24"/>
          <w:szCs w:val="24"/>
        </w:rPr>
        <w:instrText xml:space="preserve"> TOC \o "1-3" \h \z \u </w:instrText>
      </w:r>
      <w:r>
        <w:rPr>
          <w:rFonts w:hint="eastAsia" w:ascii="宋体" w:hAnsi="宋体" w:cs="宋体"/>
          <w:b w:val="0"/>
          <w:bCs w:val="0"/>
          <w:caps w:val="0"/>
          <w:sz w:val="24"/>
          <w:szCs w:val="24"/>
        </w:rPr>
        <w:fldChar w:fldCharType="separate"/>
      </w:r>
      <w:r>
        <w:rPr>
          <w:rFonts w:hint="eastAsia" w:ascii="宋体" w:hAnsi="宋体" w:cs="宋体"/>
          <w:bCs w:val="0"/>
          <w:caps w:val="0"/>
          <w:szCs w:val="24"/>
        </w:rPr>
        <w:fldChar w:fldCharType="begin"/>
      </w:r>
      <w:r>
        <w:rPr>
          <w:rFonts w:hint="eastAsia" w:ascii="宋体" w:hAnsi="宋体" w:cs="宋体"/>
          <w:bCs w:val="0"/>
          <w:caps w:val="0"/>
          <w:szCs w:val="24"/>
        </w:rPr>
        <w:instrText xml:space="preserve"> HYPERLINK \l _Toc3622 </w:instrText>
      </w:r>
      <w:r>
        <w:rPr>
          <w:rFonts w:hint="eastAsia" w:ascii="宋体" w:hAnsi="宋体" w:cs="宋体"/>
          <w:bCs w:val="0"/>
          <w:caps w:val="0"/>
          <w:szCs w:val="24"/>
        </w:rPr>
        <w:fldChar w:fldCharType="separate"/>
      </w:r>
      <w:r>
        <w:rPr>
          <w:rFonts w:hint="eastAsia" w:ascii="宋体" w:hAnsi="宋体" w:cs="宋体"/>
          <w:bCs/>
        </w:rPr>
        <w:t>第一章 招标公告</w:t>
      </w:r>
      <w:r>
        <w:tab/>
      </w:r>
      <w:r>
        <w:fldChar w:fldCharType="begin"/>
      </w:r>
      <w:r>
        <w:instrText xml:space="preserve"> PAGEREF _Toc3622 \h </w:instrText>
      </w:r>
      <w:r>
        <w:fldChar w:fldCharType="separate"/>
      </w:r>
      <w:r>
        <w:t>1</w:t>
      </w:r>
      <w:r>
        <w:fldChar w:fldCharType="end"/>
      </w:r>
      <w:r>
        <w:rPr>
          <w:rFonts w:hint="eastAsia" w:ascii="宋体" w:hAnsi="宋体" w:cs="宋体"/>
          <w:bCs w:val="0"/>
          <w:caps w:val="0"/>
          <w:szCs w:val="24"/>
        </w:rPr>
        <w:fldChar w:fldCharType="end"/>
      </w:r>
    </w:p>
    <w:p w14:paraId="2E71ECA3">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_Toc4348 </w:instrText>
      </w:r>
      <w:r>
        <w:rPr>
          <w:rFonts w:hint="eastAsia" w:ascii="宋体" w:hAnsi="宋体" w:cs="宋体"/>
          <w:caps/>
          <w:szCs w:val="24"/>
        </w:rPr>
        <w:fldChar w:fldCharType="separate"/>
      </w:r>
      <w:r>
        <w:rPr>
          <w:rFonts w:hint="eastAsia" w:ascii="宋体" w:hAnsi="宋体" w:cs="宋体"/>
          <w:bCs/>
        </w:rPr>
        <w:t>第二章 投标人须知</w:t>
      </w:r>
      <w:r>
        <w:tab/>
      </w:r>
      <w:r>
        <w:fldChar w:fldCharType="begin"/>
      </w:r>
      <w:r>
        <w:instrText xml:space="preserve"> PAGEREF _Toc4348 \h </w:instrText>
      </w:r>
      <w:r>
        <w:fldChar w:fldCharType="separate"/>
      </w:r>
      <w:r>
        <w:t>5</w:t>
      </w:r>
      <w:r>
        <w:fldChar w:fldCharType="end"/>
      </w:r>
      <w:r>
        <w:rPr>
          <w:rFonts w:hint="eastAsia" w:ascii="宋体" w:hAnsi="宋体" w:cs="宋体"/>
          <w:caps/>
          <w:szCs w:val="24"/>
        </w:rPr>
        <w:fldChar w:fldCharType="end"/>
      </w:r>
    </w:p>
    <w:p w14:paraId="1B28FDE7">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_Toc29060 </w:instrText>
      </w:r>
      <w:r>
        <w:rPr>
          <w:rFonts w:hint="eastAsia" w:ascii="宋体" w:hAnsi="宋体" w:cs="宋体"/>
          <w:caps/>
          <w:szCs w:val="24"/>
        </w:rPr>
        <w:fldChar w:fldCharType="separate"/>
      </w:r>
      <w:r>
        <w:rPr>
          <w:rFonts w:hint="eastAsia" w:ascii="宋体" w:hAnsi="宋体" w:eastAsia="宋体" w:cs="宋体"/>
          <w:szCs w:val="28"/>
        </w:rPr>
        <w:t>投标人须知前附表</w:t>
      </w:r>
      <w:r>
        <w:tab/>
      </w:r>
      <w:r>
        <w:fldChar w:fldCharType="begin"/>
      </w:r>
      <w:r>
        <w:instrText xml:space="preserve"> PAGEREF _Toc29060 \h </w:instrText>
      </w:r>
      <w:r>
        <w:fldChar w:fldCharType="separate"/>
      </w:r>
      <w:r>
        <w:t>5</w:t>
      </w:r>
      <w:r>
        <w:fldChar w:fldCharType="end"/>
      </w:r>
      <w:r>
        <w:rPr>
          <w:rFonts w:hint="eastAsia" w:ascii="宋体" w:hAnsi="宋体" w:cs="宋体"/>
          <w:caps/>
          <w:szCs w:val="24"/>
        </w:rPr>
        <w:fldChar w:fldCharType="end"/>
      </w:r>
    </w:p>
    <w:p w14:paraId="763DC6E8">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_Toc8193 </w:instrText>
      </w:r>
      <w:r>
        <w:rPr>
          <w:rFonts w:hint="eastAsia" w:ascii="宋体" w:hAnsi="宋体" w:cs="宋体"/>
          <w:caps/>
          <w:szCs w:val="24"/>
        </w:rPr>
        <w:fldChar w:fldCharType="separate"/>
      </w:r>
      <w:r>
        <w:rPr>
          <w:rFonts w:hint="eastAsia" w:ascii="宋体" w:hAnsi="宋体" w:eastAsia="宋体" w:cs="宋体"/>
          <w:szCs w:val="28"/>
          <w:highlight w:val="none"/>
        </w:rPr>
        <w:t>1.总则</w:t>
      </w:r>
      <w:r>
        <w:tab/>
      </w:r>
      <w:r>
        <w:fldChar w:fldCharType="begin"/>
      </w:r>
      <w:r>
        <w:instrText xml:space="preserve"> PAGEREF _Toc8193 \h </w:instrText>
      </w:r>
      <w:r>
        <w:fldChar w:fldCharType="separate"/>
      </w:r>
      <w:r>
        <w:t>10</w:t>
      </w:r>
      <w:r>
        <w:fldChar w:fldCharType="end"/>
      </w:r>
      <w:r>
        <w:rPr>
          <w:rFonts w:hint="eastAsia" w:ascii="宋体" w:hAnsi="宋体" w:cs="宋体"/>
          <w:caps/>
          <w:szCs w:val="24"/>
        </w:rPr>
        <w:fldChar w:fldCharType="end"/>
      </w:r>
    </w:p>
    <w:p w14:paraId="0E8F2EAC">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_Toc17083 </w:instrText>
      </w:r>
      <w:r>
        <w:rPr>
          <w:rFonts w:hint="eastAsia" w:ascii="宋体" w:hAnsi="宋体" w:cs="宋体"/>
          <w:caps/>
          <w:szCs w:val="24"/>
        </w:rPr>
        <w:fldChar w:fldCharType="separate"/>
      </w:r>
      <w:r>
        <w:rPr>
          <w:rFonts w:hint="eastAsia" w:ascii="宋体" w:hAnsi="宋体" w:eastAsia="宋体" w:cs="宋体"/>
          <w:szCs w:val="28"/>
          <w:highlight w:val="none"/>
        </w:rPr>
        <w:t>2.招标文件</w:t>
      </w:r>
      <w:r>
        <w:tab/>
      </w:r>
      <w:r>
        <w:fldChar w:fldCharType="begin"/>
      </w:r>
      <w:r>
        <w:instrText xml:space="preserve"> PAGEREF _Toc17083 \h </w:instrText>
      </w:r>
      <w:r>
        <w:fldChar w:fldCharType="separate"/>
      </w:r>
      <w:r>
        <w:t>11</w:t>
      </w:r>
      <w:r>
        <w:fldChar w:fldCharType="end"/>
      </w:r>
      <w:r>
        <w:rPr>
          <w:rFonts w:hint="eastAsia" w:ascii="宋体" w:hAnsi="宋体" w:cs="宋体"/>
          <w:caps/>
          <w:szCs w:val="24"/>
        </w:rPr>
        <w:fldChar w:fldCharType="end"/>
      </w:r>
    </w:p>
    <w:p w14:paraId="3E036AC1">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_Toc13481 </w:instrText>
      </w:r>
      <w:r>
        <w:rPr>
          <w:rFonts w:hint="eastAsia" w:ascii="宋体" w:hAnsi="宋体" w:cs="宋体"/>
          <w:caps/>
          <w:szCs w:val="24"/>
        </w:rPr>
        <w:fldChar w:fldCharType="separate"/>
      </w:r>
      <w:r>
        <w:rPr>
          <w:rFonts w:hint="eastAsia" w:ascii="宋体" w:hAnsi="宋体" w:eastAsia="宋体" w:cs="宋体"/>
          <w:szCs w:val="28"/>
          <w:highlight w:val="none"/>
        </w:rPr>
        <w:t>3.投标文件</w:t>
      </w:r>
      <w:r>
        <w:tab/>
      </w:r>
      <w:r>
        <w:fldChar w:fldCharType="begin"/>
      </w:r>
      <w:r>
        <w:instrText xml:space="preserve"> PAGEREF _Toc13481 \h </w:instrText>
      </w:r>
      <w:r>
        <w:fldChar w:fldCharType="separate"/>
      </w:r>
      <w:r>
        <w:t>12</w:t>
      </w:r>
      <w:r>
        <w:fldChar w:fldCharType="end"/>
      </w:r>
      <w:r>
        <w:rPr>
          <w:rFonts w:hint="eastAsia" w:ascii="宋体" w:hAnsi="宋体" w:cs="宋体"/>
          <w:caps/>
          <w:szCs w:val="24"/>
        </w:rPr>
        <w:fldChar w:fldCharType="end"/>
      </w:r>
    </w:p>
    <w:p w14:paraId="6B116A73">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_Toc25212 </w:instrText>
      </w:r>
      <w:r>
        <w:rPr>
          <w:rFonts w:hint="eastAsia" w:ascii="宋体" w:hAnsi="宋体" w:cs="宋体"/>
          <w:caps/>
          <w:szCs w:val="24"/>
        </w:rPr>
        <w:fldChar w:fldCharType="separate"/>
      </w:r>
      <w:r>
        <w:rPr>
          <w:rFonts w:hint="eastAsia" w:ascii="宋体" w:hAnsi="宋体" w:eastAsia="宋体" w:cs="宋体"/>
          <w:szCs w:val="28"/>
          <w:highlight w:val="none"/>
        </w:rPr>
        <w:t>4.投标</w:t>
      </w:r>
      <w:r>
        <w:tab/>
      </w:r>
      <w:r>
        <w:fldChar w:fldCharType="begin"/>
      </w:r>
      <w:r>
        <w:instrText xml:space="preserve"> PAGEREF _Toc25212 \h </w:instrText>
      </w:r>
      <w:r>
        <w:fldChar w:fldCharType="separate"/>
      </w:r>
      <w:r>
        <w:t>14</w:t>
      </w:r>
      <w:r>
        <w:fldChar w:fldCharType="end"/>
      </w:r>
      <w:r>
        <w:rPr>
          <w:rFonts w:hint="eastAsia" w:ascii="宋体" w:hAnsi="宋体" w:cs="宋体"/>
          <w:caps/>
          <w:szCs w:val="24"/>
        </w:rPr>
        <w:fldChar w:fldCharType="end"/>
      </w:r>
    </w:p>
    <w:p w14:paraId="34F5BFBB">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_Toc22620 </w:instrText>
      </w:r>
      <w:r>
        <w:rPr>
          <w:rFonts w:hint="eastAsia" w:ascii="宋体" w:hAnsi="宋体" w:cs="宋体"/>
          <w:caps/>
          <w:szCs w:val="24"/>
        </w:rPr>
        <w:fldChar w:fldCharType="separate"/>
      </w:r>
      <w:r>
        <w:rPr>
          <w:rFonts w:hint="eastAsia" w:ascii="宋体" w:hAnsi="宋体" w:eastAsia="宋体" w:cs="宋体"/>
          <w:szCs w:val="28"/>
          <w:highlight w:val="none"/>
        </w:rPr>
        <w:t>5.开标</w:t>
      </w:r>
      <w:r>
        <w:tab/>
      </w:r>
      <w:r>
        <w:fldChar w:fldCharType="begin"/>
      </w:r>
      <w:r>
        <w:instrText xml:space="preserve"> PAGEREF _Toc22620 \h </w:instrText>
      </w:r>
      <w:r>
        <w:fldChar w:fldCharType="separate"/>
      </w:r>
      <w:r>
        <w:t>14</w:t>
      </w:r>
      <w:r>
        <w:fldChar w:fldCharType="end"/>
      </w:r>
      <w:r>
        <w:rPr>
          <w:rFonts w:hint="eastAsia" w:ascii="宋体" w:hAnsi="宋体" w:cs="宋体"/>
          <w:caps/>
          <w:szCs w:val="24"/>
        </w:rPr>
        <w:fldChar w:fldCharType="end"/>
      </w:r>
    </w:p>
    <w:p w14:paraId="0A410739">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_Toc6689 </w:instrText>
      </w:r>
      <w:r>
        <w:rPr>
          <w:rFonts w:hint="eastAsia" w:ascii="宋体" w:hAnsi="宋体" w:cs="宋体"/>
          <w:caps/>
          <w:szCs w:val="24"/>
        </w:rPr>
        <w:fldChar w:fldCharType="separate"/>
      </w:r>
      <w:r>
        <w:rPr>
          <w:rFonts w:hint="eastAsia" w:ascii="宋体" w:hAnsi="宋体" w:eastAsia="宋体" w:cs="宋体"/>
          <w:szCs w:val="28"/>
          <w:highlight w:val="none"/>
        </w:rPr>
        <w:t>6.资格审查</w:t>
      </w:r>
      <w:r>
        <w:tab/>
      </w:r>
      <w:r>
        <w:fldChar w:fldCharType="begin"/>
      </w:r>
      <w:r>
        <w:instrText xml:space="preserve"> PAGEREF _Toc6689 \h </w:instrText>
      </w:r>
      <w:r>
        <w:fldChar w:fldCharType="separate"/>
      </w:r>
      <w:r>
        <w:t>15</w:t>
      </w:r>
      <w:r>
        <w:fldChar w:fldCharType="end"/>
      </w:r>
      <w:r>
        <w:rPr>
          <w:rFonts w:hint="eastAsia" w:ascii="宋体" w:hAnsi="宋体" w:cs="宋体"/>
          <w:caps/>
          <w:szCs w:val="24"/>
        </w:rPr>
        <w:fldChar w:fldCharType="end"/>
      </w:r>
    </w:p>
    <w:p w14:paraId="0920EDE2">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_Toc18008 </w:instrText>
      </w:r>
      <w:r>
        <w:rPr>
          <w:rFonts w:hint="eastAsia" w:ascii="宋体" w:hAnsi="宋体" w:cs="宋体"/>
          <w:caps/>
          <w:szCs w:val="24"/>
        </w:rPr>
        <w:fldChar w:fldCharType="separate"/>
      </w:r>
      <w:r>
        <w:rPr>
          <w:rFonts w:hint="eastAsia" w:ascii="宋体" w:hAnsi="宋体" w:eastAsia="宋体" w:cs="宋体"/>
          <w:szCs w:val="28"/>
          <w:highlight w:val="none"/>
        </w:rPr>
        <w:t>7.评标</w:t>
      </w:r>
      <w:r>
        <w:tab/>
      </w:r>
      <w:r>
        <w:fldChar w:fldCharType="begin"/>
      </w:r>
      <w:r>
        <w:instrText xml:space="preserve"> PAGEREF _Toc18008 \h </w:instrText>
      </w:r>
      <w:r>
        <w:fldChar w:fldCharType="separate"/>
      </w:r>
      <w:r>
        <w:t>15</w:t>
      </w:r>
      <w:r>
        <w:fldChar w:fldCharType="end"/>
      </w:r>
      <w:r>
        <w:rPr>
          <w:rFonts w:hint="eastAsia" w:ascii="宋体" w:hAnsi="宋体" w:cs="宋体"/>
          <w:caps/>
          <w:szCs w:val="24"/>
        </w:rPr>
        <w:fldChar w:fldCharType="end"/>
      </w:r>
    </w:p>
    <w:p w14:paraId="7E41328A">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_Toc6673 </w:instrText>
      </w:r>
      <w:r>
        <w:rPr>
          <w:rFonts w:hint="eastAsia" w:ascii="宋体" w:hAnsi="宋体" w:cs="宋体"/>
          <w:caps/>
          <w:szCs w:val="24"/>
        </w:rPr>
        <w:fldChar w:fldCharType="separate"/>
      </w:r>
      <w:r>
        <w:rPr>
          <w:rFonts w:hint="eastAsia" w:ascii="宋体" w:hAnsi="宋体" w:eastAsia="宋体" w:cs="宋体"/>
          <w:szCs w:val="28"/>
          <w:highlight w:val="none"/>
        </w:rPr>
        <w:t>8.中标和合同</w:t>
      </w:r>
      <w:r>
        <w:tab/>
      </w:r>
      <w:r>
        <w:fldChar w:fldCharType="begin"/>
      </w:r>
      <w:r>
        <w:instrText xml:space="preserve"> PAGEREF _Toc6673 \h </w:instrText>
      </w:r>
      <w:r>
        <w:fldChar w:fldCharType="separate"/>
      </w:r>
      <w:r>
        <w:t>15</w:t>
      </w:r>
      <w:r>
        <w:fldChar w:fldCharType="end"/>
      </w:r>
      <w:r>
        <w:rPr>
          <w:rFonts w:hint="eastAsia" w:ascii="宋体" w:hAnsi="宋体" w:cs="宋体"/>
          <w:caps/>
          <w:szCs w:val="24"/>
        </w:rPr>
        <w:fldChar w:fldCharType="end"/>
      </w:r>
    </w:p>
    <w:p w14:paraId="24DAB1A3">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_Toc20224 </w:instrText>
      </w:r>
      <w:r>
        <w:rPr>
          <w:rFonts w:hint="eastAsia" w:ascii="宋体" w:hAnsi="宋体" w:cs="宋体"/>
          <w:caps/>
          <w:szCs w:val="24"/>
        </w:rPr>
        <w:fldChar w:fldCharType="separate"/>
      </w:r>
      <w:r>
        <w:rPr>
          <w:rFonts w:hint="eastAsia" w:ascii="宋体" w:hAnsi="宋体" w:eastAsia="宋体" w:cs="宋体"/>
          <w:szCs w:val="28"/>
          <w:highlight w:val="none"/>
        </w:rPr>
        <w:t>9.询问与答复</w:t>
      </w:r>
      <w:r>
        <w:tab/>
      </w:r>
      <w:r>
        <w:fldChar w:fldCharType="begin"/>
      </w:r>
      <w:r>
        <w:instrText xml:space="preserve"> PAGEREF _Toc20224 \h </w:instrText>
      </w:r>
      <w:r>
        <w:fldChar w:fldCharType="separate"/>
      </w:r>
      <w:r>
        <w:t>16</w:t>
      </w:r>
      <w:r>
        <w:fldChar w:fldCharType="end"/>
      </w:r>
      <w:r>
        <w:rPr>
          <w:rFonts w:hint="eastAsia" w:ascii="宋体" w:hAnsi="宋体" w:cs="宋体"/>
          <w:caps/>
          <w:szCs w:val="24"/>
        </w:rPr>
        <w:fldChar w:fldCharType="end"/>
      </w:r>
    </w:p>
    <w:p w14:paraId="43952055">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_Toc13396 </w:instrText>
      </w:r>
      <w:r>
        <w:rPr>
          <w:rFonts w:hint="eastAsia" w:ascii="宋体" w:hAnsi="宋体" w:cs="宋体"/>
          <w:caps/>
          <w:szCs w:val="24"/>
        </w:rPr>
        <w:fldChar w:fldCharType="separate"/>
      </w:r>
      <w:r>
        <w:rPr>
          <w:rFonts w:hint="eastAsia" w:ascii="宋体" w:hAnsi="宋体" w:eastAsia="宋体" w:cs="宋体"/>
          <w:szCs w:val="28"/>
        </w:rPr>
        <w:t>10.质疑接收、回复</w:t>
      </w:r>
      <w:r>
        <w:tab/>
      </w:r>
      <w:r>
        <w:fldChar w:fldCharType="begin"/>
      </w:r>
      <w:r>
        <w:instrText xml:space="preserve"> PAGEREF _Toc13396 \h </w:instrText>
      </w:r>
      <w:r>
        <w:fldChar w:fldCharType="separate"/>
      </w:r>
      <w:r>
        <w:t>16</w:t>
      </w:r>
      <w:r>
        <w:fldChar w:fldCharType="end"/>
      </w:r>
      <w:r>
        <w:rPr>
          <w:rFonts w:hint="eastAsia" w:ascii="宋体" w:hAnsi="宋体" w:cs="宋体"/>
          <w:caps/>
          <w:szCs w:val="24"/>
        </w:rPr>
        <w:fldChar w:fldCharType="end"/>
      </w:r>
    </w:p>
    <w:p w14:paraId="2A191272">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_Toc31396 </w:instrText>
      </w:r>
      <w:r>
        <w:rPr>
          <w:rFonts w:hint="eastAsia" w:ascii="宋体" w:hAnsi="宋体" w:cs="宋体"/>
          <w:caps/>
          <w:szCs w:val="24"/>
        </w:rPr>
        <w:fldChar w:fldCharType="separate"/>
      </w:r>
      <w:r>
        <w:rPr>
          <w:rFonts w:hint="eastAsia" w:ascii="宋体" w:hAnsi="宋体" w:eastAsia="宋体" w:cs="宋体"/>
          <w:szCs w:val="28"/>
        </w:rPr>
        <w:t>11.纪律和监督</w:t>
      </w:r>
      <w:r>
        <w:tab/>
      </w:r>
      <w:r>
        <w:fldChar w:fldCharType="begin"/>
      </w:r>
      <w:r>
        <w:instrText xml:space="preserve"> PAGEREF _Toc31396 \h </w:instrText>
      </w:r>
      <w:r>
        <w:fldChar w:fldCharType="separate"/>
      </w:r>
      <w:r>
        <w:t>17</w:t>
      </w:r>
      <w:r>
        <w:fldChar w:fldCharType="end"/>
      </w:r>
      <w:r>
        <w:rPr>
          <w:rFonts w:hint="eastAsia" w:ascii="宋体" w:hAnsi="宋体" w:cs="宋体"/>
          <w:caps/>
          <w:szCs w:val="24"/>
        </w:rPr>
        <w:fldChar w:fldCharType="end"/>
      </w:r>
    </w:p>
    <w:p w14:paraId="6B4CDE3C">
      <w:pPr>
        <w:pStyle w:val="2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_Toc31932 </w:instrText>
      </w:r>
      <w:r>
        <w:rPr>
          <w:rFonts w:hint="eastAsia" w:ascii="宋体" w:hAnsi="宋体" w:cs="宋体"/>
          <w:caps/>
          <w:szCs w:val="24"/>
        </w:rPr>
        <w:fldChar w:fldCharType="separate"/>
      </w:r>
      <w:r>
        <w:rPr>
          <w:rFonts w:hint="eastAsia" w:ascii="宋体" w:hAnsi="宋体" w:eastAsia="宋体" w:cs="宋体"/>
          <w:szCs w:val="28"/>
        </w:rPr>
        <w:t>12.需要补充的其他内容</w:t>
      </w:r>
      <w:r>
        <w:tab/>
      </w:r>
      <w:r>
        <w:fldChar w:fldCharType="begin"/>
      </w:r>
      <w:r>
        <w:instrText xml:space="preserve"> PAGEREF _Toc31932 \h </w:instrText>
      </w:r>
      <w:r>
        <w:fldChar w:fldCharType="separate"/>
      </w:r>
      <w:r>
        <w:t>18</w:t>
      </w:r>
      <w:r>
        <w:fldChar w:fldCharType="end"/>
      </w:r>
      <w:r>
        <w:rPr>
          <w:rFonts w:hint="eastAsia" w:ascii="宋体" w:hAnsi="宋体" w:cs="宋体"/>
          <w:caps/>
          <w:szCs w:val="24"/>
        </w:rPr>
        <w:fldChar w:fldCharType="end"/>
      </w:r>
    </w:p>
    <w:p w14:paraId="6AD49284">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_Toc3980 </w:instrText>
      </w:r>
      <w:r>
        <w:rPr>
          <w:rFonts w:hint="eastAsia" w:ascii="宋体" w:hAnsi="宋体" w:cs="宋体"/>
          <w:caps/>
          <w:szCs w:val="24"/>
        </w:rPr>
        <w:fldChar w:fldCharType="separate"/>
      </w:r>
      <w:r>
        <w:rPr>
          <w:rFonts w:hint="eastAsia" w:ascii="宋体" w:hAnsi="宋体" w:cs="宋体"/>
          <w:bCs/>
          <w:szCs w:val="44"/>
        </w:rPr>
        <w:t>第三章 资格审查</w:t>
      </w:r>
      <w:r>
        <w:tab/>
      </w:r>
      <w:r>
        <w:fldChar w:fldCharType="begin"/>
      </w:r>
      <w:r>
        <w:instrText xml:space="preserve"> PAGEREF _Toc3980 \h </w:instrText>
      </w:r>
      <w:r>
        <w:fldChar w:fldCharType="separate"/>
      </w:r>
      <w:r>
        <w:t>19</w:t>
      </w:r>
      <w:r>
        <w:fldChar w:fldCharType="end"/>
      </w:r>
      <w:r>
        <w:rPr>
          <w:rFonts w:hint="eastAsia" w:ascii="宋体" w:hAnsi="宋体" w:cs="宋体"/>
          <w:caps/>
          <w:szCs w:val="24"/>
        </w:rPr>
        <w:fldChar w:fldCharType="end"/>
      </w:r>
    </w:p>
    <w:p w14:paraId="51A08CB6">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_Toc839 </w:instrText>
      </w:r>
      <w:r>
        <w:rPr>
          <w:rFonts w:hint="eastAsia" w:ascii="宋体" w:hAnsi="宋体" w:cs="宋体"/>
          <w:caps/>
          <w:szCs w:val="24"/>
        </w:rPr>
        <w:fldChar w:fldCharType="separate"/>
      </w:r>
      <w:r>
        <w:rPr>
          <w:rFonts w:hint="eastAsia" w:ascii="宋体" w:hAnsi="宋体" w:cs="宋体"/>
          <w:highlight w:val="none"/>
        </w:rPr>
        <w:t>第四章 评标办法</w:t>
      </w:r>
      <w:r>
        <w:rPr>
          <w:rFonts w:hint="eastAsia" w:ascii="宋体" w:hAnsi="宋体" w:cs="宋体"/>
          <w:highlight w:val="none"/>
          <w:lang w:eastAsia="zh-CN"/>
        </w:rPr>
        <w:t>（</w:t>
      </w:r>
      <w:r>
        <w:rPr>
          <w:rFonts w:hint="eastAsia" w:ascii="宋体" w:hAnsi="宋体" w:cs="宋体"/>
          <w:highlight w:val="none"/>
        </w:rPr>
        <w:t>最低评标价法</w:t>
      </w:r>
      <w:r>
        <w:rPr>
          <w:rFonts w:hint="eastAsia" w:ascii="宋体" w:hAnsi="宋体" w:cs="宋体"/>
          <w:highlight w:val="none"/>
          <w:lang w:eastAsia="zh-CN"/>
        </w:rPr>
        <w:t>）</w:t>
      </w:r>
      <w:r>
        <w:tab/>
      </w:r>
      <w:r>
        <w:fldChar w:fldCharType="begin"/>
      </w:r>
      <w:r>
        <w:instrText xml:space="preserve"> PAGEREF _Toc839 \h </w:instrText>
      </w:r>
      <w:r>
        <w:fldChar w:fldCharType="separate"/>
      </w:r>
      <w:r>
        <w:t>21</w:t>
      </w:r>
      <w:r>
        <w:fldChar w:fldCharType="end"/>
      </w:r>
      <w:r>
        <w:rPr>
          <w:rFonts w:hint="eastAsia" w:ascii="宋体" w:hAnsi="宋体" w:cs="宋体"/>
          <w:caps/>
          <w:szCs w:val="24"/>
        </w:rPr>
        <w:fldChar w:fldCharType="end"/>
      </w:r>
    </w:p>
    <w:p w14:paraId="466CC11F">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_Toc32069 </w:instrText>
      </w:r>
      <w:r>
        <w:rPr>
          <w:rFonts w:hint="eastAsia" w:ascii="宋体" w:hAnsi="宋体" w:cs="宋体"/>
          <w:caps/>
          <w:szCs w:val="24"/>
        </w:rPr>
        <w:fldChar w:fldCharType="separate"/>
      </w:r>
      <w:r>
        <w:rPr>
          <w:rFonts w:hint="eastAsia" w:ascii="宋体" w:hAnsi="宋体" w:cs="宋体"/>
        </w:rPr>
        <w:t>第五章 合同条款及格式</w:t>
      </w:r>
      <w:r>
        <w:tab/>
      </w:r>
      <w:r>
        <w:fldChar w:fldCharType="begin"/>
      </w:r>
      <w:r>
        <w:instrText xml:space="preserve"> PAGEREF _Toc32069 \h </w:instrText>
      </w:r>
      <w:r>
        <w:fldChar w:fldCharType="separate"/>
      </w:r>
      <w:r>
        <w:t>27</w:t>
      </w:r>
      <w:r>
        <w:fldChar w:fldCharType="end"/>
      </w:r>
      <w:r>
        <w:rPr>
          <w:rFonts w:hint="eastAsia" w:ascii="宋体" w:hAnsi="宋体" w:cs="宋体"/>
          <w:caps/>
          <w:szCs w:val="24"/>
        </w:rPr>
        <w:fldChar w:fldCharType="end"/>
      </w:r>
    </w:p>
    <w:p w14:paraId="536AE2D3">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_Toc17066 </w:instrText>
      </w:r>
      <w:r>
        <w:rPr>
          <w:rFonts w:hint="eastAsia" w:ascii="宋体" w:hAnsi="宋体" w:cs="宋体"/>
          <w:caps/>
          <w:szCs w:val="24"/>
        </w:rPr>
        <w:fldChar w:fldCharType="separate"/>
      </w:r>
      <w:r>
        <w:rPr>
          <w:rFonts w:hint="eastAsia" w:ascii="宋体" w:hAnsi="宋体" w:cs="宋体"/>
        </w:rPr>
        <w:t xml:space="preserve">第六章 </w:t>
      </w:r>
      <w:r>
        <w:rPr>
          <w:rFonts w:hint="eastAsia" w:ascii="宋体" w:hAnsi="宋体" w:cs="宋体"/>
          <w:lang w:eastAsia="zh-CN"/>
        </w:rPr>
        <w:t>采购需求</w:t>
      </w:r>
      <w:r>
        <w:tab/>
      </w:r>
      <w:r>
        <w:fldChar w:fldCharType="begin"/>
      </w:r>
      <w:r>
        <w:instrText xml:space="preserve"> PAGEREF _Toc17066 \h </w:instrText>
      </w:r>
      <w:r>
        <w:fldChar w:fldCharType="separate"/>
      </w:r>
      <w:r>
        <w:t>34</w:t>
      </w:r>
      <w:r>
        <w:fldChar w:fldCharType="end"/>
      </w:r>
      <w:r>
        <w:rPr>
          <w:rFonts w:hint="eastAsia" w:ascii="宋体" w:hAnsi="宋体" w:cs="宋体"/>
          <w:caps/>
          <w:szCs w:val="24"/>
        </w:rPr>
        <w:fldChar w:fldCharType="end"/>
      </w:r>
    </w:p>
    <w:p w14:paraId="2EA59D21">
      <w:pPr>
        <w:pStyle w:val="23"/>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_Toc32651 </w:instrText>
      </w:r>
      <w:r>
        <w:rPr>
          <w:rFonts w:hint="eastAsia" w:ascii="宋体" w:hAnsi="宋体" w:cs="宋体"/>
          <w:caps/>
          <w:szCs w:val="24"/>
        </w:rPr>
        <w:fldChar w:fldCharType="separate"/>
      </w:r>
      <w:r>
        <w:rPr>
          <w:rFonts w:hint="eastAsia" w:ascii="宋体" w:hAnsi="宋体" w:cs="宋体"/>
        </w:rPr>
        <w:t>第七章 投标文件格式</w:t>
      </w:r>
      <w:r>
        <w:tab/>
      </w:r>
      <w:r>
        <w:fldChar w:fldCharType="begin"/>
      </w:r>
      <w:r>
        <w:instrText xml:space="preserve"> PAGEREF _Toc32651 \h </w:instrText>
      </w:r>
      <w:r>
        <w:fldChar w:fldCharType="separate"/>
      </w:r>
      <w:r>
        <w:t>35</w:t>
      </w:r>
      <w:r>
        <w:fldChar w:fldCharType="end"/>
      </w:r>
      <w:r>
        <w:rPr>
          <w:rFonts w:hint="eastAsia" w:ascii="宋体" w:hAnsi="宋体" w:cs="宋体"/>
          <w:caps/>
          <w:szCs w:val="24"/>
        </w:rPr>
        <w:fldChar w:fldCharType="end"/>
      </w:r>
    </w:p>
    <w:p w14:paraId="3F7CF59D">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_Toc27688 </w:instrText>
      </w:r>
      <w:r>
        <w:rPr>
          <w:rFonts w:hint="eastAsia" w:ascii="宋体" w:hAnsi="宋体" w:cs="宋体"/>
          <w:caps/>
          <w:szCs w:val="24"/>
        </w:rPr>
        <w:fldChar w:fldCharType="separate"/>
      </w:r>
      <w:r>
        <w:rPr>
          <w:rFonts w:hint="eastAsia" w:ascii="宋体" w:hAnsi="宋体" w:cs="宋体"/>
          <w:szCs w:val="28"/>
        </w:rPr>
        <w:t>开标一览表</w:t>
      </w:r>
      <w:r>
        <w:tab/>
      </w:r>
      <w:r>
        <w:fldChar w:fldCharType="begin"/>
      </w:r>
      <w:r>
        <w:instrText xml:space="preserve"> PAGEREF _Toc27688 \h </w:instrText>
      </w:r>
      <w:r>
        <w:fldChar w:fldCharType="separate"/>
      </w:r>
      <w:r>
        <w:t>36</w:t>
      </w:r>
      <w:r>
        <w:fldChar w:fldCharType="end"/>
      </w:r>
      <w:r>
        <w:rPr>
          <w:rFonts w:hint="eastAsia" w:ascii="宋体" w:hAnsi="宋体" w:cs="宋体"/>
          <w:caps/>
          <w:szCs w:val="24"/>
        </w:rPr>
        <w:fldChar w:fldCharType="end"/>
      </w:r>
    </w:p>
    <w:p w14:paraId="78927CE9">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_Toc7488 </w:instrText>
      </w:r>
      <w:r>
        <w:rPr>
          <w:rFonts w:hint="eastAsia" w:ascii="宋体" w:hAnsi="宋体" w:cs="宋体"/>
          <w:caps/>
          <w:szCs w:val="24"/>
        </w:rPr>
        <w:fldChar w:fldCharType="separate"/>
      </w:r>
      <w:r>
        <w:rPr>
          <w:rFonts w:hint="eastAsia" w:ascii="宋体" w:hAnsi="宋体" w:cs="宋体"/>
          <w:szCs w:val="28"/>
          <w:lang w:val="en-US" w:eastAsia="zh-CN"/>
        </w:rPr>
        <w:t>一</w:t>
      </w:r>
      <w:r>
        <w:rPr>
          <w:rFonts w:hint="eastAsia" w:ascii="宋体" w:hAnsi="宋体" w:cs="宋体"/>
          <w:szCs w:val="28"/>
        </w:rPr>
        <w:t>、投标函</w:t>
      </w:r>
      <w:r>
        <w:tab/>
      </w:r>
      <w:r>
        <w:fldChar w:fldCharType="begin"/>
      </w:r>
      <w:r>
        <w:instrText xml:space="preserve"> PAGEREF _Toc7488 \h </w:instrText>
      </w:r>
      <w:r>
        <w:fldChar w:fldCharType="separate"/>
      </w:r>
      <w:r>
        <w:t>47</w:t>
      </w:r>
      <w:r>
        <w:fldChar w:fldCharType="end"/>
      </w:r>
      <w:r>
        <w:rPr>
          <w:rFonts w:hint="eastAsia" w:ascii="宋体" w:hAnsi="宋体" w:cs="宋体"/>
          <w:caps/>
          <w:szCs w:val="24"/>
        </w:rPr>
        <w:fldChar w:fldCharType="end"/>
      </w:r>
    </w:p>
    <w:p w14:paraId="1E46EFF0">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_Toc17181 </w:instrText>
      </w:r>
      <w:r>
        <w:rPr>
          <w:rFonts w:hint="eastAsia" w:ascii="宋体" w:hAnsi="宋体" w:cs="宋体"/>
          <w:caps/>
          <w:szCs w:val="24"/>
        </w:rPr>
        <w:fldChar w:fldCharType="separate"/>
      </w:r>
      <w:r>
        <w:rPr>
          <w:rFonts w:hint="eastAsia" w:ascii="宋体" w:hAnsi="宋体" w:cs="宋体"/>
          <w:szCs w:val="28"/>
          <w:lang w:val="en-US" w:eastAsia="zh-CN"/>
        </w:rPr>
        <w:t>二</w:t>
      </w:r>
      <w:r>
        <w:rPr>
          <w:rFonts w:hint="eastAsia" w:ascii="宋体" w:hAnsi="宋体" w:cs="宋体"/>
          <w:szCs w:val="28"/>
        </w:rPr>
        <w:t>、法定代表人</w:t>
      </w:r>
      <w:r>
        <w:rPr>
          <w:rFonts w:hint="eastAsia" w:ascii="宋体" w:hAnsi="宋体" w:cs="宋体"/>
          <w:szCs w:val="28"/>
          <w:lang w:eastAsia="zh-CN"/>
        </w:rPr>
        <w:t>（</w:t>
      </w:r>
      <w:r>
        <w:rPr>
          <w:rFonts w:hint="eastAsia" w:ascii="宋体" w:hAnsi="宋体" w:cs="宋体"/>
          <w:szCs w:val="28"/>
        </w:rPr>
        <w:t>单位负责人</w:t>
      </w:r>
      <w:r>
        <w:rPr>
          <w:rFonts w:hint="eastAsia" w:ascii="宋体" w:hAnsi="宋体" w:cs="宋体"/>
          <w:szCs w:val="28"/>
          <w:lang w:eastAsia="zh-CN"/>
        </w:rPr>
        <w:t>）</w:t>
      </w:r>
      <w:r>
        <w:rPr>
          <w:rFonts w:hint="eastAsia" w:ascii="宋体" w:hAnsi="宋体" w:cs="宋体"/>
          <w:szCs w:val="28"/>
        </w:rPr>
        <w:t>身份证明书</w:t>
      </w:r>
      <w:r>
        <w:tab/>
      </w:r>
      <w:r>
        <w:fldChar w:fldCharType="begin"/>
      </w:r>
      <w:r>
        <w:instrText xml:space="preserve"> PAGEREF _Toc17181 \h </w:instrText>
      </w:r>
      <w:r>
        <w:fldChar w:fldCharType="separate"/>
      </w:r>
      <w:r>
        <w:t>48</w:t>
      </w:r>
      <w:r>
        <w:fldChar w:fldCharType="end"/>
      </w:r>
      <w:r>
        <w:rPr>
          <w:rFonts w:hint="eastAsia" w:ascii="宋体" w:hAnsi="宋体" w:cs="宋体"/>
          <w:caps/>
          <w:szCs w:val="24"/>
        </w:rPr>
        <w:fldChar w:fldCharType="end"/>
      </w:r>
    </w:p>
    <w:p w14:paraId="4A9D76A8">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_Toc3146 </w:instrText>
      </w:r>
      <w:r>
        <w:rPr>
          <w:rFonts w:hint="eastAsia" w:ascii="宋体" w:hAnsi="宋体" w:cs="宋体"/>
          <w:caps/>
          <w:szCs w:val="24"/>
        </w:rPr>
        <w:fldChar w:fldCharType="separate"/>
      </w:r>
      <w:r>
        <w:rPr>
          <w:rFonts w:hint="eastAsia" w:ascii="宋体" w:hAnsi="宋体" w:cs="宋体"/>
          <w:szCs w:val="28"/>
          <w:lang w:val="en-US" w:eastAsia="zh-CN"/>
        </w:rPr>
        <w:t>三</w:t>
      </w:r>
      <w:r>
        <w:rPr>
          <w:rFonts w:hint="eastAsia" w:ascii="宋体" w:hAnsi="宋体" w:cs="宋体"/>
          <w:szCs w:val="28"/>
        </w:rPr>
        <w:t>、授权委托书</w:t>
      </w:r>
      <w:r>
        <w:tab/>
      </w:r>
      <w:r>
        <w:fldChar w:fldCharType="begin"/>
      </w:r>
      <w:r>
        <w:instrText xml:space="preserve"> PAGEREF _Toc3146 \h </w:instrText>
      </w:r>
      <w:r>
        <w:fldChar w:fldCharType="separate"/>
      </w:r>
      <w:r>
        <w:t>49</w:t>
      </w:r>
      <w:r>
        <w:fldChar w:fldCharType="end"/>
      </w:r>
      <w:r>
        <w:rPr>
          <w:rFonts w:hint="eastAsia" w:ascii="宋体" w:hAnsi="宋体" w:cs="宋体"/>
          <w:caps/>
          <w:szCs w:val="24"/>
        </w:rPr>
        <w:fldChar w:fldCharType="end"/>
      </w:r>
    </w:p>
    <w:p w14:paraId="338CEAE5">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_Toc3558 </w:instrText>
      </w:r>
      <w:r>
        <w:rPr>
          <w:rFonts w:hint="eastAsia" w:ascii="宋体" w:hAnsi="宋体" w:cs="宋体"/>
          <w:caps/>
          <w:szCs w:val="24"/>
        </w:rPr>
        <w:fldChar w:fldCharType="separate"/>
      </w:r>
      <w:r>
        <w:rPr>
          <w:rFonts w:hint="eastAsia" w:ascii="宋体" w:hAnsi="宋体" w:cs="宋体"/>
          <w:szCs w:val="28"/>
          <w:lang w:val="en-US" w:eastAsia="zh-CN"/>
        </w:rPr>
        <w:t>四</w:t>
      </w:r>
      <w:r>
        <w:rPr>
          <w:rFonts w:hint="eastAsia" w:ascii="宋体" w:hAnsi="宋体" w:cs="宋体"/>
          <w:szCs w:val="28"/>
        </w:rPr>
        <w:t>、投标人基本情况表</w:t>
      </w:r>
      <w:r>
        <w:tab/>
      </w:r>
      <w:r>
        <w:fldChar w:fldCharType="begin"/>
      </w:r>
      <w:r>
        <w:instrText xml:space="preserve"> PAGEREF _Toc3558 \h </w:instrText>
      </w:r>
      <w:r>
        <w:fldChar w:fldCharType="separate"/>
      </w:r>
      <w:r>
        <w:t>50</w:t>
      </w:r>
      <w:r>
        <w:fldChar w:fldCharType="end"/>
      </w:r>
      <w:r>
        <w:rPr>
          <w:rFonts w:hint="eastAsia" w:ascii="宋体" w:hAnsi="宋体" w:cs="宋体"/>
          <w:caps/>
          <w:szCs w:val="24"/>
        </w:rPr>
        <w:fldChar w:fldCharType="end"/>
      </w:r>
    </w:p>
    <w:p w14:paraId="3A9B18B9">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_Toc2395 </w:instrText>
      </w:r>
      <w:r>
        <w:rPr>
          <w:rFonts w:hint="eastAsia" w:ascii="宋体" w:hAnsi="宋体" w:cs="宋体"/>
          <w:caps/>
          <w:szCs w:val="24"/>
        </w:rPr>
        <w:fldChar w:fldCharType="separate"/>
      </w:r>
      <w:r>
        <w:rPr>
          <w:rFonts w:hint="eastAsia" w:ascii="宋体" w:hAnsi="宋体" w:cs="宋体"/>
          <w:szCs w:val="28"/>
          <w:lang w:val="en-US" w:eastAsia="zh-CN"/>
        </w:rPr>
        <w:t>五</w:t>
      </w:r>
      <w:r>
        <w:rPr>
          <w:rFonts w:hint="eastAsia" w:ascii="宋体" w:hAnsi="宋体" w:cs="宋体"/>
          <w:szCs w:val="28"/>
        </w:rPr>
        <w:t>、商务技术偏离表</w:t>
      </w:r>
      <w:r>
        <w:tab/>
      </w:r>
      <w:r>
        <w:fldChar w:fldCharType="begin"/>
      </w:r>
      <w:r>
        <w:instrText xml:space="preserve"> PAGEREF _Toc2395 \h </w:instrText>
      </w:r>
      <w:r>
        <w:fldChar w:fldCharType="separate"/>
      </w:r>
      <w:r>
        <w:t>51</w:t>
      </w:r>
      <w:r>
        <w:fldChar w:fldCharType="end"/>
      </w:r>
      <w:r>
        <w:rPr>
          <w:rFonts w:hint="eastAsia" w:ascii="宋体" w:hAnsi="宋体" w:cs="宋体"/>
          <w:caps/>
          <w:szCs w:val="24"/>
        </w:rPr>
        <w:fldChar w:fldCharType="end"/>
      </w:r>
    </w:p>
    <w:p w14:paraId="44A07256">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_Toc3856 </w:instrText>
      </w:r>
      <w:r>
        <w:rPr>
          <w:rFonts w:hint="eastAsia" w:ascii="宋体" w:hAnsi="宋体" w:cs="宋体"/>
          <w:caps/>
          <w:szCs w:val="24"/>
        </w:rPr>
        <w:fldChar w:fldCharType="separate"/>
      </w:r>
      <w:r>
        <w:rPr>
          <w:rFonts w:hint="eastAsia" w:ascii="宋体" w:hAnsi="宋体" w:cs="宋体"/>
          <w:szCs w:val="28"/>
          <w:lang w:val="en-US" w:eastAsia="zh-CN"/>
        </w:rPr>
        <w:t>六</w:t>
      </w:r>
      <w:r>
        <w:rPr>
          <w:rFonts w:hint="eastAsia" w:ascii="宋体" w:hAnsi="宋体" w:cs="宋体"/>
          <w:szCs w:val="28"/>
        </w:rPr>
        <w:t>、货物的质量及售后服务承诺</w:t>
      </w:r>
      <w:r>
        <w:tab/>
      </w:r>
      <w:r>
        <w:fldChar w:fldCharType="begin"/>
      </w:r>
      <w:r>
        <w:instrText xml:space="preserve"> PAGEREF _Toc3856 \h </w:instrText>
      </w:r>
      <w:r>
        <w:fldChar w:fldCharType="separate"/>
      </w:r>
      <w:r>
        <w:t>53</w:t>
      </w:r>
      <w:r>
        <w:fldChar w:fldCharType="end"/>
      </w:r>
      <w:r>
        <w:rPr>
          <w:rFonts w:hint="eastAsia" w:ascii="宋体" w:hAnsi="宋体" w:cs="宋体"/>
          <w:caps/>
          <w:szCs w:val="24"/>
        </w:rPr>
        <w:fldChar w:fldCharType="end"/>
      </w:r>
    </w:p>
    <w:p w14:paraId="6F44C964">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_Toc27367 </w:instrText>
      </w:r>
      <w:r>
        <w:rPr>
          <w:rFonts w:hint="eastAsia" w:ascii="宋体" w:hAnsi="宋体" w:cs="宋体"/>
          <w:caps/>
          <w:szCs w:val="24"/>
        </w:rPr>
        <w:fldChar w:fldCharType="separate"/>
      </w:r>
      <w:r>
        <w:rPr>
          <w:rFonts w:hint="eastAsia" w:ascii="宋体" w:hAnsi="宋体" w:cs="宋体"/>
          <w:szCs w:val="28"/>
          <w:lang w:val="en-US" w:eastAsia="zh-CN"/>
        </w:rPr>
        <w:t>七</w:t>
      </w:r>
      <w:r>
        <w:rPr>
          <w:rFonts w:hint="eastAsia" w:ascii="宋体" w:hAnsi="宋体" w:cs="宋体"/>
          <w:szCs w:val="28"/>
        </w:rPr>
        <w:t>、承诺书（投标人）</w:t>
      </w:r>
      <w:r>
        <w:tab/>
      </w:r>
      <w:r>
        <w:fldChar w:fldCharType="begin"/>
      </w:r>
      <w:r>
        <w:instrText xml:space="preserve"> PAGEREF _Toc27367 \h </w:instrText>
      </w:r>
      <w:r>
        <w:fldChar w:fldCharType="separate"/>
      </w:r>
      <w:r>
        <w:t>54</w:t>
      </w:r>
      <w:r>
        <w:fldChar w:fldCharType="end"/>
      </w:r>
      <w:r>
        <w:rPr>
          <w:rFonts w:hint="eastAsia" w:ascii="宋体" w:hAnsi="宋体" w:cs="宋体"/>
          <w:caps/>
          <w:szCs w:val="24"/>
        </w:rPr>
        <w:fldChar w:fldCharType="end"/>
      </w:r>
    </w:p>
    <w:p w14:paraId="072984B7">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_Toc20721 </w:instrText>
      </w:r>
      <w:r>
        <w:rPr>
          <w:rFonts w:hint="eastAsia" w:ascii="宋体" w:hAnsi="宋体" w:cs="宋体"/>
          <w:caps/>
          <w:szCs w:val="24"/>
        </w:rPr>
        <w:fldChar w:fldCharType="separate"/>
      </w:r>
      <w:r>
        <w:rPr>
          <w:rFonts w:hint="eastAsia" w:ascii="宋体" w:hAnsi="宋体" w:cs="宋体"/>
          <w:szCs w:val="28"/>
          <w:lang w:val="en-US" w:eastAsia="zh-CN"/>
        </w:rPr>
        <w:t>八</w:t>
      </w:r>
      <w:r>
        <w:rPr>
          <w:rFonts w:hint="eastAsia" w:ascii="宋体" w:hAnsi="宋体" w:cs="宋体"/>
          <w:szCs w:val="28"/>
        </w:rPr>
        <w:t>、投标质量保证书</w:t>
      </w:r>
      <w:r>
        <w:tab/>
      </w:r>
      <w:r>
        <w:fldChar w:fldCharType="begin"/>
      </w:r>
      <w:r>
        <w:instrText xml:space="preserve"> PAGEREF _Toc20721 \h </w:instrText>
      </w:r>
      <w:r>
        <w:fldChar w:fldCharType="separate"/>
      </w:r>
      <w:r>
        <w:t>55</w:t>
      </w:r>
      <w:r>
        <w:fldChar w:fldCharType="end"/>
      </w:r>
      <w:r>
        <w:rPr>
          <w:rFonts w:hint="eastAsia" w:ascii="宋体" w:hAnsi="宋体" w:cs="宋体"/>
          <w:caps/>
          <w:szCs w:val="24"/>
        </w:rPr>
        <w:fldChar w:fldCharType="end"/>
      </w:r>
    </w:p>
    <w:p w14:paraId="3D867D7E">
      <w:pPr>
        <w:pStyle w:val="17"/>
        <w:tabs>
          <w:tab w:val="right" w:leader="dot" w:pos="9740"/>
        </w:tabs>
      </w:pPr>
      <w:r>
        <w:rPr>
          <w:rFonts w:hint="eastAsia" w:ascii="宋体" w:hAnsi="宋体" w:cs="宋体"/>
          <w:caps/>
          <w:szCs w:val="24"/>
        </w:rPr>
        <w:fldChar w:fldCharType="begin"/>
      </w:r>
      <w:r>
        <w:rPr>
          <w:rFonts w:hint="eastAsia" w:ascii="宋体" w:hAnsi="宋体" w:cs="宋体"/>
          <w:caps/>
          <w:szCs w:val="24"/>
        </w:rPr>
        <w:instrText xml:space="preserve"> HYPERLINK \l _Toc12500 </w:instrText>
      </w:r>
      <w:r>
        <w:rPr>
          <w:rFonts w:hint="eastAsia" w:ascii="宋体" w:hAnsi="宋体" w:cs="宋体"/>
          <w:caps/>
          <w:szCs w:val="24"/>
        </w:rPr>
        <w:fldChar w:fldCharType="separate"/>
      </w:r>
      <w:r>
        <w:rPr>
          <w:rFonts w:hint="eastAsia" w:ascii="宋体" w:hAnsi="宋体" w:cs="宋体"/>
          <w:szCs w:val="28"/>
          <w:lang w:val="en-US" w:eastAsia="zh-CN"/>
        </w:rPr>
        <w:t>九</w:t>
      </w:r>
      <w:r>
        <w:rPr>
          <w:rFonts w:hint="eastAsia" w:ascii="宋体" w:hAnsi="宋体" w:cs="宋体"/>
          <w:szCs w:val="28"/>
        </w:rPr>
        <w:t>、其他资料</w:t>
      </w:r>
      <w:r>
        <w:tab/>
      </w:r>
      <w:r>
        <w:fldChar w:fldCharType="begin"/>
      </w:r>
      <w:r>
        <w:instrText xml:space="preserve"> PAGEREF _Toc12500 \h </w:instrText>
      </w:r>
      <w:r>
        <w:fldChar w:fldCharType="separate"/>
      </w:r>
      <w:r>
        <w:t>56</w:t>
      </w:r>
      <w:r>
        <w:fldChar w:fldCharType="end"/>
      </w:r>
      <w:r>
        <w:rPr>
          <w:rFonts w:hint="eastAsia" w:ascii="宋体" w:hAnsi="宋体" w:cs="宋体"/>
          <w:caps/>
          <w:szCs w:val="24"/>
        </w:rPr>
        <w:fldChar w:fldCharType="end"/>
      </w:r>
    </w:p>
    <w:p w14:paraId="013D329F">
      <w:pPr>
        <w:pStyle w:val="3"/>
        <w:spacing w:before="0" w:after="0" w:line="360" w:lineRule="auto"/>
        <w:jc w:val="center"/>
        <w:rPr>
          <w:rFonts w:ascii="宋体" w:hAnsi="宋体" w:cs="宋体"/>
          <w:caps/>
          <w:szCs w:val="24"/>
        </w:rPr>
        <w:sectPr>
          <w:footerReference r:id="rId6" w:type="default"/>
          <w:pgSz w:w="11906" w:h="16838"/>
          <w:pgMar w:top="1440" w:right="1083" w:bottom="1440" w:left="1083" w:header="737" w:footer="737" w:gutter="0"/>
          <w:pgNumType w:start="1"/>
          <w:cols w:space="720" w:num="1"/>
          <w:docGrid w:type="lines" w:linePitch="317" w:charSpace="0"/>
        </w:sectPr>
      </w:pPr>
      <w:r>
        <w:rPr>
          <w:rFonts w:hint="eastAsia" w:ascii="宋体" w:hAnsi="宋体" w:cs="宋体"/>
          <w:caps/>
          <w:szCs w:val="24"/>
        </w:rPr>
        <w:fldChar w:fldCharType="end"/>
      </w:r>
      <w:bookmarkStart w:id="0" w:name="_Toc12916"/>
      <w:bookmarkEnd w:id="0"/>
      <w:bookmarkStart w:id="1" w:name="_Toc29067"/>
      <w:bookmarkEnd w:id="1"/>
      <w:bookmarkStart w:id="2" w:name="_Toc3039"/>
      <w:bookmarkEnd w:id="2"/>
      <w:bookmarkStart w:id="3" w:name="_Toc25108"/>
      <w:bookmarkEnd w:id="3"/>
      <w:bookmarkStart w:id="4" w:name="_Toc24776"/>
    </w:p>
    <w:p w14:paraId="262EBF47">
      <w:pPr>
        <w:pStyle w:val="3"/>
        <w:spacing w:before="0" w:after="0" w:line="360" w:lineRule="auto"/>
        <w:jc w:val="center"/>
        <w:rPr>
          <w:rStyle w:val="46"/>
          <w:rFonts w:ascii="宋体" w:hAnsi="宋体" w:cs="宋体"/>
          <w:b/>
          <w:bCs/>
        </w:rPr>
      </w:pPr>
      <w:bookmarkStart w:id="5" w:name="_Toc3622"/>
      <w:r>
        <w:rPr>
          <w:rStyle w:val="46"/>
          <w:rFonts w:hint="eastAsia" w:ascii="宋体" w:hAnsi="宋体" w:cs="宋体"/>
          <w:b/>
          <w:bCs/>
        </w:rPr>
        <w:t>第一章 招标公告</w:t>
      </w:r>
      <w:bookmarkEnd w:id="4"/>
      <w:bookmarkEnd w:id="5"/>
    </w:p>
    <w:p w14:paraId="2559F9A7">
      <w:pPr>
        <w:spacing w:line="360" w:lineRule="auto"/>
        <w:jc w:val="center"/>
        <w:rPr>
          <w:rFonts w:hint="eastAsia" w:ascii="宋体" w:hAnsi="宋体"/>
          <w:b/>
          <w:sz w:val="32"/>
          <w:szCs w:val="32"/>
          <w:lang w:eastAsia="zh-CN"/>
        </w:rPr>
      </w:pPr>
      <w:bookmarkStart w:id="6" w:name="_Toc18212"/>
      <w:r>
        <w:rPr>
          <w:rFonts w:hint="eastAsia" w:ascii="宋体" w:hAnsi="宋体"/>
          <w:b/>
          <w:sz w:val="32"/>
          <w:szCs w:val="32"/>
          <w:lang w:eastAsia="zh-CN"/>
        </w:rPr>
        <w:t>昆明市融媒体中心2026年报纸印刷用新闻纸采购（二次）</w:t>
      </w:r>
    </w:p>
    <w:p w14:paraId="17C75F8A">
      <w:pPr>
        <w:spacing w:line="360" w:lineRule="auto"/>
        <w:jc w:val="center"/>
        <w:rPr>
          <w:rFonts w:ascii="宋体" w:hAnsi="宋体"/>
          <w:b/>
          <w:sz w:val="32"/>
          <w:szCs w:val="32"/>
        </w:rPr>
      </w:pPr>
      <w:r>
        <w:rPr>
          <w:rFonts w:hint="eastAsia" w:ascii="宋体" w:hAnsi="宋体"/>
          <w:b/>
          <w:sz w:val="32"/>
          <w:szCs w:val="32"/>
        </w:rPr>
        <w:t>公开招标公告</w:t>
      </w:r>
    </w:p>
    <w:p w14:paraId="4311D041">
      <w:pPr>
        <w:spacing w:line="360" w:lineRule="auto"/>
        <w:jc w:val="center"/>
        <w:rPr>
          <w:rFonts w:ascii="宋体" w:hAnsi="宋体" w:cs="宋体"/>
          <w:b/>
          <w:bCs/>
          <w:kern w:val="2"/>
          <w:sz w:val="28"/>
          <w:szCs w:val="28"/>
        </w:rPr>
      </w:pPr>
      <w:r>
        <w:rPr>
          <w:rFonts w:hint="eastAsia" w:ascii="宋体" w:hAnsi="宋体" w:cs="宋体"/>
          <w:b/>
          <w:bCs/>
          <w:kern w:val="2"/>
          <w:sz w:val="28"/>
          <w:szCs w:val="28"/>
          <w:lang w:eastAsia="zh-CN"/>
        </w:rPr>
        <w:t>（</w:t>
      </w:r>
      <w:r>
        <w:rPr>
          <w:rFonts w:hint="eastAsia" w:ascii="宋体" w:hAnsi="宋体" w:cs="宋体"/>
          <w:b/>
          <w:bCs/>
          <w:kern w:val="2"/>
          <w:sz w:val="28"/>
          <w:szCs w:val="28"/>
        </w:rPr>
        <w:t>项目编号：</w:t>
      </w:r>
      <w:r>
        <w:rPr>
          <w:rFonts w:hint="eastAsia" w:ascii="宋体" w:hAnsi="宋体" w:cs="宋体"/>
          <w:b/>
          <w:bCs/>
          <w:kern w:val="2"/>
          <w:sz w:val="28"/>
          <w:szCs w:val="28"/>
          <w:lang w:eastAsia="zh-CN"/>
        </w:rPr>
        <w:t>YNLH202603030202）</w:t>
      </w:r>
    </w:p>
    <w:p w14:paraId="31BBAE3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rPr>
      </w:pPr>
      <w:r>
        <w:rPr>
          <w:rFonts w:hint="eastAsia" w:ascii="宋体" w:hAnsi="宋体" w:cs="宋体"/>
          <w:kern w:val="2"/>
          <w:sz w:val="24"/>
          <w:szCs w:val="24"/>
          <w:lang w:bidi="ar"/>
        </w:rPr>
        <w:t>项目概况</w:t>
      </w:r>
    </w:p>
    <w:p w14:paraId="04D916E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rPr>
      </w:pPr>
      <w:r>
        <w:rPr>
          <w:rFonts w:hint="eastAsia" w:ascii="宋体" w:hAnsi="宋体" w:cs="宋体"/>
          <w:kern w:val="2"/>
          <w:sz w:val="24"/>
          <w:szCs w:val="24"/>
          <w:highlight w:val="none"/>
          <w:lang w:eastAsia="zh-CN" w:bidi="ar"/>
        </w:rPr>
        <w:t>昆明市融媒体中心2026年报纸印刷用新闻纸采购（二次）招标项目</w:t>
      </w:r>
      <w:r>
        <w:rPr>
          <w:rFonts w:hint="eastAsia" w:ascii="宋体" w:hAnsi="宋体" w:cs="宋体"/>
          <w:kern w:val="2"/>
          <w:sz w:val="24"/>
          <w:szCs w:val="24"/>
          <w:highlight w:val="none"/>
          <w:lang w:bidi="ar"/>
        </w:rPr>
        <w:t>的潜在投标人应在</w:t>
      </w:r>
      <w:r>
        <w:rPr>
          <w:rFonts w:hint="eastAsia" w:ascii="宋体" w:hAnsi="宋体" w:cs="宋体"/>
          <w:sz w:val="24"/>
          <w:szCs w:val="24"/>
          <w:highlight w:val="none"/>
          <w:lang w:eastAsia="zh-CN"/>
        </w:rPr>
        <w:t>政采云平台线上</w:t>
      </w:r>
      <w:r>
        <w:rPr>
          <w:rFonts w:hint="eastAsia" w:ascii="宋体" w:hAnsi="宋体" w:cs="宋体"/>
          <w:kern w:val="2"/>
          <w:sz w:val="24"/>
          <w:szCs w:val="24"/>
          <w:highlight w:val="none"/>
          <w:lang w:bidi="ar"/>
        </w:rPr>
        <w:t>获取招标文件，并于</w:t>
      </w:r>
      <w:r>
        <w:rPr>
          <w:rFonts w:hint="eastAsia" w:ascii="宋体" w:hAnsi="宋体" w:cs="宋体"/>
          <w:color w:val="000000"/>
          <w:sz w:val="24"/>
          <w:szCs w:val="24"/>
          <w:highlight w:val="none"/>
          <w:lang w:eastAsia="zh-CN" w:bidi="ar"/>
        </w:rPr>
        <w:t>2026年</w:t>
      </w:r>
      <w:r>
        <w:rPr>
          <w:rFonts w:hint="eastAsia" w:ascii="宋体" w:hAnsi="宋体" w:cs="宋体"/>
          <w:color w:val="000000"/>
          <w:sz w:val="24"/>
          <w:szCs w:val="24"/>
          <w:highlight w:val="none"/>
          <w:lang w:val="en-US" w:eastAsia="zh-CN" w:bidi="ar"/>
        </w:rPr>
        <w:t>5</w:t>
      </w:r>
      <w:r>
        <w:rPr>
          <w:rFonts w:hint="eastAsia" w:ascii="宋体" w:hAnsi="宋体" w:cs="宋体"/>
          <w:color w:val="000000"/>
          <w:sz w:val="24"/>
          <w:szCs w:val="24"/>
          <w:highlight w:val="none"/>
          <w:lang w:eastAsia="zh-CN" w:bidi="ar"/>
        </w:rPr>
        <w:t>月</w:t>
      </w:r>
      <w:r>
        <w:rPr>
          <w:rFonts w:hint="eastAsia" w:ascii="宋体" w:hAnsi="宋体" w:cs="宋体"/>
          <w:color w:val="000000"/>
          <w:sz w:val="24"/>
          <w:szCs w:val="24"/>
          <w:highlight w:val="none"/>
          <w:lang w:val="en-US" w:eastAsia="zh-CN" w:bidi="ar"/>
        </w:rPr>
        <w:t>13</w:t>
      </w:r>
      <w:r>
        <w:rPr>
          <w:rFonts w:hint="eastAsia" w:ascii="宋体" w:hAnsi="宋体" w:cs="宋体"/>
          <w:color w:val="000000"/>
          <w:sz w:val="24"/>
          <w:szCs w:val="24"/>
          <w:highlight w:val="none"/>
          <w:lang w:eastAsia="zh-CN" w:bidi="ar"/>
        </w:rPr>
        <w:t>日14:00</w:t>
      </w:r>
      <w:r>
        <w:rPr>
          <w:rFonts w:hint="eastAsia" w:ascii="宋体" w:hAnsi="宋体" w:cs="宋体"/>
          <w:bCs/>
          <w:kern w:val="2"/>
          <w:sz w:val="24"/>
          <w:szCs w:val="24"/>
          <w:highlight w:val="none"/>
          <w:lang w:bidi="ar"/>
        </w:rPr>
        <w:t>（北京时间</w:t>
      </w:r>
      <w:r>
        <w:rPr>
          <w:rFonts w:hint="eastAsia" w:ascii="宋体" w:hAnsi="宋体" w:cs="宋体"/>
          <w:bCs/>
          <w:kern w:val="2"/>
          <w:sz w:val="24"/>
          <w:szCs w:val="24"/>
          <w:lang w:bidi="ar"/>
        </w:rPr>
        <w:t>）前</w:t>
      </w:r>
      <w:r>
        <w:rPr>
          <w:rFonts w:hint="eastAsia" w:ascii="宋体" w:hAnsi="宋体" w:cs="宋体"/>
          <w:bCs/>
          <w:kern w:val="2"/>
          <w:sz w:val="24"/>
          <w:szCs w:val="24"/>
          <w:lang w:val="en-US" w:eastAsia="zh-CN" w:bidi="ar"/>
        </w:rPr>
        <w:t>提交</w:t>
      </w:r>
      <w:r>
        <w:rPr>
          <w:rFonts w:hint="eastAsia" w:ascii="宋体" w:hAnsi="宋体" w:cs="宋体"/>
          <w:bCs/>
          <w:kern w:val="2"/>
          <w:sz w:val="24"/>
          <w:szCs w:val="24"/>
          <w:lang w:bidi="ar"/>
        </w:rPr>
        <w:t>投标文件</w:t>
      </w:r>
      <w:r>
        <w:rPr>
          <w:rFonts w:hint="eastAsia" w:ascii="宋体" w:hAnsi="宋体" w:cs="宋体"/>
          <w:kern w:val="2"/>
          <w:sz w:val="24"/>
          <w:szCs w:val="24"/>
          <w:lang w:bidi="ar"/>
        </w:rPr>
        <w:t>。</w:t>
      </w:r>
    </w:p>
    <w:p w14:paraId="780DB929">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7" w:name="_Toc32031"/>
      <w:bookmarkEnd w:id="7"/>
      <w:bookmarkStart w:id="8" w:name="_Toc29108"/>
      <w:bookmarkEnd w:id="8"/>
      <w:bookmarkStart w:id="9" w:name="_Toc35393790"/>
      <w:bookmarkStart w:id="10" w:name="_Toc28359079"/>
      <w:bookmarkStart w:id="11" w:name="_Toc28359002"/>
      <w:bookmarkStart w:id="12" w:name="_Toc35393621"/>
      <w:bookmarkStart w:id="13" w:name="_Hlk24379207"/>
      <w:r>
        <w:rPr>
          <w:rFonts w:hint="eastAsia" w:ascii="宋体" w:hAnsi="宋体" w:cs="宋体"/>
          <w:b/>
          <w:bCs/>
          <w:color w:val="000000"/>
          <w:sz w:val="24"/>
          <w:szCs w:val="24"/>
          <w:lang w:bidi="ar"/>
        </w:rPr>
        <w:t>一、项目基本情况</w:t>
      </w:r>
      <w:bookmarkEnd w:id="9"/>
      <w:bookmarkEnd w:id="10"/>
      <w:bookmarkEnd w:id="11"/>
      <w:bookmarkEnd w:id="12"/>
    </w:p>
    <w:p w14:paraId="6731776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FF0000"/>
          <w:sz w:val="24"/>
          <w:szCs w:val="24"/>
          <w:highlight w:val="none"/>
          <w:lang w:eastAsia="zh-CN"/>
        </w:rPr>
      </w:pPr>
      <w:r>
        <w:rPr>
          <w:rFonts w:hint="eastAsia" w:ascii="宋体" w:hAnsi="宋体" w:cs="宋体"/>
          <w:kern w:val="2"/>
          <w:sz w:val="24"/>
          <w:szCs w:val="24"/>
          <w:highlight w:val="none"/>
          <w:lang w:bidi="ar"/>
        </w:rPr>
        <w:t>项目编号：</w:t>
      </w:r>
      <w:r>
        <w:rPr>
          <w:rFonts w:hint="eastAsia" w:ascii="宋体" w:hAnsi="宋体" w:cs="宋体"/>
          <w:bCs/>
          <w:sz w:val="24"/>
          <w:szCs w:val="24"/>
          <w:highlight w:val="none"/>
          <w:lang w:eastAsia="zh-CN"/>
        </w:rPr>
        <w:t>YNLH202603030202</w:t>
      </w:r>
    </w:p>
    <w:p w14:paraId="3115E7B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cs="宋体"/>
          <w:kern w:val="2"/>
          <w:sz w:val="24"/>
          <w:szCs w:val="24"/>
          <w:highlight w:val="none"/>
          <w:lang w:bidi="ar"/>
        </w:rPr>
        <w:t>项目名称：</w:t>
      </w:r>
      <w:r>
        <w:rPr>
          <w:rFonts w:hint="eastAsia" w:ascii="宋体" w:hAnsi="宋体" w:cs="宋体"/>
          <w:kern w:val="2"/>
          <w:sz w:val="24"/>
          <w:szCs w:val="24"/>
          <w:highlight w:val="none"/>
          <w:lang w:eastAsia="zh-CN" w:bidi="ar"/>
        </w:rPr>
        <w:t>昆明市融媒体中心2026年报纸印刷用新闻纸采购（二次）</w:t>
      </w:r>
    </w:p>
    <w:bookmarkEnd w:id="13"/>
    <w:p w14:paraId="68270A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cs="宋体"/>
          <w:kern w:val="2"/>
          <w:sz w:val="24"/>
          <w:szCs w:val="24"/>
          <w:highlight w:val="none"/>
          <w:lang w:bidi="ar"/>
        </w:rPr>
        <w:t>预算金额：</w:t>
      </w:r>
      <w:r>
        <w:rPr>
          <w:rFonts w:hint="eastAsia" w:ascii="宋体" w:hAnsi="宋体" w:cs="宋体"/>
          <w:kern w:val="2"/>
          <w:sz w:val="24"/>
          <w:szCs w:val="24"/>
          <w:highlight w:val="none"/>
          <w:lang w:val="en-US" w:eastAsia="zh-CN" w:bidi="ar"/>
        </w:rPr>
        <w:t>160万元</w:t>
      </w:r>
    </w:p>
    <w:p w14:paraId="63D71D0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kern w:val="2"/>
          <w:sz w:val="24"/>
          <w:szCs w:val="24"/>
          <w:highlight w:val="none"/>
          <w:lang w:bidi="ar"/>
        </w:rPr>
        <w:t>最高限价：</w:t>
      </w:r>
      <w:r>
        <w:rPr>
          <w:rFonts w:hint="eastAsia" w:ascii="宋体" w:hAnsi="宋体" w:cs="宋体"/>
          <w:color w:val="auto"/>
          <w:kern w:val="2"/>
          <w:sz w:val="24"/>
          <w:szCs w:val="24"/>
          <w:highlight w:val="none"/>
          <w:lang w:val="en-US" w:eastAsia="zh-CN" w:bidi="ar"/>
        </w:rPr>
        <w:t>5300.00元/吨，本项目设置单价最高限价，投标人所提交的报价不得超过单价最高限价，否则按无效报价处理。</w:t>
      </w:r>
    </w:p>
    <w:p w14:paraId="6BE5F11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kern w:val="2"/>
          <w:sz w:val="24"/>
          <w:szCs w:val="24"/>
          <w:lang w:val="en-US" w:eastAsia="zh-CN" w:bidi="ar"/>
        </w:rPr>
      </w:pPr>
      <w:r>
        <w:rPr>
          <w:rFonts w:hint="eastAsia" w:ascii="宋体" w:hAnsi="宋体" w:cs="宋体"/>
          <w:kern w:val="2"/>
          <w:sz w:val="24"/>
          <w:szCs w:val="24"/>
          <w:lang w:bidi="ar"/>
        </w:rPr>
        <w:t>采购需求：</w:t>
      </w:r>
      <w:r>
        <w:rPr>
          <w:rFonts w:hint="eastAsia" w:ascii="宋体" w:hAnsi="宋体" w:cs="宋体"/>
          <w:kern w:val="2"/>
          <w:sz w:val="24"/>
          <w:szCs w:val="24"/>
          <w:lang w:val="en-US" w:eastAsia="zh-CN" w:bidi="ar"/>
        </w:rPr>
        <w:t>拟采购1批报纸印刷用新闻纸。</w:t>
      </w:r>
    </w:p>
    <w:p w14:paraId="7E215A6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bidi="ar"/>
        </w:rPr>
      </w:pPr>
      <w:r>
        <w:rPr>
          <w:rFonts w:hint="eastAsia" w:ascii="宋体" w:hAnsi="宋体" w:cs="宋体"/>
          <w:kern w:val="2"/>
          <w:sz w:val="24"/>
          <w:szCs w:val="24"/>
          <w:lang w:eastAsia="zh-CN" w:bidi="ar"/>
        </w:rPr>
        <w:t>交付地点</w:t>
      </w:r>
      <w:r>
        <w:rPr>
          <w:rFonts w:hint="eastAsia" w:ascii="宋体" w:hAnsi="宋体" w:cs="宋体"/>
          <w:kern w:val="2"/>
          <w:sz w:val="24"/>
          <w:szCs w:val="24"/>
          <w:lang w:bidi="ar"/>
        </w:rPr>
        <w:t>：采购人指定地点。</w:t>
      </w:r>
    </w:p>
    <w:p w14:paraId="3781715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bidi="ar"/>
        </w:rPr>
      </w:pPr>
      <w:r>
        <w:rPr>
          <w:rFonts w:hint="eastAsia" w:ascii="宋体" w:hAnsi="宋体" w:cs="宋体"/>
          <w:kern w:val="2"/>
          <w:sz w:val="24"/>
          <w:szCs w:val="24"/>
          <w:lang w:eastAsia="zh-CN" w:bidi="ar"/>
        </w:rPr>
        <w:t>交付时间</w:t>
      </w:r>
      <w:r>
        <w:rPr>
          <w:rFonts w:hint="eastAsia" w:ascii="宋体" w:hAnsi="宋体" w:cs="宋体"/>
          <w:kern w:val="2"/>
          <w:sz w:val="24"/>
          <w:szCs w:val="24"/>
          <w:lang w:bidi="ar"/>
        </w:rPr>
        <w:t>：</w:t>
      </w:r>
      <w:r>
        <w:rPr>
          <w:rFonts w:hint="eastAsia" w:ascii="宋体" w:hAnsi="宋体" w:cs="宋体"/>
          <w:kern w:val="2"/>
          <w:sz w:val="24"/>
          <w:szCs w:val="24"/>
          <w:lang w:eastAsia="zh-CN" w:bidi="ar"/>
        </w:rPr>
        <w:t>下达发运通知单后30天内交付</w:t>
      </w:r>
      <w:r>
        <w:rPr>
          <w:rFonts w:hint="eastAsia" w:ascii="宋体" w:hAnsi="宋体" w:cs="宋体"/>
          <w:kern w:val="2"/>
          <w:sz w:val="24"/>
          <w:szCs w:val="24"/>
          <w:lang w:bidi="ar"/>
        </w:rPr>
        <w:t>。</w:t>
      </w:r>
    </w:p>
    <w:p w14:paraId="0C35175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bidi="ar"/>
        </w:rPr>
      </w:pPr>
      <w:r>
        <w:rPr>
          <w:rFonts w:hint="eastAsia" w:ascii="宋体" w:hAnsi="宋体" w:cs="宋体"/>
          <w:kern w:val="2"/>
          <w:sz w:val="24"/>
          <w:szCs w:val="24"/>
          <w:lang w:bidi="ar"/>
        </w:rPr>
        <w:t>质量标准：满足国家相关质保标准。</w:t>
      </w:r>
    </w:p>
    <w:p w14:paraId="0607FA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bidi="ar"/>
        </w:rPr>
      </w:pPr>
      <w:r>
        <w:rPr>
          <w:rFonts w:hint="eastAsia" w:ascii="宋体" w:hAnsi="宋体" w:cs="宋体"/>
          <w:kern w:val="2"/>
          <w:sz w:val="24"/>
          <w:szCs w:val="24"/>
          <w:lang w:bidi="ar"/>
        </w:rPr>
        <w:t>包装要求：包装完整无明显破损。</w:t>
      </w:r>
    </w:p>
    <w:p w14:paraId="5F3B849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kern w:val="2"/>
          <w:sz w:val="24"/>
          <w:szCs w:val="24"/>
          <w:lang w:bidi="ar"/>
        </w:rPr>
      </w:pPr>
      <w:r>
        <w:rPr>
          <w:rFonts w:hint="eastAsia" w:ascii="宋体" w:hAnsi="宋体" w:cs="宋体"/>
          <w:kern w:val="2"/>
          <w:sz w:val="24"/>
          <w:szCs w:val="24"/>
          <w:lang w:bidi="ar"/>
        </w:rPr>
        <w:t>合同履行期限：</w:t>
      </w:r>
      <w:r>
        <w:rPr>
          <w:rFonts w:hint="eastAsia" w:ascii="宋体" w:hAnsi="宋体" w:cs="宋体"/>
          <w:kern w:val="2"/>
          <w:sz w:val="24"/>
          <w:szCs w:val="24"/>
          <w:lang w:val="en-US" w:eastAsia="zh-CN" w:bidi="ar"/>
        </w:rPr>
        <w:t>一年</w:t>
      </w:r>
      <w:r>
        <w:rPr>
          <w:rFonts w:hint="eastAsia" w:ascii="宋体" w:hAnsi="宋体" w:cs="宋体"/>
          <w:kern w:val="2"/>
          <w:sz w:val="24"/>
          <w:szCs w:val="24"/>
          <w:lang w:bidi="ar"/>
        </w:rPr>
        <w:t>。</w:t>
      </w:r>
    </w:p>
    <w:p w14:paraId="1893A37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kern w:val="2"/>
          <w:sz w:val="24"/>
          <w:szCs w:val="24"/>
          <w:lang w:bidi="ar"/>
        </w:rPr>
      </w:pPr>
      <w:r>
        <w:rPr>
          <w:rFonts w:hint="eastAsia" w:ascii="宋体" w:hAnsi="宋体" w:cs="宋体"/>
          <w:kern w:val="2"/>
          <w:sz w:val="24"/>
          <w:szCs w:val="24"/>
          <w:lang w:bidi="ar"/>
        </w:rPr>
        <w:t>本项目（不接受）联合体投标。</w:t>
      </w:r>
    </w:p>
    <w:p w14:paraId="1F6123EF">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14" w:name="_Toc28359080"/>
      <w:bookmarkStart w:id="15" w:name="_Toc35393622"/>
      <w:bookmarkStart w:id="16" w:name="_Toc35393791"/>
      <w:bookmarkStart w:id="17" w:name="_Toc28359003"/>
      <w:r>
        <w:rPr>
          <w:rFonts w:hint="eastAsia" w:ascii="宋体" w:hAnsi="宋体" w:cs="宋体"/>
          <w:b/>
          <w:bCs/>
          <w:color w:val="000000"/>
          <w:sz w:val="24"/>
          <w:szCs w:val="24"/>
          <w:lang w:bidi="ar"/>
        </w:rPr>
        <w:t>二、申请人的资格要求：</w:t>
      </w:r>
      <w:bookmarkEnd w:id="14"/>
      <w:bookmarkEnd w:id="15"/>
      <w:bookmarkEnd w:id="16"/>
      <w:bookmarkEnd w:id="17"/>
    </w:p>
    <w:p w14:paraId="3C601C7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bookmarkStart w:id="18" w:name="_Toc10994"/>
      <w:bookmarkStart w:id="19" w:name="_Toc18261"/>
      <w:bookmarkStart w:id="20" w:name="_Toc8828"/>
      <w:bookmarkStart w:id="21" w:name="_Toc28359004"/>
      <w:bookmarkStart w:id="22" w:name="_Toc28359081"/>
      <w:r>
        <w:rPr>
          <w:rFonts w:hint="eastAsia" w:ascii="宋体" w:hAnsi="宋体" w:cs="宋体"/>
          <w:color w:val="000000"/>
          <w:sz w:val="24"/>
          <w:szCs w:val="24"/>
          <w:lang w:bidi="ar"/>
        </w:rPr>
        <w:t>1.满足《中华人民共和国政府采购法》第二十二条规定；</w:t>
      </w:r>
    </w:p>
    <w:p w14:paraId="4D58A61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1.1具有独立承担民事责任的能力，提供法人或者其他组织的营业执照等证明文件（①若</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是企业，提供有效的“营业执照”；②若</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是事业单位，提供有效的“事业单位法人证书”；③若</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是非企业专业服务机构的，提供有效的法定证明文件；④若</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是个体工商户，提供有效的“个体工商户营业执照”；⑤若</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是自然人，提供有效的自然人身份证明）。分公司参与</w:t>
      </w:r>
      <w:r>
        <w:rPr>
          <w:rFonts w:hint="eastAsia" w:ascii="宋体" w:hAnsi="宋体" w:cs="宋体"/>
          <w:color w:val="000000"/>
          <w:sz w:val="24"/>
          <w:szCs w:val="24"/>
          <w:lang w:eastAsia="zh-CN" w:bidi="ar"/>
        </w:rPr>
        <w:t>投标</w:t>
      </w:r>
      <w:r>
        <w:rPr>
          <w:rFonts w:hint="eastAsia" w:ascii="宋体" w:hAnsi="宋体" w:cs="宋体"/>
          <w:color w:val="000000"/>
          <w:sz w:val="24"/>
          <w:szCs w:val="24"/>
          <w:lang w:bidi="ar"/>
        </w:rPr>
        <w:t>的，还须提供总公司出具的授权书；同一家公司的总公司和下属的不同分公司不能同时参与同一项目</w:t>
      </w:r>
      <w:r>
        <w:rPr>
          <w:rFonts w:hint="eastAsia" w:ascii="宋体" w:hAnsi="宋体" w:cs="宋体"/>
          <w:color w:val="000000"/>
          <w:sz w:val="24"/>
          <w:szCs w:val="24"/>
          <w:lang w:eastAsia="zh-CN" w:bidi="ar"/>
        </w:rPr>
        <w:t>投标</w:t>
      </w:r>
      <w:r>
        <w:rPr>
          <w:rFonts w:hint="eastAsia" w:ascii="宋体" w:hAnsi="宋体" w:cs="宋体"/>
          <w:color w:val="000000"/>
          <w:sz w:val="24"/>
          <w:szCs w:val="24"/>
          <w:lang w:bidi="ar"/>
        </w:rPr>
        <w:t>。</w:t>
      </w:r>
    </w:p>
    <w:p w14:paraId="053CA37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1.2</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具有良好的商业信誉和健全的财务会计制度，须提供相关证明材料，内容可为以下四者之一：1）2023年度至今任意一年度经审计的审计报告及财务报表，财务报表包括“四表一注”，即资产负债表、利润表、现金流量表、所有者权益变动表及其附注，根据《关于加强审计报告查验工作的通知》（财会〔2023〕15号）规定，在2022年10月以后出具的审计报告须在注册会计师行业统一监管平台（网址：http://acc.mof.gov.cn）取得赋码，未取得赋码的财务报告视为无效（注：非营利性单位或者社会团体或者其他机关事业单位以符合财务会计制度为准）；2）自</w:t>
      </w:r>
      <w:r>
        <w:rPr>
          <w:rFonts w:hint="eastAsia" w:ascii="宋体" w:hAnsi="宋体" w:cs="宋体"/>
          <w:color w:val="000000"/>
          <w:sz w:val="24"/>
          <w:szCs w:val="24"/>
          <w:lang w:eastAsia="zh-CN" w:bidi="ar"/>
        </w:rPr>
        <w:t>投标文件</w:t>
      </w:r>
      <w:r>
        <w:rPr>
          <w:rFonts w:hint="eastAsia" w:ascii="宋体" w:hAnsi="宋体" w:cs="宋体"/>
          <w:color w:val="000000"/>
          <w:sz w:val="24"/>
          <w:szCs w:val="24"/>
          <w:lang w:bidi="ar"/>
        </w:rPr>
        <w:t>提交截止时间前三个月内基本开户银行出具的资信证明；3）财政部门认可的政府采购专业担保机构出具的投标担保函，须同时提供专业担保机构经财政部门认可的证明文件；4）成立未满一年或成立至今未产生经营活动的</w:t>
      </w:r>
      <w:r>
        <w:rPr>
          <w:rFonts w:hint="eastAsia" w:ascii="宋体" w:hAnsi="宋体" w:cs="宋体"/>
          <w:color w:val="000000"/>
          <w:sz w:val="24"/>
          <w:szCs w:val="24"/>
          <w:lang w:eastAsia="zh-CN" w:bidi="ar"/>
        </w:rPr>
        <w:t>投标人</w:t>
      </w:r>
      <w:r>
        <w:rPr>
          <w:rFonts w:hint="eastAsia" w:ascii="宋体" w:hAnsi="宋体" w:cs="宋体"/>
          <w:color w:val="000000"/>
          <w:sz w:val="24"/>
          <w:szCs w:val="24"/>
          <w:lang w:bidi="ar"/>
        </w:rPr>
        <w:t>提供自成立至今的财务报表或财务情况说明。</w:t>
      </w:r>
    </w:p>
    <w:p w14:paraId="4C72631C">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1.3具有履行合同所必需的设备和专业技术能力，提供证明材料或书面声明。</w:t>
      </w:r>
    </w:p>
    <w:p w14:paraId="0449E31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1.4</w:t>
      </w:r>
      <w:r>
        <w:rPr>
          <w:rFonts w:hint="eastAsia" w:ascii="宋体" w:hAnsi="宋体" w:cs="宋体"/>
          <w:color w:val="000000"/>
          <w:sz w:val="24"/>
          <w:szCs w:val="24"/>
          <w:lang w:eastAsia="zh-CN" w:bidi="ar"/>
        </w:rPr>
        <w:t>具有依法缴纳税收和社会保障资金的良好记录，提供2025年1月至今任意1个月依法缴纳税收和缴纳社会保障资金的证明（成立未满1个月的提供成立以来的税收和社会保障资金缴纳凭证或相关情况说明</w:t>
      </w:r>
      <w:r>
        <w:rPr>
          <w:rFonts w:hint="eastAsia" w:ascii="宋体" w:hAnsi="宋体" w:cs="宋体"/>
          <w:color w:val="000000"/>
          <w:sz w:val="24"/>
          <w:szCs w:val="24"/>
          <w:lang w:bidi="ar"/>
        </w:rPr>
        <w:t>；依法免税或不需要缴纳社会保障资金的投标人，应提供相应文件证明其依法免税或不需要缴纳社会保障资金）。</w:t>
      </w:r>
    </w:p>
    <w:p w14:paraId="3C5B21D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1.5参加政府采购活动前三年内，在经营活动中没有重大违法记录，提供参加本次政府采购活动前三年内在经营活动中没有重大违法记录的书面声明。</w:t>
      </w:r>
    </w:p>
    <w:p w14:paraId="3502EB52">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1.6法律、行政法规规定的其他条件。</w:t>
      </w:r>
    </w:p>
    <w:p w14:paraId="22B9151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1.6.1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BCD8FD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1.6.2</w:t>
      </w:r>
      <w:r>
        <w:rPr>
          <w:rFonts w:hint="eastAsia" w:ascii="宋体" w:hAnsi="宋体"/>
          <w:sz w:val="24"/>
          <w:szCs w:val="24"/>
        </w:rPr>
        <w:t>投标人应在“中国执行信息公开网”网站（zxgk.court.gov.cn）未被列入失信被执行人记录，在“信用中国”网站</w:t>
      </w:r>
      <w:r>
        <w:rPr>
          <w:rFonts w:hint="eastAsia" w:ascii="宋体" w:hAnsi="宋体"/>
          <w:sz w:val="24"/>
          <w:szCs w:val="24"/>
          <w:lang w:eastAsia="zh-CN"/>
        </w:rPr>
        <w:t>（</w:t>
      </w:r>
      <w:r>
        <w:rPr>
          <w:rFonts w:hint="eastAsia" w:ascii="宋体" w:hAnsi="宋体"/>
          <w:sz w:val="24"/>
          <w:szCs w:val="24"/>
        </w:rPr>
        <w:t>www.creditchina.gov.cn</w:t>
      </w:r>
      <w:r>
        <w:rPr>
          <w:rFonts w:hint="eastAsia" w:ascii="宋体" w:hAnsi="宋体"/>
          <w:sz w:val="24"/>
          <w:szCs w:val="24"/>
          <w:lang w:eastAsia="zh-CN"/>
        </w:rPr>
        <w:t>）</w:t>
      </w:r>
      <w:r>
        <w:rPr>
          <w:rFonts w:hint="eastAsia" w:ascii="宋体" w:hAnsi="宋体"/>
          <w:sz w:val="24"/>
          <w:szCs w:val="24"/>
        </w:rPr>
        <w:t>未被列入重大税收违法失信主体，在“中国政府采购网”网站</w:t>
      </w:r>
      <w:r>
        <w:rPr>
          <w:rFonts w:hint="eastAsia" w:ascii="宋体" w:hAnsi="宋体"/>
          <w:sz w:val="24"/>
          <w:szCs w:val="24"/>
          <w:lang w:eastAsia="zh-CN"/>
        </w:rPr>
        <w:t>（</w:t>
      </w:r>
      <w:r>
        <w:rPr>
          <w:rFonts w:hint="eastAsia" w:ascii="宋体" w:hAnsi="宋体"/>
          <w:sz w:val="24"/>
          <w:szCs w:val="24"/>
        </w:rPr>
        <w:t>www.ccgp.gov.cn</w:t>
      </w:r>
      <w:r>
        <w:rPr>
          <w:rFonts w:hint="eastAsia" w:ascii="宋体" w:hAnsi="宋体"/>
          <w:sz w:val="24"/>
          <w:szCs w:val="24"/>
          <w:lang w:eastAsia="zh-CN"/>
        </w:rPr>
        <w:t>）</w:t>
      </w:r>
      <w:r>
        <w:rPr>
          <w:rFonts w:hint="eastAsia" w:ascii="宋体" w:hAnsi="宋体"/>
          <w:sz w:val="24"/>
          <w:szCs w:val="24"/>
        </w:rPr>
        <w:t>没有政府采购严重违法失信行为记录（</w:t>
      </w:r>
      <w:r>
        <w:rPr>
          <w:rFonts w:hint="eastAsia" w:ascii="宋体" w:hAnsi="宋体"/>
          <w:sz w:val="24"/>
          <w:szCs w:val="24"/>
          <w:lang w:val="en-US" w:eastAsia="zh-CN"/>
        </w:rPr>
        <w:t>提交</w:t>
      </w:r>
      <w:r>
        <w:rPr>
          <w:rFonts w:hint="eastAsia" w:ascii="宋体" w:hAnsi="宋体"/>
          <w:sz w:val="24"/>
          <w:szCs w:val="24"/>
        </w:rPr>
        <w:t>投标文件截止时间后由采购代理机构查询并截图保存，提交评标委员会审核）</w:t>
      </w:r>
      <w:r>
        <w:rPr>
          <w:rFonts w:hint="eastAsia" w:ascii="宋体" w:hAnsi="宋体" w:cs="宋体"/>
          <w:color w:val="000000"/>
          <w:sz w:val="24"/>
          <w:szCs w:val="24"/>
          <w:lang w:bidi="ar"/>
        </w:rPr>
        <w:t>。</w:t>
      </w:r>
    </w:p>
    <w:p w14:paraId="2207BF9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cs="宋体"/>
          <w:color w:val="000000"/>
          <w:sz w:val="24"/>
          <w:szCs w:val="24"/>
          <w:lang w:bidi="ar"/>
        </w:rPr>
        <w:t>2.落实政府采购政策需满足的资格要求：本项目为专门面向中小企业采购的项目</w:t>
      </w:r>
      <w:r>
        <w:rPr>
          <w:rFonts w:hint="eastAsia" w:ascii="宋体" w:hAnsi="宋体" w:cs="宋体"/>
          <w:color w:val="000000"/>
          <w:sz w:val="24"/>
          <w:szCs w:val="24"/>
          <w:lang w:eastAsia="zh-CN" w:bidi="ar"/>
        </w:rPr>
        <w:t>，行业划分</w:t>
      </w:r>
      <w:r>
        <w:rPr>
          <w:rFonts w:hint="eastAsia" w:ascii="宋体" w:hAnsi="宋体" w:cs="宋体"/>
          <w:color w:val="000000"/>
          <w:sz w:val="24"/>
          <w:szCs w:val="24"/>
          <w:lang w:val="en-US" w:eastAsia="zh-CN" w:bidi="ar"/>
        </w:rPr>
        <w:t>为</w:t>
      </w:r>
      <w:r>
        <w:rPr>
          <w:rFonts w:hint="eastAsia" w:ascii="宋体" w:hAnsi="宋体" w:cs="宋体"/>
          <w:b/>
          <w:bCs/>
          <w:color w:val="000000"/>
          <w:sz w:val="24"/>
          <w:szCs w:val="24"/>
          <w:lang w:eastAsia="zh-CN" w:bidi="ar"/>
        </w:rPr>
        <w:t>工业</w:t>
      </w:r>
      <w:r>
        <w:rPr>
          <w:rFonts w:hint="eastAsia" w:ascii="宋体" w:hAnsi="宋体" w:cs="宋体"/>
          <w:color w:val="000000"/>
          <w:sz w:val="24"/>
          <w:szCs w:val="24"/>
          <w:lang w:eastAsia="zh-CN" w:bidi="ar"/>
        </w:rPr>
        <w:t>，</w:t>
      </w:r>
      <w:r>
        <w:rPr>
          <w:rFonts w:hint="eastAsia" w:ascii="宋体" w:hAnsi="宋体" w:cs="宋体"/>
          <w:color w:val="000000"/>
          <w:sz w:val="24"/>
          <w:szCs w:val="24"/>
          <w:lang w:val="en-US" w:eastAsia="zh-CN" w:bidi="ar"/>
        </w:rPr>
        <w:t>投标人应提供“中小企业声明函”或“残疾人福利性单位声明函”或由省级以上监狱管理局、戒毒管理局（含新疆生产建设兵团）出具的属于监狱企业的证明文件</w:t>
      </w:r>
      <w:r>
        <w:rPr>
          <w:rFonts w:hint="eastAsia" w:ascii="宋体" w:hAnsi="宋体" w:cs="宋体"/>
          <w:color w:val="000000"/>
          <w:sz w:val="24"/>
          <w:szCs w:val="24"/>
          <w:lang w:eastAsia="zh-CN" w:bidi="ar"/>
        </w:rPr>
        <w:t>。</w:t>
      </w:r>
    </w:p>
    <w:p w14:paraId="6B51578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3.本项目的特定资格要求：</w:t>
      </w:r>
      <w:r>
        <w:rPr>
          <w:rFonts w:hint="eastAsia" w:ascii="宋体" w:hAnsi="宋体" w:cs="宋体"/>
          <w:color w:val="000000"/>
          <w:sz w:val="24"/>
          <w:szCs w:val="24"/>
          <w:lang w:val="en-US" w:eastAsia="zh-CN" w:bidi="ar"/>
        </w:rPr>
        <w:t>无</w:t>
      </w:r>
      <w:r>
        <w:rPr>
          <w:rFonts w:hint="eastAsia" w:ascii="宋体" w:hAnsi="宋体" w:cs="宋体"/>
          <w:color w:val="000000"/>
          <w:sz w:val="24"/>
          <w:szCs w:val="24"/>
          <w:lang w:bidi="ar"/>
        </w:rPr>
        <w:t>。</w:t>
      </w:r>
    </w:p>
    <w:bookmarkEnd w:id="18"/>
    <w:bookmarkEnd w:id="19"/>
    <w:bookmarkEnd w:id="20"/>
    <w:p w14:paraId="794EF7CD">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23" w:name="_Toc35393623"/>
      <w:bookmarkStart w:id="24" w:name="_Toc35393792"/>
      <w:r>
        <w:rPr>
          <w:rFonts w:hint="eastAsia" w:ascii="宋体" w:hAnsi="宋体" w:cs="宋体"/>
          <w:b/>
          <w:bCs/>
          <w:color w:val="000000"/>
          <w:sz w:val="24"/>
          <w:szCs w:val="24"/>
          <w:lang w:bidi="ar"/>
        </w:rPr>
        <w:t>三、获取招标文件</w:t>
      </w:r>
      <w:bookmarkEnd w:id="21"/>
      <w:bookmarkEnd w:id="22"/>
      <w:bookmarkEnd w:id="23"/>
      <w:bookmarkEnd w:id="24"/>
    </w:p>
    <w:p w14:paraId="22F44AA9">
      <w:pPr>
        <w:keepNext w:val="0"/>
        <w:keepLines w:val="0"/>
        <w:pageBreakBefore w:val="0"/>
        <w:widowControl w:val="0"/>
        <w:kinsoku/>
        <w:wordWrap/>
        <w:overflowPunct/>
        <w:topLinePunct w:val="0"/>
        <w:autoSpaceDE/>
        <w:autoSpaceDN/>
        <w:bidi w:val="0"/>
        <w:adjustRightInd/>
        <w:snapToGrid/>
        <w:spacing w:line="420" w:lineRule="exact"/>
        <w:ind w:firstLine="540"/>
        <w:jc w:val="both"/>
        <w:textAlignment w:val="auto"/>
        <w:rPr>
          <w:rFonts w:ascii="宋体" w:hAnsi="宋体"/>
          <w:sz w:val="24"/>
          <w:szCs w:val="24"/>
        </w:rPr>
      </w:pPr>
      <w:r>
        <w:rPr>
          <w:rFonts w:hint="eastAsia" w:ascii="宋体" w:hAnsi="宋体" w:cs="宋体"/>
          <w:kern w:val="2"/>
          <w:sz w:val="24"/>
          <w:szCs w:val="24"/>
          <w:highlight w:val="none"/>
          <w:lang w:bidi="ar"/>
        </w:rPr>
        <w:t>时间：</w:t>
      </w:r>
      <w:r>
        <w:rPr>
          <w:rFonts w:hint="eastAsia" w:ascii="宋体" w:hAnsi="宋体"/>
          <w:sz w:val="24"/>
          <w:szCs w:val="24"/>
          <w:highlight w:val="none"/>
          <w:lang w:eastAsia="zh-CN"/>
        </w:rPr>
        <w:t>2026年</w:t>
      </w:r>
      <w:r>
        <w:rPr>
          <w:rFonts w:hint="eastAsia" w:ascii="宋体" w:hAnsi="宋体"/>
          <w:sz w:val="24"/>
          <w:szCs w:val="24"/>
          <w:highlight w:val="none"/>
          <w:lang w:val="en-US" w:eastAsia="zh-CN"/>
        </w:rPr>
        <w:t>4</w:t>
      </w:r>
      <w:r>
        <w:rPr>
          <w:rFonts w:hint="eastAsia" w:ascii="宋体" w:hAnsi="宋体"/>
          <w:sz w:val="24"/>
          <w:szCs w:val="24"/>
          <w:highlight w:val="none"/>
          <w:lang w:eastAsia="zh-CN"/>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rFonts w:hint="eastAsia" w:ascii="宋体" w:hAnsi="宋体"/>
          <w:sz w:val="24"/>
          <w:szCs w:val="24"/>
          <w:highlight w:val="none"/>
          <w:lang w:val="en-US" w:eastAsia="zh-CN"/>
        </w:rPr>
        <w:t>06:00</w:t>
      </w:r>
      <w:r>
        <w:rPr>
          <w:rFonts w:hint="eastAsia" w:ascii="宋体" w:hAnsi="宋体"/>
          <w:sz w:val="24"/>
          <w:szCs w:val="24"/>
          <w:highlight w:val="none"/>
        </w:rPr>
        <w:t>至</w:t>
      </w:r>
      <w:r>
        <w:rPr>
          <w:rFonts w:hint="eastAsia" w:ascii="宋体" w:hAnsi="宋体"/>
          <w:sz w:val="24"/>
          <w:szCs w:val="24"/>
          <w:highlight w:val="none"/>
          <w:lang w:eastAsia="zh-CN"/>
        </w:rPr>
        <w:t>2026年</w:t>
      </w:r>
      <w:r>
        <w:rPr>
          <w:rFonts w:hint="eastAsia" w:ascii="宋体" w:hAnsi="宋体"/>
          <w:sz w:val="24"/>
          <w:szCs w:val="24"/>
          <w:highlight w:val="none"/>
          <w:lang w:val="en-US" w:eastAsia="zh-CN"/>
        </w:rPr>
        <w:t>4</w:t>
      </w:r>
      <w:r>
        <w:rPr>
          <w:rFonts w:hint="eastAsia" w:ascii="宋体" w:hAnsi="宋体"/>
          <w:sz w:val="24"/>
          <w:szCs w:val="24"/>
          <w:highlight w:val="none"/>
          <w:lang w:eastAsia="zh-CN"/>
        </w:rPr>
        <w:t>月</w:t>
      </w:r>
      <w:r>
        <w:rPr>
          <w:rFonts w:hint="eastAsia" w:ascii="宋体" w:hAnsi="宋体"/>
          <w:sz w:val="24"/>
          <w:szCs w:val="24"/>
          <w:highlight w:val="none"/>
          <w:lang w:val="en-US" w:eastAsia="zh-CN"/>
        </w:rPr>
        <w:t>30</w:t>
      </w:r>
      <w:r>
        <w:rPr>
          <w:rFonts w:hint="eastAsia" w:ascii="宋体" w:hAnsi="宋体"/>
          <w:sz w:val="24"/>
          <w:szCs w:val="24"/>
          <w:highlight w:val="none"/>
        </w:rPr>
        <w:t>日</w:t>
      </w:r>
      <w:r>
        <w:rPr>
          <w:rFonts w:hint="eastAsia" w:ascii="宋体" w:hAnsi="宋体"/>
          <w:sz w:val="24"/>
          <w:szCs w:val="24"/>
          <w:highlight w:val="none"/>
          <w:lang w:val="en-US" w:eastAsia="zh-CN"/>
        </w:rPr>
        <w:t>23:59</w:t>
      </w:r>
      <w:r>
        <w:rPr>
          <w:rFonts w:hint="eastAsia" w:ascii="宋体" w:hAnsi="宋体"/>
          <w:sz w:val="24"/>
          <w:szCs w:val="24"/>
          <w:highlight w:val="none"/>
        </w:rPr>
        <w:t>，每</w:t>
      </w:r>
      <w:r>
        <w:rPr>
          <w:rFonts w:hint="eastAsia" w:ascii="宋体" w:hAnsi="宋体"/>
          <w:sz w:val="24"/>
          <w:szCs w:val="24"/>
        </w:rPr>
        <w:t>天上午</w:t>
      </w:r>
      <w:r>
        <w:rPr>
          <w:rFonts w:hint="eastAsia" w:ascii="宋体" w:hAnsi="宋体"/>
          <w:sz w:val="24"/>
          <w:szCs w:val="24"/>
          <w:highlight w:val="none"/>
          <w:lang w:val="en-US" w:eastAsia="zh-CN"/>
        </w:rPr>
        <w:t>06:00</w:t>
      </w:r>
      <w:r>
        <w:rPr>
          <w:rFonts w:hint="eastAsia" w:ascii="宋体" w:hAnsi="宋体"/>
          <w:sz w:val="24"/>
          <w:szCs w:val="24"/>
        </w:rPr>
        <w:t>至</w:t>
      </w:r>
      <w:r>
        <w:rPr>
          <w:rFonts w:hint="eastAsia" w:ascii="宋体" w:hAnsi="宋体"/>
          <w:sz w:val="24"/>
          <w:szCs w:val="24"/>
          <w:highlight w:val="none"/>
          <w:lang w:val="en-US" w:eastAsia="zh-CN"/>
        </w:rPr>
        <w:t>12:00</w:t>
      </w:r>
      <w:r>
        <w:rPr>
          <w:rFonts w:hint="eastAsia" w:ascii="宋体" w:hAnsi="宋体"/>
          <w:sz w:val="24"/>
          <w:szCs w:val="24"/>
        </w:rPr>
        <w:t>，下午</w:t>
      </w:r>
      <w:r>
        <w:rPr>
          <w:rFonts w:hint="eastAsia" w:ascii="宋体" w:hAnsi="宋体"/>
          <w:sz w:val="24"/>
          <w:szCs w:val="24"/>
          <w:highlight w:val="none"/>
          <w:lang w:val="en-US" w:eastAsia="zh-CN"/>
        </w:rPr>
        <w:t>12:00</w:t>
      </w:r>
      <w:r>
        <w:rPr>
          <w:rFonts w:hint="eastAsia" w:ascii="宋体" w:hAnsi="宋体"/>
          <w:sz w:val="24"/>
          <w:szCs w:val="24"/>
        </w:rPr>
        <w:t>至</w:t>
      </w:r>
      <w:r>
        <w:rPr>
          <w:rFonts w:hint="eastAsia" w:ascii="宋体" w:hAnsi="宋体" w:cs="宋体"/>
          <w:sz w:val="24"/>
          <w:szCs w:val="24"/>
          <w:highlight w:val="none"/>
          <w:lang w:val="en-US" w:eastAsia="zh-CN" w:bidi="ar-SA"/>
        </w:rPr>
        <w:t>23:59</w:t>
      </w:r>
      <w:r>
        <w:rPr>
          <w:rFonts w:hint="eastAsia" w:ascii="宋体" w:hAnsi="宋体"/>
          <w:sz w:val="24"/>
          <w:szCs w:val="24"/>
        </w:rPr>
        <w:t>（北京时间，法定节假日除外）</w:t>
      </w:r>
    </w:p>
    <w:p w14:paraId="4519D68B">
      <w:pPr>
        <w:keepNext w:val="0"/>
        <w:keepLines w:val="0"/>
        <w:pageBreakBefore w:val="0"/>
        <w:widowControl w:val="0"/>
        <w:kinsoku/>
        <w:wordWrap/>
        <w:overflowPunct/>
        <w:topLinePunct w:val="0"/>
        <w:autoSpaceDE/>
        <w:autoSpaceDN/>
        <w:bidi w:val="0"/>
        <w:adjustRightInd/>
        <w:snapToGrid/>
        <w:spacing w:line="420" w:lineRule="exact"/>
        <w:ind w:firstLine="540"/>
        <w:jc w:val="both"/>
        <w:textAlignment w:val="auto"/>
        <w:rPr>
          <w:rFonts w:hint="eastAsia" w:ascii="宋体" w:hAnsi="宋体" w:eastAsia="宋体" w:cs="宋体"/>
          <w:sz w:val="24"/>
          <w:szCs w:val="24"/>
          <w:u w:val="single"/>
          <w:lang w:eastAsia="zh-CN"/>
        </w:rPr>
      </w:pPr>
      <w:r>
        <w:rPr>
          <w:rFonts w:hint="eastAsia" w:ascii="宋体" w:hAnsi="宋体" w:cs="宋体"/>
          <w:kern w:val="2"/>
          <w:sz w:val="24"/>
          <w:szCs w:val="24"/>
          <w:lang w:bidi="ar"/>
        </w:rPr>
        <w:t>地点：</w:t>
      </w:r>
      <w:r>
        <w:rPr>
          <w:rFonts w:hint="eastAsia" w:ascii="宋体" w:hAnsi="宋体" w:cs="宋体"/>
          <w:sz w:val="24"/>
          <w:szCs w:val="24"/>
        </w:rPr>
        <w:t>政采云平台线上获取</w:t>
      </w:r>
    </w:p>
    <w:p w14:paraId="6000A25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cs="宋体"/>
          <w:kern w:val="2"/>
          <w:sz w:val="24"/>
          <w:szCs w:val="24"/>
          <w:lang w:bidi="ar"/>
        </w:rPr>
        <w:t>方式：</w:t>
      </w:r>
      <w:r>
        <w:rPr>
          <w:rFonts w:hint="eastAsia" w:ascii="宋体" w:hAnsi="宋体" w:eastAsia="宋体" w:cs="宋体"/>
          <w:sz w:val="24"/>
          <w:szCs w:val="24"/>
          <w:highlight w:val="none"/>
          <w:lang w:val="en-US" w:eastAsia="zh-CN" w:bidi="ar-SA"/>
        </w:rPr>
        <w:t>1.凡有意参加投标者，须在政采云平台办理数字证书（CA），并在政采云绑定数字证书（CA）后线上获取</w:t>
      </w:r>
      <w:r>
        <w:rPr>
          <w:rFonts w:hint="eastAsia" w:ascii="宋体" w:hAnsi="宋体" w:cs="宋体"/>
          <w:sz w:val="24"/>
          <w:szCs w:val="24"/>
        </w:rPr>
        <w:t>招标文件</w:t>
      </w:r>
      <w:r>
        <w:rPr>
          <w:rFonts w:hint="eastAsia" w:ascii="宋体" w:hAnsi="宋体" w:cs="宋体"/>
          <w:sz w:val="24"/>
          <w:szCs w:val="24"/>
          <w:lang w:eastAsia="zh-CN"/>
        </w:rPr>
        <w:t>及其他</w:t>
      </w:r>
      <w:r>
        <w:rPr>
          <w:rFonts w:hint="eastAsia" w:ascii="宋体" w:hAnsi="宋体" w:eastAsia="宋体" w:cs="宋体"/>
          <w:sz w:val="24"/>
          <w:szCs w:val="24"/>
          <w:highlight w:val="none"/>
          <w:lang w:val="en-US" w:eastAsia="zh-CN" w:bidi="ar-SA"/>
        </w:rPr>
        <w:t>采购资料。CA申领链接：https://middle.zcygov.cn/ca/apply/list?_app_=zcy.sys，CA申领后需登陆政采云平台完成数字证书（CA）绑定才可以使用，数字证书（CA）详见其办理流程。</w:t>
      </w:r>
    </w:p>
    <w:p w14:paraId="3C504C23">
      <w:pPr>
        <w:keepNext w:val="0"/>
        <w:keepLines w:val="0"/>
        <w:pageBreakBefore w:val="0"/>
        <w:widowControl w:val="0"/>
        <w:kinsoku/>
        <w:wordWrap/>
        <w:overflowPunct/>
        <w:topLinePunct w:val="0"/>
        <w:autoSpaceDE/>
        <w:autoSpaceDN/>
        <w:bidi w:val="0"/>
        <w:adjustRightInd/>
        <w:snapToGrid/>
        <w:spacing w:line="420" w:lineRule="exact"/>
        <w:ind w:firstLine="540"/>
        <w:jc w:val="both"/>
        <w:textAlignment w:val="auto"/>
        <w:rPr>
          <w:rFonts w:hint="eastAsia" w:ascii="宋体" w:hAnsi="宋体" w:cs="宋体"/>
          <w:kern w:val="2"/>
          <w:sz w:val="24"/>
          <w:szCs w:val="24"/>
          <w:lang w:bidi="ar"/>
        </w:rPr>
      </w:pPr>
      <w:r>
        <w:rPr>
          <w:rFonts w:hint="eastAsia" w:ascii="宋体" w:hAnsi="宋体" w:eastAsia="宋体" w:cs="宋体"/>
          <w:sz w:val="24"/>
          <w:szCs w:val="24"/>
          <w:highlight w:val="none"/>
          <w:lang w:val="en-US" w:eastAsia="zh-CN" w:bidi="ar-SA"/>
        </w:rPr>
        <w:t>2.按上述要求获取文件的</w:t>
      </w:r>
      <w:r>
        <w:rPr>
          <w:rFonts w:hint="eastAsia" w:ascii="宋体" w:hAnsi="宋体" w:cs="宋体"/>
          <w:sz w:val="24"/>
          <w:szCs w:val="24"/>
          <w:highlight w:val="none"/>
          <w:lang w:val="en-US" w:eastAsia="zh-CN" w:bidi="ar-SA"/>
        </w:rPr>
        <w:t>投标人</w:t>
      </w:r>
      <w:r>
        <w:rPr>
          <w:rFonts w:hint="eastAsia" w:ascii="宋体" w:hAnsi="宋体" w:eastAsia="宋体" w:cs="宋体"/>
          <w:sz w:val="24"/>
          <w:szCs w:val="24"/>
          <w:highlight w:val="none"/>
          <w:lang w:val="en-US" w:eastAsia="zh-CN" w:bidi="ar-SA"/>
        </w:rPr>
        <w:t>视为合法获取了本项目</w:t>
      </w:r>
      <w:r>
        <w:rPr>
          <w:rFonts w:hint="eastAsia" w:ascii="宋体" w:hAnsi="宋体" w:cs="宋体"/>
          <w:sz w:val="24"/>
          <w:szCs w:val="24"/>
        </w:rPr>
        <w:t>招标</w:t>
      </w:r>
      <w:r>
        <w:rPr>
          <w:rFonts w:hint="eastAsia" w:ascii="宋体" w:hAnsi="宋体" w:eastAsia="宋体" w:cs="宋体"/>
          <w:sz w:val="24"/>
          <w:szCs w:val="24"/>
          <w:highlight w:val="none"/>
          <w:lang w:val="en-US" w:eastAsia="zh-CN" w:bidi="ar-SA"/>
        </w:rPr>
        <w:t>文件，具备本项目的投标资格。</w:t>
      </w:r>
    </w:p>
    <w:p w14:paraId="3952ACE1">
      <w:pPr>
        <w:keepNext w:val="0"/>
        <w:keepLines w:val="0"/>
        <w:pageBreakBefore w:val="0"/>
        <w:widowControl w:val="0"/>
        <w:kinsoku/>
        <w:wordWrap/>
        <w:overflowPunct/>
        <w:topLinePunct w:val="0"/>
        <w:autoSpaceDE/>
        <w:autoSpaceDN/>
        <w:bidi w:val="0"/>
        <w:adjustRightInd/>
        <w:snapToGrid/>
        <w:spacing w:line="420" w:lineRule="exact"/>
        <w:ind w:firstLine="540"/>
        <w:jc w:val="both"/>
        <w:textAlignment w:val="auto"/>
        <w:rPr>
          <w:rFonts w:ascii="宋体" w:hAnsi="宋体" w:cs="宋体"/>
          <w:sz w:val="24"/>
          <w:szCs w:val="24"/>
        </w:rPr>
      </w:pPr>
      <w:r>
        <w:rPr>
          <w:rFonts w:hint="eastAsia" w:ascii="宋体" w:hAnsi="宋体" w:cs="宋体"/>
          <w:sz w:val="24"/>
          <w:szCs w:val="24"/>
        </w:rPr>
        <w:t>售价：</w:t>
      </w:r>
      <w:r>
        <w:rPr>
          <w:rFonts w:hint="eastAsia" w:ascii="宋体" w:hAnsi="宋体" w:cs="宋体"/>
          <w:sz w:val="24"/>
          <w:szCs w:val="24"/>
          <w:lang w:val="en-US" w:eastAsia="zh-CN"/>
        </w:rPr>
        <w:t>0元</w:t>
      </w:r>
      <w:r>
        <w:rPr>
          <w:rFonts w:hint="eastAsia" w:ascii="宋体" w:hAnsi="宋体" w:cs="宋体"/>
          <w:sz w:val="24"/>
          <w:szCs w:val="24"/>
        </w:rPr>
        <w:t>。</w:t>
      </w:r>
    </w:p>
    <w:p w14:paraId="06102758">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25" w:name="_Toc28359005"/>
      <w:bookmarkStart w:id="26" w:name="_Toc28359082"/>
      <w:bookmarkStart w:id="27" w:name="_Toc35393793"/>
      <w:bookmarkStart w:id="28" w:name="_Toc35393624"/>
      <w:r>
        <w:rPr>
          <w:rFonts w:hint="eastAsia" w:ascii="宋体" w:hAnsi="宋体" w:cs="宋体"/>
          <w:b/>
          <w:bCs/>
          <w:color w:val="000000"/>
          <w:sz w:val="24"/>
          <w:szCs w:val="24"/>
          <w:lang w:bidi="ar"/>
        </w:rPr>
        <w:t>四、提交投标文件</w:t>
      </w:r>
      <w:bookmarkEnd w:id="25"/>
      <w:bookmarkEnd w:id="26"/>
      <w:r>
        <w:rPr>
          <w:rFonts w:hint="eastAsia" w:ascii="宋体" w:hAnsi="宋体" w:cs="宋体"/>
          <w:b/>
          <w:bCs/>
          <w:color w:val="000000"/>
          <w:sz w:val="24"/>
          <w:szCs w:val="24"/>
          <w:lang w:bidi="ar"/>
        </w:rPr>
        <w:t>截止时间、开标时间和地点</w:t>
      </w:r>
      <w:bookmarkEnd w:id="27"/>
      <w:bookmarkEnd w:id="28"/>
    </w:p>
    <w:p w14:paraId="3756FA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Cs/>
          <w:sz w:val="24"/>
          <w:szCs w:val="24"/>
          <w:u w:val="single"/>
          <w:lang w:eastAsia="zh-CN"/>
        </w:rPr>
      </w:pPr>
      <w:r>
        <w:rPr>
          <w:rFonts w:hint="eastAsia" w:ascii="宋体" w:hAnsi="宋体" w:cs="宋体"/>
          <w:color w:val="000000"/>
          <w:sz w:val="24"/>
          <w:szCs w:val="24"/>
          <w:highlight w:val="none"/>
          <w:lang w:bidi="ar"/>
        </w:rPr>
        <w:t>截止时间：</w:t>
      </w:r>
      <w:r>
        <w:rPr>
          <w:rFonts w:hint="eastAsia" w:ascii="宋体" w:hAnsi="宋体" w:cs="宋体"/>
          <w:color w:val="000000"/>
          <w:sz w:val="24"/>
          <w:szCs w:val="24"/>
          <w:highlight w:val="none"/>
          <w:lang w:eastAsia="zh-CN" w:bidi="ar"/>
        </w:rPr>
        <w:t>2026年</w:t>
      </w:r>
      <w:r>
        <w:rPr>
          <w:rFonts w:hint="eastAsia" w:ascii="宋体" w:hAnsi="宋体" w:cs="宋体"/>
          <w:color w:val="000000"/>
          <w:sz w:val="24"/>
          <w:szCs w:val="24"/>
          <w:highlight w:val="none"/>
          <w:lang w:val="en-US" w:eastAsia="zh-CN" w:bidi="ar"/>
        </w:rPr>
        <w:t>5</w:t>
      </w:r>
      <w:r>
        <w:rPr>
          <w:rFonts w:hint="eastAsia" w:ascii="宋体" w:hAnsi="宋体" w:cs="宋体"/>
          <w:color w:val="000000"/>
          <w:sz w:val="24"/>
          <w:szCs w:val="24"/>
          <w:highlight w:val="none"/>
          <w:lang w:eastAsia="zh-CN" w:bidi="ar"/>
        </w:rPr>
        <w:t>月</w:t>
      </w:r>
      <w:r>
        <w:rPr>
          <w:rFonts w:hint="eastAsia" w:ascii="宋体" w:hAnsi="宋体" w:cs="宋体"/>
          <w:color w:val="000000"/>
          <w:sz w:val="24"/>
          <w:szCs w:val="24"/>
          <w:highlight w:val="none"/>
          <w:lang w:val="en-US" w:eastAsia="zh-CN" w:bidi="ar"/>
        </w:rPr>
        <w:t>13</w:t>
      </w:r>
      <w:r>
        <w:rPr>
          <w:rFonts w:hint="eastAsia" w:ascii="宋体" w:hAnsi="宋体" w:cs="宋体"/>
          <w:color w:val="000000"/>
          <w:sz w:val="24"/>
          <w:szCs w:val="24"/>
          <w:highlight w:val="none"/>
          <w:lang w:eastAsia="zh-CN" w:bidi="ar"/>
        </w:rPr>
        <w:t>日14:00</w:t>
      </w:r>
      <w:r>
        <w:rPr>
          <w:rFonts w:hint="eastAsia" w:ascii="宋体" w:hAnsi="宋体" w:cs="宋体"/>
          <w:bCs/>
          <w:kern w:val="2"/>
          <w:sz w:val="24"/>
          <w:szCs w:val="24"/>
          <w:highlight w:val="none"/>
          <w:lang w:eastAsia="zh-CN" w:bidi="ar"/>
        </w:rPr>
        <w:t>。</w:t>
      </w:r>
    </w:p>
    <w:p w14:paraId="0FCD0BB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bCs/>
          <w:sz w:val="24"/>
          <w:szCs w:val="24"/>
          <w:u w:val="single"/>
        </w:rPr>
      </w:pPr>
      <w:r>
        <w:rPr>
          <w:rFonts w:hint="eastAsia" w:ascii="宋体" w:hAnsi="宋体" w:cs="宋体"/>
          <w:kern w:val="2"/>
          <w:sz w:val="24"/>
          <w:szCs w:val="24"/>
          <w:lang w:bidi="ar"/>
        </w:rPr>
        <w:t>地点：</w:t>
      </w:r>
      <w:r>
        <w:rPr>
          <w:rFonts w:hint="eastAsia" w:ascii="宋体" w:hAnsi="宋体" w:cs="宋体"/>
          <w:kern w:val="2"/>
          <w:sz w:val="24"/>
          <w:szCs w:val="24"/>
          <w:lang w:val="en-US" w:eastAsia="zh-CN" w:bidi="ar"/>
        </w:rPr>
        <w:t>投标人</w:t>
      </w:r>
      <w:r>
        <w:rPr>
          <w:rFonts w:hint="eastAsia" w:ascii="宋体" w:hAnsi="宋体" w:cs="宋体"/>
          <w:kern w:val="2"/>
          <w:sz w:val="24"/>
          <w:szCs w:val="24"/>
          <w:lang w:bidi="ar"/>
        </w:rPr>
        <w:t>应按照本项目招标文件和“政采云”平台的要求编制、加密后在</w:t>
      </w:r>
      <w:r>
        <w:rPr>
          <w:rFonts w:hint="eastAsia" w:ascii="宋体" w:hAnsi="宋体" w:cs="宋体"/>
          <w:kern w:val="2"/>
          <w:sz w:val="24"/>
          <w:szCs w:val="24"/>
          <w:lang w:eastAsia="zh-CN" w:bidi="ar"/>
        </w:rPr>
        <w:t>投标文件</w:t>
      </w:r>
      <w:r>
        <w:rPr>
          <w:rFonts w:hint="eastAsia" w:ascii="宋体" w:hAnsi="宋体" w:cs="宋体"/>
          <w:kern w:val="2"/>
          <w:sz w:val="24"/>
          <w:szCs w:val="24"/>
          <w:lang w:bidi="ar"/>
        </w:rPr>
        <w:t>提交截止时间前上传至“政采云”平台，</w:t>
      </w:r>
      <w:r>
        <w:rPr>
          <w:rFonts w:hint="eastAsia" w:ascii="宋体" w:hAnsi="宋体" w:cs="宋体"/>
          <w:kern w:val="2"/>
          <w:sz w:val="24"/>
          <w:szCs w:val="24"/>
          <w:lang w:eastAsia="zh-CN" w:bidi="ar"/>
        </w:rPr>
        <w:t>投标文件</w:t>
      </w:r>
      <w:r>
        <w:rPr>
          <w:rFonts w:hint="eastAsia" w:ascii="宋体" w:hAnsi="宋体" w:cs="宋体"/>
          <w:kern w:val="2"/>
          <w:sz w:val="24"/>
          <w:szCs w:val="24"/>
          <w:lang w:bidi="ar"/>
        </w:rPr>
        <w:t>提交截止时间前未完成</w:t>
      </w:r>
      <w:r>
        <w:rPr>
          <w:rFonts w:hint="eastAsia" w:ascii="宋体" w:hAnsi="宋体" w:cs="宋体"/>
          <w:kern w:val="2"/>
          <w:sz w:val="24"/>
          <w:szCs w:val="24"/>
          <w:lang w:eastAsia="zh-CN" w:bidi="ar"/>
        </w:rPr>
        <w:t>投标文件</w:t>
      </w:r>
      <w:r>
        <w:rPr>
          <w:rFonts w:hint="eastAsia" w:ascii="宋体" w:hAnsi="宋体" w:cs="宋体"/>
          <w:kern w:val="2"/>
          <w:sz w:val="24"/>
          <w:szCs w:val="24"/>
          <w:lang w:bidi="ar"/>
        </w:rPr>
        <w:t>上传的，视为撤回</w:t>
      </w:r>
      <w:r>
        <w:rPr>
          <w:rFonts w:hint="eastAsia" w:ascii="宋体" w:hAnsi="宋体" w:cs="宋体"/>
          <w:kern w:val="2"/>
          <w:sz w:val="24"/>
          <w:szCs w:val="24"/>
          <w:lang w:eastAsia="zh-CN" w:bidi="ar"/>
        </w:rPr>
        <w:t>投标文件</w:t>
      </w:r>
      <w:r>
        <w:rPr>
          <w:rFonts w:hint="eastAsia" w:ascii="宋体" w:hAnsi="宋体" w:cs="宋体"/>
          <w:kern w:val="2"/>
          <w:sz w:val="24"/>
          <w:szCs w:val="24"/>
          <w:lang w:bidi="ar"/>
        </w:rPr>
        <w:t>。</w:t>
      </w:r>
      <w:r>
        <w:rPr>
          <w:rFonts w:hint="eastAsia" w:ascii="宋体" w:hAnsi="宋体" w:cs="宋体"/>
          <w:kern w:val="2"/>
          <w:sz w:val="24"/>
          <w:szCs w:val="24"/>
          <w:lang w:val="en-US" w:eastAsia="zh-CN" w:bidi="ar"/>
        </w:rPr>
        <w:t>投标人</w:t>
      </w:r>
      <w:r>
        <w:rPr>
          <w:rFonts w:hint="eastAsia" w:ascii="宋体" w:hAnsi="宋体" w:cs="宋体"/>
          <w:kern w:val="2"/>
          <w:sz w:val="24"/>
          <w:szCs w:val="24"/>
          <w:lang w:bidi="ar"/>
        </w:rPr>
        <w:t>在“政采云”平台提交电子版</w:t>
      </w:r>
      <w:r>
        <w:rPr>
          <w:rFonts w:hint="eastAsia" w:ascii="宋体" w:hAnsi="宋体" w:cs="宋体"/>
          <w:kern w:val="2"/>
          <w:sz w:val="24"/>
          <w:szCs w:val="24"/>
          <w:lang w:eastAsia="zh-CN" w:bidi="ar"/>
        </w:rPr>
        <w:t>投标文件</w:t>
      </w:r>
      <w:r>
        <w:rPr>
          <w:rFonts w:hint="eastAsia" w:ascii="宋体" w:hAnsi="宋体" w:cs="宋体"/>
          <w:kern w:val="2"/>
          <w:sz w:val="24"/>
          <w:szCs w:val="24"/>
          <w:lang w:bidi="ar"/>
        </w:rPr>
        <w:t>时，请填写参加远程采购活动经办人联系方式</w:t>
      </w:r>
      <w:r>
        <w:rPr>
          <w:rFonts w:hint="eastAsia" w:ascii="宋体" w:hAnsi="宋体" w:cs="宋体"/>
          <w:sz w:val="24"/>
          <w:szCs w:val="24"/>
        </w:rPr>
        <w:t>。</w:t>
      </w:r>
    </w:p>
    <w:p w14:paraId="4FDF3704">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29" w:name="_Toc35393625"/>
      <w:bookmarkStart w:id="30" w:name="_Toc35393794"/>
      <w:bookmarkStart w:id="31" w:name="_Toc28359007"/>
      <w:bookmarkStart w:id="32" w:name="_Toc28359084"/>
      <w:r>
        <w:rPr>
          <w:rFonts w:hint="eastAsia" w:ascii="宋体" w:hAnsi="宋体" w:cs="宋体"/>
          <w:b/>
          <w:bCs/>
          <w:color w:val="000000"/>
          <w:sz w:val="24"/>
          <w:szCs w:val="24"/>
          <w:lang w:bidi="ar"/>
        </w:rPr>
        <w:t>五、公告期限</w:t>
      </w:r>
      <w:bookmarkEnd w:id="29"/>
      <w:bookmarkEnd w:id="30"/>
      <w:bookmarkEnd w:id="31"/>
      <w:bookmarkEnd w:id="32"/>
    </w:p>
    <w:p w14:paraId="591D49A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rPr>
      </w:pPr>
      <w:r>
        <w:rPr>
          <w:rFonts w:hint="eastAsia" w:ascii="宋体" w:hAnsi="宋体" w:cs="宋体"/>
          <w:sz w:val="24"/>
          <w:szCs w:val="24"/>
          <w:lang w:bidi="ar"/>
        </w:rPr>
        <w:t>自本公告发布之日起5个工作日。</w:t>
      </w:r>
    </w:p>
    <w:p w14:paraId="72F1791C">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33" w:name="_Toc35393795"/>
      <w:bookmarkStart w:id="34" w:name="_Toc35393626"/>
      <w:r>
        <w:rPr>
          <w:rFonts w:hint="eastAsia" w:ascii="宋体" w:hAnsi="宋体" w:cs="宋体"/>
          <w:b/>
          <w:bCs/>
          <w:color w:val="000000"/>
          <w:sz w:val="24"/>
          <w:szCs w:val="24"/>
          <w:lang w:bidi="ar"/>
        </w:rPr>
        <w:t>六、其他补充事宜</w:t>
      </w:r>
      <w:bookmarkEnd w:id="33"/>
      <w:bookmarkEnd w:id="34"/>
    </w:p>
    <w:p w14:paraId="09309B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1.本次采购公告在云南省政府采购网上发布。请各位供应商在递交投标（响应）文件前随时查看，以获取最新的消息。</w:t>
      </w:r>
    </w:p>
    <w:p w14:paraId="496F1AF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6B36CB6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（1）供应商注册。供应商须在云南省政府采购电子交易平台注册后，方可参与项目。操作路径：云南省政府采购电子交易平台-业务支持-用户注册-供应商模块。</w:t>
      </w:r>
    </w:p>
    <w:p w14:paraId="67A3ADD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（2）CA数字证书办理。供应商须办理有效CA数字证书。申领链接：</w:t>
      </w:r>
      <w:r>
        <w:rPr>
          <w:rFonts w:hint="eastAsia" w:ascii="宋体" w:hAnsi="宋体" w:cs="宋体"/>
          <w:kern w:val="2"/>
          <w:sz w:val="24"/>
          <w:szCs w:val="24"/>
          <w:lang w:val="en-US" w:eastAsia="zh-CN" w:bidi="ar"/>
        </w:rPr>
        <w:fldChar w:fldCharType="begin"/>
      </w:r>
      <w:r>
        <w:rPr>
          <w:rFonts w:hint="eastAsia" w:ascii="宋体" w:hAnsi="宋体" w:cs="宋体"/>
          <w:kern w:val="2"/>
          <w:sz w:val="24"/>
          <w:szCs w:val="24"/>
          <w:lang w:val="en-US" w:eastAsia="zh-CN" w:bidi="ar"/>
        </w:rPr>
        <w:instrText xml:space="preserve"> HYPERLINK "https://middle.zcygov.cn/ca/apply/choose。" </w:instrText>
      </w:r>
      <w:r>
        <w:rPr>
          <w:rFonts w:hint="eastAsia" w:ascii="宋体" w:hAnsi="宋体" w:cs="宋体"/>
          <w:kern w:val="2"/>
          <w:sz w:val="24"/>
          <w:szCs w:val="24"/>
          <w:lang w:val="en-US" w:eastAsia="zh-CN" w:bidi="ar"/>
        </w:rPr>
        <w:fldChar w:fldCharType="separate"/>
      </w:r>
      <w:r>
        <w:rPr>
          <w:rStyle w:val="35"/>
          <w:rFonts w:hint="eastAsia" w:ascii="宋体" w:hAnsi="宋体" w:cs="宋体"/>
          <w:kern w:val="2"/>
          <w:sz w:val="24"/>
          <w:szCs w:val="24"/>
          <w:lang w:val="en-US" w:eastAsia="zh-CN" w:bidi="ar"/>
        </w:rPr>
        <w:t>https://middle.zcygov.cn/ca/apply/choose。</w:t>
      </w:r>
      <w:r>
        <w:rPr>
          <w:rFonts w:hint="eastAsia" w:ascii="宋体" w:hAnsi="宋体" w:cs="宋体"/>
          <w:kern w:val="2"/>
          <w:sz w:val="24"/>
          <w:szCs w:val="24"/>
          <w:lang w:val="en-US" w:eastAsia="zh-CN" w:bidi="ar"/>
        </w:rPr>
        <w:fldChar w:fldCharType="end"/>
      </w:r>
    </w:p>
    <w:p w14:paraId="09A5F7E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（3）CA数字证书绑定。供应商进行CA绑定。操作路径：云南省政府采购电子交易平台-我的工作台-系统管理-ca管理-ca绑定。</w:t>
      </w:r>
    </w:p>
    <w:p w14:paraId="50B2EF8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48A9C8F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（5）投标（响应）文件编制与递交。供应商须下载投标（响应）客户端，通过客户端编制投标（响应）文件，并线上递交。投标客户端下载路径：</w:t>
      </w:r>
      <w:r>
        <w:rPr>
          <w:rFonts w:hint="eastAsia" w:ascii="宋体" w:hAnsi="宋体" w:cs="宋体"/>
          <w:kern w:val="2"/>
          <w:sz w:val="24"/>
          <w:szCs w:val="24"/>
          <w:lang w:val="en-US" w:eastAsia="zh-CN" w:bidi="ar"/>
        </w:rPr>
        <w:fldChar w:fldCharType="begin"/>
      </w:r>
      <w:r>
        <w:rPr>
          <w:rFonts w:hint="eastAsia" w:ascii="宋体" w:hAnsi="宋体" w:cs="宋体"/>
          <w:kern w:val="2"/>
          <w:sz w:val="24"/>
          <w:szCs w:val="24"/>
          <w:lang w:val="en-US" w:eastAsia="zh-CN" w:bidi="ar"/>
        </w:rPr>
        <w:instrText xml:space="preserve"> HYPERLINK "https://market.zcygov.cn/application-market/#/download/list" </w:instrText>
      </w:r>
      <w:r>
        <w:rPr>
          <w:rFonts w:hint="eastAsia" w:ascii="宋体" w:hAnsi="宋体" w:cs="宋体"/>
          <w:kern w:val="2"/>
          <w:sz w:val="24"/>
          <w:szCs w:val="24"/>
          <w:lang w:val="en-US" w:eastAsia="zh-CN" w:bidi="ar"/>
        </w:rPr>
        <w:fldChar w:fldCharType="separate"/>
      </w:r>
      <w:r>
        <w:rPr>
          <w:rStyle w:val="35"/>
          <w:rFonts w:hint="eastAsia" w:ascii="宋体" w:hAnsi="宋体" w:cs="宋体"/>
          <w:kern w:val="2"/>
          <w:sz w:val="24"/>
          <w:szCs w:val="24"/>
          <w:lang w:val="en-US" w:eastAsia="zh-CN" w:bidi="ar"/>
        </w:rPr>
        <w:t>https://market.zcygov.cn/application-market/#/download/list</w:t>
      </w:r>
      <w:r>
        <w:rPr>
          <w:rFonts w:hint="eastAsia" w:ascii="宋体" w:hAnsi="宋体" w:cs="宋体"/>
          <w:kern w:val="2"/>
          <w:sz w:val="24"/>
          <w:szCs w:val="24"/>
          <w:lang w:val="en-US" w:eastAsia="zh-CN" w:bidi="ar"/>
        </w:rPr>
        <w:fldChar w:fldCharType="end"/>
      </w:r>
    </w:p>
    <w:p w14:paraId="5BCA52A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13BB47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kern w:val="2"/>
          <w:sz w:val="24"/>
          <w:szCs w:val="24"/>
          <w:lang w:val="en-US" w:eastAsia="zh-CN" w:bidi="ar"/>
        </w:rPr>
      </w:pPr>
      <w:r>
        <w:rPr>
          <w:rFonts w:hint="eastAsia" w:ascii="宋体" w:hAnsi="宋体" w:cs="宋体"/>
          <w:kern w:val="2"/>
          <w:sz w:val="24"/>
          <w:szCs w:val="24"/>
          <w:lang w:val="en-US" w:eastAsia="zh-CN" w:bidi="ar"/>
        </w:rPr>
        <w:t>3.本项目执行政府采购促进中小企业发展、支持监狱企业、促进残疾人就业、强制采购和优先采购节能、环保产品等政府采购政策。</w:t>
      </w:r>
    </w:p>
    <w:p w14:paraId="1F816BC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cs="宋体"/>
          <w:kern w:val="2"/>
          <w:sz w:val="24"/>
          <w:szCs w:val="24"/>
          <w:lang w:val="en-US" w:eastAsia="zh-CN" w:bidi="ar"/>
        </w:rPr>
      </w:pPr>
      <w:r>
        <w:rPr>
          <w:rFonts w:hint="eastAsia" w:ascii="宋体" w:hAnsi="宋体" w:cs="宋体"/>
          <w:kern w:val="2"/>
          <w:sz w:val="24"/>
          <w:szCs w:val="24"/>
          <w:lang w:val="en-US" w:eastAsia="zh-CN" w:bidi="ar"/>
        </w:rPr>
        <w:t>4.本项目不接受进口产品投标。</w:t>
      </w:r>
    </w:p>
    <w:p w14:paraId="110B0558">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bCs/>
          <w:color w:val="000000"/>
          <w:sz w:val="24"/>
          <w:szCs w:val="24"/>
          <w:lang w:bidi="ar"/>
        </w:rPr>
      </w:pPr>
      <w:bookmarkStart w:id="35" w:name="_Toc28359085"/>
      <w:bookmarkStart w:id="36" w:name="_Toc35393627"/>
      <w:bookmarkStart w:id="37" w:name="_Toc35393796"/>
      <w:bookmarkStart w:id="38" w:name="_Toc28359008"/>
      <w:r>
        <w:rPr>
          <w:rFonts w:hint="eastAsia" w:ascii="宋体" w:hAnsi="宋体" w:cs="宋体"/>
          <w:b/>
          <w:bCs/>
          <w:color w:val="000000"/>
          <w:sz w:val="24"/>
          <w:szCs w:val="24"/>
          <w:lang w:bidi="ar"/>
        </w:rPr>
        <w:t>七、对本次招标提出询问，请按以下方式联系</w:t>
      </w:r>
      <w:bookmarkEnd w:id="35"/>
      <w:bookmarkEnd w:id="36"/>
      <w:bookmarkEnd w:id="37"/>
      <w:bookmarkEnd w:id="38"/>
    </w:p>
    <w:p w14:paraId="7FF6A20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kern w:val="2"/>
          <w:sz w:val="24"/>
          <w:szCs w:val="24"/>
          <w:lang w:bidi="ar"/>
        </w:rPr>
        <w:t>1.采购人信息</w:t>
      </w:r>
    </w:p>
    <w:p w14:paraId="7AF8F6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kern w:val="2"/>
          <w:sz w:val="24"/>
          <w:szCs w:val="24"/>
          <w:lang w:bidi="ar"/>
        </w:rPr>
        <w:t>名称：</w:t>
      </w:r>
      <w:r>
        <w:rPr>
          <w:rFonts w:hint="eastAsia" w:ascii="宋体" w:hAnsi="宋体" w:cs="宋体"/>
          <w:kern w:val="2"/>
          <w:sz w:val="24"/>
          <w:szCs w:val="24"/>
          <w:lang w:eastAsia="zh-CN" w:bidi="ar"/>
        </w:rPr>
        <w:t>昆明市融媒体中心</w:t>
      </w:r>
    </w:p>
    <w:p w14:paraId="13E329B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kern w:val="2"/>
          <w:sz w:val="24"/>
          <w:szCs w:val="24"/>
          <w:lang w:bidi="ar"/>
        </w:rPr>
        <w:t>地址：</w:t>
      </w:r>
      <w:r>
        <w:rPr>
          <w:rFonts w:hint="eastAsia" w:ascii="宋体" w:hAnsi="宋体" w:cs="宋体"/>
          <w:kern w:val="2"/>
          <w:sz w:val="24"/>
          <w:szCs w:val="24"/>
          <w:lang w:eastAsia="zh-CN" w:bidi="ar"/>
        </w:rPr>
        <w:t>云南省昆明市西山区丹霞路198号昆明市新闻中心</w:t>
      </w:r>
    </w:p>
    <w:p w14:paraId="19276D6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cs="宋体"/>
          <w:kern w:val="2"/>
          <w:sz w:val="24"/>
          <w:szCs w:val="24"/>
          <w:lang w:bidi="ar"/>
        </w:rPr>
        <w:t>联系方式：</w:t>
      </w:r>
      <w:bookmarkStart w:id="39" w:name="_Toc28359009"/>
      <w:bookmarkStart w:id="40" w:name="_Toc28359086"/>
      <w:r>
        <w:rPr>
          <w:rFonts w:hint="eastAsia" w:ascii="宋体" w:hAnsi="宋体" w:cs="宋体"/>
          <w:kern w:val="2"/>
          <w:sz w:val="24"/>
          <w:szCs w:val="24"/>
          <w:lang w:eastAsia="zh-CN"/>
        </w:rPr>
        <w:t>0871-65322676</w:t>
      </w:r>
    </w:p>
    <w:p w14:paraId="2E351A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kern w:val="2"/>
          <w:sz w:val="24"/>
          <w:szCs w:val="24"/>
          <w:lang w:bidi="ar"/>
        </w:rPr>
        <w:t>2.采购代理机构信息</w:t>
      </w:r>
      <w:bookmarkEnd w:id="39"/>
      <w:bookmarkEnd w:id="40"/>
    </w:p>
    <w:p w14:paraId="5C98CD9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rPr>
      </w:pPr>
      <w:r>
        <w:rPr>
          <w:rFonts w:hint="eastAsia" w:ascii="宋体" w:hAnsi="宋体" w:cs="宋体"/>
          <w:kern w:val="2"/>
          <w:sz w:val="24"/>
          <w:szCs w:val="24"/>
          <w:lang w:bidi="ar"/>
        </w:rPr>
        <w:t>名称：</w:t>
      </w:r>
      <w:r>
        <w:rPr>
          <w:rFonts w:hint="eastAsia" w:ascii="宋体" w:hAnsi="宋体" w:cs="宋体"/>
          <w:sz w:val="24"/>
          <w:szCs w:val="24"/>
        </w:rPr>
        <w:t>云南力宏建设工程咨询有限公司</w:t>
      </w:r>
    </w:p>
    <w:p w14:paraId="2D0E6FB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kern w:val="2"/>
          <w:sz w:val="24"/>
          <w:szCs w:val="24"/>
          <w:lang w:bidi="ar"/>
        </w:rPr>
        <w:t>地址：</w:t>
      </w:r>
      <w:r>
        <w:rPr>
          <w:rFonts w:hint="eastAsia" w:ascii="宋体" w:hAnsi="宋体" w:cs="宋体"/>
          <w:sz w:val="24"/>
          <w:szCs w:val="24"/>
        </w:rPr>
        <w:t>云南省昆明市五华区科新路西城时代西城中心A座2906室</w:t>
      </w:r>
    </w:p>
    <w:p w14:paraId="49ACD44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rPr>
      </w:pPr>
      <w:r>
        <w:rPr>
          <w:rFonts w:hint="eastAsia" w:ascii="宋体" w:hAnsi="宋体" w:cs="宋体"/>
          <w:kern w:val="2"/>
          <w:sz w:val="24"/>
          <w:szCs w:val="24"/>
          <w:lang w:bidi="ar"/>
        </w:rPr>
        <w:t>联系方式：</w:t>
      </w:r>
      <w:bookmarkStart w:id="41" w:name="_Toc28359087"/>
      <w:bookmarkStart w:id="42" w:name="_Toc28359010"/>
      <w:r>
        <w:rPr>
          <w:rFonts w:hint="eastAsia" w:ascii="宋体" w:hAnsi="宋体" w:cs="宋体"/>
          <w:sz w:val="24"/>
          <w:szCs w:val="24"/>
        </w:rPr>
        <w:t>0871-68315533</w:t>
      </w:r>
    </w:p>
    <w:p w14:paraId="782B96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u w:val="single"/>
        </w:rPr>
      </w:pPr>
      <w:r>
        <w:rPr>
          <w:rFonts w:hint="eastAsia" w:ascii="宋体" w:hAnsi="宋体" w:cs="宋体"/>
          <w:kern w:val="2"/>
          <w:sz w:val="24"/>
          <w:szCs w:val="24"/>
          <w:lang w:bidi="ar"/>
        </w:rPr>
        <w:t>3.项目联系方式</w:t>
      </w:r>
      <w:bookmarkEnd w:id="41"/>
      <w:bookmarkEnd w:id="42"/>
    </w:p>
    <w:p w14:paraId="3D34ED8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宋体" w:hAnsi="宋体" w:eastAsia="宋体" w:cs="宋体"/>
          <w:lang w:eastAsia="zh-CN"/>
        </w:rPr>
      </w:pPr>
      <w:r>
        <w:rPr>
          <w:rFonts w:hint="eastAsia" w:ascii="宋体" w:hAnsi="宋体" w:cs="宋体"/>
          <w:kern w:val="2"/>
          <w:lang w:bidi="ar"/>
        </w:rPr>
        <w:t>项目联系人：</w:t>
      </w:r>
      <w:r>
        <w:rPr>
          <w:rFonts w:hint="eastAsia" w:cs="宋体"/>
          <w:lang w:eastAsia="zh-CN"/>
        </w:rPr>
        <w:t>张一龙、龚玉凤</w:t>
      </w:r>
    </w:p>
    <w:p w14:paraId="2ECF45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ascii="宋体" w:hAnsi="宋体" w:cs="宋体"/>
          <w:sz w:val="24"/>
          <w:szCs w:val="24"/>
          <w:u w:val="single"/>
        </w:rPr>
      </w:pPr>
      <w:r>
        <w:rPr>
          <w:rFonts w:hint="eastAsia" w:ascii="宋体" w:hAnsi="宋体" w:cs="宋体"/>
          <w:kern w:val="2"/>
          <w:sz w:val="24"/>
          <w:szCs w:val="24"/>
          <w:lang w:bidi="ar"/>
        </w:rPr>
        <w:t>电话：</w:t>
      </w:r>
      <w:r>
        <w:rPr>
          <w:rFonts w:hint="eastAsia" w:ascii="宋体" w:hAnsi="宋体" w:cs="宋体"/>
          <w:sz w:val="24"/>
          <w:szCs w:val="24"/>
        </w:rPr>
        <w:t>18687716364</w:t>
      </w:r>
    </w:p>
    <w:p w14:paraId="52DD6401">
      <w:pPr>
        <w:rPr>
          <w:rFonts w:ascii="宋体" w:hAnsi="宋体" w:cs="宋体"/>
        </w:rPr>
      </w:pPr>
      <w:r>
        <w:rPr>
          <w:rFonts w:hint="eastAsia" w:ascii="宋体" w:hAnsi="宋体" w:cs="宋体"/>
        </w:rPr>
        <w:br w:type="page"/>
      </w:r>
      <w:bookmarkStart w:id="43" w:name="_Toc8120"/>
      <w:bookmarkEnd w:id="43"/>
      <w:bookmarkStart w:id="44" w:name="_Toc13994"/>
      <w:bookmarkEnd w:id="44"/>
      <w:bookmarkStart w:id="45" w:name="_Toc5498"/>
      <w:bookmarkEnd w:id="45"/>
      <w:bookmarkStart w:id="46" w:name="_Toc16794"/>
      <w:bookmarkEnd w:id="46"/>
      <w:bookmarkStart w:id="47" w:name="_Toc23419"/>
      <w:bookmarkEnd w:id="47"/>
    </w:p>
    <w:p w14:paraId="3D73BFD0">
      <w:pPr>
        <w:pStyle w:val="3"/>
        <w:spacing w:before="0" w:after="0" w:line="360" w:lineRule="auto"/>
        <w:jc w:val="center"/>
        <w:rPr>
          <w:rStyle w:val="46"/>
          <w:rFonts w:ascii="宋体" w:hAnsi="宋体" w:cs="宋体"/>
          <w:b/>
          <w:bCs/>
        </w:rPr>
      </w:pPr>
      <w:bookmarkStart w:id="48" w:name="_Toc4348"/>
      <w:r>
        <w:rPr>
          <w:rStyle w:val="46"/>
          <w:rFonts w:hint="eastAsia" w:ascii="宋体" w:hAnsi="宋体" w:cs="宋体"/>
          <w:b/>
          <w:bCs/>
        </w:rPr>
        <w:t>第二章 投标人须知</w:t>
      </w:r>
      <w:bookmarkEnd w:id="6"/>
      <w:bookmarkEnd w:id="48"/>
    </w:p>
    <w:p w14:paraId="4B6F3A87">
      <w:pPr>
        <w:pStyle w:val="4"/>
        <w:spacing w:before="0" w:after="0" w:line="360" w:lineRule="auto"/>
        <w:ind w:firstLine="420"/>
        <w:jc w:val="center"/>
        <w:rPr>
          <w:rFonts w:ascii="宋体" w:hAnsi="宋体" w:eastAsia="宋体" w:cs="宋体"/>
          <w:sz w:val="28"/>
          <w:szCs w:val="28"/>
        </w:rPr>
      </w:pPr>
      <w:bookmarkStart w:id="49" w:name="_Toc21714"/>
      <w:bookmarkEnd w:id="49"/>
      <w:bookmarkStart w:id="50" w:name="_Toc13590"/>
      <w:bookmarkEnd w:id="50"/>
      <w:bookmarkStart w:id="51" w:name="_Toc26144"/>
      <w:bookmarkStart w:id="52" w:name="_Toc29060"/>
      <w:r>
        <w:rPr>
          <w:rFonts w:hint="eastAsia" w:ascii="宋体" w:hAnsi="宋体" w:eastAsia="宋体" w:cs="宋体"/>
          <w:sz w:val="28"/>
          <w:szCs w:val="28"/>
        </w:rPr>
        <w:t>投标人须知前附表</w:t>
      </w:r>
      <w:bookmarkEnd w:id="51"/>
      <w:bookmarkEnd w:id="52"/>
    </w:p>
    <w:tbl>
      <w:tblPr>
        <w:tblStyle w:val="30"/>
        <w:tblpPr w:leftFromText="180" w:rightFromText="180" w:vertAnchor="text" w:horzAnchor="page" w:tblpX="1013" w:tblpY="177"/>
        <w:tblOverlap w:val="never"/>
        <w:tblW w:w="9882" w:type="dxa"/>
        <w:tblInd w:w="-11" w:type="dxa"/>
        <w:tblLayout w:type="fixed"/>
        <w:tblCellMar>
          <w:top w:w="0" w:type="dxa"/>
          <w:left w:w="0" w:type="dxa"/>
          <w:bottom w:w="0" w:type="dxa"/>
          <w:right w:w="0" w:type="dxa"/>
        </w:tblCellMar>
      </w:tblPr>
      <w:tblGrid>
        <w:gridCol w:w="1047"/>
        <w:gridCol w:w="2007"/>
        <w:gridCol w:w="6828"/>
      </w:tblGrid>
      <w:tr w14:paraId="2DDD76B7">
        <w:tblPrEx>
          <w:tblCellMar>
            <w:top w:w="0" w:type="dxa"/>
            <w:left w:w="0" w:type="dxa"/>
            <w:bottom w:w="0" w:type="dxa"/>
            <w:right w:w="0" w:type="dxa"/>
          </w:tblCellMar>
        </w:tblPrEx>
        <w:trPr>
          <w:trHeight w:val="391" w:hRule="atLeast"/>
        </w:trPr>
        <w:tc>
          <w:tcPr>
            <w:tcW w:w="1047" w:type="dxa"/>
            <w:tcBorders>
              <w:top w:val="single" w:color="auto" w:sz="8" w:space="0"/>
              <w:left w:val="single" w:color="auto" w:sz="8" w:space="0"/>
              <w:bottom w:val="single" w:color="auto" w:sz="8" w:space="0"/>
              <w:right w:val="single" w:color="auto" w:sz="8" w:space="0"/>
            </w:tcBorders>
            <w:vAlign w:val="center"/>
          </w:tcPr>
          <w:p w14:paraId="3EA89A34">
            <w:pPr>
              <w:keepNext w:val="0"/>
              <w:keepLines w:val="0"/>
              <w:pageBreakBefore w:val="0"/>
              <w:kinsoku/>
              <w:wordWrap/>
              <w:overflowPunct/>
              <w:bidi w:val="0"/>
              <w:adjustRightInd/>
              <w:snapToGrid/>
              <w:spacing w:line="440" w:lineRule="exact"/>
              <w:jc w:val="center"/>
              <w:textAlignment w:val="auto"/>
              <w:rPr>
                <w:rFonts w:ascii="宋体" w:hAnsi="宋体" w:cs="宋体"/>
                <w:b/>
                <w:bCs/>
                <w:kern w:val="2"/>
                <w:sz w:val="24"/>
                <w:szCs w:val="24"/>
                <w:highlight w:val="none"/>
              </w:rPr>
            </w:pPr>
            <w:r>
              <w:rPr>
                <w:rFonts w:hint="eastAsia" w:ascii="宋体" w:hAnsi="宋体" w:cs="宋体"/>
                <w:b/>
                <w:bCs/>
                <w:kern w:val="2"/>
                <w:sz w:val="24"/>
                <w:szCs w:val="24"/>
                <w:highlight w:val="none"/>
              </w:rPr>
              <w:t>条款号</w:t>
            </w:r>
          </w:p>
        </w:tc>
        <w:tc>
          <w:tcPr>
            <w:tcW w:w="2007" w:type="dxa"/>
            <w:tcBorders>
              <w:top w:val="single" w:color="auto" w:sz="8" w:space="0"/>
              <w:left w:val="nil"/>
              <w:bottom w:val="single" w:color="auto" w:sz="8" w:space="0"/>
              <w:right w:val="single" w:color="auto" w:sz="8" w:space="0"/>
            </w:tcBorders>
            <w:vAlign w:val="bottom"/>
          </w:tcPr>
          <w:p w14:paraId="118CD26B">
            <w:pPr>
              <w:keepNext w:val="0"/>
              <w:keepLines w:val="0"/>
              <w:pageBreakBefore w:val="0"/>
              <w:kinsoku/>
              <w:wordWrap/>
              <w:overflowPunct/>
              <w:bidi w:val="0"/>
              <w:adjustRightInd/>
              <w:snapToGrid/>
              <w:spacing w:line="440" w:lineRule="exact"/>
              <w:jc w:val="center"/>
              <w:textAlignment w:val="auto"/>
              <w:rPr>
                <w:rFonts w:ascii="宋体" w:hAnsi="宋体" w:cs="宋体"/>
                <w:b/>
                <w:bCs/>
                <w:kern w:val="2"/>
                <w:sz w:val="24"/>
                <w:szCs w:val="24"/>
                <w:highlight w:val="none"/>
              </w:rPr>
            </w:pPr>
            <w:r>
              <w:rPr>
                <w:rFonts w:hint="eastAsia" w:ascii="宋体" w:hAnsi="宋体" w:cs="宋体"/>
                <w:b/>
                <w:bCs/>
                <w:kern w:val="2"/>
                <w:sz w:val="24"/>
                <w:szCs w:val="24"/>
                <w:highlight w:val="none"/>
              </w:rPr>
              <w:t>条 款 名 称</w:t>
            </w:r>
          </w:p>
        </w:tc>
        <w:tc>
          <w:tcPr>
            <w:tcW w:w="6828" w:type="dxa"/>
            <w:tcBorders>
              <w:top w:val="single" w:color="auto" w:sz="8" w:space="0"/>
              <w:left w:val="nil"/>
              <w:bottom w:val="single" w:color="auto" w:sz="8" w:space="0"/>
              <w:right w:val="single" w:color="auto" w:sz="8" w:space="0"/>
            </w:tcBorders>
            <w:vAlign w:val="bottom"/>
          </w:tcPr>
          <w:p w14:paraId="2937A00E">
            <w:pPr>
              <w:keepNext w:val="0"/>
              <w:keepLines w:val="0"/>
              <w:pageBreakBefore w:val="0"/>
              <w:kinsoku/>
              <w:wordWrap/>
              <w:overflowPunct/>
              <w:bidi w:val="0"/>
              <w:adjustRightInd/>
              <w:snapToGrid/>
              <w:spacing w:line="440" w:lineRule="exact"/>
              <w:ind w:left="1680"/>
              <w:textAlignment w:val="auto"/>
              <w:rPr>
                <w:rFonts w:ascii="宋体" w:hAnsi="宋体" w:cs="宋体"/>
                <w:b/>
                <w:bCs/>
                <w:kern w:val="2"/>
                <w:sz w:val="24"/>
                <w:szCs w:val="24"/>
                <w:highlight w:val="none"/>
              </w:rPr>
            </w:pPr>
            <w:r>
              <w:rPr>
                <w:rFonts w:hint="eastAsia" w:ascii="宋体" w:hAnsi="宋体" w:cs="宋体"/>
                <w:b/>
                <w:bCs/>
                <w:kern w:val="2"/>
                <w:sz w:val="24"/>
                <w:szCs w:val="24"/>
                <w:highlight w:val="none"/>
              </w:rPr>
              <w:t>编 列 内 容</w:t>
            </w:r>
          </w:p>
        </w:tc>
      </w:tr>
      <w:tr w14:paraId="18A6FCCD">
        <w:tblPrEx>
          <w:tblCellMar>
            <w:top w:w="0" w:type="dxa"/>
            <w:left w:w="0" w:type="dxa"/>
            <w:bottom w:w="0" w:type="dxa"/>
            <w:right w:w="0" w:type="dxa"/>
          </w:tblCellMar>
        </w:tblPrEx>
        <w:trPr>
          <w:trHeight w:val="1519" w:hRule="atLeast"/>
        </w:trPr>
        <w:tc>
          <w:tcPr>
            <w:tcW w:w="1047" w:type="dxa"/>
            <w:tcBorders>
              <w:top w:val="single" w:color="auto" w:sz="8" w:space="0"/>
              <w:left w:val="single" w:color="auto" w:sz="8" w:space="0"/>
              <w:bottom w:val="single" w:color="auto" w:sz="8" w:space="0"/>
              <w:right w:val="single" w:color="auto" w:sz="8" w:space="0"/>
            </w:tcBorders>
            <w:vAlign w:val="center"/>
          </w:tcPr>
          <w:p w14:paraId="02C806D3">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1.1.2</w:t>
            </w:r>
          </w:p>
        </w:tc>
        <w:tc>
          <w:tcPr>
            <w:tcW w:w="2007" w:type="dxa"/>
            <w:tcBorders>
              <w:top w:val="single" w:color="auto" w:sz="8" w:space="0"/>
              <w:left w:val="nil"/>
              <w:bottom w:val="single" w:color="auto" w:sz="8" w:space="0"/>
              <w:right w:val="single" w:color="auto" w:sz="8" w:space="0"/>
            </w:tcBorders>
            <w:vAlign w:val="center"/>
          </w:tcPr>
          <w:p w14:paraId="06B39E46">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采购人</w:t>
            </w:r>
          </w:p>
        </w:tc>
        <w:tc>
          <w:tcPr>
            <w:tcW w:w="6828" w:type="dxa"/>
            <w:tcBorders>
              <w:top w:val="single" w:color="auto" w:sz="8" w:space="0"/>
              <w:left w:val="nil"/>
              <w:bottom w:val="single" w:color="auto" w:sz="8" w:space="0"/>
              <w:right w:val="single" w:color="auto" w:sz="8" w:space="0"/>
            </w:tcBorders>
            <w:vAlign w:val="center"/>
          </w:tcPr>
          <w:p w14:paraId="51A07B6D">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名称：</w:t>
            </w:r>
            <w:r>
              <w:rPr>
                <w:rFonts w:hint="eastAsia" w:ascii="宋体" w:hAnsi="宋体" w:cs="宋体"/>
                <w:kern w:val="2"/>
                <w:sz w:val="24"/>
                <w:szCs w:val="24"/>
                <w:highlight w:val="none"/>
                <w:lang w:eastAsia="zh-CN"/>
              </w:rPr>
              <w:t>昆明市融媒体中心</w:t>
            </w:r>
          </w:p>
          <w:p w14:paraId="57221A5E">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地址：</w:t>
            </w:r>
            <w:r>
              <w:rPr>
                <w:rFonts w:hint="eastAsia" w:ascii="宋体" w:hAnsi="宋体" w:cs="宋体"/>
                <w:kern w:val="2"/>
                <w:sz w:val="24"/>
                <w:szCs w:val="24"/>
                <w:highlight w:val="none"/>
                <w:lang w:eastAsia="zh-CN"/>
              </w:rPr>
              <w:t>云南省昆明市西山区丹霞路198号昆明市新闻中心</w:t>
            </w:r>
          </w:p>
          <w:p w14:paraId="5AA7BE68">
            <w:pPr>
              <w:keepNext w:val="0"/>
              <w:keepLines w:val="0"/>
              <w:pageBreakBefore w:val="0"/>
              <w:kinsoku/>
              <w:wordWrap/>
              <w:overflowPunct/>
              <w:bidi w:val="0"/>
              <w:adjustRightInd/>
              <w:snapToGrid/>
              <w:spacing w:line="440" w:lineRule="exact"/>
              <w:textAlignment w:val="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rPr>
              <w:t>联系人：</w:t>
            </w:r>
            <w:r>
              <w:rPr>
                <w:rFonts w:hint="eastAsia" w:ascii="宋体" w:hAnsi="宋体" w:cs="宋体"/>
                <w:kern w:val="2"/>
                <w:sz w:val="24"/>
                <w:szCs w:val="24"/>
                <w:highlight w:val="none"/>
                <w:lang w:val="en-US" w:eastAsia="zh-CN"/>
              </w:rPr>
              <w:t>张老师</w:t>
            </w:r>
          </w:p>
          <w:p w14:paraId="2F61D52F">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电话：</w:t>
            </w:r>
            <w:r>
              <w:rPr>
                <w:rFonts w:hint="eastAsia" w:ascii="宋体" w:hAnsi="宋体" w:cs="宋体"/>
                <w:kern w:val="2"/>
                <w:sz w:val="24"/>
                <w:szCs w:val="24"/>
                <w:highlight w:val="none"/>
                <w:lang w:eastAsia="zh-CN"/>
              </w:rPr>
              <w:t>0871-65322676</w:t>
            </w:r>
          </w:p>
        </w:tc>
      </w:tr>
      <w:tr w14:paraId="59D423CA">
        <w:tblPrEx>
          <w:tblCellMar>
            <w:top w:w="0" w:type="dxa"/>
            <w:left w:w="0" w:type="dxa"/>
            <w:bottom w:w="0" w:type="dxa"/>
            <w:right w:w="0" w:type="dxa"/>
          </w:tblCellMar>
        </w:tblPrEx>
        <w:trPr>
          <w:trHeight w:val="90" w:hRule="atLeast"/>
        </w:trPr>
        <w:tc>
          <w:tcPr>
            <w:tcW w:w="1047" w:type="dxa"/>
            <w:tcBorders>
              <w:top w:val="single" w:color="auto" w:sz="8" w:space="0"/>
              <w:left w:val="single" w:color="auto" w:sz="8" w:space="0"/>
              <w:bottom w:val="single" w:color="auto" w:sz="8" w:space="0"/>
              <w:right w:val="single" w:color="auto" w:sz="8" w:space="0"/>
            </w:tcBorders>
            <w:vAlign w:val="center"/>
          </w:tcPr>
          <w:p w14:paraId="6FDAE6B8">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1.1.3</w:t>
            </w:r>
          </w:p>
        </w:tc>
        <w:tc>
          <w:tcPr>
            <w:tcW w:w="2007" w:type="dxa"/>
            <w:tcBorders>
              <w:top w:val="single" w:color="auto" w:sz="8" w:space="0"/>
              <w:left w:val="nil"/>
              <w:bottom w:val="single" w:color="auto" w:sz="8" w:space="0"/>
              <w:right w:val="single" w:color="auto" w:sz="8" w:space="0"/>
            </w:tcBorders>
            <w:vAlign w:val="center"/>
          </w:tcPr>
          <w:p w14:paraId="53126BC9">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采购代理机构</w:t>
            </w:r>
          </w:p>
        </w:tc>
        <w:tc>
          <w:tcPr>
            <w:tcW w:w="6828" w:type="dxa"/>
            <w:tcBorders>
              <w:top w:val="single" w:color="auto" w:sz="8" w:space="0"/>
              <w:left w:val="nil"/>
              <w:bottom w:val="single" w:color="auto" w:sz="8" w:space="0"/>
              <w:right w:val="single" w:color="auto" w:sz="8" w:space="0"/>
            </w:tcBorders>
            <w:vAlign w:val="center"/>
          </w:tcPr>
          <w:p w14:paraId="703A72E4">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名称：</w:t>
            </w:r>
            <w:r>
              <w:rPr>
                <w:rFonts w:hint="eastAsia" w:ascii="宋体" w:hAnsi="宋体" w:cs="宋体"/>
                <w:sz w:val="24"/>
                <w:szCs w:val="24"/>
                <w:highlight w:val="none"/>
              </w:rPr>
              <w:t>云南力宏建设工程咨询有限公司</w:t>
            </w:r>
          </w:p>
          <w:p w14:paraId="4B0FE077">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地址：</w:t>
            </w:r>
            <w:r>
              <w:rPr>
                <w:rFonts w:hint="eastAsia" w:ascii="宋体" w:hAnsi="宋体" w:cs="宋体"/>
                <w:sz w:val="24"/>
                <w:szCs w:val="24"/>
                <w:highlight w:val="none"/>
              </w:rPr>
              <w:t>云南省昆明市五华区科新路西城时代西城中心A座2906室</w:t>
            </w:r>
          </w:p>
          <w:p w14:paraId="7E913D00">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联系人：</w:t>
            </w:r>
            <w:r>
              <w:rPr>
                <w:rFonts w:hint="eastAsia" w:ascii="宋体" w:hAnsi="宋体" w:cs="宋体"/>
                <w:sz w:val="24"/>
                <w:szCs w:val="24"/>
                <w:highlight w:val="none"/>
                <w:lang w:eastAsia="zh-CN"/>
              </w:rPr>
              <w:t>张一龙、龚玉凤</w:t>
            </w:r>
          </w:p>
          <w:p w14:paraId="0D7D7DB7">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电话：</w:t>
            </w:r>
            <w:r>
              <w:rPr>
                <w:rFonts w:hint="eastAsia" w:ascii="宋体" w:hAnsi="宋体" w:cs="宋体"/>
                <w:sz w:val="24"/>
                <w:szCs w:val="24"/>
                <w:highlight w:val="none"/>
                <w:lang w:eastAsia="en-US"/>
              </w:rPr>
              <w:t>0871-68315533</w:t>
            </w:r>
            <w:r>
              <w:rPr>
                <w:rFonts w:hint="eastAsia" w:ascii="宋体" w:hAnsi="宋体" w:cs="宋体"/>
                <w:sz w:val="24"/>
                <w:szCs w:val="24"/>
                <w:highlight w:val="none"/>
              </w:rPr>
              <w:t xml:space="preserve"> 18687716364</w:t>
            </w:r>
          </w:p>
        </w:tc>
      </w:tr>
      <w:tr w14:paraId="496CC9DA">
        <w:tblPrEx>
          <w:tblCellMar>
            <w:top w:w="0" w:type="dxa"/>
            <w:left w:w="0" w:type="dxa"/>
            <w:bottom w:w="0" w:type="dxa"/>
            <w:right w:w="0" w:type="dxa"/>
          </w:tblCellMar>
        </w:tblPrEx>
        <w:trPr>
          <w:trHeight w:val="673" w:hRule="atLeast"/>
        </w:trPr>
        <w:tc>
          <w:tcPr>
            <w:tcW w:w="1047" w:type="dxa"/>
            <w:tcBorders>
              <w:top w:val="single" w:color="auto" w:sz="8" w:space="0"/>
              <w:left w:val="single" w:color="auto" w:sz="8" w:space="0"/>
              <w:bottom w:val="single" w:color="auto" w:sz="8" w:space="0"/>
              <w:right w:val="single" w:color="auto" w:sz="8" w:space="0"/>
            </w:tcBorders>
            <w:vAlign w:val="center"/>
          </w:tcPr>
          <w:p w14:paraId="72CCB22F">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1.1.4</w:t>
            </w:r>
          </w:p>
        </w:tc>
        <w:tc>
          <w:tcPr>
            <w:tcW w:w="2007" w:type="dxa"/>
            <w:tcBorders>
              <w:top w:val="single" w:color="auto" w:sz="8" w:space="0"/>
              <w:left w:val="nil"/>
              <w:bottom w:val="single" w:color="auto" w:sz="8" w:space="0"/>
              <w:right w:val="single" w:color="auto" w:sz="8" w:space="0"/>
            </w:tcBorders>
            <w:vAlign w:val="center"/>
          </w:tcPr>
          <w:p w14:paraId="08B5E5E5">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招标项目名称</w:t>
            </w:r>
          </w:p>
        </w:tc>
        <w:tc>
          <w:tcPr>
            <w:tcW w:w="6828" w:type="dxa"/>
            <w:tcBorders>
              <w:top w:val="single" w:color="auto" w:sz="8" w:space="0"/>
              <w:left w:val="nil"/>
              <w:bottom w:val="single" w:color="auto" w:sz="8" w:space="0"/>
              <w:right w:val="single" w:color="auto" w:sz="8" w:space="0"/>
            </w:tcBorders>
            <w:vAlign w:val="center"/>
          </w:tcPr>
          <w:p w14:paraId="05DE30E8">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bidi="ar"/>
              </w:rPr>
              <w:t>昆明市融媒体中心2026年报纸印刷用新闻纸采购（二次）</w:t>
            </w:r>
          </w:p>
        </w:tc>
      </w:tr>
      <w:tr w14:paraId="79FB1B90">
        <w:tblPrEx>
          <w:tblCellMar>
            <w:top w:w="0" w:type="dxa"/>
            <w:left w:w="0" w:type="dxa"/>
            <w:bottom w:w="0" w:type="dxa"/>
            <w:right w:w="0" w:type="dxa"/>
          </w:tblCellMar>
        </w:tblPrEx>
        <w:trPr>
          <w:trHeight w:val="664" w:hRule="atLeast"/>
        </w:trPr>
        <w:tc>
          <w:tcPr>
            <w:tcW w:w="1047" w:type="dxa"/>
            <w:tcBorders>
              <w:top w:val="single" w:color="auto" w:sz="8" w:space="0"/>
              <w:left w:val="single" w:color="auto" w:sz="8" w:space="0"/>
              <w:bottom w:val="single" w:color="auto" w:sz="8" w:space="0"/>
              <w:right w:val="single" w:color="auto" w:sz="8" w:space="0"/>
            </w:tcBorders>
            <w:vAlign w:val="center"/>
          </w:tcPr>
          <w:p w14:paraId="3B4CA138">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1.2.1</w:t>
            </w:r>
          </w:p>
        </w:tc>
        <w:tc>
          <w:tcPr>
            <w:tcW w:w="2007" w:type="dxa"/>
            <w:tcBorders>
              <w:top w:val="single" w:color="auto" w:sz="8" w:space="0"/>
              <w:left w:val="nil"/>
              <w:bottom w:val="single" w:color="auto" w:sz="8" w:space="0"/>
              <w:right w:val="single" w:color="auto" w:sz="8" w:space="0"/>
            </w:tcBorders>
            <w:vAlign w:val="center"/>
          </w:tcPr>
          <w:p w14:paraId="7A89B27D">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资金落实情况</w:t>
            </w:r>
          </w:p>
        </w:tc>
        <w:tc>
          <w:tcPr>
            <w:tcW w:w="6828" w:type="dxa"/>
            <w:tcBorders>
              <w:top w:val="single" w:color="auto" w:sz="8" w:space="0"/>
              <w:left w:val="nil"/>
              <w:bottom w:val="single" w:color="auto" w:sz="8" w:space="0"/>
              <w:right w:val="single" w:color="auto" w:sz="8" w:space="0"/>
            </w:tcBorders>
            <w:vAlign w:val="center"/>
          </w:tcPr>
          <w:p w14:paraId="57BC5B73">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已落实</w:t>
            </w:r>
          </w:p>
        </w:tc>
      </w:tr>
      <w:tr w14:paraId="1F9D9078">
        <w:tblPrEx>
          <w:tblCellMar>
            <w:top w:w="0" w:type="dxa"/>
            <w:left w:w="0" w:type="dxa"/>
            <w:bottom w:w="0" w:type="dxa"/>
            <w:right w:w="0" w:type="dxa"/>
          </w:tblCellMar>
        </w:tblPrEx>
        <w:trPr>
          <w:trHeight w:val="643" w:hRule="atLeast"/>
        </w:trPr>
        <w:tc>
          <w:tcPr>
            <w:tcW w:w="1047" w:type="dxa"/>
            <w:tcBorders>
              <w:top w:val="single" w:color="auto" w:sz="8" w:space="0"/>
              <w:left w:val="single" w:color="auto" w:sz="8" w:space="0"/>
              <w:bottom w:val="single" w:color="auto" w:sz="8" w:space="0"/>
              <w:right w:val="single" w:color="auto" w:sz="8" w:space="0"/>
            </w:tcBorders>
            <w:vAlign w:val="center"/>
          </w:tcPr>
          <w:p w14:paraId="3BC7437E">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1.2.2</w:t>
            </w:r>
          </w:p>
        </w:tc>
        <w:tc>
          <w:tcPr>
            <w:tcW w:w="2007" w:type="dxa"/>
            <w:tcBorders>
              <w:top w:val="single" w:color="auto" w:sz="8" w:space="0"/>
              <w:left w:val="nil"/>
              <w:bottom w:val="single" w:color="auto" w:sz="8" w:space="0"/>
              <w:right w:val="single" w:color="auto" w:sz="8" w:space="0"/>
            </w:tcBorders>
            <w:vAlign w:val="center"/>
          </w:tcPr>
          <w:p w14:paraId="22037A3E">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预算金额</w:t>
            </w:r>
          </w:p>
        </w:tc>
        <w:tc>
          <w:tcPr>
            <w:tcW w:w="6828" w:type="dxa"/>
            <w:tcBorders>
              <w:top w:val="single" w:color="auto" w:sz="8" w:space="0"/>
              <w:left w:val="nil"/>
              <w:bottom w:val="single" w:color="auto" w:sz="8" w:space="0"/>
              <w:right w:val="single" w:color="auto" w:sz="8" w:space="0"/>
            </w:tcBorders>
            <w:vAlign w:val="center"/>
          </w:tcPr>
          <w:p w14:paraId="7773FDAC">
            <w:pPr>
              <w:keepNext w:val="0"/>
              <w:keepLines w:val="0"/>
              <w:pageBreakBefore w:val="0"/>
              <w:kinsoku/>
              <w:wordWrap/>
              <w:overflowPunct/>
              <w:bidi w:val="0"/>
              <w:adjustRightInd/>
              <w:snapToGrid/>
              <w:spacing w:line="440" w:lineRule="exact"/>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bidi="ar"/>
              </w:rPr>
              <w:t>160万元</w:t>
            </w:r>
          </w:p>
        </w:tc>
      </w:tr>
      <w:tr w14:paraId="3BB069BD">
        <w:tblPrEx>
          <w:tblCellMar>
            <w:top w:w="0" w:type="dxa"/>
            <w:left w:w="0" w:type="dxa"/>
            <w:bottom w:w="0" w:type="dxa"/>
            <w:right w:w="0" w:type="dxa"/>
          </w:tblCellMar>
        </w:tblPrEx>
        <w:trPr>
          <w:trHeight w:val="601" w:hRule="atLeast"/>
        </w:trPr>
        <w:tc>
          <w:tcPr>
            <w:tcW w:w="1047" w:type="dxa"/>
            <w:tcBorders>
              <w:top w:val="single" w:color="auto" w:sz="8" w:space="0"/>
              <w:left w:val="single" w:color="auto" w:sz="8" w:space="0"/>
              <w:bottom w:val="single" w:color="auto" w:sz="8" w:space="0"/>
              <w:right w:val="single" w:color="auto" w:sz="8" w:space="0"/>
            </w:tcBorders>
            <w:vAlign w:val="center"/>
          </w:tcPr>
          <w:p w14:paraId="72DE526B">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1.3.1</w:t>
            </w:r>
          </w:p>
        </w:tc>
        <w:tc>
          <w:tcPr>
            <w:tcW w:w="2007" w:type="dxa"/>
            <w:tcBorders>
              <w:top w:val="single" w:color="auto" w:sz="8" w:space="0"/>
              <w:left w:val="nil"/>
              <w:bottom w:val="single" w:color="auto" w:sz="8" w:space="0"/>
              <w:right w:val="single" w:color="auto" w:sz="8" w:space="0"/>
            </w:tcBorders>
            <w:vAlign w:val="center"/>
          </w:tcPr>
          <w:p w14:paraId="5E0B08C3">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采购内容</w:t>
            </w:r>
          </w:p>
        </w:tc>
        <w:tc>
          <w:tcPr>
            <w:tcW w:w="6828" w:type="dxa"/>
            <w:tcBorders>
              <w:top w:val="single" w:color="auto" w:sz="8" w:space="0"/>
              <w:left w:val="nil"/>
              <w:bottom w:val="single" w:color="auto" w:sz="8" w:space="0"/>
              <w:right w:val="single" w:color="auto" w:sz="8" w:space="0"/>
            </w:tcBorders>
            <w:vAlign w:val="center"/>
          </w:tcPr>
          <w:p w14:paraId="1D63BC2B">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详见第六章《</w:t>
            </w:r>
            <w:r>
              <w:rPr>
                <w:rFonts w:hint="eastAsia" w:ascii="宋体" w:hAnsi="宋体" w:cs="宋体"/>
                <w:kern w:val="2"/>
                <w:sz w:val="24"/>
                <w:szCs w:val="24"/>
                <w:highlight w:val="none"/>
                <w:lang w:eastAsia="zh-CN"/>
              </w:rPr>
              <w:t>采购需求</w:t>
            </w:r>
            <w:r>
              <w:rPr>
                <w:rFonts w:hint="eastAsia" w:ascii="宋体" w:hAnsi="宋体" w:cs="宋体"/>
                <w:kern w:val="2"/>
                <w:sz w:val="24"/>
                <w:szCs w:val="24"/>
                <w:highlight w:val="none"/>
              </w:rPr>
              <w:t>》的具体内容</w:t>
            </w:r>
          </w:p>
        </w:tc>
      </w:tr>
      <w:tr w14:paraId="4F2073D2">
        <w:tblPrEx>
          <w:tblCellMar>
            <w:top w:w="0" w:type="dxa"/>
            <w:left w:w="0" w:type="dxa"/>
            <w:bottom w:w="0" w:type="dxa"/>
            <w:right w:w="0" w:type="dxa"/>
          </w:tblCellMar>
        </w:tblPrEx>
        <w:trPr>
          <w:trHeight w:val="716" w:hRule="atLeast"/>
        </w:trPr>
        <w:tc>
          <w:tcPr>
            <w:tcW w:w="1047" w:type="dxa"/>
            <w:tcBorders>
              <w:top w:val="single" w:color="auto" w:sz="8" w:space="0"/>
              <w:left w:val="single" w:color="auto" w:sz="8" w:space="0"/>
              <w:bottom w:val="single" w:color="auto" w:sz="8" w:space="0"/>
              <w:right w:val="single" w:color="auto" w:sz="8" w:space="0"/>
            </w:tcBorders>
            <w:vAlign w:val="center"/>
          </w:tcPr>
          <w:p w14:paraId="50391791">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1.3.2</w:t>
            </w:r>
          </w:p>
        </w:tc>
        <w:tc>
          <w:tcPr>
            <w:tcW w:w="2007" w:type="dxa"/>
            <w:tcBorders>
              <w:top w:val="single" w:color="auto" w:sz="8" w:space="0"/>
              <w:left w:val="nil"/>
              <w:bottom w:val="single" w:color="auto" w:sz="8" w:space="0"/>
              <w:right w:val="single" w:color="auto" w:sz="8" w:space="0"/>
            </w:tcBorders>
            <w:vAlign w:val="center"/>
          </w:tcPr>
          <w:p w14:paraId="31E71892">
            <w:pPr>
              <w:keepNext w:val="0"/>
              <w:keepLines w:val="0"/>
              <w:pageBreakBefore w:val="0"/>
              <w:kinsoku/>
              <w:wordWrap/>
              <w:overflowPunct/>
              <w:bidi w:val="0"/>
              <w:adjustRightInd/>
              <w:snapToGrid/>
              <w:spacing w:line="440" w:lineRule="exact"/>
              <w:jc w:val="center"/>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rPr>
              <w:t>交付时间</w:t>
            </w:r>
          </w:p>
        </w:tc>
        <w:tc>
          <w:tcPr>
            <w:tcW w:w="6828" w:type="dxa"/>
            <w:tcBorders>
              <w:top w:val="single" w:color="auto" w:sz="8" w:space="0"/>
              <w:left w:val="nil"/>
              <w:bottom w:val="single" w:color="auto" w:sz="8" w:space="0"/>
              <w:right w:val="single" w:color="auto" w:sz="8" w:space="0"/>
            </w:tcBorders>
            <w:vAlign w:val="center"/>
          </w:tcPr>
          <w:p w14:paraId="2B434B8F">
            <w:pPr>
              <w:keepNext w:val="0"/>
              <w:keepLines w:val="0"/>
              <w:pageBreakBefore w:val="0"/>
              <w:kinsoku/>
              <w:wordWrap/>
              <w:overflowPunct/>
              <w:bidi w:val="0"/>
              <w:adjustRightInd/>
              <w:snapToGrid/>
              <w:spacing w:line="440" w:lineRule="exact"/>
              <w:jc w:val="left"/>
              <w:textAlignment w:val="auto"/>
              <w:rPr>
                <w:rFonts w:hint="eastAsia" w:ascii="宋体" w:hAnsi="宋体" w:cs="宋体"/>
                <w:kern w:val="2"/>
                <w:sz w:val="24"/>
                <w:szCs w:val="24"/>
                <w:highlight w:val="none"/>
              </w:rPr>
            </w:pPr>
            <w:r>
              <w:rPr>
                <w:rFonts w:hint="eastAsia" w:ascii="宋体" w:hAnsi="宋体" w:cs="宋体"/>
                <w:kern w:val="2"/>
                <w:sz w:val="24"/>
                <w:szCs w:val="24"/>
                <w:highlight w:val="none"/>
                <w:lang w:eastAsia="zh-CN"/>
              </w:rPr>
              <w:t>下达发运通知单后30天内交付</w:t>
            </w:r>
            <w:r>
              <w:rPr>
                <w:rFonts w:hint="eastAsia" w:ascii="宋体" w:hAnsi="宋体" w:cs="宋体"/>
                <w:kern w:val="2"/>
                <w:sz w:val="24"/>
                <w:szCs w:val="24"/>
                <w:highlight w:val="none"/>
              </w:rPr>
              <w:t>。</w:t>
            </w:r>
          </w:p>
        </w:tc>
      </w:tr>
      <w:tr w14:paraId="55961DF9">
        <w:tblPrEx>
          <w:tblCellMar>
            <w:top w:w="0" w:type="dxa"/>
            <w:left w:w="0" w:type="dxa"/>
            <w:bottom w:w="0" w:type="dxa"/>
            <w:right w:w="0" w:type="dxa"/>
          </w:tblCellMar>
        </w:tblPrEx>
        <w:trPr>
          <w:trHeight w:val="766" w:hRule="atLeast"/>
        </w:trPr>
        <w:tc>
          <w:tcPr>
            <w:tcW w:w="1047" w:type="dxa"/>
            <w:tcBorders>
              <w:top w:val="single" w:color="auto" w:sz="8" w:space="0"/>
              <w:left w:val="single" w:color="auto" w:sz="8" w:space="0"/>
              <w:bottom w:val="single" w:color="auto" w:sz="8" w:space="0"/>
              <w:right w:val="single" w:color="auto" w:sz="8" w:space="0"/>
            </w:tcBorders>
            <w:vAlign w:val="center"/>
          </w:tcPr>
          <w:p w14:paraId="5529719C">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1.3.3</w:t>
            </w:r>
          </w:p>
        </w:tc>
        <w:tc>
          <w:tcPr>
            <w:tcW w:w="2007" w:type="dxa"/>
            <w:tcBorders>
              <w:top w:val="single" w:color="auto" w:sz="8" w:space="0"/>
              <w:left w:val="nil"/>
              <w:bottom w:val="single" w:color="auto" w:sz="8" w:space="0"/>
              <w:right w:val="single" w:color="auto" w:sz="8" w:space="0"/>
            </w:tcBorders>
            <w:vAlign w:val="center"/>
          </w:tcPr>
          <w:p w14:paraId="3151056A">
            <w:pPr>
              <w:keepNext w:val="0"/>
              <w:keepLines w:val="0"/>
              <w:pageBreakBefore w:val="0"/>
              <w:kinsoku/>
              <w:wordWrap/>
              <w:overflowPunct/>
              <w:bidi w:val="0"/>
              <w:adjustRightInd/>
              <w:snapToGrid/>
              <w:spacing w:line="440" w:lineRule="exact"/>
              <w:jc w:val="center"/>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rPr>
              <w:t>交付地点</w:t>
            </w:r>
          </w:p>
        </w:tc>
        <w:tc>
          <w:tcPr>
            <w:tcW w:w="6828" w:type="dxa"/>
            <w:tcBorders>
              <w:top w:val="single" w:color="auto" w:sz="8" w:space="0"/>
              <w:left w:val="nil"/>
              <w:bottom w:val="single" w:color="auto" w:sz="8" w:space="0"/>
              <w:right w:val="single" w:color="auto" w:sz="8" w:space="0"/>
            </w:tcBorders>
            <w:vAlign w:val="center"/>
          </w:tcPr>
          <w:p w14:paraId="15AB7922">
            <w:pPr>
              <w:keepNext w:val="0"/>
              <w:keepLines w:val="0"/>
              <w:pageBreakBefore w:val="0"/>
              <w:kinsoku/>
              <w:wordWrap/>
              <w:overflowPunct/>
              <w:bidi w:val="0"/>
              <w:adjustRightInd/>
              <w:snapToGrid/>
              <w:spacing w:line="440" w:lineRule="exact"/>
              <w:jc w:val="left"/>
              <w:textAlignment w:val="auto"/>
              <w:rPr>
                <w:rFonts w:hint="eastAsia" w:ascii="宋体" w:hAnsi="宋体" w:cs="宋体"/>
                <w:kern w:val="2"/>
                <w:sz w:val="24"/>
                <w:szCs w:val="24"/>
                <w:highlight w:val="none"/>
              </w:rPr>
            </w:pPr>
            <w:r>
              <w:rPr>
                <w:rFonts w:hint="eastAsia" w:ascii="宋体" w:hAnsi="宋体" w:cs="宋体"/>
                <w:kern w:val="2"/>
                <w:sz w:val="24"/>
                <w:szCs w:val="24"/>
                <w:highlight w:val="none"/>
                <w:lang w:eastAsia="zh-CN"/>
              </w:rPr>
              <w:t>采购人指定地点。</w:t>
            </w:r>
          </w:p>
        </w:tc>
      </w:tr>
      <w:tr w14:paraId="5F6DC1E5">
        <w:tblPrEx>
          <w:tblCellMar>
            <w:top w:w="0" w:type="dxa"/>
            <w:left w:w="0" w:type="dxa"/>
            <w:bottom w:w="0" w:type="dxa"/>
            <w:right w:w="0" w:type="dxa"/>
          </w:tblCellMar>
        </w:tblPrEx>
        <w:trPr>
          <w:trHeight w:val="766" w:hRule="atLeast"/>
        </w:trPr>
        <w:tc>
          <w:tcPr>
            <w:tcW w:w="1047" w:type="dxa"/>
            <w:tcBorders>
              <w:top w:val="single" w:color="auto" w:sz="8" w:space="0"/>
              <w:left w:val="single" w:color="auto" w:sz="8" w:space="0"/>
              <w:bottom w:val="single" w:color="auto" w:sz="8" w:space="0"/>
              <w:right w:val="single" w:color="auto" w:sz="8" w:space="0"/>
            </w:tcBorders>
            <w:vAlign w:val="center"/>
          </w:tcPr>
          <w:p w14:paraId="3A84DBEB">
            <w:pPr>
              <w:keepNext w:val="0"/>
              <w:keepLines w:val="0"/>
              <w:pageBreakBefore w:val="0"/>
              <w:kinsoku/>
              <w:wordWrap/>
              <w:overflowPunct/>
              <w:bidi w:val="0"/>
              <w:adjustRightInd/>
              <w:snapToGrid/>
              <w:spacing w:line="440" w:lineRule="exact"/>
              <w:jc w:val="center"/>
              <w:textAlignment w:val="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1.3.4</w:t>
            </w:r>
          </w:p>
        </w:tc>
        <w:tc>
          <w:tcPr>
            <w:tcW w:w="2007" w:type="dxa"/>
            <w:tcBorders>
              <w:top w:val="single" w:color="auto" w:sz="8" w:space="0"/>
              <w:left w:val="nil"/>
              <w:bottom w:val="single" w:color="auto" w:sz="8" w:space="0"/>
              <w:right w:val="single" w:color="auto" w:sz="8" w:space="0"/>
            </w:tcBorders>
            <w:vAlign w:val="center"/>
          </w:tcPr>
          <w:p w14:paraId="1E468344">
            <w:pPr>
              <w:keepNext w:val="0"/>
              <w:keepLines w:val="0"/>
              <w:pageBreakBefore w:val="0"/>
              <w:kinsoku/>
              <w:wordWrap/>
              <w:overflowPunct/>
              <w:bidi w:val="0"/>
              <w:adjustRightInd/>
              <w:snapToGrid/>
              <w:spacing w:line="440" w:lineRule="exact"/>
              <w:jc w:val="center"/>
              <w:textAlignment w:val="auto"/>
              <w:rPr>
                <w:rFonts w:hint="eastAsia" w:ascii="宋体" w:hAnsi="宋体" w:cs="宋体"/>
                <w:kern w:val="2"/>
                <w:sz w:val="24"/>
                <w:szCs w:val="24"/>
                <w:highlight w:val="none"/>
              </w:rPr>
            </w:pPr>
            <w:r>
              <w:rPr>
                <w:rFonts w:hint="eastAsia" w:ascii="宋体" w:hAnsi="宋体" w:cs="宋体"/>
                <w:kern w:val="2"/>
                <w:sz w:val="24"/>
                <w:szCs w:val="24"/>
                <w:highlight w:val="none"/>
              </w:rPr>
              <w:t>质量标准</w:t>
            </w:r>
          </w:p>
        </w:tc>
        <w:tc>
          <w:tcPr>
            <w:tcW w:w="6828" w:type="dxa"/>
            <w:tcBorders>
              <w:top w:val="single" w:color="auto" w:sz="8" w:space="0"/>
              <w:left w:val="nil"/>
              <w:bottom w:val="single" w:color="auto" w:sz="8" w:space="0"/>
              <w:right w:val="single" w:color="auto" w:sz="8" w:space="0"/>
            </w:tcBorders>
            <w:vAlign w:val="center"/>
          </w:tcPr>
          <w:p w14:paraId="41ECA691">
            <w:pPr>
              <w:keepNext w:val="0"/>
              <w:keepLines w:val="0"/>
              <w:pageBreakBefore w:val="0"/>
              <w:kinsoku/>
              <w:wordWrap/>
              <w:overflowPunct/>
              <w:bidi w:val="0"/>
              <w:adjustRightInd/>
              <w:snapToGrid/>
              <w:spacing w:line="440" w:lineRule="exact"/>
              <w:jc w:val="left"/>
              <w:textAlignment w:val="auto"/>
              <w:rPr>
                <w:rFonts w:hint="eastAsia" w:ascii="宋体" w:hAnsi="宋体" w:cs="宋体"/>
                <w:kern w:val="2"/>
                <w:sz w:val="24"/>
                <w:szCs w:val="24"/>
                <w:highlight w:val="none"/>
                <w:lang w:eastAsia="zh-CN"/>
              </w:rPr>
            </w:pPr>
            <w:r>
              <w:rPr>
                <w:rFonts w:hint="eastAsia" w:ascii="宋体" w:hAnsi="宋体" w:cs="宋体"/>
                <w:kern w:val="2"/>
                <w:sz w:val="24"/>
                <w:szCs w:val="24"/>
                <w:highlight w:val="none"/>
                <w:lang w:eastAsia="zh-CN"/>
              </w:rPr>
              <w:t>满足国家相关质保标准。</w:t>
            </w:r>
          </w:p>
        </w:tc>
      </w:tr>
      <w:tr w14:paraId="5E3F6876">
        <w:tblPrEx>
          <w:tblCellMar>
            <w:top w:w="0" w:type="dxa"/>
            <w:left w:w="0" w:type="dxa"/>
            <w:bottom w:w="0" w:type="dxa"/>
            <w:right w:w="0" w:type="dxa"/>
          </w:tblCellMar>
        </w:tblPrEx>
        <w:trPr>
          <w:trHeight w:val="630" w:hRule="atLeast"/>
        </w:trPr>
        <w:tc>
          <w:tcPr>
            <w:tcW w:w="1047" w:type="dxa"/>
            <w:tcBorders>
              <w:top w:val="single" w:color="auto" w:sz="8" w:space="0"/>
              <w:left w:val="single" w:color="auto" w:sz="8" w:space="0"/>
              <w:bottom w:val="single" w:color="auto" w:sz="8" w:space="0"/>
              <w:right w:val="single" w:color="auto" w:sz="8" w:space="0"/>
            </w:tcBorders>
            <w:vAlign w:val="center"/>
          </w:tcPr>
          <w:p w14:paraId="45885773">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1.4.1</w:t>
            </w:r>
          </w:p>
        </w:tc>
        <w:tc>
          <w:tcPr>
            <w:tcW w:w="2007" w:type="dxa"/>
            <w:tcBorders>
              <w:top w:val="single" w:color="auto" w:sz="8" w:space="0"/>
              <w:left w:val="nil"/>
              <w:bottom w:val="single" w:color="auto" w:sz="8" w:space="0"/>
              <w:right w:val="single" w:color="auto" w:sz="8" w:space="0"/>
            </w:tcBorders>
            <w:vAlign w:val="center"/>
          </w:tcPr>
          <w:p w14:paraId="2D7A4943">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投标人资格要求</w:t>
            </w:r>
          </w:p>
        </w:tc>
        <w:tc>
          <w:tcPr>
            <w:tcW w:w="6828" w:type="dxa"/>
            <w:tcBorders>
              <w:top w:val="single" w:color="auto" w:sz="8" w:space="0"/>
              <w:left w:val="nil"/>
              <w:bottom w:val="single" w:color="auto" w:sz="8" w:space="0"/>
              <w:right w:val="single" w:color="auto" w:sz="8" w:space="0"/>
            </w:tcBorders>
            <w:vAlign w:val="center"/>
          </w:tcPr>
          <w:p w14:paraId="31261EC2">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详见“第一章 招标公告 二、申请人的资格要求”</w:t>
            </w:r>
          </w:p>
        </w:tc>
      </w:tr>
      <w:tr w14:paraId="599B5A52">
        <w:tblPrEx>
          <w:tblCellMar>
            <w:top w:w="0" w:type="dxa"/>
            <w:left w:w="0" w:type="dxa"/>
            <w:bottom w:w="0" w:type="dxa"/>
            <w:right w:w="0" w:type="dxa"/>
          </w:tblCellMar>
        </w:tblPrEx>
        <w:trPr>
          <w:trHeight w:val="90" w:hRule="atLeast"/>
        </w:trPr>
        <w:tc>
          <w:tcPr>
            <w:tcW w:w="1047" w:type="dxa"/>
            <w:tcBorders>
              <w:top w:val="single" w:color="auto" w:sz="8" w:space="0"/>
              <w:left w:val="single" w:color="auto" w:sz="8" w:space="0"/>
              <w:bottom w:val="single" w:color="auto" w:sz="8" w:space="0"/>
              <w:right w:val="single" w:color="auto" w:sz="8" w:space="0"/>
            </w:tcBorders>
            <w:vAlign w:val="center"/>
          </w:tcPr>
          <w:p w14:paraId="7227F1A9">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1.4.2</w:t>
            </w:r>
          </w:p>
        </w:tc>
        <w:tc>
          <w:tcPr>
            <w:tcW w:w="2007" w:type="dxa"/>
            <w:tcBorders>
              <w:top w:val="single" w:color="auto" w:sz="8" w:space="0"/>
              <w:left w:val="nil"/>
              <w:bottom w:val="single" w:color="auto" w:sz="8" w:space="0"/>
              <w:right w:val="single" w:color="auto" w:sz="8" w:space="0"/>
            </w:tcBorders>
            <w:vAlign w:val="center"/>
          </w:tcPr>
          <w:p w14:paraId="3FBEC70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是否接受联合体投标</w:t>
            </w:r>
          </w:p>
        </w:tc>
        <w:tc>
          <w:tcPr>
            <w:tcW w:w="6828" w:type="dxa"/>
            <w:tcBorders>
              <w:top w:val="single" w:color="auto" w:sz="8" w:space="0"/>
              <w:left w:val="nil"/>
              <w:bottom w:val="single" w:color="auto" w:sz="8" w:space="0"/>
              <w:right w:val="single" w:color="auto" w:sz="8" w:space="0"/>
            </w:tcBorders>
            <w:vAlign w:val="center"/>
          </w:tcPr>
          <w:p w14:paraId="0FFB2A76">
            <w:pPr>
              <w:keepNext w:val="0"/>
              <w:keepLines w:val="0"/>
              <w:pageBreakBefore w:val="0"/>
              <w:kinsoku/>
              <w:wordWrap/>
              <w:overflowPunct/>
              <w:bidi w:val="0"/>
              <w:adjustRightInd/>
              <w:snapToGrid/>
              <w:spacing w:line="440" w:lineRule="exact"/>
              <w:jc w:val="both"/>
              <w:textAlignment w:val="auto"/>
              <w:rPr>
                <w:rFonts w:ascii="宋体" w:hAnsi="宋体" w:cs="宋体"/>
                <w:highlight w:val="none"/>
              </w:rPr>
            </w:pPr>
            <w:r>
              <w:rPr>
                <w:rFonts w:hint="eastAsia" w:ascii="宋体" w:hAnsi="宋体" w:cs="宋体"/>
                <w:sz w:val="24"/>
                <w:szCs w:val="24"/>
                <w:highlight w:val="none"/>
              </w:rPr>
              <w:t>不接受</w:t>
            </w:r>
          </w:p>
        </w:tc>
      </w:tr>
      <w:tr w14:paraId="5DACACE1">
        <w:tblPrEx>
          <w:tblCellMar>
            <w:top w:w="0" w:type="dxa"/>
            <w:left w:w="0" w:type="dxa"/>
            <w:bottom w:w="0" w:type="dxa"/>
            <w:right w:w="0" w:type="dxa"/>
          </w:tblCellMar>
        </w:tblPrEx>
        <w:trPr>
          <w:trHeight w:val="738" w:hRule="atLeast"/>
        </w:trPr>
        <w:tc>
          <w:tcPr>
            <w:tcW w:w="1047" w:type="dxa"/>
            <w:tcBorders>
              <w:top w:val="single" w:color="auto" w:sz="8" w:space="0"/>
              <w:left w:val="single" w:color="auto" w:sz="8" w:space="0"/>
              <w:bottom w:val="single" w:color="auto" w:sz="8" w:space="0"/>
              <w:right w:val="single" w:color="auto" w:sz="8" w:space="0"/>
            </w:tcBorders>
            <w:vAlign w:val="center"/>
          </w:tcPr>
          <w:p w14:paraId="3447BF36">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1.9.1</w:t>
            </w:r>
          </w:p>
        </w:tc>
        <w:tc>
          <w:tcPr>
            <w:tcW w:w="2007" w:type="dxa"/>
            <w:tcBorders>
              <w:top w:val="single" w:color="auto" w:sz="8" w:space="0"/>
              <w:left w:val="nil"/>
              <w:bottom w:val="single" w:color="auto" w:sz="8" w:space="0"/>
              <w:right w:val="single" w:color="auto" w:sz="8" w:space="0"/>
            </w:tcBorders>
            <w:vAlign w:val="center"/>
          </w:tcPr>
          <w:p w14:paraId="686E9153">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现场考察</w:t>
            </w:r>
          </w:p>
        </w:tc>
        <w:tc>
          <w:tcPr>
            <w:tcW w:w="6828" w:type="dxa"/>
            <w:tcBorders>
              <w:top w:val="single" w:color="auto" w:sz="8" w:space="0"/>
              <w:left w:val="nil"/>
              <w:bottom w:val="single" w:color="auto" w:sz="8" w:space="0"/>
              <w:right w:val="single" w:color="auto" w:sz="8" w:space="0"/>
            </w:tcBorders>
            <w:vAlign w:val="center"/>
          </w:tcPr>
          <w:p w14:paraId="1E42940C">
            <w:pPr>
              <w:pStyle w:val="13"/>
              <w:keepNext w:val="0"/>
              <w:keepLines w:val="0"/>
              <w:pageBreakBefore w:val="0"/>
              <w:kinsoku/>
              <w:wordWrap/>
              <w:overflowPunct/>
              <w:topLinePunct/>
              <w:bidi w:val="0"/>
              <w:adjustRightInd/>
              <w:snapToGrid/>
              <w:spacing w:line="440" w:lineRule="exact"/>
              <w:textAlignment w:val="auto"/>
              <w:rPr>
                <w:rFonts w:hAnsi="宋体" w:cs="宋体"/>
                <w:kern w:val="2"/>
                <w:highlight w:val="none"/>
              </w:rPr>
            </w:pPr>
            <w:r>
              <w:rPr>
                <w:rFonts w:hint="eastAsia" w:hAnsi="宋体" w:cs="宋体"/>
                <w:kern w:val="2"/>
                <w:highlight w:val="none"/>
              </w:rPr>
              <w:t>不组织</w:t>
            </w:r>
          </w:p>
        </w:tc>
      </w:tr>
      <w:tr w14:paraId="7C6EB367">
        <w:tblPrEx>
          <w:tblCellMar>
            <w:top w:w="0" w:type="dxa"/>
            <w:left w:w="0" w:type="dxa"/>
            <w:bottom w:w="0" w:type="dxa"/>
            <w:right w:w="0" w:type="dxa"/>
          </w:tblCellMar>
        </w:tblPrEx>
        <w:trPr>
          <w:trHeight w:val="845" w:hRule="atLeast"/>
        </w:trPr>
        <w:tc>
          <w:tcPr>
            <w:tcW w:w="1047" w:type="dxa"/>
            <w:tcBorders>
              <w:top w:val="single" w:color="auto" w:sz="8" w:space="0"/>
              <w:left w:val="single" w:color="auto" w:sz="8" w:space="0"/>
              <w:bottom w:val="single" w:color="auto" w:sz="8" w:space="0"/>
              <w:right w:val="single" w:color="auto" w:sz="8" w:space="0"/>
            </w:tcBorders>
            <w:vAlign w:val="center"/>
          </w:tcPr>
          <w:p w14:paraId="34B18599">
            <w:pPr>
              <w:keepNext w:val="0"/>
              <w:keepLines w:val="0"/>
              <w:pageBreakBefore w:val="0"/>
              <w:kinsoku/>
              <w:wordWrap/>
              <w:overflowPunct/>
              <w:bidi w:val="0"/>
              <w:adjustRightInd/>
              <w:snapToGrid/>
              <w:spacing w:line="440" w:lineRule="exact"/>
              <w:jc w:val="center"/>
              <w:textAlignment w:val="auto"/>
              <w:rPr>
                <w:rFonts w:ascii="宋体" w:hAnsi="宋体" w:cs="宋体"/>
                <w:b/>
                <w:bCs/>
                <w:kern w:val="2"/>
                <w:sz w:val="24"/>
                <w:szCs w:val="24"/>
                <w:highlight w:val="none"/>
              </w:rPr>
            </w:pPr>
            <w:r>
              <w:rPr>
                <w:rFonts w:hint="eastAsia" w:ascii="宋体" w:hAnsi="宋体" w:cs="宋体"/>
                <w:b/>
                <w:bCs/>
                <w:kern w:val="2"/>
                <w:sz w:val="24"/>
                <w:szCs w:val="24"/>
                <w:highlight w:val="none"/>
              </w:rPr>
              <w:t>1.10</w:t>
            </w:r>
          </w:p>
          <w:p w14:paraId="3A3BF0AB">
            <w:pPr>
              <w:keepNext w:val="0"/>
              <w:keepLines w:val="0"/>
              <w:pageBreakBefore w:val="0"/>
              <w:kinsoku/>
              <w:wordWrap/>
              <w:overflowPunct/>
              <w:bidi w:val="0"/>
              <w:adjustRightInd/>
              <w:snapToGrid/>
              <w:spacing w:line="440" w:lineRule="exact"/>
              <w:jc w:val="center"/>
              <w:textAlignment w:val="auto"/>
              <w:rPr>
                <w:rFonts w:ascii="宋体" w:hAnsi="宋体" w:cs="宋体"/>
                <w:highlight w:val="none"/>
              </w:rPr>
            </w:pPr>
            <w:r>
              <w:rPr>
                <w:rFonts w:hint="eastAsia" w:ascii="宋体" w:hAnsi="宋体" w:cs="宋体"/>
                <w:b/>
                <w:bCs/>
                <w:kern w:val="2"/>
                <w:sz w:val="24"/>
                <w:szCs w:val="24"/>
                <w:highlight w:val="none"/>
              </w:rPr>
              <w:t>3.5.2</w:t>
            </w:r>
          </w:p>
        </w:tc>
        <w:tc>
          <w:tcPr>
            <w:tcW w:w="2007" w:type="dxa"/>
            <w:tcBorders>
              <w:top w:val="single" w:color="auto" w:sz="8" w:space="0"/>
              <w:left w:val="nil"/>
              <w:bottom w:val="single" w:color="auto" w:sz="8" w:space="0"/>
              <w:right w:val="single" w:color="auto" w:sz="8" w:space="0"/>
            </w:tcBorders>
            <w:vAlign w:val="center"/>
          </w:tcPr>
          <w:p w14:paraId="68E7A70E">
            <w:pPr>
              <w:keepNext w:val="0"/>
              <w:keepLines w:val="0"/>
              <w:pageBreakBefore w:val="0"/>
              <w:kinsoku/>
              <w:wordWrap/>
              <w:overflowPunct/>
              <w:bidi w:val="0"/>
              <w:adjustRightInd/>
              <w:snapToGrid/>
              <w:spacing w:line="440" w:lineRule="exact"/>
              <w:jc w:val="center"/>
              <w:textAlignment w:val="auto"/>
              <w:rPr>
                <w:rFonts w:ascii="宋体" w:hAnsi="宋体" w:cs="宋体"/>
                <w:b/>
                <w:bCs/>
                <w:kern w:val="2"/>
                <w:sz w:val="24"/>
                <w:szCs w:val="24"/>
                <w:highlight w:val="none"/>
              </w:rPr>
            </w:pPr>
            <w:r>
              <w:rPr>
                <w:rFonts w:hint="eastAsia" w:ascii="宋体" w:hAnsi="宋体" w:cs="宋体"/>
                <w:b/>
                <w:bCs/>
                <w:kern w:val="2"/>
                <w:sz w:val="24"/>
                <w:szCs w:val="24"/>
                <w:highlight w:val="none"/>
              </w:rPr>
              <w:t>不允许偏离的实质性要求和条件</w:t>
            </w:r>
          </w:p>
        </w:tc>
        <w:tc>
          <w:tcPr>
            <w:tcW w:w="6828" w:type="dxa"/>
            <w:tcBorders>
              <w:top w:val="single" w:color="auto" w:sz="8" w:space="0"/>
              <w:left w:val="nil"/>
              <w:bottom w:val="single" w:color="auto" w:sz="8" w:space="0"/>
              <w:right w:val="single" w:color="auto" w:sz="8" w:space="0"/>
            </w:tcBorders>
            <w:vAlign w:val="center"/>
          </w:tcPr>
          <w:p w14:paraId="15DB79CA">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b/>
                <w:bCs/>
                <w:kern w:val="2"/>
                <w:sz w:val="24"/>
                <w:szCs w:val="24"/>
                <w:highlight w:val="none"/>
              </w:rPr>
              <w:t>资格要求和符合性审查不允许负偏离</w:t>
            </w:r>
          </w:p>
        </w:tc>
      </w:tr>
      <w:tr w14:paraId="23F48040">
        <w:tblPrEx>
          <w:tblCellMar>
            <w:top w:w="0" w:type="dxa"/>
            <w:left w:w="0" w:type="dxa"/>
            <w:bottom w:w="0" w:type="dxa"/>
            <w:right w:w="0" w:type="dxa"/>
          </w:tblCellMar>
        </w:tblPrEx>
        <w:trPr>
          <w:trHeight w:val="386" w:hRule="atLeast"/>
        </w:trPr>
        <w:tc>
          <w:tcPr>
            <w:tcW w:w="1047" w:type="dxa"/>
            <w:tcBorders>
              <w:top w:val="single" w:color="auto" w:sz="8" w:space="0"/>
              <w:left w:val="single" w:color="auto" w:sz="8" w:space="0"/>
              <w:bottom w:val="single" w:color="auto" w:sz="8" w:space="0"/>
              <w:right w:val="single" w:color="auto" w:sz="8" w:space="0"/>
            </w:tcBorders>
            <w:vAlign w:val="center"/>
          </w:tcPr>
          <w:p w14:paraId="2D6AD04F">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2.1</w:t>
            </w:r>
          </w:p>
        </w:tc>
        <w:tc>
          <w:tcPr>
            <w:tcW w:w="2007" w:type="dxa"/>
            <w:tcBorders>
              <w:top w:val="single" w:color="auto" w:sz="8" w:space="0"/>
              <w:left w:val="nil"/>
              <w:bottom w:val="single" w:color="auto" w:sz="8" w:space="0"/>
              <w:right w:val="single" w:color="auto" w:sz="8" w:space="0"/>
            </w:tcBorders>
            <w:vAlign w:val="center"/>
          </w:tcPr>
          <w:p w14:paraId="47DF0D3B">
            <w:pPr>
              <w:pStyle w:val="50"/>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构成招标文件的其他资料</w:t>
            </w:r>
          </w:p>
        </w:tc>
        <w:tc>
          <w:tcPr>
            <w:tcW w:w="6828" w:type="dxa"/>
            <w:tcBorders>
              <w:top w:val="single" w:color="auto" w:sz="8" w:space="0"/>
              <w:left w:val="nil"/>
              <w:bottom w:val="single" w:color="auto" w:sz="8" w:space="0"/>
              <w:right w:val="single" w:color="auto" w:sz="8" w:space="0"/>
            </w:tcBorders>
            <w:vAlign w:val="center"/>
          </w:tcPr>
          <w:p w14:paraId="63ADFB14">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澄清、修改等内容</w:t>
            </w:r>
          </w:p>
        </w:tc>
      </w:tr>
      <w:tr w14:paraId="2E8B74E1">
        <w:tblPrEx>
          <w:tblCellMar>
            <w:top w:w="0" w:type="dxa"/>
            <w:left w:w="0" w:type="dxa"/>
            <w:bottom w:w="0" w:type="dxa"/>
            <w:right w:w="0" w:type="dxa"/>
          </w:tblCellMar>
        </w:tblPrEx>
        <w:trPr>
          <w:trHeight w:val="524" w:hRule="atLeast"/>
        </w:trPr>
        <w:tc>
          <w:tcPr>
            <w:tcW w:w="1047" w:type="dxa"/>
            <w:tcBorders>
              <w:top w:val="single" w:color="auto" w:sz="8" w:space="0"/>
              <w:left w:val="single" w:color="auto" w:sz="8" w:space="0"/>
              <w:bottom w:val="single" w:color="auto" w:sz="8" w:space="0"/>
              <w:right w:val="single" w:color="auto" w:sz="8" w:space="0"/>
            </w:tcBorders>
            <w:vAlign w:val="center"/>
          </w:tcPr>
          <w:p w14:paraId="128F2CB1">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2.2.2</w:t>
            </w:r>
          </w:p>
        </w:tc>
        <w:tc>
          <w:tcPr>
            <w:tcW w:w="2007" w:type="dxa"/>
            <w:tcBorders>
              <w:top w:val="single" w:color="auto" w:sz="8" w:space="0"/>
              <w:left w:val="nil"/>
              <w:bottom w:val="single" w:color="auto" w:sz="8" w:space="0"/>
              <w:right w:val="single" w:color="auto" w:sz="8" w:space="0"/>
            </w:tcBorders>
            <w:vAlign w:val="center"/>
          </w:tcPr>
          <w:p w14:paraId="7C100484">
            <w:pPr>
              <w:pStyle w:val="50"/>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招标文件澄清发出的形式</w:t>
            </w:r>
          </w:p>
        </w:tc>
        <w:tc>
          <w:tcPr>
            <w:tcW w:w="6828" w:type="dxa"/>
            <w:tcBorders>
              <w:top w:val="single" w:color="auto" w:sz="8" w:space="0"/>
              <w:left w:val="nil"/>
              <w:bottom w:val="single" w:color="auto" w:sz="8" w:space="0"/>
              <w:right w:val="single" w:color="auto" w:sz="8" w:space="0"/>
            </w:tcBorders>
            <w:vAlign w:val="center"/>
          </w:tcPr>
          <w:p w14:paraId="05F91A99">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在公告发布媒介上发布澄清公告</w:t>
            </w:r>
          </w:p>
        </w:tc>
      </w:tr>
      <w:tr w14:paraId="472F1D9F">
        <w:tblPrEx>
          <w:tblCellMar>
            <w:top w:w="0" w:type="dxa"/>
            <w:left w:w="0" w:type="dxa"/>
            <w:bottom w:w="0" w:type="dxa"/>
            <w:right w:w="0" w:type="dxa"/>
          </w:tblCellMar>
        </w:tblPrEx>
        <w:trPr>
          <w:trHeight w:val="894" w:hRule="atLeast"/>
        </w:trPr>
        <w:tc>
          <w:tcPr>
            <w:tcW w:w="1047" w:type="dxa"/>
            <w:tcBorders>
              <w:top w:val="nil"/>
              <w:left w:val="single" w:color="auto" w:sz="8" w:space="0"/>
              <w:bottom w:val="single" w:color="auto" w:sz="8" w:space="0"/>
              <w:right w:val="single" w:color="auto" w:sz="8" w:space="0"/>
            </w:tcBorders>
            <w:vAlign w:val="center"/>
          </w:tcPr>
          <w:p w14:paraId="1FB62887">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2.2.3</w:t>
            </w:r>
          </w:p>
        </w:tc>
        <w:tc>
          <w:tcPr>
            <w:tcW w:w="2007" w:type="dxa"/>
            <w:tcBorders>
              <w:top w:val="nil"/>
              <w:left w:val="nil"/>
              <w:bottom w:val="single" w:color="auto" w:sz="8" w:space="0"/>
              <w:right w:val="single" w:color="auto" w:sz="8" w:space="0"/>
            </w:tcBorders>
            <w:vAlign w:val="center"/>
          </w:tcPr>
          <w:p w14:paraId="1E291BFA">
            <w:pPr>
              <w:pStyle w:val="50"/>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投标人确认收到招标文件澄清</w:t>
            </w:r>
          </w:p>
        </w:tc>
        <w:tc>
          <w:tcPr>
            <w:tcW w:w="6828" w:type="dxa"/>
            <w:tcBorders>
              <w:top w:val="single" w:color="auto" w:sz="8" w:space="0"/>
              <w:left w:val="nil"/>
              <w:bottom w:val="single" w:color="auto" w:sz="8" w:space="0"/>
              <w:right w:val="single" w:color="auto" w:sz="8" w:space="0"/>
            </w:tcBorders>
            <w:vAlign w:val="center"/>
          </w:tcPr>
          <w:p w14:paraId="2A10FD78">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时间：24小时内</w:t>
            </w:r>
          </w:p>
          <w:p w14:paraId="0B6522B1">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形式：盖章确认后，以电子邮件形式向采购代理机构发送扫描件</w:t>
            </w:r>
          </w:p>
          <w:p w14:paraId="05D90AE8">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u w:val="single"/>
              </w:rPr>
            </w:pPr>
            <w:r>
              <w:rPr>
                <w:rFonts w:hint="eastAsia" w:ascii="宋体" w:hAnsi="宋体" w:cs="宋体"/>
                <w:kern w:val="2"/>
                <w:sz w:val="24"/>
                <w:szCs w:val="24"/>
                <w:highlight w:val="none"/>
              </w:rPr>
              <w:t>电子邮箱：ynlhjs@qq.com</w:t>
            </w:r>
          </w:p>
        </w:tc>
      </w:tr>
      <w:tr w14:paraId="2ECE3729">
        <w:tblPrEx>
          <w:tblCellMar>
            <w:top w:w="0" w:type="dxa"/>
            <w:left w:w="0" w:type="dxa"/>
            <w:bottom w:w="0" w:type="dxa"/>
            <w:right w:w="0" w:type="dxa"/>
          </w:tblCellMar>
        </w:tblPrEx>
        <w:trPr>
          <w:trHeight w:val="559" w:hRule="atLeast"/>
        </w:trPr>
        <w:tc>
          <w:tcPr>
            <w:tcW w:w="1047" w:type="dxa"/>
            <w:tcBorders>
              <w:top w:val="single" w:color="auto" w:sz="8" w:space="0"/>
              <w:left w:val="single" w:color="auto" w:sz="8" w:space="0"/>
              <w:bottom w:val="single" w:color="auto" w:sz="8" w:space="0"/>
              <w:right w:val="single" w:color="auto" w:sz="8" w:space="0"/>
            </w:tcBorders>
            <w:vAlign w:val="center"/>
          </w:tcPr>
          <w:p w14:paraId="08F40721">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2.3.1</w:t>
            </w:r>
          </w:p>
        </w:tc>
        <w:tc>
          <w:tcPr>
            <w:tcW w:w="2007" w:type="dxa"/>
            <w:tcBorders>
              <w:top w:val="single" w:color="auto" w:sz="8" w:space="0"/>
              <w:left w:val="nil"/>
              <w:bottom w:val="single" w:color="auto" w:sz="8" w:space="0"/>
              <w:right w:val="single" w:color="auto" w:sz="8" w:space="0"/>
            </w:tcBorders>
            <w:vAlign w:val="center"/>
          </w:tcPr>
          <w:p w14:paraId="0C2A9235">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招标文件修改发出的形式</w:t>
            </w:r>
          </w:p>
        </w:tc>
        <w:tc>
          <w:tcPr>
            <w:tcW w:w="6828" w:type="dxa"/>
            <w:tcBorders>
              <w:top w:val="single" w:color="auto" w:sz="8" w:space="0"/>
              <w:left w:val="nil"/>
              <w:bottom w:val="single" w:color="auto" w:sz="8" w:space="0"/>
              <w:right w:val="single" w:color="auto" w:sz="8" w:space="0"/>
            </w:tcBorders>
            <w:vAlign w:val="center"/>
          </w:tcPr>
          <w:p w14:paraId="25DC1BCD">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在公告发布媒介上发布澄清公告</w:t>
            </w:r>
          </w:p>
        </w:tc>
      </w:tr>
      <w:tr w14:paraId="7CE77D2B">
        <w:tblPrEx>
          <w:tblCellMar>
            <w:top w:w="0" w:type="dxa"/>
            <w:left w:w="0" w:type="dxa"/>
            <w:bottom w:w="0" w:type="dxa"/>
            <w:right w:w="0" w:type="dxa"/>
          </w:tblCellMar>
        </w:tblPrEx>
        <w:trPr>
          <w:trHeight w:val="1260" w:hRule="atLeast"/>
        </w:trPr>
        <w:tc>
          <w:tcPr>
            <w:tcW w:w="1047" w:type="dxa"/>
            <w:tcBorders>
              <w:top w:val="nil"/>
              <w:left w:val="single" w:color="auto" w:sz="8" w:space="0"/>
              <w:bottom w:val="single" w:color="auto" w:sz="8" w:space="0"/>
              <w:right w:val="single" w:color="auto" w:sz="8" w:space="0"/>
            </w:tcBorders>
            <w:vAlign w:val="center"/>
          </w:tcPr>
          <w:p w14:paraId="014E763E">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2.3.2</w:t>
            </w:r>
          </w:p>
        </w:tc>
        <w:tc>
          <w:tcPr>
            <w:tcW w:w="2007" w:type="dxa"/>
            <w:tcBorders>
              <w:top w:val="nil"/>
              <w:left w:val="nil"/>
              <w:bottom w:val="single" w:color="auto" w:sz="8" w:space="0"/>
              <w:right w:val="single" w:color="auto" w:sz="8" w:space="0"/>
            </w:tcBorders>
            <w:vAlign w:val="center"/>
          </w:tcPr>
          <w:p w14:paraId="63199777">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投标人确认收到招标文件修改</w:t>
            </w:r>
          </w:p>
        </w:tc>
        <w:tc>
          <w:tcPr>
            <w:tcW w:w="6828" w:type="dxa"/>
            <w:tcBorders>
              <w:top w:val="single" w:color="auto" w:sz="8" w:space="0"/>
              <w:left w:val="nil"/>
              <w:bottom w:val="single" w:color="auto" w:sz="8" w:space="0"/>
              <w:right w:val="single" w:color="auto" w:sz="8" w:space="0"/>
            </w:tcBorders>
            <w:vAlign w:val="center"/>
          </w:tcPr>
          <w:p w14:paraId="701224B0">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时间：24小时内</w:t>
            </w:r>
          </w:p>
          <w:p w14:paraId="15D4CE77">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形式：盖章确认后，以电子邮件形式向采购代理机构发送扫描件</w:t>
            </w:r>
          </w:p>
          <w:p w14:paraId="7D42BBB1">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电子邮箱：</w:t>
            </w:r>
            <w:r>
              <w:rPr>
                <w:rFonts w:hint="eastAsia" w:ascii="宋体" w:hAnsi="宋体" w:cs="宋体"/>
                <w:sz w:val="24"/>
                <w:highlight w:val="none"/>
              </w:rPr>
              <w:t>ynlhjs@qq.com</w:t>
            </w:r>
          </w:p>
        </w:tc>
      </w:tr>
      <w:tr w14:paraId="0E2671E5">
        <w:tblPrEx>
          <w:tblCellMar>
            <w:top w:w="0" w:type="dxa"/>
            <w:left w:w="0" w:type="dxa"/>
            <w:bottom w:w="0" w:type="dxa"/>
            <w:right w:w="0" w:type="dxa"/>
          </w:tblCellMar>
        </w:tblPrEx>
        <w:trPr>
          <w:trHeight w:val="827" w:hRule="atLeast"/>
        </w:trPr>
        <w:tc>
          <w:tcPr>
            <w:tcW w:w="1047" w:type="dxa"/>
            <w:tcBorders>
              <w:top w:val="single" w:color="auto" w:sz="8" w:space="0"/>
              <w:left w:val="single" w:color="auto" w:sz="8" w:space="0"/>
              <w:bottom w:val="single" w:color="auto" w:sz="8" w:space="0"/>
              <w:right w:val="single" w:color="auto" w:sz="8" w:space="0"/>
            </w:tcBorders>
            <w:vAlign w:val="center"/>
          </w:tcPr>
          <w:p w14:paraId="4B2FF3A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3.2.3</w:t>
            </w:r>
          </w:p>
        </w:tc>
        <w:tc>
          <w:tcPr>
            <w:tcW w:w="2007" w:type="dxa"/>
            <w:tcBorders>
              <w:top w:val="single" w:color="auto" w:sz="8" w:space="0"/>
              <w:left w:val="nil"/>
              <w:bottom w:val="single" w:color="auto" w:sz="8" w:space="0"/>
              <w:right w:val="single" w:color="auto" w:sz="8" w:space="0"/>
            </w:tcBorders>
            <w:vAlign w:val="center"/>
          </w:tcPr>
          <w:p w14:paraId="78A76EFA">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最高投标限价</w:t>
            </w:r>
          </w:p>
        </w:tc>
        <w:tc>
          <w:tcPr>
            <w:tcW w:w="6828" w:type="dxa"/>
            <w:tcBorders>
              <w:top w:val="single" w:color="auto" w:sz="8" w:space="0"/>
              <w:left w:val="nil"/>
              <w:bottom w:val="single" w:color="auto" w:sz="8" w:space="0"/>
              <w:right w:val="single" w:color="auto" w:sz="8" w:space="0"/>
            </w:tcBorders>
            <w:vAlign w:val="center"/>
          </w:tcPr>
          <w:p w14:paraId="49A1B6D6">
            <w:pPr>
              <w:keepNext w:val="0"/>
              <w:keepLines w:val="0"/>
              <w:pageBreakBefore w:val="0"/>
              <w:kinsoku/>
              <w:wordWrap/>
              <w:overflowPunct/>
              <w:bidi w:val="0"/>
              <w:adjustRightInd/>
              <w:snapToGrid/>
              <w:spacing w:line="440" w:lineRule="exact"/>
              <w:jc w:val="both"/>
              <w:textAlignment w:val="auto"/>
              <w:rPr>
                <w:rFonts w:hint="eastAsia" w:ascii="宋体" w:hAnsi="宋体" w:eastAsia="宋体" w:cs="宋体"/>
                <w:kern w:val="2"/>
                <w:sz w:val="24"/>
                <w:szCs w:val="24"/>
                <w:highlight w:val="none"/>
                <w:lang w:eastAsia="zh-CN"/>
              </w:rPr>
            </w:pPr>
            <w:r>
              <w:rPr>
                <w:rFonts w:hint="eastAsia" w:ascii="宋体" w:hAnsi="宋体" w:cs="宋体"/>
                <w:color w:val="auto"/>
                <w:kern w:val="2"/>
                <w:sz w:val="24"/>
                <w:szCs w:val="24"/>
                <w:highlight w:val="none"/>
                <w:lang w:val="en-US" w:eastAsia="zh-CN" w:bidi="ar"/>
              </w:rPr>
              <w:t>5300.00元/吨，本项目设置单价最高限价，投标人所提交的报价不得超过单价最高限价，否则按无效报价处理。</w:t>
            </w:r>
          </w:p>
        </w:tc>
      </w:tr>
      <w:tr w14:paraId="087BFD1F">
        <w:tblPrEx>
          <w:tblCellMar>
            <w:top w:w="0" w:type="dxa"/>
            <w:left w:w="0" w:type="dxa"/>
            <w:bottom w:w="0" w:type="dxa"/>
            <w:right w:w="0" w:type="dxa"/>
          </w:tblCellMar>
        </w:tblPrEx>
        <w:trPr>
          <w:trHeight w:val="90" w:hRule="atLeast"/>
        </w:trPr>
        <w:tc>
          <w:tcPr>
            <w:tcW w:w="1047" w:type="dxa"/>
            <w:tcBorders>
              <w:top w:val="single" w:color="auto" w:sz="8" w:space="0"/>
              <w:left w:val="single" w:color="auto" w:sz="8" w:space="0"/>
              <w:bottom w:val="single" w:color="auto" w:sz="8" w:space="0"/>
              <w:right w:val="single" w:color="auto" w:sz="8" w:space="0"/>
            </w:tcBorders>
            <w:vAlign w:val="center"/>
          </w:tcPr>
          <w:p w14:paraId="4B2C756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3.2.4</w:t>
            </w:r>
          </w:p>
        </w:tc>
        <w:tc>
          <w:tcPr>
            <w:tcW w:w="2007" w:type="dxa"/>
            <w:tcBorders>
              <w:top w:val="single" w:color="auto" w:sz="8" w:space="0"/>
              <w:left w:val="nil"/>
              <w:bottom w:val="single" w:color="auto" w:sz="8" w:space="0"/>
              <w:right w:val="single" w:color="auto" w:sz="8" w:space="0"/>
            </w:tcBorders>
            <w:vAlign w:val="center"/>
          </w:tcPr>
          <w:p w14:paraId="7A352B9D">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投标报价的其他要求</w:t>
            </w:r>
          </w:p>
        </w:tc>
        <w:tc>
          <w:tcPr>
            <w:tcW w:w="6828" w:type="dxa"/>
            <w:tcBorders>
              <w:top w:val="single" w:color="auto" w:sz="8" w:space="0"/>
              <w:left w:val="nil"/>
              <w:bottom w:val="single" w:color="auto" w:sz="8" w:space="0"/>
              <w:right w:val="single" w:color="auto" w:sz="8" w:space="0"/>
            </w:tcBorders>
            <w:vAlign w:val="center"/>
          </w:tcPr>
          <w:p w14:paraId="6313E270">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1</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本次投标报价为综合报价，报价应为人民币含税价（元），包括货物价格（含利润）、货物运输、装卸、保险、税收、售后服务、</w:t>
            </w:r>
            <w:r>
              <w:rPr>
                <w:rFonts w:hint="eastAsia" w:ascii="宋体" w:hAnsi="宋体" w:cs="宋体"/>
                <w:kern w:val="2"/>
                <w:sz w:val="24"/>
                <w:szCs w:val="24"/>
                <w:highlight w:val="none"/>
                <w:lang w:eastAsia="zh-CN"/>
              </w:rPr>
              <w:t>招标代理服务费</w:t>
            </w:r>
            <w:r>
              <w:rPr>
                <w:rFonts w:hint="eastAsia" w:ascii="宋体" w:hAnsi="宋体" w:cs="宋体"/>
                <w:kern w:val="2"/>
                <w:sz w:val="24"/>
                <w:szCs w:val="24"/>
                <w:highlight w:val="none"/>
              </w:rPr>
              <w:t>等所需全部费用。</w:t>
            </w:r>
          </w:p>
          <w:p w14:paraId="59A25FC3">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投标人应承担所有与参加投标有关的自身的所有费用，不论采购的结果如何，采购代理机构和采购人在任何情况下均无义务和责任承担这些费用。</w:t>
            </w:r>
          </w:p>
          <w:p w14:paraId="59D90A31">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3</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招标代理</w:t>
            </w:r>
            <w:r>
              <w:rPr>
                <w:rFonts w:hint="eastAsia" w:ascii="宋体" w:hAnsi="宋体" w:cs="宋体"/>
                <w:kern w:val="2"/>
                <w:sz w:val="24"/>
                <w:szCs w:val="24"/>
                <w:highlight w:val="none"/>
              </w:rPr>
              <w:t>服务费：</w:t>
            </w:r>
            <w:r>
              <w:rPr>
                <w:rFonts w:hint="eastAsia" w:ascii="宋体" w:hAnsi="宋体" w:cs="宋体"/>
                <w:kern w:val="2"/>
                <w:sz w:val="24"/>
                <w:szCs w:val="24"/>
                <w:highlight w:val="none"/>
                <w:lang w:val="en-US" w:eastAsia="zh-CN"/>
              </w:rPr>
              <w:t>固定金额5070.00元收取,由中标人支付。</w:t>
            </w:r>
          </w:p>
          <w:p w14:paraId="3379EBAA">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账户名称：云南力宏建设工程咨询有限公司</w:t>
            </w:r>
          </w:p>
          <w:p w14:paraId="4CB36447">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开户银行：中国光大银行股份有限公司昆明城西支行</w:t>
            </w:r>
          </w:p>
          <w:p w14:paraId="0C4543DD">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账    号：39620188000151450</w:t>
            </w:r>
          </w:p>
          <w:p w14:paraId="5EA1FD8E">
            <w:pPr>
              <w:pStyle w:val="50"/>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财务电话：0871-68318020</w:t>
            </w:r>
          </w:p>
        </w:tc>
      </w:tr>
      <w:tr w14:paraId="05E54AFB">
        <w:tblPrEx>
          <w:tblCellMar>
            <w:top w:w="0" w:type="dxa"/>
            <w:left w:w="0" w:type="dxa"/>
            <w:bottom w:w="0" w:type="dxa"/>
            <w:right w:w="0" w:type="dxa"/>
          </w:tblCellMar>
        </w:tblPrEx>
        <w:trPr>
          <w:trHeight w:val="90" w:hRule="atLeast"/>
        </w:trPr>
        <w:tc>
          <w:tcPr>
            <w:tcW w:w="1047" w:type="dxa"/>
            <w:tcBorders>
              <w:top w:val="single" w:color="auto" w:sz="8" w:space="0"/>
              <w:left w:val="single" w:color="auto" w:sz="8" w:space="0"/>
              <w:bottom w:val="single" w:color="auto" w:sz="8" w:space="0"/>
              <w:right w:val="single" w:color="auto" w:sz="8" w:space="0"/>
            </w:tcBorders>
            <w:vAlign w:val="center"/>
          </w:tcPr>
          <w:p w14:paraId="57D54EF5">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3.3.1</w:t>
            </w:r>
          </w:p>
        </w:tc>
        <w:tc>
          <w:tcPr>
            <w:tcW w:w="2007" w:type="dxa"/>
            <w:tcBorders>
              <w:top w:val="single" w:color="auto" w:sz="8" w:space="0"/>
              <w:left w:val="nil"/>
              <w:bottom w:val="single" w:color="auto" w:sz="8" w:space="0"/>
              <w:right w:val="single" w:color="auto" w:sz="8" w:space="0"/>
            </w:tcBorders>
            <w:vAlign w:val="center"/>
          </w:tcPr>
          <w:p w14:paraId="712949F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投标有效期</w:t>
            </w:r>
          </w:p>
        </w:tc>
        <w:tc>
          <w:tcPr>
            <w:tcW w:w="6828" w:type="dxa"/>
            <w:tcBorders>
              <w:top w:val="single" w:color="auto" w:sz="8" w:space="0"/>
              <w:left w:val="nil"/>
              <w:bottom w:val="single" w:color="auto" w:sz="8" w:space="0"/>
              <w:right w:val="single" w:color="auto" w:sz="8" w:space="0"/>
            </w:tcBorders>
            <w:vAlign w:val="center"/>
          </w:tcPr>
          <w:p w14:paraId="585F94FF">
            <w:pPr>
              <w:pStyle w:val="50"/>
              <w:keepNext w:val="0"/>
              <w:keepLines w:val="0"/>
              <w:pageBreakBefore w:val="0"/>
              <w:kinsoku/>
              <w:wordWrap/>
              <w:overflowPunct/>
              <w:bidi w:val="0"/>
              <w:adjustRightInd/>
              <w:snapToGrid/>
              <w:spacing w:line="440" w:lineRule="exact"/>
              <w:jc w:val="both"/>
              <w:textAlignment w:val="auto"/>
              <w:rPr>
                <w:rFonts w:ascii="宋体" w:hAnsi="宋体" w:cs="宋体"/>
                <w:kern w:val="2"/>
                <w:sz w:val="24"/>
                <w:szCs w:val="24"/>
                <w:highlight w:val="none"/>
              </w:rPr>
            </w:pPr>
            <w:r>
              <w:rPr>
                <w:rFonts w:hint="eastAsia" w:ascii="宋体" w:hAnsi="宋体" w:cs="宋体"/>
                <w:kern w:val="2"/>
                <w:sz w:val="24"/>
                <w:szCs w:val="24"/>
                <w:highlight w:val="none"/>
              </w:rPr>
              <w:t>投标有效期为</w:t>
            </w:r>
            <w:r>
              <w:rPr>
                <w:rFonts w:hint="eastAsia" w:ascii="宋体" w:hAnsi="宋体" w:cs="宋体"/>
                <w:kern w:val="2"/>
                <w:sz w:val="24"/>
                <w:szCs w:val="24"/>
                <w:highlight w:val="none"/>
                <w:u w:val="single"/>
              </w:rPr>
              <w:t xml:space="preserve"> 90 </w:t>
            </w:r>
            <w:r>
              <w:rPr>
                <w:rFonts w:hint="eastAsia" w:ascii="宋体" w:hAnsi="宋体" w:cs="宋体"/>
                <w:kern w:val="2"/>
                <w:sz w:val="24"/>
                <w:szCs w:val="24"/>
                <w:highlight w:val="none"/>
              </w:rPr>
              <w:t>日历天</w:t>
            </w:r>
            <w:r>
              <w:rPr>
                <w:rFonts w:hint="eastAsia" w:ascii="宋体" w:hAnsi="宋体" w:cs="宋体"/>
                <w:kern w:val="2"/>
                <w:sz w:val="24"/>
                <w:szCs w:val="24"/>
                <w:highlight w:val="none"/>
                <w:lang w:eastAsia="zh-CN"/>
              </w:rPr>
              <w:t>（</w:t>
            </w:r>
            <w:r>
              <w:rPr>
                <w:rFonts w:hint="eastAsia" w:ascii="宋体" w:hAnsi="宋体" w:cs="宋体"/>
                <w:sz w:val="24"/>
                <w:szCs w:val="24"/>
                <w:highlight w:val="none"/>
              </w:rPr>
              <w:t>从投标截止之日算起</w:t>
            </w:r>
            <w:r>
              <w:rPr>
                <w:rFonts w:hint="eastAsia" w:ascii="宋体" w:hAnsi="宋体" w:cs="宋体"/>
                <w:sz w:val="24"/>
                <w:szCs w:val="24"/>
                <w:highlight w:val="none"/>
                <w:lang w:eastAsia="zh-CN"/>
              </w:rPr>
              <w:t>）</w:t>
            </w:r>
            <w:r>
              <w:rPr>
                <w:rFonts w:hint="eastAsia" w:ascii="宋体" w:hAnsi="宋体" w:cs="宋体"/>
                <w:kern w:val="2"/>
                <w:sz w:val="24"/>
                <w:szCs w:val="24"/>
                <w:highlight w:val="none"/>
              </w:rPr>
              <w:t>。</w:t>
            </w:r>
          </w:p>
        </w:tc>
      </w:tr>
      <w:tr w14:paraId="0E92C38D">
        <w:tblPrEx>
          <w:tblCellMar>
            <w:top w:w="0" w:type="dxa"/>
            <w:left w:w="0" w:type="dxa"/>
            <w:bottom w:w="0" w:type="dxa"/>
            <w:right w:w="0" w:type="dxa"/>
          </w:tblCellMar>
        </w:tblPrEx>
        <w:trPr>
          <w:trHeight w:val="671" w:hRule="atLeast"/>
        </w:trPr>
        <w:tc>
          <w:tcPr>
            <w:tcW w:w="1047" w:type="dxa"/>
            <w:tcBorders>
              <w:top w:val="single" w:color="auto" w:sz="8" w:space="0"/>
              <w:left w:val="single" w:color="auto" w:sz="8" w:space="0"/>
              <w:bottom w:val="single" w:color="auto" w:sz="8" w:space="0"/>
              <w:right w:val="single" w:color="auto" w:sz="8" w:space="0"/>
            </w:tcBorders>
            <w:vAlign w:val="center"/>
          </w:tcPr>
          <w:p w14:paraId="263069EC">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3.4.1</w:t>
            </w:r>
          </w:p>
        </w:tc>
        <w:tc>
          <w:tcPr>
            <w:tcW w:w="2007" w:type="dxa"/>
            <w:tcBorders>
              <w:top w:val="single" w:color="auto" w:sz="8" w:space="0"/>
              <w:left w:val="nil"/>
              <w:bottom w:val="single" w:color="auto" w:sz="8" w:space="0"/>
              <w:right w:val="single" w:color="auto" w:sz="8" w:space="0"/>
            </w:tcBorders>
            <w:vAlign w:val="center"/>
          </w:tcPr>
          <w:p w14:paraId="1BF0D64E">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投标保证金</w:t>
            </w:r>
          </w:p>
        </w:tc>
        <w:tc>
          <w:tcPr>
            <w:tcW w:w="6828" w:type="dxa"/>
            <w:tcBorders>
              <w:top w:val="single" w:color="auto" w:sz="8" w:space="0"/>
              <w:left w:val="nil"/>
              <w:bottom w:val="single" w:color="auto" w:sz="8" w:space="0"/>
              <w:right w:val="single" w:color="auto" w:sz="8" w:space="0"/>
            </w:tcBorders>
            <w:vAlign w:val="center"/>
          </w:tcPr>
          <w:p w14:paraId="169673D0">
            <w:pPr>
              <w:keepNext w:val="0"/>
              <w:keepLines w:val="0"/>
              <w:pageBreakBefore w:val="0"/>
              <w:kinsoku/>
              <w:wordWrap/>
              <w:overflowPunct/>
              <w:autoSpaceDE w:val="0"/>
              <w:autoSpaceDN w:val="0"/>
              <w:bidi w:val="0"/>
              <w:adjustRightInd/>
              <w:snapToGrid/>
              <w:spacing w:line="440" w:lineRule="exact"/>
              <w:textAlignment w:val="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本项目不收取投标保证金。</w:t>
            </w:r>
          </w:p>
        </w:tc>
      </w:tr>
      <w:tr w14:paraId="10260794">
        <w:tblPrEx>
          <w:tblCellMar>
            <w:top w:w="0" w:type="dxa"/>
            <w:left w:w="0" w:type="dxa"/>
            <w:bottom w:w="0" w:type="dxa"/>
            <w:right w:w="0" w:type="dxa"/>
          </w:tblCellMar>
        </w:tblPrEx>
        <w:trPr>
          <w:trHeight w:val="1312" w:hRule="atLeast"/>
        </w:trPr>
        <w:tc>
          <w:tcPr>
            <w:tcW w:w="1047" w:type="dxa"/>
            <w:tcBorders>
              <w:top w:val="single" w:color="auto" w:sz="8" w:space="0"/>
              <w:left w:val="single" w:color="auto" w:sz="8" w:space="0"/>
              <w:bottom w:val="single" w:color="auto" w:sz="8" w:space="0"/>
              <w:right w:val="single" w:color="auto" w:sz="8" w:space="0"/>
            </w:tcBorders>
            <w:vAlign w:val="center"/>
          </w:tcPr>
          <w:p w14:paraId="364C4384">
            <w:pPr>
              <w:keepNext w:val="0"/>
              <w:keepLines w:val="0"/>
              <w:pageBreakBefore w:val="0"/>
              <w:kinsoku/>
              <w:wordWrap/>
              <w:overflowPunct/>
              <w:bidi w:val="0"/>
              <w:adjustRightInd/>
              <w:snapToGrid/>
              <w:spacing w:line="440" w:lineRule="exact"/>
              <w:jc w:val="center"/>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3.5.</w:t>
            </w:r>
            <w:r>
              <w:rPr>
                <w:rFonts w:hint="eastAsia" w:ascii="宋体" w:hAnsi="宋体" w:cs="宋体"/>
                <w:color w:val="000000" w:themeColor="text1"/>
                <w:kern w:val="2"/>
                <w:sz w:val="24"/>
                <w:szCs w:val="24"/>
                <w:highlight w:val="none"/>
                <w:lang w:val="en-US" w:eastAsia="zh-CN"/>
                <w14:textFill>
                  <w14:solidFill>
                    <w14:schemeClr w14:val="tx1"/>
                  </w14:solidFill>
                </w14:textFill>
              </w:rPr>
              <w:t>3</w:t>
            </w:r>
          </w:p>
        </w:tc>
        <w:tc>
          <w:tcPr>
            <w:tcW w:w="2007" w:type="dxa"/>
            <w:tcBorders>
              <w:top w:val="single" w:color="auto" w:sz="8" w:space="0"/>
              <w:left w:val="nil"/>
              <w:bottom w:val="single" w:color="auto" w:sz="8" w:space="0"/>
              <w:right w:val="single" w:color="auto" w:sz="8" w:space="0"/>
            </w:tcBorders>
            <w:vAlign w:val="center"/>
          </w:tcPr>
          <w:p w14:paraId="6BE2D730">
            <w:pPr>
              <w:keepNext w:val="0"/>
              <w:keepLines w:val="0"/>
              <w:pageBreakBefore w:val="0"/>
              <w:kinsoku/>
              <w:wordWrap/>
              <w:overflowPunct/>
              <w:bidi w:val="0"/>
              <w:adjustRightInd/>
              <w:snapToGrid/>
              <w:spacing w:line="440" w:lineRule="exact"/>
              <w:jc w:val="center"/>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投标文件所附证书证件要求、投标文件签字或盖章要求</w:t>
            </w:r>
          </w:p>
        </w:tc>
        <w:tc>
          <w:tcPr>
            <w:tcW w:w="6828" w:type="dxa"/>
            <w:tcBorders>
              <w:top w:val="single" w:color="auto" w:sz="8" w:space="0"/>
              <w:left w:val="nil"/>
              <w:bottom w:val="single" w:color="auto" w:sz="8" w:space="0"/>
              <w:right w:val="single" w:color="auto" w:sz="8" w:space="0"/>
            </w:tcBorders>
            <w:vAlign w:val="center"/>
          </w:tcPr>
          <w:p w14:paraId="60FA5EBE">
            <w:pPr>
              <w:keepNext w:val="0"/>
              <w:keepLines w:val="0"/>
              <w:pageBreakBefore w:val="0"/>
              <w:kinsoku/>
              <w:wordWrap/>
              <w:overflowPunct/>
              <w:bidi w:val="0"/>
              <w:adjustRightInd/>
              <w:snapToGrid/>
              <w:spacing w:line="440" w:lineRule="exact"/>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投标文件所附证书证件要求：原件扫描件</w:t>
            </w:r>
          </w:p>
          <w:p w14:paraId="1DCBCBAB">
            <w:pPr>
              <w:keepNext w:val="0"/>
              <w:keepLines w:val="0"/>
              <w:pageBreakBefore w:val="0"/>
              <w:kinsoku/>
              <w:wordWrap/>
              <w:overflowPunct/>
              <w:bidi w:val="0"/>
              <w:adjustRightInd/>
              <w:snapToGrid/>
              <w:spacing w:line="440" w:lineRule="exact"/>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投标文件签字或盖章要求：签字或加盖电子签章</w:t>
            </w:r>
          </w:p>
        </w:tc>
      </w:tr>
      <w:tr w14:paraId="7BB394E8">
        <w:tblPrEx>
          <w:tblCellMar>
            <w:top w:w="0" w:type="dxa"/>
            <w:left w:w="0" w:type="dxa"/>
            <w:bottom w:w="0" w:type="dxa"/>
            <w:right w:w="0" w:type="dxa"/>
          </w:tblCellMar>
        </w:tblPrEx>
        <w:trPr>
          <w:trHeight w:val="998" w:hRule="atLeast"/>
        </w:trPr>
        <w:tc>
          <w:tcPr>
            <w:tcW w:w="1047" w:type="dxa"/>
            <w:tcBorders>
              <w:top w:val="single" w:color="auto" w:sz="8" w:space="0"/>
              <w:left w:val="single" w:color="auto" w:sz="8" w:space="0"/>
              <w:bottom w:val="single" w:color="auto" w:sz="8" w:space="0"/>
              <w:right w:val="single" w:color="auto" w:sz="8" w:space="0"/>
            </w:tcBorders>
            <w:vAlign w:val="center"/>
          </w:tcPr>
          <w:p w14:paraId="45382064">
            <w:pPr>
              <w:keepNext w:val="0"/>
              <w:keepLines w:val="0"/>
              <w:pageBreakBefore w:val="0"/>
              <w:kinsoku/>
              <w:wordWrap/>
              <w:overflowPunct/>
              <w:bidi w:val="0"/>
              <w:adjustRightInd/>
              <w:snapToGrid/>
              <w:spacing w:line="440" w:lineRule="exact"/>
              <w:jc w:val="center"/>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14:textFill>
                  <w14:solidFill>
                    <w14:schemeClr w14:val="tx1"/>
                  </w14:solidFill>
                </w14:textFill>
              </w:rPr>
              <w:t>3.5.</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4</w:t>
            </w:r>
          </w:p>
        </w:tc>
        <w:tc>
          <w:tcPr>
            <w:tcW w:w="2007" w:type="dxa"/>
            <w:tcBorders>
              <w:top w:val="single" w:color="auto" w:sz="8" w:space="0"/>
              <w:left w:val="nil"/>
              <w:bottom w:val="single" w:color="auto" w:sz="8" w:space="0"/>
              <w:right w:val="single" w:color="auto" w:sz="8" w:space="0"/>
            </w:tcBorders>
            <w:vAlign w:val="center"/>
          </w:tcPr>
          <w:p w14:paraId="6E783FF9">
            <w:pPr>
              <w:keepNext w:val="0"/>
              <w:keepLines w:val="0"/>
              <w:pageBreakBefore w:val="0"/>
              <w:kinsoku/>
              <w:wordWrap/>
              <w:overflowPunct/>
              <w:bidi w:val="0"/>
              <w:adjustRightInd/>
              <w:snapToGrid/>
              <w:spacing w:line="440" w:lineRule="exact"/>
              <w:jc w:val="center"/>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电子投标文件格式</w:t>
            </w:r>
          </w:p>
        </w:tc>
        <w:tc>
          <w:tcPr>
            <w:tcW w:w="6828" w:type="dxa"/>
            <w:tcBorders>
              <w:top w:val="single" w:color="auto" w:sz="8" w:space="0"/>
              <w:left w:val="nil"/>
              <w:bottom w:val="single" w:color="auto" w:sz="8" w:space="0"/>
              <w:right w:val="single" w:color="auto" w:sz="8" w:space="0"/>
            </w:tcBorders>
            <w:vAlign w:val="center"/>
          </w:tcPr>
          <w:p w14:paraId="003FFB9E">
            <w:pPr>
              <w:keepNext w:val="0"/>
              <w:keepLines w:val="0"/>
              <w:pageBreakBefore w:val="0"/>
              <w:kinsoku/>
              <w:wordWrap/>
              <w:overflowPunct/>
              <w:bidi w:val="0"/>
              <w:adjustRightInd/>
              <w:snapToGrid/>
              <w:spacing w:line="440" w:lineRule="exact"/>
              <w:jc w:val="left"/>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投标文件全部采用电子文档，投标人应安装客户端软件—“政采云电子交易客户端”，并按照招标文件和政采云电子交易平台的要求编制</w:t>
            </w:r>
            <w:r>
              <w:rPr>
                <w:rFonts w:hint="eastAsia" w:ascii="宋体" w:hAnsi="宋体" w:cs="宋体"/>
                <w:color w:val="000000" w:themeColor="text1"/>
                <w:kern w:val="2"/>
                <w:sz w:val="24"/>
                <w:szCs w:val="24"/>
                <w:highlight w:val="none"/>
                <w:lang w:eastAsia="zh-CN"/>
                <w14:textFill>
                  <w14:solidFill>
                    <w14:schemeClr w14:val="tx1"/>
                  </w14:solidFill>
                </w14:textFill>
              </w:rPr>
              <w:t>。</w:t>
            </w:r>
          </w:p>
        </w:tc>
      </w:tr>
      <w:tr w14:paraId="4DE6AE39">
        <w:tblPrEx>
          <w:tblCellMar>
            <w:top w:w="0" w:type="dxa"/>
            <w:left w:w="0" w:type="dxa"/>
            <w:bottom w:w="0" w:type="dxa"/>
            <w:right w:w="0" w:type="dxa"/>
          </w:tblCellMar>
        </w:tblPrEx>
        <w:trPr>
          <w:trHeight w:val="863" w:hRule="atLeast"/>
        </w:trPr>
        <w:tc>
          <w:tcPr>
            <w:tcW w:w="1047" w:type="dxa"/>
            <w:tcBorders>
              <w:top w:val="single" w:color="auto" w:sz="8" w:space="0"/>
              <w:left w:val="single" w:color="auto" w:sz="8" w:space="0"/>
              <w:bottom w:val="single" w:color="auto" w:sz="8" w:space="0"/>
              <w:right w:val="single" w:color="auto" w:sz="8" w:space="0"/>
            </w:tcBorders>
            <w:vAlign w:val="center"/>
          </w:tcPr>
          <w:p w14:paraId="647B6756">
            <w:pPr>
              <w:keepNext w:val="0"/>
              <w:keepLines w:val="0"/>
              <w:pageBreakBefore w:val="0"/>
              <w:kinsoku/>
              <w:wordWrap/>
              <w:overflowPunct/>
              <w:bidi w:val="0"/>
              <w:adjustRightInd/>
              <w:snapToGrid/>
              <w:spacing w:line="440" w:lineRule="exact"/>
              <w:jc w:val="center"/>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4.1.1</w:t>
            </w:r>
          </w:p>
        </w:tc>
        <w:tc>
          <w:tcPr>
            <w:tcW w:w="2007" w:type="dxa"/>
            <w:tcBorders>
              <w:top w:val="single" w:color="auto" w:sz="8" w:space="0"/>
              <w:left w:val="nil"/>
              <w:bottom w:val="single" w:color="auto" w:sz="8" w:space="0"/>
              <w:right w:val="single" w:color="auto" w:sz="8" w:space="0"/>
            </w:tcBorders>
            <w:vAlign w:val="center"/>
          </w:tcPr>
          <w:p w14:paraId="2D44CC7E">
            <w:pPr>
              <w:keepNext w:val="0"/>
              <w:keepLines w:val="0"/>
              <w:pageBreakBefore w:val="0"/>
              <w:kinsoku/>
              <w:wordWrap/>
              <w:overflowPunct/>
              <w:bidi w:val="0"/>
              <w:adjustRightInd/>
              <w:snapToGrid/>
              <w:spacing w:line="440" w:lineRule="exact"/>
              <w:jc w:val="center"/>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投标文件加密要求</w:t>
            </w:r>
          </w:p>
        </w:tc>
        <w:tc>
          <w:tcPr>
            <w:tcW w:w="6828" w:type="dxa"/>
            <w:tcBorders>
              <w:top w:val="single" w:color="auto" w:sz="8" w:space="0"/>
              <w:left w:val="nil"/>
              <w:bottom w:val="single" w:color="auto" w:sz="8" w:space="0"/>
              <w:right w:val="single" w:color="auto" w:sz="8" w:space="0"/>
            </w:tcBorders>
            <w:vAlign w:val="center"/>
          </w:tcPr>
          <w:p w14:paraId="3854B83D">
            <w:pPr>
              <w:keepNext w:val="0"/>
              <w:keepLines w:val="0"/>
              <w:pageBreakBefore w:val="0"/>
              <w:kinsoku/>
              <w:wordWrap/>
              <w:overflowPunct/>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（1）投标人进行电子交易应安装客户端软件—“政采云电子交易客户端”，并按照招标文件和电子交易平台的要求编制并加密投标文件。投标人未按规定加密的投标文件，电子交易平台将拒收并提示；</w:t>
            </w:r>
          </w:p>
          <w:p w14:paraId="7382EFEB">
            <w:pPr>
              <w:keepNext w:val="0"/>
              <w:keepLines w:val="0"/>
              <w:pageBreakBefore w:val="0"/>
              <w:kinsoku/>
              <w:wordWrap/>
              <w:overflowPunct/>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（2）使用“政采云电子交易客户端”需要提前申领CA数字证书；</w:t>
            </w:r>
          </w:p>
          <w:p w14:paraId="0DE68FFF">
            <w:pPr>
              <w:keepNext w:val="0"/>
              <w:keepLines w:val="0"/>
              <w:pageBreakBefore w:val="0"/>
              <w:kinsoku/>
              <w:wordWrap/>
              <w:overflowPunct/>
              <w:bidi w:val="0"/>
              <w:adjustRightInd/>
              <w:snapToGrid/>
              <w:spacing w:line="440" w:lineRule="exact"/>
              <w:jc w:val="left"/>
              <w:textAlignment w:val="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（3）为确保网上操作合法、有效和安全，投标人应当在投标文件提交截止时间前完成在“政府采购云平台”的身份认证，确保在电子交易过程中能够对相关数据电文进行加密和使用电子签名。</w:t>
            </w:r>
          </w:p>
        </w:tc>
      </w:tr>
      <w:tr w14:paraId="619721D5">
        <w:tblPrEx>
          <w:tblCellMar>
            <w:top w:w="0" w:type="dxa"/>
            <w:left w:w="0" w:type="dxa"/>
            <w:bottom w:w="0" w:type="dxa"/>
            <w:right w:w="0" w:type="dxa"/>
          </w:tblCellMar>
        </w:tblPrEx>
        <w:trPr>
          <w:trHeight w:val="542" w:hRule="atLeast"/>
        </w:trPr>
        <w:tc>
          <w:tcPr>
            <w:tcW w:w="1047" w:type="dxa"/>
            <w:tcBorders>
              <w:top w:val="single" w:color="auto" w:sz="8" w:space="0"/>
              <w:left w:val="single" w:color="auto" w:sz="8" w:space="0"/>
              <w:bottom w:val="single" w:color="auto" w:sz="8" w:space="0"/>
              <w:right w:val="single" w:color="auto" w:sz="8" w:space="0"/>
            </w:tcBorders>
            <w:vAlign w:val="center"/>
          </w:tcPr>
          <w:p w14:paraId="10C773F5">
            <w:pPr>
              <w:keepNext w:val="0"/>
              <w:keepLines w:val="0"/>
              <w:pageBreakBefore w:val="0"/>
              <w:kinsoku/>
              <w:wordWrap/>
              <w:overflowPunct/>
              <w:bidi w:val="0"/>
              <w:adjustRightInd/>
              <w:snapToGrid/>
              <w:spacing w:line="440" w:lineRule="exact"/>
              <w:jc w:val="center"/>
              <w:textAlignment w:val="auto"/>
              <w:rPr>
                <w:rFonts w:ascii="宋体" w:hAnsi="宋体" w:cs="宋体"/>
                <w:highlight w:val="none"/>
              </w:rPr>
            </w:pPr>
            <w:r>
              <w:rPr>
                <w:rFonts w:hint="eastAsia" w:ascii="宋体" w:hAnsi="宋体" w:cs="宋体"/>
                <w:sz w:val="24"/>
                <w:szCs w:val="24"/>
                <w:highlight w:val="none"/>
              </w:rPr>
              <w:t>4.2.1</w:t>
            </w:r>
          </w:p>
        </w:tc>
        <w:tc>
          <w:tcPr>
            <w:tcW w:w="2007" w:type="dxa"/>
            <w:tcBorders>
              <w:top w:val="single" w:color="auto" w:sz="8" w:space="0"/>
              <w:left w:val="nil"/>
              <w:bottom w:val="single" w:color="auto" w:sz="8" w:space="0"/>
              <w:right w:val="single" w:color="auto" w:sz="8" w:space="0"/>
            </w:tcBorders>
            <w:vAlign w:val="center"/>
          </w:tcPr>
          <w:p w14:paraId="3307062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投标截止时间</w:t>
            </w:r>
          </w:p>
        </w:tc>
        <w:tc>
          <w:tcPr>
            <w:tcW w:w="6828" w:type="dxa"/>
            <w:tcBorders>
              <w:top w:val="single" w:color="auto" w:sz="8" w:space="0"/>
              <w:left w:val="nil"/>
              <w:bottom w:val="single" w:color="auto" w:sz="8" w:space="0"/>
              <w:right w:val="single" w:color="auto" w:sz="8" w:space="0"/>
            </w:tcBorders>
            <w:vAlign w:val="center"/>
          </w:tcPr>
          <w:p w14:paraId="72B164B0">
            <w:pPr>
              <w:keepNext w:val="0"/>
              <w:keepLines w:val="0"/>
              <w:pageBreakBefore w:val="0"/>
              <w:kinsoku/>
              <w:wordWrap/>
              <w:overflowPunct/>
              <w:bidi w:val="0"/>
              <w:adjustRightInd/>
              <w:snapToGrid/>
              <w:spacing w:line="440" w:lineRule="exact"/>
              <w:jc w:val="both"/>
              <w:textAlignment w:val="auto"/>
              <w:rPr>
                <w:rFonts w:ascii="宋体" w:hAnsi="宋体" w:cs="宋体"/>
                <w:kern w:val="2"/>
                <w:sz w:val="24"/>
                <w:szCs w:val="24"/>
                <w:highlight w:val="none"/>
              </w:rPr>
            </w:pPr>
            <w:r>
              <w:rPr>
                <w:rFonts w:hint="eastAsia" w:ascii="宋体" w:hAnsi="宋体" w:eastAsia="宋体" w:cs="宋体"/>
                <w:sz w:val="24"/>
                <w:szCs w:val="24"/>
                <w:highlight w:val="none"/>
              </w:rPr>
              <w:t>详见第一章“招标公告”</w:t>
            </w:r>
          </w:p>
        </w:tc>
      </w:tr>
      <w:tr w14:paraId="0E330509">
        <w:tblPrEx>
          <w:tblCellMar>
            <w:top w:w="0" w:type="dxa"/>
            <w:left w:w="0" w:type="dxa"/>
            <w:bottom w:w="0" w:type="dxa"/>
            <w:right w:w="0" w:type="dxa"/>
          </w:tblCellMar>
        </w:tblPrEx>
        <w:trPr>
          <w:trHeight w:val="943" w:hRule="atLeast"/>
        </w:trPr>
        <w:tc>
          <w:tcPr>
            <w:tcW w:w="1047" w:type="dxa"/>
            <w:tcBorders>
              <w:top w:val="single" w:color="auto" w:sz="8" w:space="0"/>
              <w:left w:val="single" w:color="auto" w:sz="8" w:space="0"/>
              <w:bottom w:val="single" w:color="auto" w:sz="8" w:space="0"/>
              <w:right w:val="single" w:color="auto" w:sz="8" w:space="0"/>
            </w:tcBorders>
            <w:vAlign w:val="center"/>
          </w:tcPr>
          <w:p w14:paraId="11644427">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4.2.2</w:t>
            </w:r>
          </w:p>
        </w:tc>
        <w:tc>
          <w:tcPr>
            <w:tcW w:w="2007" w:type="dxa"/>
            <w:tcBorders>
              <w:top w:val="single" w:color="auto" w:sz="8" w:space="0"/>
              <w:left w:val="nil"/>
              <w:bottom w:val="single" w:color="auto" w:sz="8" w:space="0"/>
              <w:right w:val="single" w:color="auto" w:sz="8" w:space="0"/>
            </w:tcBorders>
            <w:vAlign w:val="center"/>
          </w:tcPr>
          <w:p w14:paraId="26715B46">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投标文件</w:t>
            </w:r>
            <w:r>
              <w:rPr>
                <w:rFonts w:hint="eastAsia" w:ascii="宋体" w:hAnsi="宋体"/>
                <w:sz w:val="24"/>
                <w:szCs w:val="24"/>
                <w:lang w:val="en-US" w:eastAsia="zh-CN"/>
              </w:rPr>
              <w:t>提交</w:t>
            </w:r>
            <w:r>
              <w:rPr>
                <w:rFonts w:hint="eastAsia" w:ascii="宋体" w:hAnsi="宋体" w:cs="宋体"/>
                <w:kern w:val="2"/>
                <w:sz w:val="24"/>
                <w:szCs w:val="24"/>
                <w:highlight w:val="none"/>
              </w:rPr>
              <w:t>时间和地点</w:t>
            </w:r>
          </w:p>
        </w:tc>
        <w:tc>
          <w:tcPr>
            <w:tcW w:w="6828" w:type="dxa"/>
            <w:tcBorders>
              <w:top w:val="single" w:color="auto" w:sz="8" w:space="0"/>
              <w:left w:val="nil"/>
              <w:bottom w:val="single" w:color="auto" w:sz="8" w:space="0"/>
              <w:right w:val="single" w:color="auto" w:sz="8" w:space="0"/>
            </w:tcBorders>
            <w:vAlign w:val="center"/>
          </w:tcPr>
          <w:p w14:paraId="06BC4D6F">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eastAsia="宋体" w:cs="宋体"/>
                <w:sz w:val="24"/>
                <w:szCs w:val="24"/>
                <w:highlight w:val="none"/>
              </w:rPr>
              <w:t>详见第一章“招标公告”</w:t>
            </w:r>
          </w:p>
        </w:tc>
      </w:tr>
      <w:tr w14:paraId="159ABB4D">
        <w:tblPrEx>
          <w:tblCellMar>
            <w:top w:w="0" w:type="dxa"/>
            <w:left w:w="0" w:type="dxa"/>
            <w:bottom w:w="0" w:type="dxa"/>
            <w:right w:w="0" w:type="dxa"/>
          </w:tblCellMar>
        </w:tblPrEx>
        <w:trPr>
          <w:trHeight w:val="902" w:hRule="atLeast"/>
        </w:trPr>
        <w:tc>
          <w:tcPr>
            <w:tcW w:w="1047" w:type="dxa"/>
            <w:tcBorders>
              <w:top w:val="single" w:color="auto" w:sz="8" w:space="0"/>
              <w:left w:val="single" w:color="auto" w:sz="8" w:space="0"/>
              <w:bottom w:val="single" w:color="auto" w:sz="8" w:space="0"/>
              <w:right w:val="single" w:color="auto" w:sz="8" w:space="0"/>
            </w:tcBorders>
            <w:vAlign w:val="center"/>
          </w:tcPr>
          <w:p w14:paraId="67F5FFE7">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5.1</w:t>
            </w:r>
          </w:p>
        </w:tc>
        <w:tc>
          <w:tcPr>
            <w:tcW w:w="2007" w:type="dxa"/>
            <w:tcBorders>
              <w:top w:val="single" w:color="auto" w:sz="8" w:space="0"/>
              <w:left w:val="nil"/>
              <w:bottom w:val="single" w:color="auto" w:sz="8" w:space="0"/>
              <w:right w:val="single" w:color="auto" w:sz="8" w:space="0"/>
            </w:tcBorders>
            <w:vAlign w:val="center"/>
          </w:tcPr>
          <w:p w14:paraId="7FFDEEBD">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开标时间和地点</w:t>
            </w:r>
          </w:p>
        </w:tc>
        <w:tc>
          <w:tcPr>
            <w:tcW w:w="6828" w:type="dxa"/>
            <w:tcBorders>
              <w:top w:val="single" w:color="auto" w:sz="8" w:space="0"/>
              <w:left w:val="nil"/>
              <w:bottom w:val="single" w:color="auto" w:sz="8" w:space="0"/>
              <w:right w:val="single" w:color="auto" w:sz="8" w:space="0"/>
            </w:tcBorders>
            <w:vAlign w:val="center"/>
          </w:tcPr>
          <w:p w14:paraId="15842868">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开标时间：同投标截止时间</w:t>
            </w:r>
          </w:p>
          <w:p w14:paraId="67BA3F64">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开标地点：同投标文件</w:t>
            </w:r>
            <w:r>
              <w:rPr>
                <w:rFonts w:hint="eastAsia" w:ascii="宋体" w:hAnsi="宋体"/>
                <w:sz w:val="24"/>
                <w:szCs w:val="24"/>
                <w:lang w:val="en-US" w:eastAsia="zh-CN"/>
              </w:rPr>
              <w:t>提交</w:t>
            </w:r>
            <w:r>
              <w:rPr>
                <w:rFonts w:hint="eastAsia" w:ascii="宋体" w:hAnsi="宋体" w:cs="宋体"/>
                <w:kern w:val="2"/>
                <w:sz w:val="24"/>
                <w:szCs w:val="24"/>
                <w:highlight w:val="none"/>
              </w:rPr>
              <w:t>地点</w:t>
            </w:r>
          </w:p>
        </w:tc>
      </w:tr>
      <w:tr w14:paraId="05AD5137">
        <w:tblPrEx>
          <w:tblCellMar>
            <w:top w:w="0" w:type="dxa"/>
            <w:left w:w="0" w:type="dxa"/>
            <w:bottom w:w="0" w:type="dxa"/>
            <w:right w:w="0" w:type="dxa"/>
          </w:tblCellMar>
        </w:tblPrEx>
        <w:trPr>
          <w:trHeight w:val="902" w:hRule="atLeast"/>
        </w:trPr>
        <w:tc>
          <w:tcPr>
            <w:tcW w:w="1047" w:type="dxa"/>
            <w:tcBorders>
              <w:top w:val="single" w:color="auto" w:sz="8" w:space="0"/>
              <w:left w:val="single" w:color="auto" w:sz="8" w:space="0"/>
              <w:bottom w:val="single" w:color="auto" w:sz="8" w:space="0"/>
              <w:right w:val="single" w:color="auto" w:sz="8" w:space="0"/>
            </w:tcBorders>
            <w:vAlign w:val="center"/>
          </w:tcPr>
          <w:p w14:paraId="1974BB27">
            <w:pPr>
              <w:keepNext w:val="0"/>
              <w:keepLines w:val="0"/>
              <w:pageBreakBefore w:val="0"/>
              <w:kinsoku/>
              <w:wordWrap/>
              <w:overflowPunct/>
              <w:bidi w:val="0"/>
              <w:adjustRightInd/>
              <w:snapToGrid/>
              <w:spacing w:line="440" w:lineRule="exact"/>
              <w:jc w:val="center"/>
              <w:textAlignment w:val="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5.2</w:t>
            </w:r>
          </w:p>
        </w:tc>
        <w:tc>
          <w:tcPr>
            <w:tcW w:w="2007" w:type="dxa"/>
            <w:tcBorders>
              <w:top w:val="single" w:color="auto" w:sz="8" w:space="0"/>
              <w:left w:val="nil"/>
              <w:bottom w:val="single" w:color="auto" w:sz="8" w:space="0"/>
              <w:right w:val="single" w:color="auto" w:sz="8" w:space="0"/>
            </w:tcBorders>
            <w:vAlign w:val="center"/>
          </w:tcPr>
          <w:p w14:paraId="65373707">
            <w:pPr>
              <w:keepNext w:val="0"/>
              <w:keepLines w:val="0"/>
              <w:pageBreakBefore w:val="0"/>
              <w:kinsoku/>
              <w:wordWrap/>
              <w:overflowPunct/>
              <w:bidi w:val="0"/>
              <w:adjustRightInd/>
              <w:snapToGrid/>
              <w:spacing w:line="440" w:lineRule="exact"/>
              <w:jc w:val="center"/>
              <w:textAlignment w:val="auto"/>
              <w:rPr>
                <w:rFonts w:hint="eastAsia" w:ascii="宋体" w:hAnsi="宋体" w:cs="宋体"/>
                <w:kern w:val="2"/>
                <w:sz w:val="24"/>
                <w:szCs w:val="24"/>
                <w:highlight w:val="none"/>
              </w:rPr>
            </w:pPr>
            <w:r>
              <w:rPr>
                <w:rFonts w:hint="eastAsia" w:ascii="宋体" w:hAnsi="宋体" w:cs="宋体"/>
                <w:kern w:val="2"/>
                <w:sz w:val="24"/>
                <w:szCs w:val="24"/>
                <w:highlight w:val="none"/>
              </w:rPr>
              <w:t>开标程序</w:t>
            </w:r>
          </w:p>
        </w:tc>
        <w:tc>
          <w:tcPr>
            <w:tcW w:w="6828" w:type="dxa"/>
            <w:tcBorders>
              <w:top w:val="single" w:color="auto" w:sz="8" w:space="0"/>
              <w:left w:val="nil"/>
              <w:bottom w:val="single" w:color="auto" w:sz="8" w:space="0"/>
              <w:right w:val="single" w:color="auto" w:sz="8" w:space="0"/>
            </w:tcBorders>
            <w:vAlign w:val="center"/>
          </w:tcPr>
          <w:p w14:paraId="1839F229">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sz w:val="24"/>
                <w:szCs w:val="24"/>
                <w:highlight w:val="none"/>
                <w:lang w:eastAsia="zh-CN"/>
              </w:rPr>
              <w:t>（</w:t>
            </w:r>
            <w:r>
              <w:rPr>
                <w:rFonts w:hint="eastAsia" w:ascii="宋体" w:hAnsi="宋体" w:eastAsia="宋体"/>
                <w:sz w:val="24"/>
                <w:szCs w:val="24"/>
                <w:highlight w:val="none"/>
              </w:rPr>
              <w:t>1</w:t>
            </w:r>
            <w:r>
              <w:rPr>
                <w:rFonts w:hint="eastAsia" w:ascii="宋体" w:hAnsi="宋体"/>
                <w:sz w:val="24"/>
                <w:szCs w:val="24"/>
                <w:highlight w:val="none"/>
                <w:lang w:eastAsia="zh-CN"/>
              </w:rPr>
              <w:t>）</w:t>
            </w:r>
            <w:r>
              <w:rPr>
                <w:rFonts w:hint="eastAsia" w:ascii="宋体" w:hAnsi="宋体" w:eastAsia="宋体"/>
                <w:sz w:val="24"/>
                <w:szCs w:val="24"/>
                <w:highlight w:val="none"/>
              </w:rPr>
              <w:t>采购代理机构将在“投标人须知前附表”规定的</w:t>
            </w:r>
            <w:r>
              <w:rPr>
                <w:rFonts w:hint="eastAsia" w:ascii="宋体" w:hAnsi="宋体"/>
                <w:sz w:val="24"/>
                <w:szCs w:val="24"/>
                <w:highlight w:val="none"/>
                <w:lang w:val="en-US" w:eastAsia="zh-CN"/>
              </w:rPr>
              <w:t>开标</w:t>
            </w:r>
            <w:r>
              <w:rPr>
                <w:rFonts w:hint="eastAsia" w:ascii="宋体" w:hAnsi="宋体" w:eastAsia="宋体"/>
                <w:sz w:val="24"/>
                <w:szCs w:val="24"/>
                <w:highlight w:val="none"/>
              </w:rPr>
              <w:t>时间通过电子交易平台组织</w:t>
            </w:r>
            <w:r>
              <w:rPr>
                <w:rFonts w:hint="eastAsia" w:ascii="宋体" w:hAnsi="宋体"/>
                <w:sz w:val="24"/>
                <w:szCs w:val="24"/>
                <w:highlight w:val="none"/>
                <w:lang w:val="en-US" w:eastAsia="zh-CN"/>
              </w:rPr>
              <w:t>投标</w:t>
            </w:r>
            <w:r>
              <w:rPr>
                <w:rFonts w:hint="eastAsia" w:ascii="宋体" w:hAnsi="宋体" w:eastAsia="宋体"/>
                <w:sz w:val="24"/>
                <w:szCs w:val="24"/>
                <w:highlight w:val="none"/>
              </w:rPr>
              <w:t>文件</w:t>
            </w:r>
            <w:r>
              <w:rPr>
                <w:rFonts w:hint="eastAsia" w:ascii="宋体" w:hAnsi="宋体"/>
                <w:sz w:val="24"/>
                <w:szCs w:val="24"/>
                <w:highlight w:val="none"/>
                <w:lang w:val="en-US" w:eastAsia="zh-CN"/>
              </w:rPr>
              <w:t>开启</w:t>
            </w:r>
            <w:r>
              <w:rPr>
                <w:rFonts w:hint="eastAsia" w:ascii="宋体" w:hAnsi="宋体" w:eastAsia="宋体"/>
                <w:sz w:val="24"/>
                <w:szCs w:val="24"/>
                <w:highlight w:val="none"/>
              </w:rPr>
              <w:t>，采购代理机构依托电子交易平台发起开始解密指令，</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的法定代表人（单位负责人）或其委托代理人须携带加密时所用的CA锁按平台提示和</w:t>
            </w:r>
            <w:r>
              <w:rPr>
                <w:rFonts w:hint="eastAsia" w:ascii="宋体" w:hAnsi="宋体"/>
                <w:sz w:val="24"/>
                <w:szCs w:val="24"/>
                <w:highlight w:val="none"/>
                <w:lang w:val="en-US" w:eastAsia="zh-CN"/>
              </w:rPr>
              <w:t>招标</w:t>
            </w:r>
            <w:r>
              <w:rPr>
                <w:rFonts w:hint="eastAsia" w:ascii="宋体" w:hAnsi="宋体" w:eastAsia="宋体"/>
                <w:sz w:val="24"/>
                <w:szCs w:val="24"/>
                <w:highlight w:val="none"/>
              </w:rPr>
              <w:t>文件的规定登录到“政采云”平台电子开标大厅签到，并在发起解密指令之时起60分钟内完成对电子</w:t>
            </w:r>
            <w:r>
              <w:rPr>
                <w:rFonts w:hint="eastAsia" w:ascii="宋体" w:hAnsi="宋体"/>
                <w:sz w:val="24"/>
                <w:szCs w:val="24"/>
                <w:highlight w:val="none"/>
                <w:lang w:val="en-US" w:eastAsia="zh-CN"/>
              </w:rPr>
              <w:t>投标</w:t>
            </w:r>
            <w:r>
              <w:rPr>
                <w:rFonts w:hint="eastAsia" w:ascii="宋体" w:hAnsi="宋体" w:eastAsia="宋体"/>
                <w:sz w:val="24"/>
                <w:szCs w:val="24"/>
                <w:highlight w:val="none"/>
              </w:rPr>
              <w:t>文件在线解密。发起解密指令之时起5分钟内</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还未进行解密的，采购代理机构可通知</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w:t>
            </w:r>
            <w:r>
              <w:rPr>
                <w:rFonts w:hint="eastAsia" w:ascii="宋体" w:hAnsi="宋体"/>
                <w:sz w:val="24"/>
                <w:szCs w:val="24"/>
                <w:highlight w:val="none"/>
                <w:lang w:val="en-US" w:eastAsia="zh-CN"/>
              </w:rPr>
              <w:t>投标人</w:t>
            </w:r>
            <w:r>
              <w:rPr>
                <w:rFonts w:hint="eastAsia" w:ascii="宋体" w:hAnsi="宋体"/>
                <w:sz w:val="24"/>
                <w:szCs w:val="24"/>
                <w:highlight w:val="none"/>
                <w:lang w:eastAsia="zh-CN"/>
              </w:rPr>
              <w:t>没有</w:t>
            </w:r>
            <w:r>
              <w:rPr>
                <w:rFonts w:hint="eastAsia" w:ascii="宋体" w:hAnsi="宋体" w:eastAsia="宋体"/>
                <w:sz w:val="24"/>
                <w:szCs w:val="24"/>
                <w:highlight w:val="none"/>
              </w:rPr>
              <w:t>预留联系方式或预留联系方式无效，导致代理机构无法联系到</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进行解密的，视为撤回</w:t>
            </w:r>
            <w:r>
              <w:rPr>
                <w:rFonts w:hint="eastAsia" w:ascii="宋体" w:hAnsi="宋体"/>
                <w:sz w:val="24"/>
                <w:szCs w:val="24"/>
                <w:highlight w:val="none"/>
                <w:lang w:val="en-US" w:eastAsia="zh-CN"/>
              </w:rPr>
              <w:t>投标</w:t>
            </w:r>
            <w:r>
              <w:rPr>
                <w:rFonts w:hint="eastAsia" w:ascii="宋体" w:hAnsi="宋体" w:eastAsia="宋体"/>
                <w:sz w:val="24"/>
                <w:szCs w:val="24"/>
                <w:highlight w:val="none"/>
              </w:rPr>
              <w:t>文件。如</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成功解密</w:t>
            </w:r>
            <w:r>
              <w:rPr>
                <w:rFonts w:hint="eastAsia" w:ascii="宋体" w:hAnsi="宋体"/>
                <w:sz w:val="24"/>
                <w:szCs w:val="24"/>
                <w:highlight w:val="none"/>
                <w:lang w:val="en-US" w:eastAsia="zh-CN"/>
              </w:rPr>
              <w:t>投标</w:t>
            </w:r>
            <w:r>
              <w:rPr>
                <w:rFonts w:hint="eastAsia" w:ascii="宋体" w:hAnsi="宋体" w:eastAsia="宋体"/>
                <w:sz w:val="24"/>
                <w:szCs w:val="24"/>
                <w:highlight w:val="none"/>
              </w:rPr>
              <w:t>文件，但未在“政采云”电子开标大厅参加开启的，视同认可开启过程和结果，由此产生的后果由</w:t>
            </w:r>
            <w:r>
              <w:rPr>
                <w:rFonts w:hint="eastAsia" w:ascii="宋体" w:hAnsi="宋体"/>
                <w:sz w:val="24"/>
                <w:szCs w:val="24"/>
                <w:highlight w:val="none"/>
                <w:lang w:val="en-US" w:eastAsia="zh-CN"/>
              </w:rPr>
              <w:t>投标人</w:t>
            </w:r>
            <w:r>
              <w:rPr>
                <w:rFonts w:hint="eastAsia" w:ascii="宋体" w:hAnsi="宋体" w:eastAsia="宋体"/>
                <w:sz w:val="24"/>
                <w:szCs w:val="24"/>
                <w:highlight w:val="none"/>
              </w:rPr>
              <w:t>自行负责。</w:t>
            </w:r>
          </w:p>
          <w:p w14:paraId="2BE63C1B">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sz w:val="24"/>
                <w:szCs w:val="24"/>
                <w:highlight w:val="none"/>
                <w:lang w:eastAsia="zh-CN"/>
              </w:rPr>
              <w:t>（</w:t>
            </w:r>
            <w:r>
              <w:rPr>
                <w:rFonts w:hint="eastAsia" w:ascii="宋体" w:hAnsi="宋体" w:eastAsia="宋体"/>
                <w:sz w:val="24"/>
                <w:szCs w:val="24"/>
                <w:highlight w:val="none"/>
              </w:rPr>
              <w:t>2</w:t>
            </w:r>
            <w:r>
              <w:rPr>
                <w:rFonts w:hint="eastAsia" w:ascii="宋体" w:hAnsi="宋体"/>
                <w:sz w:val="24"/>
                <w:szCs w:val="24"/>
                <w:highlight w:val="none"/>
                <w:lang w:eastAsia="zh-CN"/>
              </w:rPr>
              <w:t>）</w:t>
            </w:r>
            <w:r>
              <w:rPr>
                <w:rFonts w:hint="eastAsia" w:ascii="宋体" w:hAnsi="宋体" w:eastAsia="宋体"/>
                <w:sz w:val="24"/>
                <w:szCs w:val="24"/>
                <w:highlight w:val="none"/>
              </w:rPr>
              <w:t>电子交易活动的中止采购过程中出现以下情形，导致电子交易平台无法正常运行，或者无法保证电子交易的公平、公正和安全时，采购代理机构可中止电子交易活动：</w:t>
            </w:r>
          </w:p>
          <w:p w14:paraId="46D3B5BB">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sz w:val="24"/>
                <w:szCs w:val="24"/>
                <w:highlight w:val="none"/>
                <w:lang w:eastAsia="zh-CN"/>
              </w:rPr>
              <w:t>）</w:t>
            </w:r>
            <w:r>
              <w:rPr>
                <w:rFonts w:hint="eastAsia" w:ascii="宋体" w:hAnsi="宋体" w:eastAsia="宋体"/>
                <w:sz w:val="24"/>
                <w:szCs w:val="24"/>
                <w:highlight w:val="none"/>
              </w:rPr>
              <w:t>电子交易平台发生故障而无法登录访问的；</w:t>
            </w:r>
          </w:p>
          <w:p w14:paraId="1C237578">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2</w:t>
            </w:r>
            <w:r>
              <w:rPr>
                <w:rFonts w:hint="eastAsia" w:ascii="宋体" w:hAnsi="宋体"/>
                <w:sz w:val="24"/>
                <w:szCs w:val="24"/>
                <w:highlight w:val="none"/>
                <w:lang w:eastAsia="zh-CN"/>
              </w:rPr>
              <w:t>）</w:t>
            </w:r>
            <w:r>
              <w:rPr>
                <w:rFonts w:hint="eastAsia" w:ascii="宋体" w:hAnsi="宋体" w:eastAsia="宋体"/>
                <w:sz w:val="24"/>
                <w:szCs w:val="24"/>
                <w:highlight w:val="none"/>
              </w:rPr>
              <w:t>电子交易平台应用或数据库出现错误，不能进行正常操作的；</w:t>
            </w:r>
          </w:p>
          <w:p w14:paraId="179F6035">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sz w:val="24"/>
                <w:szCs w:val="24"/>
                <w:highlight w:val="none"/>
                <w:lang w:eastAsia="zh-CN"/>
              </w:rPr>
              <w:t>）</w:t>
            </w:r>
            <w:r>
              <w:rPr>
                <w:rFonts w:hint="eastAsia" w:ascii="宋体" w:hAnsi="宋体" w:eastAsia="宋体"/>
                <w:sz w:val="24"/>
                <w:szCs w:val="24"/>
                <w:highlight w:val="none"/>
              </w:rPr>
              <w:t>电子交易平台发现严重安全漏洞，有潜在泄密危险的；</w:t>
            </w:r>
          </w:p>
          <w:p w14:paraId="3C328E65">
            <w:pPr>
              <w:keepNext w:val="0"/>
              <w:keepLines w:val="0"/>
              <w:pageBreakBefore w:val="0"/>
              <w:widowControl w:val="0"/>
              <w:kinsoku/>
              <w:wordWrap/>
              <w:overflowPunct/>
              <w:bidi w:val="0"/>
              <w:adjustRightInd/>
              <w:snapToGrid/>
              <w:spacing w:line="440" w:lineRule="exact"/>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4</w:t>
            </w:r>
            <w:r>
              <w:rPr>
                <w:rFonts w:hint="eastAsia" w:ascii="宋体" w:hAnsi="宋体"/>
                <w:sz w:val="24"/>
                <w:szCs w:val="24"/>
                <w:highlight w:val="none"/>
                <w:lang w:eastAsia="zh-CN"/>
              </w:rPr>
              <w:t>）</w:t>
            </w:r>
            <w:r>
              <w:rPr>
                <w:rFonts w:hint="eastAsia" w:ascii="宋体" w:hAnsi="宋体" w:eastAsia="宋体"/>
                <w:sz w:val="24"/>
                <w:szCs w:val="24"/>
                <w:highlight w:val="none"/>
              </w:rPr>
              <w:t>病毒发作导致不能进行正常操作的；</w:t>
            </w:r>
          </w:p>
          <w:p w14:paraId="7666D607">
            <w:pPr>
              <w:keepNext w:val="0"/>
              <w:keepLines w:val="0"/>
              <w:pageBreakBefore w:val="0"/>
              <w:kinsoku/>
              <w:wordWrap/>
              <w:overflowPunct/>
              <w:bidi w:val="0"/>
              <w:adjustRightInd/>
              <w:snapToGrid/>
              <w:spacing w:line="440" w:lineRule="exact"/>
              <w:textAlignment w:val="auto"/>
              <w:rPr>
                <w:rFonts w:hint="eastAsia" w:ascii="宋体" w:hAnsi="宋体" w:cs="宋体"/>
                <w:kern w:val="2"/>
                <w:sz w:val="24"/>
                <w:szCs w:val="24"/>
                <w:highlight w:val="none"/>
              </w:rPr>
            </w:pPr>
            <w:r>
              <w:rPr>
                <w:rFonts w:hint="eastAsia" w:ascii="宋体" w:hAnsi="宋体" w:eastAsia="宋体"/>
                <w:sz w:val="24"/>
                <w:szCs w:val="24"/>
                <w:highlight w:val="none"/>
              </w:rPr>
              <w:t>5</w:t>
            </w:r>
            <w:r>
              <w:rPr>
                <w:rFonts w:hint="eastAsia" w:ascii="宋体" w:hAnsi="宋体"/>
                <w:sz w:val="24"/>
                <w:szCs w:val="24"/>
                <w:highlight w:val="none"/>
                <w:lang w:eastAsia="zh-CN"/>
              </w:rPr>
              <w:t>）</w:t>
            </w:r>
            <w:r>
              <w:rPr>
                <w:rFonts w:hint="eastAsia" w:ascii="宋体" w:hAnsi="宋体" w:eastAsia="宋体"/>
                <w:sz w:val="24"/>
                <w:szCs w:val="24"/>
                <w:highlight w:val="none"/>
              </w:rPr>
              <w:t>其他无法保证电子交易的公平、公正和安全的情况。</w:t>
            </w:r>
          </w:p>
        </w:tc>
      </w:tr>
      <w:tr w14:paraId="76BF9686">
        <w:tblPrEx>
          <w:tblCellMar>
            <w:top w:w="0" w:type="dxa"/>
            <w:left w:w="0" w:type="dxa"/>
            <w:bottom w:w="0" w:type="dxa"/>
            <w:right w:w="0" w:type="dxa"/>
          </w:tblCellMar>
        </w:tblPrEx>
        <w:trPr>
          <w:trHeight w:val="1297" w:hRule="atLeast"/>
        </w:trPr>
        <w:tc>
          <w:tcPr>
            <w:tcW w:w="1047" w:type="dxa"/>
            <w:tcBorders>
              <w:top w:val="single" w:color="auto" w:sz="8" w:space="0"/>
              <w:left w:val="single" w:color="auto" w:sz="8" w:space="0"/>
              <w:bottom w:val="single" w:color="auto" w:sz="8" w:space="0"/>
              <w:right w:val="single" w:color="auto" w:sz="8" w:space="0"/>
            </w:tcBorders>
            <w:vAlign w:val="center"/>
          </w:tcPr>
          <w:p w14:paraId="26119F82">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7.1.1</w:t>
            </w:r>
          </w:p>
        </w:tc>
        <w:tc>
          <w:tcPr>
            <w:tcW w:w="2007" w:type="dxa"/>
            <w:tcBorders>
              <w:top w:val="single" w:color="auto" w:sz="8" w:space="0"/>
              <w:left w:val="nil"/>
              <w:bottom w:val="single" w:color="auto" w:sz="8" w:space="0"/>
              <w:right w:val="single" w:color="auto" w:sz="8" w:space="0"/>
            </w:tcBorders>
            <w:vAlign w:val="center"/>
          </w:tcPr>
          <w:p w14:paraId="73406E3A">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评标委员会的组成</w:t>
            </w:r>
          </w:p>
        </w:tc>
        <w:tc>
          <w:tcPr>
            <w:tcW w:w="6828" w:type="dxa"/>
            <w:tcBorders>
              <w:top w:val="single" w:color="auto" w:sz="8" w:space="0"/>
              <w:left w:val="nil"/>
              <w:bottom w:val="single" w:color="auto" w:sz="8" w:space="0"/>
              <w:right w:val="single" w:color="auto" w:sz="8" w:space="0"/>
            </w:tcBorders>
            <w:vAlign w:val="center"/>
          </w:tcPr>
          <w:p w14:paraId="1CE1B8B8">
            <w:pPr>
              <w:keepNext w:val="0"/>
              <w:keepLines w:val="0"/>
              <w:pageBreakBefore w:val="0"/>
              <w:kinsoku/>
              <w:wordWrap/>
              <w:overflowPunct/>
              <w:bidi w:val="0"/>
              <w:adjustRightInd/>
              <w:snapToGrid/>
              <w:spacing w:line="440" w:lineRule="exact"/>
              <w:textAlignment w:val="auto"/>
              <w:rPr>
                <w:rFonts w:ascii="宋体" w:hAnsi="宋体" w:cs="宋体"/>
                <w:color w:val="0000FF"/>
                <w:kern w:val="2"/>
                <w:sz w:val="24"/>
                <w:szCs w:val="24"/>
                <w:highlight w:val="none"/>
              </w:rPr>
            </w:pPr>
            <w:r>
              <w:rPr>
                <w:rFonts w:hint="eastAsia" w:ascii="宋体" w:hAnsi="宋体" w:cs="宋体"/>
                <w:sz w:val="24"/>
                <w:szCs w:val="24"/>
                <w:highlight w:val="none"/>
              </w:rPr>
              <w:t>评标委员会由采购人代表和评审专家组成，成员人数为5人以上单数，其中技术、经济专家不得少于成员总数的三分之二。</w:t>
            </w:r>
          </w:p>
          <w:p w14:paraId="40C5FE65">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评标专家确定方式：随机抽取。</w:t>
            </w:r>
          </w:p>
        </w:tc>
      </w:tr>
      <w:tr w14:paraId="12EDC6A7">
        <w:tblPrEx>
          <w:tblCellMar>
            <w:top w:w="0" w:type="dxa"/>
            <w:left w:w="0" w:type="dxa"/>
            <w:bottom w:w="0" w:type="dxa"/>
            <w:right w:w="0" w:type="dxa"/>
          </w:tblCellMar>
        </w:tblPrEx>
        <w:trPr>
          <w:trHeight w:val="920" w:hRule="atLeast"/>
        </w:trPr>
        <w:tc>
          <w:tcPr>
            <w:tcW w:w="1047" w:type="dxa"/>
            <w:tcBorders>
              <w:top w:val="single" w:color="auto" w:sz="8" w:space="0"/>
              <w:left w:val="single" w:color="auto" w:sz="8" w:space="0"/>
              <w:bottom w:val="single" w:color="auto" w:sz="8" w:space="0"/>
              <w:right w:val="single" w:color="auto" w:sz="8" w:space="0"/>
            </w:tcBorders>
            <w:vAlign w:val="center"/>
          </w:tcPr>
          <w:p w14:paraId="5BA946E9">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7.3.2</w:t>
            </w:r>
          </w:p>
        </w:tc>
        <w:tc>
          <w:tcPr>
            <w:tcW w:w="2007" w:type="dxa"/>
            <w:tcBorders>
              <w:top w:val="single" w:color="auto" w:sz="8" w:space="0"/>
              <w:left w:val="nil"/>
              <w:bottom w:val="single" w:color="auto" w:sz="8" w:space="0"/>
              <w:right w:val="single" w:color="auto" w:sz="8" w:space="0"/>
            </w:tcBorders>
            <w:vAlign w:val="center"/>
          </w:tcPr>
          <w:p w14:paraId="458FE199">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评标委员会推荐中标候选人的人数</w:t>
            </w:r>
          </w:p>
        </w:tc>
        <w:tc>
          <w:tcPr>
            <w:tcW w:w="6828" w:type="dxa"/>
            <w:tcBorders>
              <w:top w:val="single" w:color="auto" w:sz="8" w:space="0"/>
              <w:left w:val="nil"/>
              <w:bottom w:val="single" w:color="auto" w:sz="8" w:space="0"/>
              <w:right w:val="single" w:color="auto" w:sz="8" w:space="0"/>
            </w:tcBorders>
            <w:vAlign w:val="center"/>
          </w:tcPr>
          <w:p w14:paraId="5C3C14C9">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sz w:val="24"/>
                <w:szCs w:val="24"/>
                <w:highlight w:val="none"/>
              </w:rPr>
              <w:t>3名</w:t>
            </w:r>
          </w:p>
        </w:tc>
      </w:tr>
      <w:tr w14:paraId="7E1E86A2">
        <w:tblPrEx>
          <w:tblCellMar>
            <w:top w:w="0" w:type="dxa"/>
            <w:left w:w="0" w:type="dxa"/>
            <w:bottom w:w="0" w:type="dxa"/>
            <w:right w:w="0" w:type="dxa"/>
          </w:tblCellMar>
        </w:tblPrEx>
        <w:trPr>
          <w:trHeight w:val="827" w:hRule="atLeast"/>
        </w:trPr>
        <w:tc>
          <w:tcPr>
            <w:tcW w:w="1047" w:type="dxa"/>
            <w:tcBorders>
              <w:top w:val="single" w:color="auto" w:sz="8" w:space="0"/>
              <w:left w:val="single" w:color="auto" w:sz="8" w:space="0"/>
              <w:bottom w:val="single" w:color="auto" w:sz="8" w:space="0"/>
              <w:right w:val="single" w:color="auto" w:sz="8" w:space="0"/>
            </w:tcBorders>
            <w:vAlign w:val="center"/>
          </w:tcPr>
          <w:p w14:paraId="1D2E4188">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8.1</w:t>
            </w:r>
          </w:p>
        </w:tc>
        <w:tc>
          <w:tcPr>
            <w:tcW w:w="2007" w:type="dxa"/>
            <w:tcBorders>
              <w:top w:val="single" w:color="auto" w:sz="8" w:space="0"/>
              <w:left w:val="nil"/>
              <w:bottom w:val="single" w:color="auto" w:sz="8" w:space="0"/>
              <w:right w:val="single" w:color="auto" w:sz="8" w:space="0"/>
            </w:tcBorders>
            <w:vAlign w:val="center"/>
          </w:tcPr>
          <w:p w14:paraId="709F0CEC">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是否授权评标委员会确定中标人</w:t>
            </w:r>
          </w:p>
        </w:tc>
        <w:tc>
          <w:tcPr>
            <w:tcW w:w="6828" w:type="dxa"/>
            <w:tcBorders>
              <w:top w:val="single" w:color="auto" w:sz="8" w:space="0"/>
              <w:left w:val="nil"/>
              <w:bottom w:val="single" w:color="auto" w:sz="8" w:space="0"/>
              <w:right w:val="single" w:color="auto" w:sz="8" w:space="0"/>
            </w:tcBorders>
            <w:vAlign w:val="center"/>
          </w:tcPr>
          <w:p w14:paraId="17BBB1F8">
            <w:pPr>
              <w:keepNext w:val="0"/>
              <w:keepLines w:val="0"/>
              <w:pageBreakBefore w:val="0"/>
              <w:kinsoku/>
              <w:wordWrap/>
              <w:overflowPunct/>
              <w:bidi w:val="0"/>
              <w:adjustRightInd/>
              <w:snapToGrid/>
              <w:spacing w:line="440" w:lineRule="exact"/>
              <w:jc w:val="both"/>
              <w:textAlignment w:val="auto"/>
              <w:rPr>
                <w:rFonts w:ascii="宋体" w:hAnsi="宋体" w:cs="宋体"/>
                <w:kern w:val="2"/>
                <w:sz w:val="24"/>
                <w:szCs w:val="24"/>
                <w:highlight w:val="none"/>
              </w:rPr>
            </w:pPr>
            <w:r>
              <w:rPr>
                <w:rFonts w:hint="eastAsia" w:ascii="宋体" w:hAnsi="宋体" w:cs="宋体"/>
                <w:kern w:val="2"/>
                <w:sz w:val="24"/>
                <w:szCs w:val="24"/>
                <w:highlight w:val="none"/>
              </w:rPr>
              <w:t>否</w:t>
            </w:r>
          </w:p>
        </w:tc>
      </w:tr>
      <w:tr w14:paraId="256E9542">
        <w:tblPrEx>
          <w:tblCellMar>
            <w:top w:w="0" w:type="dxa"/>
            <w:left w:w="0" w:type="dxa"/>
            <w:bottom w:w="0" w:type="dxa"/>
            <w:right w:w="0" w:type="dxa"/>
          </w:tblCellMar>
        </w:tblPrEx>
        <w:trPr>
          <w:trHeight w:val="846" w:hRule="atLeast"/>
        </w:trPr>
        <w:tc>
          <w:tcPr>
            <w:tcW w:w="1047" w:type="dxa"/>
            <w:tcBorders>
              <w:top w:val="single" w:color="auto" w:sz="8" w:space="0"/>
              <w:left w:val="single" w:color="auto" w:sz="8" w:space="0"/>
              <w:bottom w:val="single" w:color="auto" w:sz="8" w:space="0"/>
              <w:right w:val="single" w:color="auto" w:sz="8" w:space="0"/>
            </w:tcBorders>
            <w:vAlign w:val="center"/>
          </w:tcPr>
          <w:p w14:paraId="524EA65D">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8.2</w:t>
            </w:r>
          </w:p>
        </w:tc>
        <w:tc>
          <w:tcPr>
            <w:tcW w:w="2007" w:type="dxa"/>
            <w:tcBorders>
              <w:top w:val="single" w:color="auto" w:sz="8" w:space="0"/>
              <w:left w:val="nil"/>
              <w:bottom w:val="single" w:color="auto" w:sz="8" w:space="0"/>
              <w:right w:val="single" w:color="auto" w:sz="8" w:space="0"/>
            </w:tcBorders>
            <w:vAlign w:val="center"/>
          </w:tcPr>
          <w:p w14:paraId="5ACB2705">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中标公告媒介及期限</w:t>
            </w:r>
          </w:p>
        </w:tc>
        <w:tc>
          <w:tcPr>
            <w:tcW w:w="6828" w:type="dxa"/>
            <w:tcBorders>
              <w:top w:val="single" w:color="auto" w:sz="8" w:space="0"/>
              <w:left w:val="nil"/>
              <w:bottom w:val="single" w:color="auto" w:sz="8" w:space="0"/>
              <w:right w:val="single" w:color="auto" w:sz="8" w:space="0"/>
            </w:tcBorders>
            <w:vAlign w:val="center"/>
          </w:tcPr>
          <w:p w14:paraId="11FF46C9">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kern w:val="2"/>
                <w:sz w:val="24"/>
                <w:szCs w:val="24"/>
                <w:highlight w:val="none"/>
              </w:rPr>
              <w:t>公告媒介：同发布招标公告的媒介</w:t>
            </w:r>
          </w:p>
          <w:p w14:paraId="6917E8FB">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u w:val="single"/>
              </w:rPr>
            </w:pPr>
            <w:r>
              <w:rPr>
                <w:rFonts w:hint="eastAsia" w:ascii="宋体" w:hAnsi="宋体" w:cs="宋体"/>
                <w:kern w:val="2"/>
                <w:sz w:val="24"/>
                <w:szCs w:val="24"/>
                <w:highlight w:val="none"/>
              </w:rPr>
              <w:t>公告期限：1个工作日</w:t>
            </w:r>
          </w:p>
        </w:tc>
      </w:tr>
      <w:tr w14:paraId="6F03F819">
        <w:tblPrEx>
          <w:tblCellMar>
            <w:top w:w="0" w:type="dxa"/>
            <w:left w:w="0" w:type="dxa"/>
            <w:bottom w:w="0" w:type="dxa"/>
            <w:right w:w="0" w:type="dxa"/>
          </w:tblCellMar>
        </w:tblPrEx>
        <w:trPr>
          <w:trHeight w:val="445" w:hRule="atLeast"/>
        </w:trPr>
        <w:tc>
          <w:tcPr>
            <w:tcW w:w="1047" w:type="dxa"/>
            <w:tcBorders>
              <w:top w:val="single" w:color="auto" w:sz="8" w:space="0"/>
              <w:left w:val="single" w:color="auto" w:sz="8" w:space="0"/>
              <w:bottom w:val="single" w:color="auto" w:sz="8" w:space="0"/>
              <w:right w:val="single" w:color="auto" w:sz="8" w:space="0"/>
            </w:tcBorders>
            <w:vAlign w:val="center"/>
          </w:tcPr>
          <w:p w14:paraId="321F4001">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8.4.1</w:t>
            </w:r>
          </w:p>
        </w:tc>
        <w:tc>
          <w:tcPr>
            <w:tcW w:w="2007" w:type="dxa"/>
            <w:tcBorders>
              <w:top w:val="single" w:color="auto" w:sz="8" w:space="0"/>
              <w:left w:val="nil"/>
              <w:bottom w:val="single" w:color="auto" w:sz="8" w:space="0"/>
              <w:right w:val="single" w:color="auto" w:sz="8" w:space="0"/>
            </w:tcBorders>
            <w:vAlign w:val="center"/>
          </w:tcPr>
          <w:p w14:paraId="12705C34">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履约保证金</w:t>
            </w:r>
          </w:p>
        </w:tc>
        <w:tc>
          <w:tcPr>
            <w:tcW w:w="6828" w:type="dxa"/>
            <w:tcBorders>
              <w:top w:val="single" w:color="auto" w:sz="8" w:space="0"/>
              <w:left w:val="nil"/>
              <w:bottom w:val="single" w:color="auto" w:sz="8" w:space="0"/>
              <w:right w:val="single" w:color="auto" w:sz="8" w:space="0"/>
            </w:tcBorders>
            <w:vAlign w:val="center"/>
          </w:tcPr>
          <w:p w14:paraId="48D99BE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□要求，履约保证金形式</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w:t>
            </w:r>
          </w:p>
          <w:p w14:paraId="646F0090">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履约保证金金额</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w:t>
            </w:r>
          </w:p>
          <w:p w14:paraId="2E5D2548">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rPr>
              <w:t>履约担保期限</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w:t>
            </w:r>
          </w:p>
          <w:p w14:paraId="4A54B42A">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eastAsia="宋体" w:cs="宋体"/>
                <w:color w:val="auto"/>
                <w:kern w:val="2"/>
                <w:sz w:val="24"/>
                <w:szCs w:val="24"/>
                <w:highlight w:val="none"/>
                <w:lang w:val="en-US" w:eastAsia="zh-CN"/>
              </w:rPr>
              <w:t>☑不要求</w:t>
            </w:r>
          </w:p>
        </w:tc>
      </w:tr>
      <w:tr w14:paraId="67BDBE2A">
        <w:tblPrEx>
          <w:tblCellMar>
            <w:top w:w="0" w:type="dxa"/>
            <w:left w:w="0" w:type="dxa"/>
            <w:bottom w:w="0" w:type="dxa"/>
            <w:right w:w="0" w:type="dxa"/>
          </w:tblCellMar>
        </w:tblPrEx>
        <w:trPr>
          <w:trHeight w:val="351" w:hRule="atLeast"/>
        </w:trPr>
        <w:tc>
          <w:tcPr>
            <w:tcW w:w="1047" w:type="dxa"/>
            <w:tcBorders>
              <w:top w:val="single" w:color="auto" w:sz="8" w:space="0"/>
              <w:left w:val="single" w:color="auto" w:sz="8" w:space="0"/>
              <w:bottom w:val="single" w:color="auto" w:sz="8" w:space="0"/>
              <w:right w:val="single" w:color="auto" w:sz="8" w:space="0"/>
            </w:tcBorders>
            <w:vAlign w:val="center"/>
          </w:tcPr>
          <w:p w14:paraId="03281CF1">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12</w:t>
            </w:r>
          </w:p>
        </w:tc>
        <w:tc>
          <w:tcPr>
            <w:tcW w:w="8835" w:type="dxa"/>
            <w:gridSpan w:val="2"/>
            <w:tcBorders>
              <w:top w:val="single" w:color="auto" w:sz="8" w:space="0"/>
              <w:left w:val="nil"/>
              <w:bottom w:val="single" w:color="auto" w:sz="8" w:space="0"/>
              <w:right w:val="single" w:color="auto" w:sz="8" w:space="0"/>
            </w:tcBorders>
            <w:vAlign w:val="center"/>
          </w:tcPr>
          <w:p w14:paraId="4636A28C">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b/>
                <w:bCs/>
                <w:kern w:val="2"/>
                <w:sz w:val="24"/>
                <w:szCs w:val="24"/>
                <w:highlight w:val="none"/>
              </w:rPr>
              <w:t>需要补充的其他内容</w:t>
            </w:r>
          </w:p>
        </w:tc>
      </w:tr>
      <w:tr w14:paraId="08F2FD02">
        <w:tblPrEx>
          <w:tblCellMar>
            <w:top w:w="0" w:type="dxa"/>
            <w:left w:w="0" w:type="dxa"/>
            <w:bottom w:w="0" w:type="dxa"/>
            <w:right w:w="0" w:type="dxa"/>
          </w:tblCellMar>
        </w:tblPrEx>
        <w:trPr>
          <w:trHeight w:val="941" w:hRule="atLeast"/>
        </w:trPr>
        <w:tc>
          <w:tcPr>
            <w:tcW w:w="1047" w:type="dxa"/>
            <w:tcBorders>
              <w:top w:val="single" w:color="auto" w:sz="8" w:space="0"/>
              <w:left w:val="single" w:color="auto" w:sz="8" w:space="0"/>
              <w:bottom w:val="single" w:color="auto" w:sz="8" w:space="0"/>
              <w:right w:val="single" w:color="auto" w:sz="8" w:space="0"/>
            </w:tcBorders>
            <w:vAlign w:val="center"/>
          </w:tcPr>
          <w:p w14:paraId="5B5FD91F">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12.1</w:t>
            </w:r>
          </w:p>
        </w:tc>
        <w:tc>
          <w:tcPr>
            <w:tcW w:w="2007" w:type="dxa"/>
            <w:tcBorders>
              <w:top w:val="single" w:color="auto" w:sz="8" w:space="0"/>
              <w:left w:val="nil"/>
              <w:bottom w:val="single" w:color="auto" w:sz="8" w:space="0"/>
              <w:right w:val="single" w:color="auto" w:sz="8" w:space="0"/>
            </w:tcBorders>
            <w:vAlign w:val="center"/>
          </w:tcPr>
          <w:p w14:paraId="4D4D9E48">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评标方法</w:t>
            </w:r>
          </w:p>
        </w:tc>
        <w:tc>
          <w:tcPr>
            <w:tcW w:w="6828" w:type="dxa"/>
            <w:tcBorders>
              <w:top w:val="single" w:color="auto" w:sz="8" w:space="0"/>
              <w:left w:val="nil"/>
              <w:bottom w:val="single" w:color="auto" w:sz="8" w:space="0"/>
              <w:right w:val="single" w:color="auto" w:sz="8" w:space="0"/>
            </w:tcBorders>
            <w:vAlign w:val="center"/>
          </w:tcPr>
          <w:p w14:paraId="78994304">
            <w:pPr>
              <w:keepNext w:val="0"/>
              <w:keepLines w:val="0"/>
              <w:pageBreakBefore w:val="0"/>
              <w:kinsoku/>
              <w:wordWrap/>
              <w:overflowPunct/>
              <w:bidi w:val="0"/>
              <w:adjustRightInd/>
              <w:snapToGrid/>
              <w:spacing w:line="440" w:lineRule="exact"/>
              <w:jc w:val="both"/>
              <w:textAlignment w:val="auto"/>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rPr>
              <w:t>最低评标价法</w:t>
            </w:r>
          </w:p>
        </w:tc>
      </w:tr>
      <w:tr w14:paraId="33DF9BCD">
        <w:tblPrEx>
          <w:tblCellMar>
            <w:top w:w="0" w:type="dxa"/>
            <w:left w:w="0" w:type="dxa"/>
            <w:bottom w:w="0" w:type="dxa"/>
            <w:right w:w="0" w:type="dxa"/>
          </w:tblCellMar>
        </w:tblPrEx>
        <w:trPr>
          <w:trHeight w:val="1683" w:hRule="atLeast"/>
        </w:trPr>
        <w:tc>
          <w:tcPr>
            <w:tcW w:w="1047" w:type="dxa"/>
            <w:tcBorders>
              <w:top w:val="single" w:color="auto" w:sz="8" w:space="0"/>
              <w:left w:val="single" w:color="auto" w:sz="8" w:space="0"/>
              <w:bottom w:val="single" w:color="auto" w:sz="8" w:space="0"/>
              <w:right w:val="single" w:color="auto" w:sz="8" w:space="0"/>
            </w:tcBorders>
            <w:vAlign w:val="center"/>
          </w:tcPr>
          <w:p w14:paraId="401DAAD5">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12.2</w:t>
            </w:r>
          </w:p>
        </w:tc>
        <w:tc>
          <w:tcPr>
            <w:tcW w:w="2007" w:type="dxa"/>
            <w:tcBorders>
              <w:top w:val="single" w:color="auto" w:sz="8" w:space="0"/>
              <w:left w:val="nil"/>
              <w:bottom w:val="single" w:color="auto" w:sz="8" w:space="0"/>
              <w:right w:val="single" w:color="auto" w:sz="8" w:space="0"/>
            </w:tcBorders>
            <w:vAlign w:val="center"/>
          </w:tcPr>
          <w:p w14:paraId="3AF190C9">
            <w:pPr>
              <w:keepNext w:val="0"/>
              <w:keepLines w:val="0"/>
              <w:pageBreakBefore w:val="0"/>
              <w:kinsoku/>
              <w:wordWrap/>
              <w:overflowPunct/>
              <w:bidi w:val="0"/>
              <w:adjustRightInd/>
              <w:snapToGrid/>
              <w:spacing w:line="440" w:lineRule="exact"/>
              <w:jc w:val="center"/>
              <w:textAlignment w:val="auto"/>
              <w:rPr>
                <w:rFonts w:ascii="宋体" w:hAnsi="宋体" w:cs="宋体"/>
                <w:color w:val="FF0000"/>
                <w:kern w:val="2"/>
                <w:sz w:val="24"/>
                <w:szCs w:val="24"/>
                <w:highlight w:val="none"/>
              </w:rPr>
            </w:pPr>
            <w:r>
              <w:rPr>
                <w:rFonts w:hint="eastAsia" w:ascii="宋体" w:hAnsi="宋体" w:cs="宋体"/>
                <w:kern w:val="2"/>
                <w:sz w:val="24"/>
                <w:szCs w:val="24"/>
                <w:highlight w:val="none"/>
              </w:rPr>
              <w:t>追加合同金额</w:t>
            </w:r>
          </w:p>
        </w:tc>
        <w:tc>
          <w:tcPr>
            <w:tcW w:w="6828" w:type="dxa"/>
            <w:tcBorders>
              <w:top w:val="single" w:color="auto" w:sz="8" w:space="0"/>
              <w:left w:val="nil"/>
              <w:bottom w:val="single" w:color="auto" w:sz="8" w:space="0"/>
              <w:right w:val="single" w:color="auto" w:sz="8" w:space="0"/>
            </w:tcBorders>
            <w:vAlign w:val="center"/>
          </w:tcPr>
          <w:p w14:paraId="4A65AC24">
            <w:pPr>
              <w:keepNext w:val="0"/>
              <w:keepLines w:val="0"/>
              <w:pageBreakBefore w:val="0"/>
              <w:kinsoku/>
              <w:wordWrap/>
              <w:overflowPunct/>
              <w:bidi w:val="0"/>
              <w:adjustRightInd/>
              <w:snapToGrid/>
              <w:spacing w:line="440" w:lineRule="exact"/>
              <w:textAlignment w:val="auto"/>
              <w:rPr>
                <w:rFonts w:ascii="宋体" w:hAnsi="宋体" w:cs="宋体"/>
                <w:kern w:val="2"/>
                <w:sz w:val="24"/>
                <w:szCs w:val="24"/>
                <w:highlight w:val="none"/>
              </w:rPr>
            </w:pPr>
            <w:r>
              <w:rPr>
                <w:rFonts w:hint="eastAsia" w:ascii="宋体" w:hAnsi="宋体" w:cs="宋体"/>
                <w:sz w:val="24"/>
                <w:szCs w:val="24"/>
                <w:highlight w:val="none"/>
              </w:rPr>
              <w:t>政府采购合同履行中，采购人需追加与合同标的相同的货物的，</w:t>
            </w:r>
            <w:r>
              <w:rPr>
                <w:rFonts w:hint="eastAsia" w:ascii="宋体" w:hAnsi="宋体" w:cs="宋体"/>
                <w:sz w:val="24"/>
                <w:highlight w:val="none"/>
              </w:rPr>
              <w:t>在不改变合同其他条款的前提下，可以与中标</w:t>
            </w:r>
            <w:r>
              <w:rPr>
                <w:rFonts w:hint="eastAsia" w:ascii="宋体" w:hAnsi="宋体" w:cs="宋体"/>
                <w:sz w:val="24"/>
                <w:highlight w:val="none"/>
                <w:lang w:val="en-US" w:eastAsia="zh-CN"/>
              </w:rPr>
              <w:t>人</w:t>
            </w:r>
            <w:r>
              <w:rPr>
                <w:rFonts w:hint="eastAsia" w:ascii="宋体" w:hAnsi="宋体" w:cs="宋体"/>
                <w:sz w:val="24"/>
                <w:highlight w:val="none"/>
              </w:rPr>
              <w:t>签订补充合同，但所有补充合同的采购金额变更不得超过原合同采购金额的10%，其中金额增加需办理合同追加手续。</w:t>
            </w:r>
          </w:p>
        </w:tc>
      </w:tr>
      <w:tr w14:paraId="721FAB34">
        <w:tblPrEx>
          <w:tblCellMar>
            <w:top w:w="0" w:type="dxa"/>
            <w:left w:w="0" w:type="dxa"/>
            <w:bottom w:w="0" w:type="dxa"/>
            <w:right w:w="0" w:type="dxa"/>
          </w:tblCellMar>
        </w:tblPrEx>
        <w:trPr>
          <w:trHeight w:val="455" w:hRule="atLeast"/>
        </w:trPr>
        <w:tc>
          <w:tcPr>
            <w:tcW w:w="1047" w:type="dxa"/>
            <w:tcBorders>
              <w:top w:val="single" w:color="auto" w:sz="8" w:space="0"/>
              <w:left w:val="single" w:color="auto" w:sz="8" w:space="0"/>
              <w:bottom w:val="single" w:color="auto" w:sz="8" w:space="0"/>
              <w:right w:val="single" w:color="auto" w:sz="8" w:space="0"/>
            </w:tcBorders>
            <w:vAlign w:val="center"/>
          </w:tcPr>
          <w:p w14:paraId="63B9DB8C">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kern w:val="2"/>
                <w:sz w:val="24"/>
                <w:szCs w:val="24"/>
                <w:highlight w:val="none"/>
              </w:rPr>
              <w:t>12.3</w:t>
            </w:r>
          </w:p>
        </w:tc>
        <w:tc>
          <w:tcPr>
            <w:tcW w:w="2007" w:type="dxa"/>
            <w:tcBorders>
              <w:top w:val="single" w:color="auto" w:sz="8" w:space="0"/>
              <w:left w:val="nil"/>
              <w:bottom w:val="single" w:color="auto" w:sz="8" w:space="0"/>
              <w:right w:val="single" w:color="auto" w:sz="8" w:space="0"/>
            </w:tcBorders>
            <w:vAlign w:val="center"/>
          </w:tcPr>
          <w:p w14:paraId="7E04870F">
            <w:pPr>
              <w:keepNext w:val="0"/>
              <w:keepLines w:val="0"/>
              <w:pageBreakBefore w:val="0"/>
              <w:kinsoku/>
              <w:wordWrap/>
              <w:overflowPunct/>
              <w:bidi w:val="0"/>
              <w:adjustRightInd/>
              <w:snapToGrid/>
              <w:spacing w:line="440" w:lineRule="exact"/>
              <w:jc w:val="center"/>
              <w:textAlignment w:val="auto"/>
              <w:rPr>
                <w:rFonts w:ascii="宋体" w:hAnsi="宋体" w:cs="宋体"/>
                <w:kern w:val="2"/>
                <w:sz w:val="24"/>
                <w:szCs w:val="24"/>
                <w:highlight w:val="none"/>
              </w:rPr>
            </w:pPr>
            <w:r>
              <w:rPr>
                <w:rFonts w:hint="eastAsia" w:ascii="宋体" w:hAnsi="宋体" w:cs="宋体"/>
                <w:kern w:val="2"/>
                <w:sz w:val="24"/>
                <w:szCs w:val="24"/>
                <w:highlight w:val="none"/>
              </w:rPr>
              <w:t>信用查询具体要求</w:t>
            </w:r>
          </w:p>
        </w:tc>
        <w:tc>
          <w:tcPr>
            <w:tcW w:w="6828" w:type="dxa"/>
            <w:tcBorders>
              <w:top w:val="single" w:color="auto" w:sz="8" w:space="0"/>
              <w:left w:val="nil"/>
              <w:bottom w:val="single" w:color="auto" w:sz="8" w:space="0"/>
              <w:right w:val="single" w:color="auto" w:sz="8" w:space="0"/>
            </w:tcBorders>
            <w:vAlign w:val="center"/>
          </w:tcPr>
          <w:p w14:paraId="30277051">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本项目将执行在政府采购活动中查询及使用信用记录的规定，具体要求为：</w:t>
            </w:r>
          </w:p>
          <w:p w14:paraId="37EBB8DC">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（1）投标人应在“中国执行信息公开网”网站（zxgk.court.gov.cn）未被列入失信被执行人记录，在“信用中国”网站</w:t>
            </w:r>
            <w:r>
              <w:rPr>
                <w:rFonts w:hint="eastAsia" w:ascii="宋体" w:hAnsi="宋体" w:cs="宋体"/>
                <w:sz w:val="24"/>
                <w:szCs w:val="24"/>
                <w:highlight w:val="none"/>
                <w:lang w:eastAsia="zh-CN"/>
              </w:rPr>
              <w:t>（</w:t>
            </w:r>
            <w:r>
              <w:rPr>
                <w:rFonts w:hint="eastAsia" w:ascii="宋体" w:hAnsi="宋体" w:cs="宋体"/>
                <w:sz w:val="24"/>
                <w:szCs w:val="24"/>
                <w:highlight w:val="none"/>
              </w:rPr>
              <w:t>www.creditchina.gov.cn</w:t>
            </w:r>
            <w:r>
              <w:rPr>
                <w:rFonts w:hint="eastAsia" w:ascii="宋体" w:hAnsi="宋体" w:cs="宋体"/>
                <w:sz w:val="24"/>
                <w:szCs w:val="24"/>
                <w:highlight w:val="none"/>
                <w:lang w:eastAsia="zh-CN"/>
              </w:rPr>
              <w:t>）</w:t>
            </w:r>
            <w:r>
              <w:rPr>
                <w:rFonts w:hint="eastAsia" w:ascii="宋体" w:hAnsi="宋体" w:cs="宋体"/>
                <w:sz w:val="24"/>
                <w:szCs w:val="24"/>
                <w:highlight w:val="none"/>
              </w:rPr>
              <w:t>未被列入重大税收违法失信主体，在“中国政府采购网”网站</w:t>
            </w:r>
            <w:r>
              <w:rPr>
                <w:rFonts w:hint="eastAsia" w:ascii="宋体" w:hAnsi="宋体" w:cs="宋体"/>
                <w:sz w:val="24"/>
                <w:szCs w:val="24"/>
                <w:highlight w:val="none"/>
                <w:lang w:eastAsia="zh-CN"/>
              </w:rPr>
              <w:t>（</w:t>
            </w:r>
            <w:r>
              <w:rPr>
                <w:rFonts w:hint="eastAsia" w:ascii="宋体" w:hAnsi="宋体" w:cs="宋体"/>
                <w:sz w:val="24"/>
                <w:szCs w:val="24"/>
                <w:highlight w:val="none"/>
              </w:rPr>
              <w:t>www.ccgp.gov.cn</w:t>
            </w:r>
            <w:r>
              <w:rPr>
                <w:rFonts w:hint="eastAsia" w:ascii="宋体" w:hAnsi="宋体" w:cs="宋体"/>
                <w:sz w:val="24"/>
                <w:szCs w:val="24"/>
                <w:highlight w:val="none"/>
                <w:lang w:eastAsia="zh-CN"/>
              </w:rPr>
              <w:t>）</w:t>
            </w:r>
            <w:r>
              <w:rPr>
                <w:rFonts w:hint="eastAsia" w:ascii="宋体" w:hAnsi="宋体" w:cs="宋体"/>
                <w:sz w:val="24"/>
                <w:szCs w:val="24"/>
                <w:highlight w:val="none"/>
              </w:rPr>
              <w:t>没有政府采购严重违法失信行为记录（被禁止在一定期限内参加政府采购活动但期限届满的除外）；</w:t>
            </w:r>
          </w:p>
          <w:p w14:paraId="25DEDB7F">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（2）信用信息查询的截止时点：投标文件</w:t>
            </w:r>
            <w:r>
              <w:rPr>
                <w:rFonts w:hint="eastAsia" w:ascii="宋体" w:hAnsi="宋体"/>
                <w:sz w:val="24"/>
                <w:szCs w:val="24"/>
                <w:lang w:val="en-US" w:eastAsia="zh-CN"/>
              </w:rPr>
              <w:t>提交</w:t>
            </w:r>
            <w:r>
              <w:rPr>
                <w:rFonts w:hint="eastAsia" w:ascii="宋体" w:hAnsi="宋体" w:cs="宋体"/>
                <w:sz w:val="24"/>
                <w:szCs w:val="24"/>
                <w:highlight w:val="none"/>
              </w:rPr>
              <w:t>截止时间；</w:t>
            </w:r>
          </w:p>
          <w:p w14:paraId="122ADC25">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（3）信用信息查询渠道：“中国执行信息公开网</w:t>
            </w:r>
            <w:r>
              <w:rPr>
                <w:rFonts w:hint="eastAsia" w:ascii="宋体" w:hAnsi="宋体" w:cs="宋体"/>
                <w:sz w:val="24"/>
                <w:szCs w:val="24"/>
                <w:highlight w:val="none"/>
                <w:lang w:eastAsia="zh-CN"/>
              </w:rPr>
              <w:t>”“</w:t>
            </w:r>
            <w:r>
              <w:rPr>
                <w:rFonts w:hint="eastAsia" w:ascii="宋体" w:hAnsi="宋体" w:cs="宋体"/>
                <w:sz w:val="24"/>
                <w:szCs w:val="24"/>
                <w:highlight w:val="none"/>
              </w:rPr>
              <w:t>信用中国</w:t>
            </w:r>
            <w:r>
              <w:rPr>
                <w:rFonts w:hint="eastAsia" w:ascii="宋体" w:hAnsi="宋体" w:cs="宋体"/>
                <w:sz w:val="24"/>
                <w:szCs w:val="24"/>
                <w:highlight w:val="none"/>
                <w:lang w:eastAsia="zh-CN"/>
              </w:rPr>
              <w:t>”“</w:t>
            </w:r>
            <w:r>
              <w:rPr>
                <w:rFonts w:hint="eastAsia" w:ascii="宋体" w:hAnsi="宋体" w:cs="宋体"/>
                <w:sz w:val="24"/>
                <w:szCs w:val="24"/>
                <w:highlight w:val="none"/>
              </w:rPr>
              <w:t>中国政府采购网”；</w:t>
            </w:r>
          </w:p>
          <w:p w14:paraId="05238143">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（4）信用信息查询记录和证据留存具体方式：采购人、采购代理机构将经查询存在不良信用记录的潜在投标人查询结果证明材料作为查询记录和证据，与其他招标文件一并保存；</w:t>
            </w:r>
          </w:p>
          <w:p w14:paraId="27B364EF">
            <w:pPr>
              <w:keepNext w:val="0"/>
              <w:keepLines w:val="0"/>
              <w:pageBreakBefore w:val="0"/>
              <w:kinsoku/>
              <w:wordWrap/>
              <w:overflowPunct/>
              <w:bidi w:val="0"/>
              <w:adjustRightInd/>
              <w:snapToGrid/>
              <w:spacing w:line="440" w:lineRule="exact"/>
              <w:textAlignment w:val="auto"/>
              <w:rPr>
                <w:rFonts w:ascii="宋体" w:hAnsi="宋体" w:cs="宋体"/>
                <w:sz w:val="24"/>
                <w:szCs w:val="24"/>
                <w:highlight w:val="none"/>
              </w:rPr>
            </w:pPr>
            <w:r>
              <w:rPr>
                <w:rFonts w:hint="eastAsia" w:ascii="宋体" w:hAnsi="宋体" w:cs="宋体"/>
                <w:sz w:val="24"/>
                <w:szCs w:val="24"/>
                <w:highlight w:val="none"/>
              </w:rPr>
              <w:t>（5）信用信息的使用规则：本政府采购项目的投标人在信用信息查询截止时点（含）之前被列入失信被执行人、重大税收违法失信主体、政府采购严重违法失信行为记录名单及其他不符合《中华人民共和国政府采购法》第二十二条规定条件的投标人，不得参加该项目采购活动；</w:t>
            </w:r>
          </w:p>
          <w:p w14:paraId="3C73A4C7">
            <w:pPr>
              <w:keepNext w:val="0"/>
              <w:keepLines w:val="0"/>
              <w:pageBreakBefore w:val="0"/>
              <w:kinsoku/>
              <w:wordWrap/>
              <w:overflowPunct/>
              <w:bidi w:val="0"/>
              <w:adjustRightInd/>
              <w:snapToGrid/>
              <w:spacing w:line="440" w:lineRule="exact"/>
              <w:textAlignment w:val="auto"/>
              <w:rPr>
                <w:rFonts w:ascii="宋体" w:hAnsi="宋体" w:cs="宋体"/>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6</w:t>
            </w:r>
            <w:r>
              <w:rPr>
                <w:rFonts w:hint="eastAsia" w:ascii="宋体" w:hAnsi="宋体" w:cs="宋体"/>
                <w:sz w:val="24"/>
                <w:szCs w:val="24"/>
                <w:highlight w:val="none"/>
                <w:lang w:eastAsia="zh-CN"/>
              </w:rPr>
              <w:t>）</w:t>
            </w:r>
            <w:r>
              <w:rPr>
                <w:rFonts w:hint="eastAsia" w:ascii="宋体" w:hAnsi="宋体" w:cs="宋体"/>
                <w:sz w:val="24"/>
                <w:szCs w:val="24"/>
                <w:highlight w:val="none"/>
              </w:rPr>
              <w:t>采购人、采购代理机构通过“中国执行信息公开网</w:t>
            </w:r>
            <w:r>
              <w:rPr>
                <w:rFonts w:hint="eastAsia" w:ascii="宋体" w:hAnsi="宋体" w:cs="宋体"/>
                <w:sz w:val="24"/>
                <w:szCs w:val="24"/>
                <w:highlight w:val="none"/>
                <w:lang w:eastAsia="zh-CN"/>
              </w:rPr>
              <w:t>”“</w:t>
            </w:r>
            <w:r>
              <w:rPr>
                <w:rFonts w:hint="eastAsia" w:ascii="宋体" w:hAnsi="宋体" w:cs="宋体"/>
                <w:sz w:val="24"/>
                <w:szCs w:val="24"/>
                <w:highlight w:val="none"/>
              </w:rPr>
              <w:t>信用中国</w:t>
            </w:r>
            <w:r>
              <w:rPr>
                <w:rFonts w:hint="eastAsia" w:ascii="宋体" w:hAnsi="宋体" w:cs="宋体"/>
                <w:sz w:val="24"/>
                <w:szCs w:val="24"/>
                <w:highlight w:val="none"/>
                <w:lang w:eastAsia="zh-CN"/>
              </w:rPr>
              <w:t>”“</w:t>
            </w:r>
            <w:r>
              <w:rPr>
                <w:rFonts w:hint="eastAsia" w:ascii="宋体" w:hAnsi="宋体" w:cs="宋体"/>
                <w:sz w:val="24"/>
                <w:szCs w:val="24"/>
                <w:highlight w:val="none"/>
              </w:rPr>
              <w:t>中国政府采购网”等渠道查询相关主体信用记录，若投标人存在被列入失信被执行人、重大税收违法失信主体、政府采购严重违法失信行为记录名单，则</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不得参加该项目采购活动。</w:t>
            </w:r>
          </w:p>
        </w:tc>
      </w:tr>
      <w:tr w14:paraId="54D4F132">
        <w:tblPrEx>
          <w:tblCellMar>
            <w:top w:w="0" w:type="dxa"/>
            <w:left w:w="0" w:type="dxa"/>
            <w:bottom w:w="0" w:type="dxa"/>
            <w:right w:w="0" w:type="dxa"/>
          </w:tblCellMar>
        </w:tblPrEx>
        <w:trPr>
          <w:trHeight w:val="790" w:hRule="atLeast"/>
        </w:trPr>
        <w:tc>
          <w:tcPr>
            <w:tcW w:w="1047" w:type="dxa"/>
            <w:tcBorders>
              <w:top w:val="single" w:color="auto" w:sz="8" w:space="0"/>
              <w:left w:val="single" w:color="auto" w:sz="8" w:space="0"/>
              <w:bottom w:val="single" w:color="auto" w:sz="8" w:space="0"/>
              <w:right w:val="single" w:color="auto" w:sz="8" w:space="0"/>
            </w:tcBorders>
            <w:vAlign w:val="center"/>
          </w:tcPr>
          <w:p w14:paraId="04852634">
            <w:pPr>
              <w:keepNext w:val="0"/>
              <w:keepLines w:val="0"/>
              <w:pageBreakBefore w:val="0"/>
              <w:kinsoku/>
              <w:wordWrap/>
              <w:overflowPunct/>
              <w:bidi w:val="0"/>
              <w:adjustRightInd/>
              <w:snapToGrid/>
              <w:spacing w:line="440" w:lineRule="exact"/>
              <w:jc w:val="center"/>
              <w:textAlignment w:val="auto"/>
              <w:rPr>
                <w:rFonts w:hint="eastAsia" w:ascii="宋体" w:hAnsi="宋体" w:eastAsia="宋体"/>
                <w:kern w:val="2"/>
                <w:sz w:val="24"/>
                <w:szCs w:val="24"/>
                <w:highlight w:val="none"/>
                <w:lang w:eastAsia="zh-CN"/>
              </w:rPr>
            </w:pPr>
            <w:r>
              <w:rPr>
                <w:rFonts w:hint="eastAsia" w:ascii="宋体" w:hAnsi="宋体"/>
                <w:kern w:val="2"/>
                <w:sz w:val="24"/>
                <w:szCs w:val="24"/>
                <w:highlight w:val="none"/>
              </w:rPr>
              <w:t>12.</w:t>
            </w:r>
            <w:r>
              <w:rPr>
                <w:rFonts w:hint="eastAsia" w:ascii="宋体" w:hAnsi="宋体"/>
                <w:kern w:val="2"/>
                <w:sz w:val="24"/>
                <w:szCs w:val="24"/>
                <w:highlight w:val="none"/>
                <w:lang w:val="en-US" w:eastAsia="zh-CN"/>
              </w:rPr>
              <w:t>4</w:t>
            </w:r>
          </w:p>
        </w:tc>
        <w:tc>
          <w:tcPr>
            <w:tcW w:w="2007" w:type="dxa"/>
            <w:tcBorders>
              <w:top w:val="single" w:color="auto" w:sz="8" w:space="0"/>
              <w:left w:val="nil"/>
              <w:bottom w:val="single" w:color="auto" w:sz="8" w:space="0"/>
              <w:right w:val="single" w:color="auto" w:sz="8" w:space="0"/>
            </w:tcBorders>
            <w:vAlign w:val="center"/>
          </w:tcPr>
          <w:p w14:paraId="43117BDE">
            <w:pPr>
              <w:keepNext w:val="0"/>
              <w:keepLines w:val="0"/>
              <w:pageBreakBefore w:val="0"/>
              <w:kinsoku/>
              <w:wordWrap/>
              <w:overflowPunct/>
              <w:bidi w:val="0"/>
              <w:adjustRightInd/>
              <w:snapToGrid/>
              <w:spacing w:line="440" w:lineRule="exact"/>
              <w:jc w:val="center"/>
              <w:textAlignment w:val="auto"/>
              <w:rPr>
                <w:rFonts w:hint="eastAsia" w:ascii="宋体" w:hAnsi="宋体" w:cs="宋体"/>
                <w:sz w:val="24"/>
                <w:szCs w:val="24"/>
                <w:highlight w:val="none"/>
              </w:rPr>
            </w:pPr>
            <w:r>
              <w:rPr>
                <w:rFonts w:hint="eastAsia" w:ascii="宋体" w:hAnsi="宋体" w:cs="宋体"/>
                <w:sz w:val="24"/>
                <w:szCs w:val="24"/>
                <w:highlight w:val="none"/>
              </w:rPr>
              <w:t>补充</w:t>
            </w:r>
          </w:p>
        </w:tc>
        <w:tc>
          <w:tcPr>
            <w:tcW w:w="6828" w:type="dxa"/>
            <w:tcBorders>
              <w:top w:val="single" w:color="auto" w:sz="8" w:space="0"/>
              <w:left w:val="nil"/>
              <w:bottom w:val="single" w:color="auto" w:sz="8" w:space="0"/>
              <w:right w:val="single" w:color="auto" w:sz="8" w:space="0"/>
            </w:tcBorders>
            <w:vAlign w:val="center"/>
          </w:tcPr>
          <w:p w14:paraId="6CA58BC5">
            <w:pPr>
              <w:keepNext w:val="0"/>
              <w:keepLines w:val="0"/>
              <w:pageBreakBefore w:val="0"/>
              <w:kinsoku/>
              <w:wordWrap/>
              <w:overflowPunct/>
              <w:bidi w:val="0"/>
              <w:adjustRightInd/>
              <w:snapToGrid/>
              <w:spacing w:line="440" w:lineRule="exact"/>
              <w:textAlignment w:val="auto"/>
              <w:rPr>
                <w:rFonts w:hint="eastAsia" w:ascii="宋体" w:hAnsi="宋体" w:cs="宋体"/>
                <w:sz w:val="24"/>
                <w:szCs w:val="24"/>
                <w:highlight w:val="none"/>
              </w:rPr>
            </w:pPr>
            <w:r>
              <w:rPr>
                <w:rFonts w:hint="eastAsia" w:ascii="宋体" w:hAnsi="宋体" w:cs="宋体"/>
                <w:sz w:val="24"/>
                <w:szCs w:val="24"/>
                <w:highlight w:val="none"/>
              </w:rPr>
              <w:t>依据《政府采购促进中小企业发展管理办法》（财库〔2020〕46号）规定享受扶持政策获得政府采购合同的，小微企业不得将合同分包给大中型企业，中型企业不得将合同分包给大型企业。</w:t>
            </w:r>
          </w:p>
        </w:tc>
      </w:tr>
      <w:tr w14:paraId="5BABA5D1">
        <w:tblPrEx>
          <w:tblCellMar>
            <w:top w:w="0" w:type="dxa"/>
            <w:left w:w="0" w:type="dxa"/>
            <w:bottom w:w="0" w:type="dxa"/>
            <w:right w:w="0" w:type="dxa"/>
          </w:tblCellMar>
        </w:tblPrEx>
        <w:trPr>
          <w:trHeight w:val="790" w:hRule="atLeast"/>
        </w:trPr>
        <w:tc>
          <w:tcPr>
            <w:tcW w:w="1047" w:type="dxa"/>
            <w:tcBorders>
              <w:top w:val="single" w:color="auto" w:sz="8" w:space="0"/>
              <w:left w:val="single" w:color="auto" w:sz="8" w:space="0"/>
              <w:bottom w:val="single" w:color="auto" w:sz="8" w:space="0"/>
              <w:right w:val="single" w:color="auto" w:sz="8" w:space="0"/>
            </w:tcBorders>
            <w:vAlign w:val="center"/>
          </w:tcPr>
          <w:p w14:paraId="430CFAE9">
            <w:pPr>
              <w:keepNext w:val="0"/>
              <w:keepLines w:val="0"/>
              <w:pageBreakBefore w:val="0"/>
              <w:kinsoku/>
              <w:wordWrap/>
              <w:overflowPunct/>
              <w:bidi w:val="0"/>
              <w:adjustRightInd/>
              <w:snapToGrid/>
              <w:spacing w:line="440" w:lineRule="exact"/>
              <w:jc w:val="center"/>
              <w:textAlignment w:val="auto"/>
              <w:rPr>
                <w:rFonts w:hint="default" w:ascii="宋体" w:hAnsi="宋体" w:eastAsia="宋体"/>
                <w:kern w:val="2"/>
                <w:sz w:val="24"/>
                <w:szCs w:val="24"/>
                <w:highlight w:val="none"/>
                <w:lang w:val="en-US" w:eastAsia="zh-CN"/>
              </w:rPr>
            </w:pPr>
            <w:r>
              <w:rPr>
                <w:rFonts w:hint="eastAsia" w:ascii="宋体" w:hAnsi="宋体"/>
                <w:kern w:val="2"/>
                <w:sz w:val="24"/>
                <w:szCs w:val="24"/>
                <w:highlight w:val="none"/>
                <w:lang w:val="en-US" w:eastAsia="zh-CN"/>
              </w:rPr>
              <w:t>12.5</w:t>
            </w:r>
          </w:p>
        </w:tc>
        <w:tc>
          <w:tcPr>
            <w:tcW w:w="2007" w:type="dxa"/>
            <w:tcBorders>
              <w:top w:val="single" w:color="auto" w:sz="8" w:space="0"/>
              <w:left w:val="nil"/>
              <w:bottom w:val="single" w:color="auto" w:sz="8" w:space="0"/>
              <w:right w:val="single" w:color="auto" w:sz="8" w:space="0"/>
            </w:tcBorders>
            <w:vAlign w:val="center"/>
          </w:tcPr>
          <w:p w14:paraId="3A92916D">
            <w:pPr>
              <w:keepNext w:val="0"/>
              <w:keepLines w:val="0"/>
              <w:pageBreakBefore w:val="0"/>
              <w:kinsoku/>
              <w:wordWrap/>
              <w:overflowPunct/>
              <w:bidi w:val="0"/>
              <w:adjustRightInd/>
              <w:snapToGrid/>
              <w:spacing w:line="440" w:lineRule="exact"/>
              <w:jc w:val="center"/>
              <w:textAlignment w:val="auto"/>
              <w:rPr>
                <w:rFonts w:hint="eastAsia" w:ascii="宋体" w:hAnsi="宋体" w:cs="宋体"/>
                <w:sz w:val="24"/>
                <w:szCs w:val="24"/>
                <w:highlight w:val="none"/>
              </w:rPr>
            </w:pPr>
            <w:r>
              <w:rPr>
                <w:rFonts w:hint="eastAsia" w:ascii="宋体" w:hAnsi="宋体" w:cs="宋体"/>
                <w:sz w:val="24"/>
                <w:szCs w:val="24"/>
                <w:highlight w:val="none"/>
              </w:rPr>
              <w:t>确定核心产品</w:t>
            </w:r>
          </w:p>
        </w:tc>
        <w:tc>
          <w:tcPr>
            <w:tcW w:w="6828" w:type="dxa"/>
            <w:tcBorders>
              <w:top w:val="single" w:color="auto" w:sz="8" w:space="0"/>
              <w:left w:val="nil"/>
              <w:bottom w:val="single" w:color="auto" w:sz="8" w:space="0"/>
              <w:right w:val="single" w:color="auto" w:sz="8" w:space="0"/>
            </w:tcBorders>
            <w:vAlign w:val="center"/>
          </w:tcPr>
          <w:p w14:paraId="053F3FE3">
            <w:pPr>
              <w:keepNext w:val="0"/>
              <w:keepLines w:val="0"/>
              <w:pageBreakBefore w:val="0"/>
              <w:widowControl/>
              <w:suppressLineNumbers w:val="0"/>
              <w:kinsoku/>
              <w:wordWrap/>
              <w:overflowPunct/>
              <w:bidi w:val="0"/>
              <w:adjustRightInd/>
              <w:snapToGrid/>
              <w:spacing w:line="440" w:lineRule="exact"/>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lang w:val="en-US" w:eastAsia="zh-CN" w:bidi="ar"/>
              </w:rPr>
              <w:t>属于单一产品采购项目。</w:t>
            </w:r>
          </w:p>
        </w:tc>
      </w:tr>
    </w:tbl>
    <w:p w14:paraId="0EE77006">
      <w:pPr>
        <w:rPr>
          <w:rFonts w:ascii="宋体" w:hAnsi="宋体" w:cs="宋体"/>
        </w:rPr>
      </w:pPr>
      <w:r>
        <w:rPr>
          <w:rFonts w:hint="eastAsia" w:ascii="宋体" w:hAnsi="宋体" w:cs="宋体"/>
        </w:rPr>
        <w:br w:type="page"/>
      </w:r>
    </w:p>
    <w:p w14:paraId="0C6FC8CA">
      <w:pPr>
        <w:pStyle w:val="4"/>
        <w:spacing w:before="0" w:after="0" w:line="360" w:lineRule="auto"/>
        <w:rPr>
          <w:rFonts w:ascii="宋体" w:hAnsi="宋体" w:eastAsia="宋体" w:cs="宋体"/>
          <w:sz w:val="28"/>
          <w:szCs w:val="28"/>
          <w:highlight w:val="none"/>
        </w:rPr>
      </w:pPr>
      <w:bookmarkStart w:id="53" w:name="_Toc27064"/>
      <w:bookmarkEnd w:id="53"/>
      <w:bookmarkStart w:id="54" w:name="page17"/>
      <w:bookmarkEnd w:id="54"/>
      <w:bookmarkStart w:id="55" w:name="_Toc20589"/>
      <w:bookmarkEnd w:id="55"/>
      <w:bookmarkStart w:id="56" w:name="_Toc19039"/>
      <w:bookmarkStart w:id="57" w:name="_Toc8193"/>
      <w:r>
        <w:rPr>
          <w:rFonts w:hint="eastAsia" w:ascii="宋体" w:hAnsi="宋体" w:eastAsia="宋体" w:cs="宋体"/>
          <w:sz w:val="28"/>
          <w:szCs w:val="28"/>
          <w:highlight w:val="none"/>
        </w:rPr>
        <w:t>1.总则</w:t>
      </w:r>
      <w:bookmarkEnd w:id="56"/>
      <w:bookmarkEnd w:id="57"/>
    </w:p>
    <w:p w14:paraId="3A958057">
      <w:pPr>
        <w:spacing w:line="360" w:lineRule="auto"/>
        <w:rPr>
          <w:rFonts w:ascii="宋体" w:hAnsi="宋体" w:cs="宋体"/>
          <w:b/>
          <w:sz w:val="24"/>
          <w:szCs w:val="24"/>
          <w:highlight w:val="none"/>
        </w:rPr>
      </w:pPr>
      <w:bookmarkStart w:id="58" w:name="_Toc31335"/>
      <w:bookmarkEnd w:id="58"/>
      <w:bookmarkStart w:id="59" w:name="_Toc700"/>
      <w:r>
        <w:rPr>
          <w:rFonts w:hint="eastAsia" w:ascii="宋体" w:hAnsi="宋体" w:cs="宋体"/>
          <w:b/>
          <w:sz w:val="24"/>
          <w:szCs w:val="24"/>
          <w:highlight w:val="none"/>
        </w:rPr>
        <w:t>1.1项目概况</w:t>
      </w:r>
      <w:bookmarkEnd w:id="59"/>
    </w:p>
    <w:p w14:paraId="6D3E2B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1.1.1根据《中华人民共和国政府采购法</w:t>
      </w:r>
      <w:r>
        <w:rPr>
          <w:rFonts w:hint="eastAsia" w:ascii="宋体" w:hAnsi="宋体" w:cs="宋体"/>
          <w:sz w:val="24"/>
          <w:szCs w:val="24"/>
          <w:highlight w:val="none"/>
          <w:lang w:eastAsia="zh-CN"/>
        </w:rPr>
        <w:t>》《</w:t>
      </w:r>
      <w:r>
        <w:rPr>
          <w:rFonts w:hint="eastAsia" w:ascii="宋体" w:hAnsi="宋体" w:cs="宋体"/>
          <w:sz w:val="24"/>
          <w:szCs w:val="24"/>
          <w:highlight w:val="none"/>
        </w:rPr>
        <w:t>中华人民共和国政府采购法实施条例</w:t>
      </w:r>
      <w:r>
        <w:rPr>
          <w:rFonts w:hint="eastAsia" w:ascii="宋体" w:hAnsi="宋体" w:cs="宋体"/>
          <w:sz w:val="24"/>
          <w:szCs w:val="24"/>
          <w:highlight w:val="none"/>
          <w:lang w:eastAsia="zh-CN"/>
        </w:rPr>
        <w:t>》《</w:t>
      </w:r>
      <w:r>
        <w:rPr>
          <w:rFonts w:hint="eastAsia" w:ascii="宋体" w:hAnsi="宋体" w:cs="宋体"/>
          <w:sz w:val="24"/>
          <w:szCs w:val="24"/>
          <w:highlight w:val="none"/>
        </w:rPr>
        <w:t>政府采购货物和服务招标投标管理办法》</w:t>
      </w:r>
      <w:r>
        <w:rPr>
          <w:rFonts w:hint="eastAsia" w:ascii="宋体" w:hAnsi="宋体" w:cs="宋体"/>
          <w:sz w:val="24"/>
          <w:szCs w:val="24"/>
          <w:highlight w:val="none"/>
          <w:lang w:eastAsia="zh-CN"/>
        </w:rPr>
        <w:t>（</w:t>
      </w:r>
      <w:r>
        <w:rPr>
          <w:rFonts w:hint="eastAsia" w:ascii="宋体" w:hAnsi="宋体" w:cs="宋体"/>
          <w:sz w:val="24"/>
          <w:szCs w:val="24"/>
          <w:highlight w:val="none"/>
        </w:rPr>
        <w:t>财政部令第87号</w:t>
      </w:r>
      <w:r>
        <w:rPr>
          <w:rFonts w:hint="eastAsia" w:ascii="宋体" w:hAnsi="宋体" w:cs="宋体"/>
          <w:sz w:val="24"/>
          <w:szCs w:val="24"/>
          <w:highlight w:val="none"/>
          <w:lang w:eastAsia="zh-CN"/>
        </w:rPr>
        <w:t>）</w:t>
      </w:r>
      <w:r>
        <w:rPr>
          <w:rFonts w:hint="eastAsia" w:ascii="宋体" w:hAnsi="宋体" w:cs="宋体"/>
          <w:sz w:val="24"/>
          <w:szCs w:val="24"/>
          <w:highlight w:val="none"/>
        </w:rPr>
        <w:t>等有关法律、法规和规章的规定，本招标项目已具备招标条件，现对本项目进行招标。</w:t>
      </w:r>
    </w:p>
    <w:p w14:paraId="779BB6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1.1.2采购人：见投标人须知前附表。</w:t>
      </w:r>
    </w:p>
    <w:p w14:paraId="2894080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1.1.3采购代理机构：见投标人须知前附表。</w:t>
      </w:r>
    </w:p>
    <w:p w14:paraId="690643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1.1.4招标项目名称：见投标人须知前附表。</w:t>
      </w:r>
    </w:p>
    <w:p w14:paraId="00C85472">
      <w:pPr>
        <w:spacing w:line="360" w:lineRule="auto"/>
        <w:rPr>
          <w:rFonts w:ascii="宋体" w:hAnsi="宋体" w:cs="宋体"/>
          <w:b/>
          <w:sz w:val="24"/>
          <w:szCs w:val="24"/>
          <w:highlight w:val="none"/>
        </w:rPr>
      </w:pPr>
      <w:bookmarkStart w:id="60" w:name="_Toc27395"/>
      <w:bookmarkEnd w:id="60"/>
      <w:bookmarkStart w:id="61" w:name="_Toc28747"/>
      <w:r>
        <w:rPr>
          <w:rFonts w:hint="eastAsia" w:ascii="宋体" w:hAnsi="宋体" w:cs="宋体"/>
          <w:b/>
          <w:sz w:val="24"/>
          <w:szCs w:val="24"/>
          <w:highlight w:val="none"/>
        </w:rPr>
        <w:t>1.2招标项目的资金情况</w:t>
      </w:r>
      <w:bookmarkEnd w:id="61"/>
    </w:p>
    <w:p w14:paraId="655B99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1.2.1资金落实情况：见投标人须知前附表。</w:t>
      </w:r>
    </w:p>
    <w:p w14:paraId="658006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1.2.2预算金额：见投标人须知前附表。</w:t>
      </w:r>
    </w:p>
    <w:p w14:paraId="359170D2">
      <w:pPr>
        <w:spacing w:line="360" w:lineRule="auto"/>
        <w:rPr>
          <w:rFonts w:ascii="宋体" w:hAnsi="宋体" w:cs="宋体"/>
          <w:b/>
          <w:sz w:val="24"/>
          <w:szCs w:val="24"/>
          <w:highlight w:val="none"/>
        </w:rPr>
      </w:pPr>
      <w:bookmarkStart w:id="62" w:name="_Toc16064"/>
      <w:bookmarkEnd w:id="62"/>
      <w:bookmarkStart w:id="63" w:name="_Toc20957"/>
      <w:r>
        <w:rPr>
          <w:rFonts w:hint="eastAsia" w:ascii="宋体" w:hAnsi="宋体" w:cs="宋体"/>
          <w:b/>
          <w:sz w:val="24"/>
          <w:szCs w:val="24"/>
          <w:highlight w:val="none"/>
        </w:rPr>
        <w:t>1.3采购内容、</w:t>
      </w:r>
      <w:r>
        <w:rPr>
          <w:rFonts w:hint="eastAsia" w:ascii="宋体" w:hAnsi="宋体" w:cs="宋体"/>
          <w:b/>
          <w:sz w:val="24"/>
          <w:szCs w:val="24"/>
          <w:highlight w:val="none"/>
          <w:lang w:eastAsia="zh-CN"/>
        </w:rPr>
        <w:t>交付时间</w:t>
      </w:r>
      <w:r>
        <w:rPr>
          <w:rFonts w:hint="eastAsia" w:ascii="宋体" w:hAnsi="宋体" w:cs="宋体"/>
          <w:b/>
          <w:sz w:val="24"/>
          <w:szCs w:val="24"/>
          <w:highlight w:val="none"/>
        </w:rPr>
        <w:t>、</w:t>
      </w:r>
      <w:bookmarkEnd w:id="63"/>
      <w:r>
        <w:rPr>
          <w:rFonts w:hint="eastAsia" w:ascii="宋体" w:hAnsi="宋体" w:cs="宋体"/>
          <w:b/>
          <w:sz w:val="24"/>
          <w:szCs w:val="24"/>
          <w:highlight w:val="none"/>
          <w:lang w:eastAsia="zh-CN"/>
        </w:rPr>
        <w:t>交付地点</w:t>
      </w:r>
      <w:r>
        <w:rPr>
          <w:rFonts w:hint="eastAsia" w:ascii="宋体" w:hAnsi="宋体" w:cs="宋体"/>
          <w:b/>
          <w:sz w:val="24"/>
          <w:szCs w:val="24"/>
          <w:highlight w:val="none"/>
        </w:rPr>
        <w:t>、质量标准</w:t>
      </w:r>
    </w:p>
    <w:p w14:paraId="5D6998C5">
      <w:pPr>
        <w:spacing w:line="360" w:lineRule="auto"/>
        <w:ind w:firstLine="480" w:firstLineChars="200"/>
        <w:rPr>
          <w:rFonts w:hint="eastAsia" w:ascii="宋体" w:hAnsi="宋体" w:cs="宋体"/>
          <w:sz w:val="24"/>
          <w:szCs w:val="24"/>
          <w:highlight w:val="none"/>
        </w:rPr>
      </w:pPr>
      <w:bookmarkStart w:id="64" w:name="_Toc16202"/>
      <w:bookmarkEnd w:id="64"/>
      <w:r>
        <w:rPr>
          <w:rFonts w:hint="eastAsia" w:ascii="宋体" w:hAnsi="宋体" w:cs="宋体"/>
          <w:sz w:val="24"/>
          <w:szCs w:val="24"/>
          <w:highlight w:val="none"/>
        </w:rPr>
        <w:t>1.3.1采购内容：见投标人须知前附表。</w:t>
      </w:r>
    </w:p>
    <w:p w14:paraId="21A2FF5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1.3.2</w:t>
      </w:r>
      <w:r>
        <w:rPr>
          <w:rFonts w:hint="eastAsia" w:ascii="宋体" w:hAnsi="宋体" w:cs="宋体"/>
          <w:sz w:val="24"/>
          <w:szCs w:val="24"/>
          <w:highlight w:val="none"/>
          <w:lang w:eastAsia="zh-CN"/>
        </w:rPr>
        <w:t>交付时间</w:t>
      </w:r>
      <w:r>
        <w:rPr>
          <w:rFonts w:hint="eastAsia" w:ascii="宋体" w:hAnsi="宋体" w:cs="宋体"/>
          <w:sz w:val="24"/>
          <w:szCs w:val="24"/>
          <w:highlight w:val="none"/>
        </w:rPr>
        <w:t>：见投标人须知前附表。</w:t>
      </w:r>
    </w:p>
    <w:p w14:paraId="462C661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1.3.3</w:t>
      </w:r>
      <w:r>
        <w:rPr>
          <w:rFonts w:hint="eastAsia" w:ascii="宋体" w:hAnsi="宋体" w:cs="宋体"/>
          <w:sz w:val="24"/>
          <w:szCs w:val="24"/>
          <w:highlight w:val="none"/>
          <w:lang w:eastAsia="zh-CN"/>
        </w:rPr>
        <w:t>交付地点</w:t>
      </w:r>
      <w:r>
        <w:rPr>
          <w:rFonts w:hint="eastAsia" w:ascii="宋体" w:hAnsi="宋体" w:cs="宋体"/>
          <w:sz w:val="24"/>
          <w:szCs w:val="24"/>
          <w:highlight w:val="none"/>
        </w:rPr>
        <w:t>：见投标人须知前附表。</w:t>
      </w:r>
    </w:p>
    <w:p w14:paraId="565C3A30">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1.3.4质量标准：</w:t>
      </w:r>
      <w:r>
        <w:rPr>
          <w:rFonts w:hint="eastAsia" w:ascii="宋体" w:hAnsi="宋体" w:cs="宋体"/>
          <w:sz w:val="24"/>
          <w:szCs w:val="24"/>
          <w:highlight w:val="none"/>
        </w:rPr>
        <w:t>见投标人须知前附表。</w:t>
      </w:r>
    </w:p>
    <w:p w14:paraId="3EEE6592">
      <w:pPr>
        <w:spacing w:line="360" w:lineRule="auto"/>
        <w:rPr>
          <w:rFonts w:ascii="宋体" w:hAnsi="宋体" w:cs="宋体"/>
          <w:b/>
          <w:sz w:val="24"/>
          <w:szCs w:val="24"/>
          <w:highlight w:val="none"/>
        </w:rPr>
      </w:pPr>
      <w:bookmarkStart w:id="65" w:name="_Toc17694"/>
      <w:bookmarkEnd w:id="65"/>
      <w:bookmarkStart w:id="66" w:name="_Toc10611"/>
      <w:r>
        <w:rPr>
          <w:rFonts w:hint="eastAsia" w:ascii="宋体" w:hAnsi="宋体" w:cs="宋体"/>
          <w:b/>
          <w:sz w:val="24"/>
          <w:szCs w:val="24"/>
          <w:highlight w:val="none"/>
        </w:rPr>
        <w:t>1.4投标人资格要求</w:t>
      </w:r>
      <w:bookmarkEnd w:id="66"/>
    </w:p>
    <w:p w14:paraId="64512E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1.4.1投标人应具备承担本项目的资格条件。</w:t>
      </w:r>
    </w:p>
    <w:p w14:paraId="09DDA11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1.4.2投标人须知前附表规定接受联合体投标的，联合体除应符合本章第1.4.1项和投标人须知前附表的要求外，还应遵守以下规定：</w:t>
      </w:r>
    </w:p>
    <w:p w14:paraId="563A01FF">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联合体各方应按招标文件提供的格式签订联合体协议书，明确联合体牵头人和各方权利义务，并承诺就中标项目向采购人承担连带责任；</w:t>
      </w:r>
    </w:p>
    <w:p w14:paraId="06439D0B">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联合体中有同类资质的投标人按照联合体分工承担相同工作的，应当按照资质等级较低的投标人确定资质等级；</w:t>
      </w:r>
    </w:p>
    <w:p w14:paraId="0E89A4A3">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以联合体形式参加政府采购活动的，联合体各方不得再单独参加或者与其他投标人另外组成联合体参加同一合同项下的政府采购活动。</w:t>
      </w:r>
    </w:p>
    <w:p w14:paraId="75E75A70">
      <w:pPr>
        <w:spacing w:line="360" w:lineRule="auto"/>
        <w:rPr>
          <w:rFonts w:ascii="宋体" w:hAnsi="宋体" w:cs="宋体"/>
          <w:b/>
          <w:sz w:val="24"/>
          <w:szCs w:val="24"/>
          <w:highlight w:val="none"/>
        </w:rPr>
      </w:pPr>
      <w:bookmarkStart w:id="67" w:name="_Toc27960"/>
      <w:bookmarkEnd w:id="67"/>
      <w:bookmarkStart w:id="68" w:name="_Toc18144"/>
      <w:r>
        <w:rPr>
          <w:rFonts w:hint="eastAsia" w:ascii="宋体" w:hAnsi="宋体" w:cs="宋体"/>
          <w:b/>
          <w:sz w:val="24"/>
          <w:szCs w:val="24"/>
          <w:highlight w:val="none"/>
        </w:rPr>
        <w:t>1.5费用承担</w:t>
      </w:r>
      <w:bookmarkEnd w:id="68"/>
    </w:p>
    <w:p w14:paraId="2D430B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投标人准备和参加投标活动发生的费用自理。</w:t>
      </w:r>
    </w:p>
    <w:p w14:paraId="6D5FAE43">
      <w:pPr>
        <w:spacing w:line="360" w:lineRule="auto"/>
        <w:rPr>
          <w:rFonts w:ascii="宋体" w:hAnsi="宋体" w:cs="宋体"/>
          <w:b/>
          <w:sz w:val="24"/>
          <w:szCs w:val="24"/>
          <w:highlight w:val="none"/>
        </w:rPr>
      </w:pPr>
      <w:bookmarkStart w:id="69" w:name="_Toc6230"/>
      <w:bookmarkEnd w:id="69"/>
      <w:bookmarkStart w:id="70" w:name="_Toc16680"/>
      <w:r>
        <w:rPr>
          <w:rFonts w:hint="eastAsia" w:ascii="宋体" w:hAnsi="宋体" w:cs="宋体"/>
          <w:b/>
          <w:sz w:val="24"/>
          <w:szCs w:val="24"/>
          <w:highlight w:val="none"/>
        </w:rPr>
        <w:t>1.6保密</w:t>
      </w:r>
      <w:bookmarkEnd w:id="70"/>
    </w:p>
    <w:p w14:paraId="26BE6B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参与招标投标活动的各方应对招标文件和投标文件中的商业和技术等秘密保密，则应承担相应的法律责任。</w:t>
      </w:r>
    </w:p>
    <w:p w14:paraId="3772E8B0">
      <w:pPr>
        <w:spacing w:line="360" w:lineRule="auto"/>
        <w:rPr>
          <w:rFonts w:ascii="宋体" w:hAnsi="宋体" w:cs="宋体"/>
          <w:b/>
          <w:sz w:val="24"/>
          <w:szCs w:val="24"/>
          <w:highlight w:val="none"/>
        </w:rPr>
      </w:pPr>
      <w:bookmarkStart w:id="71" w:name="_Toc31781"/>
      <w:bookmarkEnd w:id="71"/>
      <w:bookmarkStart w:id="72" w:name="_Toc787"/>
      <w:r>
        <w:rPr>
          <w:rFonts w:hint="eastAsia" w:ascii="宋体" w:hAnsi="宋体" w:cs="宋体"/>
          <w:b/>
          <w:sz w:val="24"/>
          <w:szCs w:val="24"/>
          <w:highlight w:val="none"/>
        </w:rPr>
        <w:t>1.7语言文字</w:t>
      </w:r>
      <w:bookmarkEnd w:id="72"/>
    </w:p>
    <w:p w14:paraId="001AAB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招标投标文件使用的语言文字为中文。专用术语使用外文的，应附有中文注释。</w:t>
      </w:r>
    </w:p>
    <w:p w14:paraId="2FE1E139">
      <w:pPr>
        <w:spacing w:line="360" w:lineRule="auto"/>
        <w:rPr>
          <w:rFonts w:ascii="宋体" w:hAnsi="宋体" w:cs="宋体"/>
          <w:b/>
          <w:sz w:val="24"/>
          <w:szCs w:val="24"/>
          <w:highlight w:val="none"/>
        </w:rPr>
      </w:pPr>
      <w:bookmarkStart w:id="73" w:name="_Toc29423"/>
      <w:bookmarkEnd w:id="73"/>
      <w:bookmarkStart w:id="74" w:name="_Toc29116"/>
      <w:r>
        <w:rPr>
          <w:rFonts w:hint="eastAsia" w:ascii="宋体" w:hAnsi="宋体" w:cs="宋体"/>
          <w:b/>
          <w:sz w:val="24"/>
          <w:szCs w:val="24"/>
          <w:highlight w:val="none"/>
        </w:rPr>
        <w:t>1.8计量单位</w:t>
      </w:r>
      <w:bookmarkEnd w:id="74"/>
    </w:p>
    <w:p w14:paraId="5B3EF3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1BAE5736">
      <w:pPr>
        <w:spacing w:line="360" w:lineRule="auto"/>
        <w:rPr>
          <w:rFonts w:ascii="宋体" w:hAnsi="宋体" w:cs="宋体"/>
          <w:b/>
          <w:color w:val="FF0000"/>
          <w:sz w:val="24"/>
          <w:szCs w:val="24"/>
          <w:highlight w:val="none"/>
        </w:rPr>
      </w:pPr>
      <w:bookmarkStart w:id="75" w:name="_Toc152045539"/>
      <w:bookmarkEnd w:id="75"/>
      <w:bookmarkStart w:id="76" w:name="_Toc152042315"/>
      <w:bookmarkEnd w:id="76"/>
      <w:bookmarkStart w:id="77" w:name="_Toc29812"/>
      <w:bookmarkEnd w:id="77"/>
      <w:bookmarkStart w:id="78" w:name="_Toc247527563"/>
      <w:bookmarkEnd w:id="78"/>
      <w:bookmarkStart w:id="79" w:name="_Toc247513962"/>
      <w:bookmarkEnd w:id="79"/>
      <w:bookmarkStart w:id="80" w:name="_Toc144974507"/>
      <w:bookmarkEnd w:id="80"/>
      <w:bookmarkStart w:id="81" w:name="_Toc296602429"/>
      <w:bookmarkEnd w:id="81"/>
      <w:bookmarkStart w:id="82" w:name="_Toc247592876"/>
      <w:bookmarkEnd w:id="82"/>
      <w:bookmarkStart w:id="83" w:name="_Toc29408"/>
      <w:r>
        <w:rPr>
          <w:rFonts w:hint="eastAsia" w:ascii="宋体" w:hAnsi="宋体" w:cs="宋体"/>
          <w:b/>
          <w:sz w:val="24"/>
          <w:szCs w:val="24"/>
          <w:highlight w:val="none"/>
        </w:rPr>
        <w:t>1.9现场</w:t>
      </w:r>
      <w:bookmarkEnd w:id="83"/>
      <w:r>
        <w:rPr>
          <w:rFonts w:hint="eastAsia" w:ascii="宋体" w:hAnsi="宋体" w:cs="宋体"/>
          <w:b/>
          <w:sz w:val="24"/>
          <w:szCs w:val="24"/>
          <w:highlight w:val="none"/>
        </w:rPr>
        <w:t>考察</w:t>
      </w:r>
    </w:p>
    <w:p w14:paraId="5F20690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1.9.1投标人须知前附表规定组织现场考察的，采购人按投标人须知前附表规定的时间、地点组织投标人考察项目现场。</w:t>
      </w:r>
    </w:p>
    <w:p w14:paraId="1123B0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1.9.2投标人考察现场发生的费用自理。</w:t>
      </w:r>
    </w:p>
    <w:p w14:paraId="6B78204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1.9.3除采购人的原因外，投标人自行负责在考察现场中所发生的人员伤亡和财产损失。</w:t>
      </w:r>
    </w:p>
    <w:p w14:paraId="15B210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1.9.4采购人在考察现场中介绍的项目场地和相关的周边环境情况，供投标人在编制投标文件时参考，采购人不对投标人据此作出的判断和决策负责。</w:t>
      </w:r>
    </w:p>
    <w:p w14:paraId="5818F7A7">
      <w:pPr>
        <w:spacing w:line="360" w:lineRule="auto"/>
        <w:rPr>
          <w:rFonts w:ascii="宋体" w:hAnsi="宋体" w:cs="宋体"/>
          <w:b/>
          <w:sz w:val="24"/>
          <w:szCs w:val="24"/>
          <w:highlight w:val="none"/>
        </w:rPr>
      </w:pPr>
      <w:bookmarkStart w:id="84" w:name="_Toc587"/>
      <w:bookmarkEnd w:id="84"/>
      <w:bookmarkStart w:id="85" w:name="_Toc31848"/>
      <w:bookmarkEnd w:id="85"/>
      <w:bookmarkStart w:id="86" w:name="_Toc29345"/>
      <w:r>
        <w:rPr>
          <w:rFonts w:hint="eastAsia" w:ascii="宋体" w:hAnsi="宋体" w:cs="宋体"/>
          <w:b/>
          <w:sz w:val="24"/>
          <w:szCs w:val="24"/>
          <w:highlight w:val="none"/>
        </w:rPr>
        <w:t>1.10响应和偏</w:t>
      </w:r>
      <w:bookmarkEnd w:id="86"/>
      <w:r>
        <w:rPr>
          <w:rFonts w:hint="eastAsia" w:ascii="宋体" w:hAnsi="宋体" w:cs="宋体"/>
          <w:b/>
          <w:sz w:val="24"/>
          <w:szCs w:val="24"/>
          <w:highlight w:val="none"/>
        </w:rPr>
        <w:t>离</w:t>
      </w:r>
    </w:p>
    <w:p w14:paraId="55E49052">
      <w:pPr>
        <w:spacing w:line="360" w:lineRule="auto"/>
        <w:ind w:firstLine="480" w:firstLineChars="200"/>
        <w:rPr>
          <w:rFonts w:ascii="宋体" w:hAnsi="宋体" w:cs="宋体"/>
          <w:sz w:val="24"/>
          <w:szCs w:val="24"/>
          <w:highlight w:val="none"/>
        </w:rPr>
      </w:pPr>
      <w:bookmarkStart w:id="87" w:name="page22"/>
      <w:bookmarkEnd w:id="87"/>
      <w:r>
        <w:rPr>
          <w:rFonts w:hint="eastAsia" w:ascii="宋体" w:hAnsi="宋体" w:cs="宋体"/>
          <w:sz w:val="24"/>
          <w:szCs w:val="24"/>
          <w:highlight w:val="none"/>
        </w:rPr>
        <w:t>投标文件应当对招标文件的实质性要求和条件作出响应，否则，投标人投标无效。</w:t>
      </w:r>
      <w:r>
        <w:rPr>
          <w:rFonts w:hint="eastAsia" w:ascii="宋体" w:hAnsi="宋体" w:cs="宋体"/>
          <w:b/>
          <w:bCs/>
          <w:kern w:val="2"/>
          <w:sz w:val="24"/>
          <w:szCs w:val="24"/>
          <w:highlight w:val="none"/>
        </w:rPr>
        <w:t>不允许偏离的</w:t>
      </w:r>
      <w:r>
        <w:rPr>
          <w:rFonts w:hint="eastAsia" w:ascii="宋体" w:hAnsi="宋体" w:cs="宋体"/>
          <w:b/>
          <w:bCs/>
          <w:sz w:val="24"/>
          <w:szCs w:val="24"/>
          <w:highlight w:val="none"/>
        </w:rPr>
        <w:t>实质性要求和条件见投标人须知前附表。</w:t>
      </w:r>
    </w:p>
    <w:p w14:paraId="1C864560">
      <w:pPr>
        <w:pStyle w:val="4"/>
        <w:spacing w:before="0" w:after="0" w:line="360" w:lineRule="auto"/>
        <w:rPr>
          <w:rFonts w:ascii="宋体" w:hAnsi="宋体" w:eastAsia="宋体" w:cs="宋体"/>
          <w:sz w:val="28"/>
          <w:szCs w:val="28"/>
          <w:highlight w:val="none"/>
        </w:rPr>
      </w:pPr>
      <w:bookmarkStart w:id="88" w:name="_Toc31795"/>
      <w:bookmarkEnd w:id="88"/>
      <w:bookmarkStart w:id="89" w:name="_Toc32012"/>
      <w:bookmarkEnd w:id="89"/>
      <w:bookmarkStart w:id="90" w:name="_Toc31733"/>
      <w:bookmarkStart w:id="91" w:name="_Toc17083"/>
      <w:r>
        <w:rPr>
          <w:rFonts w:hint="eastAsia" w:ascii="宋体" w:hAnsi="宋体" w:eastAsia="宋体" w:cs="宋体"/>
          <w:sz w:val="28"/>
          <w:szCs w:val="28"/>
          <w:highlight w:val="none"/>
        </w:rPr>
        <w:t>2.招标文件</w:t>
      </w:r>
      <w:bookmarkEnd w:id="90"/>
      <w:bookmarkEnd w:id="91"/>
    </w:p>
    <w:p w14:paraId="33808B7E">
      <w:pPr>
        <w:spacing w:line="360" w:lineRule="auto"/>
        <w:rPr>
          <w:rFonts w:ascii="宋体" w:hAnsi="宋体" w:cs="宋体"/>
          <w:b/>
          <w:sz w:val="24"/>
          <w:szCs w:val="24"/>
          <w:highlight w:val="none"/>
        </w:rPr>
      </w:pPr>
      <w:bookmarkStart w:id="92" w:name="_Toc21536"/>
      <w:bookmarkEnd w:id="92"/>
      <w:bookmarkStart w:id="93" w:name="_Toc16596"/>
      <w:r>
        <w:rPr>
          <w:rFonts w:hint="eastAsia" w:ascii="宋体" w:hAnsi="宋体" w:cs="宋体"/>
          <w:b/>
          <w:sz w:val="24"/>
          <w:szCs w:val="24"/>
          <w:highlight w:val="none"/>
        </w:rPr>
        <w:t>2.1招标文件的组成</w:t>
      </w:r>
      <w:bookmarkEnd w:id="93"/>
    </w:p>
    <w:p w14:paraId="06B56F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本招标文件包括：</w:t>
      </w:r>
    </w:p>
    <w:p w14:paraId="7904480D">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招标公告；</w:t>
      </w:r>
    </w:p>
    <w:p w14:paraId="6688A4CD">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投标人须知；</w:t>
      </w:r>
    </w:p>
    <w:p w14:paraId="3D332471">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3</w:t>
      </w:r>
      <w:r>
        <w:rPr>
          <w:rFonts w:hint="eastAsia" w:ascii="宋体" w:hAnsi="宋体" w:cs="宋体"/>
          <w:sz w:val="24"/>
          <w:szCs w:val="24"/>
          <w:highlight w:val="none"/>
          <w:lang w:eastAsia="zh-CN"/>
        </w:rPr>
        <w:t>）</w:t>
      </w:r>
      <w:r>
        <w:rPr>
          <w:rFonts w:hint="eastAsia" w:ascii="宋体" w:hAnsi="宋体" w:cs="宋体"/>
          <w:sz w:val="24"/>
          <w:szCs w:val="24"/>
          <w:highlight w:val="none"/>
        </w:rPr>
        <w:t>资格审查；</w:t>
      </w:r>
    </w:p>
    <w:p w14:paraId="67318C61">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4</w:t>
      </w:r>
      <w:r>
        <w:rPr>
          <w:rFonts w:hint="eastAsia" w:ascii="宋体" w:hAnsi="宋体" w:cs="宋体"/>
          <w:sz w:val="24"/>
          <w:szCs w:val="24"/>
          <w:highlight w:val="none"/>
          <w:lang w:eastAsia="zh-CN"/>
        </w:rPr>
        <w:t>）</w:t>
      </w:r>
      <w:r>
        <w:rPr>
          <w:rFonts w:hint="eastAsia" w:ascii="宋体" w:hAnsi="宋体" w:cs="宋体"/>
          <w:sz w:val="24"/>
          <w:szCs w:val="24"/>
          <w:highlight w:val="none"/>
        </w:rPr>
        <w:t>评标办法；</w:t>
      </w:r>
    </w:p>
    <w:p w14:paraId="79582715">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5</w:t>
      </w:r>
      <w:r>
        <w:rPr>
          <w:rFonts w:hint="eastAsia" w:ascii="宋体" w:hAnsi="宋体" w:cs="宋体"/>
          <w:sz w:val="24"/>
          <w:szCs w:val="24"/>
          <w:highlight w:val="none"/>
          <w:lang w:eastAsia="zh-CN"/>
        </w:rPr>
        <w:t>）</w:t>
      </w:r>
      <w:r>
        <w:rPr>
          <w:rFonts w:hint="eastAsia" w:ascii="宋体" w:hAnsi="宋体" w:cs="宋体"/>
          <w:sz w:val="24"/>
          <w:szCs w:val="24"/>
          <w:highlight w:val="none"/>
        </w:rPr>
        <w:t>合同条款及格式；</w:t>
      </w:r>
    </w:p>
    <w:p w14:paraId="0FE11939">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6</w:t>
      </w:r>
      <w:r>
        <w:rPr>
          <w:rFonts w:hint="eastAsia" w:ascii="宋体" w:hAnsi="宋体" w:cs="宋体"/>
          <w:sz w:val="24"/>
          <w:szCs w:val="24"/>
          <w:highlight w:val="none"/>
          <w:lang w:eastAsia="zh-CN"/>
        </w:rPr>
        <w:t>）采购需求</w:t>
      </w:r>
      <w:r>
        <w:rPr>
          <w:rFonts w:hint="eastAsia" w:ascii="宋体" w:hAnsi="宋体" w:cs="宋体"/>
          <w:sz w:val="24"/>
          <w:szCs w:val="24"/>
          <w:highlight w:val="none"/>
        </w:rPr>
        <w:t>；</w:t>
      </w:r>
    </w:p>
    <w:p w14:paraId="2154C634">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7</w:t>
      </w:r>
      <w:r>
        <w:rPr>
          <w:rFonts w:hint="eastAsia" w:ascii="宋体" w:hAnsi="宋体" w:cs="宋体"/>
          <w:sz w:val="24"/>
          <w:szCs w:val="24"/>
          <w:highlight w:val="none"/>
          <w:lang w:eastAsia="zh-CN"/>
        </w:rPr>
        <w:t>）</w:t>
      </w:r>
      <w:r>
        <w:rPr>
          <w:rFonts w:hint="eastAsia" w:ascii="宋体" w:hAnsi="宋体" w:cs="宋体"/>
          <w:sz w:val="24"/>
          <w:szCs w:val="24"/>
          <w:highlight w:val="none"/>
        </w:rPr>
        <w:t>投标文件格式。</w:t>
      </w:r>
    </w:p>
    <w:p w14:paraId="2928D46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根据本章第2.2款和第2.3款对招标文件所</w:t>
      </w:r>
      <w:r>
        <w:rPr>
          <w:rFonts w:hint="eastAsia" w:ascii="宋体" w:hAnsi="宋体" w:cs="宋体"/>
          <w:sz w:val="24"/>
          <w:szCs w:val="24"/>
          <w:highlight w:val="none"/>
          <w:lang w:eastAsia="zh-CN"/>
        </w:rPr>
        <w:t>做</w:t>
      </w:r>
      <w:r>
        <w:rPr>
          <w:rFonts w:hint="eastAsia" w:ascii="宋体" w:hAnsi="宋体" w:cs="宋体"/>
          <w:sz w:val="24"/>
          <w:szCs w:val="24"/>
          <w:highlight w:val="none"/>
        </w:rPr>
        <w:t>的澄清、修改，构成招标文件的组成部分。</w:t>
      </w:r>
    </w:p>
    <w:p w14:paraId="0715E319">
      <w:pPr>
        <w:spacing w:line="360" w:lineRule="auto"/>
        <w:rPr>
          <w:rFonts w:ascii="宋体" w:hAnsi="宋体" w:cs="宋体"/>
          <w:b/>
          <w:sz w:val="24"/>
          <w:szCs w:val="24"/>
          <w:highlight w:val="none"/>
        </w:rPr>
      </w:pPr>
      <w:bookmarkStart w:id="94" w:name="_Toc23003"/>
      <w:bookmarkEnd w:id="94"/>
      <w:bookmarkStart w:id="95" w:name="_Toc13591"/>
      <w:r>
        <w:rPr>
          <w:rFonts w:hint="eastAsia" w:ascii="宋体" w:hAnsi="宋体" w:cs="宋体"/>
          <w:b/>
          <w:sz w:val="24"/>
          <w:szCs w:val="24"/>
          <w:highlight w:val="none"/>
        </w:rPr>
        <w:t>2.2招标文件的澄清</w:t>
      </w:r>
      <w:bookmarkEnd w:id="95"/>
    </w:p>
    <w:p w14:paraId="12EDCCC1">
      <w:pPr>
        <w:pStyle w:val="2"/>
        <w:ind w:firstLine="480" w:firstLineChars="200"/>
        <w:rPr>
          <w:rFonts w:ascii="宋体" w:hAnsi="宋体" w:cs="宋体"/>
          <w:kern w:val="0"/>
          <w:sz w:val="24"/>
          <w:highlight w:val="none"/>
        </w:rPr>
      </w:pPr>
      <w:r>
        <w:rPr>
          <w:rFonts w:hint="eastAsia" w:ascii="宋体" w:hAnsi="宋体" w:cs="宋体"/>
          <w:sz w:val="24"/>
          <w:highlight w:val="none"/>
        </w:rPr>
        <w:t>2.2.1投标人应仔细阅读和检查招标文件的全部内容。如发现缺页或附件不全，应及时向采购代理机构提出，以便补齐。</w:t>
      </w:r>
    </w:p>
    <w:p w14:paraId="17D1DC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招标文件的澄清以投标人须知前附表规定的形式发给所有获取招标文件的投标人，但不指明澄清问题的来源。澄清发出的时间距本章第4.2.1项规定的投标截止时间不足15日的，并且澄清内容可能影响投标文件编制的，将相应延长投标截止时间。</w:t>
      </w:r>
    </w:p>
    <w:p w14:paraId="05DF00A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2.2.3投标人在收到澄清通知后，应按投标人须知前附表规定的时间和形式通知采购代理机构，确认已收到该澄清。</w:t>
      </w:r>
    </w:p>
    <w:p w14:paraId="6E4A30FC">
      <w:pPr>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2.2.4</w:t>
      </w:r>
      <w:r>
        <w:rPr>
          <w:rFonts w:hint="eastAsia" w:ascii="宋体" w:hAnsi="宋体"/>
          <w:sz w:val="24"/>
          <w:szCs w:val="24"/>
          <w:highlight w:val="none"/>
        </w:rPr>
        <w:t>采购人或者采购代理机构</w:t>
      </w:r>
      <w:r>
        <w:rPr>
          <w:rFonts w:hint="eastAsia" w:ascii="宋体" w:hAnsi="宋体"/>
          <w:sz w:val="24"/>
          <w:szCs w:val="24"/>
          <w:highlight w:val="none"/>
          <w:lang w:eastAsia="zh-CN"/>
        </w:rPr>
        <w:t>应当</w:t>
      </w:r>
      <w:r>
        <w:rPr>
          <w:rFonts w:hint="eastAsia" w:ascii="宋体" w:hAnsi="宋体"/>
          <w:sz w:val="24"/>
          <w:szCs w:val="24"/>
          <w:highlight w:val="none"/>
        </w:rPr>
        <w:t>及时对投标人依法提出的询问作出答复。</w:t>
      </w:r>
    </w:p>
    <w:p w14:paraId="0586B311">
      <w:pPr>
        <w:spacing w:line="360" w:lineRule="auto"/>
        <w:rPr>
          <w:rFonts w:ascii="宋体" w:hAnsi="宋体" w:cs="宋体"/>
          <w:b/>
          <w:sz w:val="24"/>
          <w:szCs w:val="24"/>
          <w:highlight w:val="none"/>
        </w:rPr>
      </w:pPr>
      <w:bookmarkStart w:id="96" w:name="_Toc17621"/>
      <w:bookmarkEnd w:id="96"/>
      <w:bookmarkStart w:id="97" w:name="_Toc8029"/>
      <w:r>
        <w:rPr>
          <w:rFonts w:hint="eastAsia" w:ascii="宋体" w:hAnsi="宋体" w:cs="宋体"/>
          <w:b/>
          <w:sz w:val="24"/>
          <w:szCs w:val="24"/>
          <w:highlight w:val="none"/>
        </w:rPr>
        <w:t>2.3招标文件的修改</w:t>
      </w:r>
      <w:bookmarkEnd w:id="97"/>
    </w:p>
    <w:p w14:paraId="112DA6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2.3.1采购人以投标人须知前附表规定的形式修改招标文件，并通知所有已获取招标文件的投标人。修改招标文件的时间距本章4.2.1项规定的投标截止时间不足15日的，并且修改内容可能影响投标文件编制的，将相应延长投标截止时间。</w:t>
      </w:r>
    </w:p>
    <w:p w14:paraId="4A9B47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2.3.2投标人收到修改内容后，应按投标人须知前附表规定的时间和形式通知采购代理机构，确认已收到该修改。</w:t>
      </w:r>
    </w:p>
    <w:p w14:paraId="50889097">
      <w:pPr>
        <w:pStyle w:val="4"/>
        <w:spacing w:before="0" w:after="0" w:line="360" w:lineRule="auto"/>
        <w:rPr>
          <w:rFonts w:ascii="宋体" w:hAnsi="宋体" w:eastAsia="宋体" w:cs="宋体"/>
          <w:sz w:val="28"/>
          <w:szCs w:val="28"/>
          <w:highlight w:val="none"/>
        </w:rPr>
      </w:pPr>
      <w:bookmarkStart w:id="98" w:name="_Toc29741"/>
      <w:bookmarkEnd w:id="98"/>
      <w:bookmarkStart w:id="99" w:name="_Toc24916"/>
      <w:bookmarkEnd w:id="99"/>
      <w:bookmarkStart w:id="100" w:name="_Toc16663"/>
      <w:bookmarkEnd w:id="100"/>
      <w:bookmarkStart w:id="101" w:name="_Toc24768"/>
      <w:bookmarkStart w:id="102" w:name="_Toc13481"/>
      <w:r>
        <w:rPr>
          <w:rFonts w:hint="eastAsia" w:ascii="宋体" w:hAnsi="宋体" w:eastAsia="宋体" w:cs="宋体"/>
          <w:sz w:val="28"/>
          <w:szCs w:val="28"/>
          <w:highlight w:val="none"/>
        </w:rPr>
        <w:t>3.投标文件</w:t>
      </w:r>
      <w:bookmarkEnd w:id="101"/>
      <w:bookmarkEnd w:id="102"/>
    </w:p>
    <w:p w14:paraId="7BE2669B">
      <w:pPr>
        <w:spacing w:line="360" w:lineRule="auto"/>
        <w:rPr>
          <w:rFonts w:ascii="宋体" w:hAnsi="宋体" w:cs="宋体"/>
          <w:b/>
          <w:sz w:val="24"/>
          <w:szCs w:val="24"/>
          <w:highlight w:val="none"/>
        </w:rPr>
      </w:pPr>
      <w:bookmarkStart w:id="103" w:name="_Toc2432"/>
      <w:bookmarkEnd w:id="103"/>
      <w:bookmarkStart w:id="104" w:name="_Toc4962"/>
      <w:r>
        <w:rPr>
          <w:rFonts w:hint="eastAsia" w:ascii="宋体" w:hAnsi="宋体" w:cs="宋体"/>
          <w:b/>
          <w:sz w:val="24"/>
          <w:szCs w:val="24"/>
          <w:highlight w:val="none"/>
        </w:rPr>
        <w:t>3.1投标文件的组成</w:t>
      </w:r>
      <w:bookmarkEnd w:id="104"/>
    </w:p>
    <w:p w14:paraId="34B3DE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3.1.1投标文件资格审查部分详见第七章“投标文件格式”资格审查部分中的内容。</w:t>
      </w:r>
    </w:p>
    <w:p w14:paraId="095C1A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3.1.2投标文件商务技术部分详见第七章“投标文件格式”商务技术部分中的内容。</w:t>
      </w:r>
    </w:p>
    <w:p w14:paraId="061ADE4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投标人在评标过程中作出的符合法律法规和招标文件规定的澄清确认，构成投标文件的组成部分。</w:t>
      </w:r>
    </w:p>
    <w:p w14:paraId="2249FF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3.1.3投标人须知前附表未要求提交投标保证金的，投标文件不包括第七章“投标文件格式”商务技术部分中所指的投标保证金。</w:t>
      </w:r>
    </w:p>
    <w:p w14:paraId="0C2FF482">
      <w:pPr>
        <w:spacing w:line="360" w:lineRule="auto"/>
        <w:rPr>
          <w:rFonts w:ascii="宋体" w:hAnsi="宋体" w:cs="宋体"/>
          <w:b/>
          <w:sz w:val="24"/>
          <w:szCs w:val="24"/>
          <w:highlight w:val="none"/>
        </w:rPr>
      </w:pPr>
      <w:bookmarkStart w:id="105" w:name="_Toc3252"/>
      <w:bookmarkEnd w:id="105"/>
      <w:bookmarkStart w:id="106" w:name="_Toc21369"/>
      <w:r>
        <w:rPr>
          <w:rFonts w:hint="eastAsia" w:ascii="宋体" w:hAnsi="宋体" w:cs="宋体"/>
          <w:b/>
          <w:sz w:val="24"/>
          <w:szCs w:val="24"/>
          <w:highlight w:val="none"/>
        </w:rPr>
        <w:t>3.2投标报价</w:t>
      </w:r>
      <w:bookmarkEnd w:id="106"/>
    </w:p>
    <w:p w14:paraId="7BFA81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3.2.1投标人应按第七章“投标文件格式”的要求</w:t>
      </w:r>
      <w:r>
        <w:rPr>
          <w:rFonts w:hint="eastAsia" w:ascii="宋体" w:hAnsi="宋体" w:cs="宋体"/>
          <w:sz w:val="24"/>
          <w:szCs w:val="24"/>
          <w:highlight w:val="none"/>
          <w:lang w:eastAsia="zh-CN"/>
        </w:rPr>
        <w:t>在</w:t>
      </w:r>
      <w:r>
        <w:rPr>
          <w:rFonts w:hint="eastAsia" w:ascii="宋体" w:hAnsi="宋体" w:cs="宋体"/>
          <w:sz w:val="24"/>
          <w:szCs w:val="24"/>
          <w:highlight w:val="none"/>
        </w:rPr>
        <w:t>开标一览表中进行报价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并填写投标分项报价表</w:t>
      </w:r>
      <w:r>
        <w:rPr>
          <w:rFonts w:hint="eastAsia" w:ascii="宋体" w:hAnsi="宋体" w:cs="宋体"/>
          <w:sz w:val="24"/>
          <w:szCs w:val="24"/>
          <w:highlight w:val="none"/>
        </w:rPr>
        <w:t>。</w:t>
      </w:r>
    </w:p>
    <w:p w14:paraId="5839E80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3.2.2投标人应充分了解该项目的总体情况以及影响投标报价的其他要素。</w:t>
      </w:r>
    </w:p>
    <w:p w14:paraId="6EA3B18B">
      <w:pPr>
        <w:spacing w:line="360" w:lineRule="auto"/>
        <w:ind w:firstLine="480" w:firstLineChars="200"/>
        <w:rPr>
          <w:rFonts w:ascii="宋体" w:hAnsi="宋体" w:cs="宋体"/>
          <w:color w:val="FF0000"/>
          <w:sz w:val="24"/>
          <w:szCs w:val="24"/>
          <w:highlight w:val="none"/>
        </w:rPr>
      </w:pPr>
      <w:r>
        <w:rPr>
          <w:rFonts w:hint="eastAsia" w:ascii="宋体" w:hAnsi="宋体" w:cs="宋体"/>
          <w:sz w:val="24"/>
          <w:szCs w:val="24"/>
          <w:highlight w:val="none"/>
        </w:rPr>
        <w:t>3.2.3投标人的投标报价不得超过预算金额，若采购人还设有最高投标限价的，投标人的投标报价还应当不得超过最高投标限价，最高投标限价在投标人须知前附表中载明。</w:t>
      </w:r>
    </w:p>
    <w:p w14:paraId="32B8B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3.2.4投标报价的其他要求见投标人须知前附表。</w:t>
      </w:r>
    </w:p>
    <w:p w14:paraId="2291F87C">
      <w:pPr>
        <w:spacing w:line="360" w:lineRule="auto"/>
        <w:rPr>
          <w:rFonts w:ascii="宋体" w:hAnsi="宋体" w:cs="宋体"/>
          <w:b/>
          <w:sz w:val="24"/>
          <w:szCs w:val="24"/>
          <w:highlight w:val="none"/>
        </w:rPr>
      </w:pPr>
      <w:bookmarkStart w:id="107" w:name="_Toc12995"/>
      <w:bookmarkEnd w:id="107"/>
      <w:bookmarkStart w:id="108" w:name="_Toc14190"/>
      <w:r>
        <w:rPr>
          <w:rFonts w:hint="eastAsia" w:ascii="宋体" w:hAnsi="宋体" w:cs="宋体"/>
          <w:b/>
          <w:sz w:val="24"/>
          <w:szCs w:val="24"/>
          <w:highlight w:val="none"/>
        </w:rPr>
        <w:t>3.3投标有效期</w:t>
      </w:r>
      <w:bookmarkEnd w:id="108"/>
    </w:p>
    <w:p w14:paraId="223873E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3.3.1投标有效期见投标人须知前附表。</w:t>
      </w:r>
    </w:p>
    <w:p w14:paraId="4A0E89F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3.3.2在投标有效期内，投标人撤销或修改其投标文件的，应承担招标文件和法律规定的责任。</w:t>
      </w:r>
    </w:p>
    <w:p w14:paraId="4F20072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13FE4060">
      <w:pPr>
        <w:spacing w:line="360" w:lineRule="auto"/>
        <w:rPr>
          <w:rFonts w:ascii="宋体" w:hAnsi="宋体" w:cs="宋体"/>
          <w:b/>
          <w:sz w:val="24"/>
          <w:szCs w:val="24"/>
          <w:highlight w:val="none"/>
        </w:rPr>
      </w:pPr>
      <w:bookmarkStart w:id="109" w:name="_Toc1543"/>
      <w:bookmarkEnd w:id="109"/>
      <w:bookmarkStart w:id="110" w:name="_Toc23125"/>
      <w:r>
        <w:rPr>
          <w:rFonts w:hint="eastAsia" w:ascii="宋体" w:hAnsi="宋体" w:cs="宋体"/>
          <w:b/>
          <w:sz w:val="24"/>
          <w:szCs w:val="24"/>
          <w:highlight w:val="none"/>
        </w:rPr>
        <w:t>3.4投标保证金</w:t>
      </w:r>
      <w:bookmarkEnd w:id="110"/>
    </w:p>
    <w:p w14:paraId="30C72B7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3.4.1投标人在</w:t>
      </w:r>
      <w:r>
        <w:rPr>
          <w:rFonts w:hint="eastAsia" w:ascii="宋体" w:hAnsi="宋体"/>
          <w:sz w:val="24"/>
          <w:szCs w:val="24"/>
          <w:lang w:val="en-US" w:eastAsia="zh-CN"/>
        </w:rPr>
        <w:t>提交</w:t>
      </w:r>
      <w:r>
        <w:rPr>
          <w:rFonts w:hint="eastAsia" w:ascii="宋体" w:hAnsi="宋体" w:cs="宋体"/>
          <w:sz w:val="24"/>
          <w:szCs w:val="24"/>
          <w:highlight w:val="none"/>
        </w:rPr>
        <w:t>投标文件的同时，应按投标人须知前附表规定的金额、形式和第七章“投标文件格式”规定的投标保证金格式</w:t>
      </w:r>
      <w:r>
        <w:rPr>
          <w:rFonts w:hint="eastAsia" w:ascii="宋体" w:hAnsi="宋体"/>
          <w:sz w:val="24"/>
          <w:szCs w:val="24"/>
          <w:lang w:val="en-US" w:eastAsia="zh-CN"/>
        </w:rPr>
        <w:t>提交</w:t>
      </w:r>
      <w:r>
        <w:rPr>
          <w:rFonts w:hint="eastAsia" w:ascii="宋体" w:hAnsi="宋体" w:cs="宋体"/>
          <w:sz w:val="24"/>
          <w:szCs w:val="24"/>
          <w:highlight w:val="none"/>
        </w:rPr>
        <w:t>投标保证金，并作为其投标文件的组成部分。应当从其基本账户转出并在投标文件中附上开户许可证或基本存款账户信息。联合体投标的，其投标保证金可以由牵头人</w:t>
      </w:r>
      <w:r>
        <w:rPr>
          <w:rFonts w:hint="eastAsia" w:ascii="宋体" w:hAnsi="宋体"/>
          <w:sz w:val="24"/>
          <w:szCs w:val="24"/>
          <w:lang w:val="en-US" w:eastAsia="zh-CN"/>
        </w:rPr>
        <w:t>提交</w:t>
      </w:r>
      <w:r>
        <w:rPr>
          <w:rFonts w:hint="eastAsia" w:ascii="宋体" w:hAnsi="宋体" w:cs="宋体"/>
          <w:sz w:val="24"/>
          <w:szCs w:val="24"/>
          <w:highlight w:val="none"/>
        </w:rPr>
        <w:t>。</w:t>
      </w:r>
    </w:p>
    <w:p w14:paraId="6BAD56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3.4.2投标人不按本章第3.4.1项要求提交投标保证金的，其投标将被视为无效投标。</w:t>
      </w:r>
    </w:p>
    <w:p w14:paraId="337B44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3.4.3采购人或者采购代理机构应当自中标通知书发出之日起5个工作日内退还未中标人的投标保证金，自采购合同签订之日起5个工作日内退还中标人的投标保证金。</w:t>
      </w:r>
    </w:p>
    <w:p w14:paraId="37102C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3.4.4有下列情形之一的，投标保证金将不予退还：</w:t>
      </w:r>
    </w:p>
    <w:p w14:paraId="1E7E50D7">
      <w:pPr>
        <w:spacing w:line="360" w:lineRule="auto"/>
        <w:ind w:left="479" w:leftChars="228" w:firstLine="480" w:firstLineChars="200"/>
        <w:rPr>
          <w:rFonts w:ascii="宋体" w:hAnsi="宋体" w:cs="宋体"/>
          <w:sz w:val="24"/>
          <w:szCs w:val="24"/>
          <w:highlight w:val="none"/>
        </w:rPr>
      </w:pPr>
      <w:r>
        <w:rPr>
          <w:rFonts w:hint="eastAsia" w:ascii="宋体" w:hAnsi="宋体" w:cs="宋体"/>
          <w:sz w:val="24"/>
          <w:szCs w:val="24"/>
          <w:highlight w:val="none"/>
        </w:rPr>
        <w:t>（1）投标人在提交投标文件截止时间后撤销投标文件的；</w:t>
      </w:r>
    </w:p>
    <w:p w14:paraId="02C0CDF7">
      <w:pPr>
        <w:spacing w:line="360" w:lineRule="auto"/>
        <w:ind w:left="479" w:leftChars="228" w:firstLine="480" w:firstLineChars="200"/>
        <w:rPr>
          <w:rFonts w:ascii="宋体" w:hAnsi="宋体" w:cs="宋体"/>
          <w:sz w:val="24"/>
          <w:szCs w:val="24"/>
          <w:highlight w:val="none"/>
        </w:rPr>
      </w:pPr>
      <w:r>
        <w:rPr>
          <w:rFonts w:hint="eastAsia" w:ascii="宋体" w:hAnsi="宋体" w:cs="宋体"/>
          <w:sz w:val="24"/>
          <w:szCs w:val="24"/>
          <w:highlight w:val="none"/>
        </w:rPr>
        <w:t>（2）投标人在投标文件中提供虚假材料的；</w:t>
      </w:r>
    </w:p>
    <w:p w14:paraId="3968074B">
      <w:pPr>
        <w:spacing w:line="360" w:lineRule="auto"/>
        <w:ind w:left="479" w:leftChars="228" w:firstLine="480" w:firstLineChars="200"/>
        <w:rPr>
          <w:rFonts w:ascii="宋体" w:hAnsi="宋体" w:cs="宋体"/>
          <w:sz w:val="24"/>
          <w:szCs w:val="24"/>
          <w:highlight w:val="none"/>
        </w:rPr>
      </w:pPr>
      <w:r>
        <w:rPr>
          <w:rFonts w:hint="eastAsia" w:ascii="宋体" w:hAnsi="宋体" w:cs="宋体"/>
          <w:sz w:val="24"/>
          <w:szCs w:val="24"/>
          <w:highlight w:val="none"/>
        </w:rPr>
        <w:t>（3）中标人在收到中标通知书后，无正当理由不与采购人订立合同，在签订合同时向采购人提出附加条件，或者不按照招标文件要求提交履约保证金的；</w:t>
      </w:r>
    </w:p>
    <w:p w14:paraId="3E208D60">
      <w:pPr>
        <w:spacing w:line="360" w:lineRule="auto"/>
        <w:ind w:left="479" w:leftChars="228" w:firstLine="480" w:firstLineChars="200"/>
        <w:rPr>
          <w:rFonts w:ascii="宋体" w:hAnsi="宋体" w:cs="宋体"/>
          <w:sz w:val="24"/>
          <w:szCs w:val="24"/>
          <w:highlight w:val="none"/>
        </w:rPr>
      </w:pPr>
      <w:r>
        <w:rPr>
          <w:rFonts w:hint="eastAsia" w:ascii="宋体" w:hAnsi="宋体" w:cs="宋体"/>
          <w:sz w:val="24"/>
          <w:szCs w:val="24"/>
          <w:highlight w:val="none"/>
        </w:rPr>
        <w:t>（4）投标人与采购人、其他投标人或者采购代理机构恶意串通的；</w:t>
      </w:r>
    </w:p>
    <w:p w14:paraId="4DF54B8D">
      <w:pPr>
        <w:spacing w:line="360" w:lineRule="auto"/>
        <w:ind w:left="479" w:leftChars="228" w:firstLine="480" w:firstLineChars="200"/>
        <w:rPr>
          <w:rFonts w:ascii="宋体" w:hAnsi="宋体" w:cs="宋体"/>
          <w:sz w:val="24"/>
          <w:szCs w:val="24"/>
          <w:highlight w:val="none"/>
        </w:rPr>
      </w:pPr>
      <w:r>
        <w:rPr>
          <w:rFonts w:hint="eastAsia" w:ascii="宋体" w:hAnsi="宋体" w:cs="宋体"/>
          <w:sz w:val="24"/>
          <w:szCs w:val="24"/>
          <w:highlight w:val="none"/>
        </w:rPr>
        <w:t>（5）其他法律法规要求不予退还投标保证金的情形。</w:t>
      </w:r>
    </w:p>
    <w:p w14:paraId="480A6B2D">
      <w:pPr>
        <w:spacing w:line="360" w:lineRule="auto"/>
        <w:rPr>
          <w:rFonts w:ascii="宋体" w:hAnsi="宋体" w:cs="宋体"/>
          <w:b/>
          <w:color w:val="FF0000"/>
          <w:sz w:val="24"/>
          <w:szCs w:val="24"/>
          <w:highlight w:val="none"/>
        </w:rPr>
      </w:pPr>
      <w:bookmarkStart w:id="111" w:name="_Toc32408"/>
      <w:bookmarkEnd w:id="111"/>
      <w:bookmarkStart w:id="112" w:name="_Toc4859"/>
      <w:r>
        <w:rPr>
          <w:rFonts w:hint="eastAsia" w:ascii="宋体" w:hAnsi="宋体" w:cs="宋体"/>
          <w:b/>
          <w:sz w:val="24"/>
          <w:szCs w:val="24"/>
          <w:highlight w:val="none"/>
        </w:rPr>
        <w:t>3.5投标文件的编制</w:t>
      </w:r>
      <w:bookmarkEnd w:id="112"/>
    </w:p>
    <w:p w14:paraId="6FCAE1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3.5.1投标文件应按第七章“投标文件格式”进行编写。</w:t>
      </w:r>
    </w:p>
    <w:p w14:paraId="121F83D1">
      <w:pPr>
        <w:spacing w:line="360" w:lineRule="auto"/>
        <w:ind w:firstLine="482" w:firstLineChars="200"/>
        <w:rPr>
          <w:rFonts w:ascii="宋体" w:hAnsi="宋体" w:cs="宋体"/>
          <w:color w:val="FF0000"/>
          <w:sz w:val="24"/>
          <w:szCs w:val="24"/>
          <w:highlight w:val="none"/>
        </w:rPr>
      </w:pPr>
      <w:r>
        <w:rPr>
          <w:rFonts w:hint="eastAsia" w:ascii="宋体" w:hAnsi="宋体" w:cs="宋体"/>
          <w:b/>
          <w:bCs/>
          <w:sz w:val="24"/>
          <w:szCs w:val="24"/>
          <w:highlight w:val="none"/>
        </w:rPr>
        <w:t>3.5.2投标文件应当对招标文件投标人须知前附表1.10规定的不允许偏离的实质性要求和条件作出响应。</w:t>
      </w:r>
    </w:p>
    <w:p w14:paraId="2B19A94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3.5.3投标文件全部采用电子文档，除投标人须知前附表另有规定外，投标文件所附证书证件均为原件扫描件，并采用单位和个人数字证书，按招标文件要求在相应位置加盖电子签章。由投标人的法定代表人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单位负责人</w:t>
      </w:r>
      <w:r>
        <w:rPr>
          <w:rFonts w:hint="eastAsia" w:ascii="宋体" w:hAnsi="宋体" w:cs="宋体"/>
          <w:sz w:val="24"/>
          <w:szCs w:val="24"/>
          <w:highlight w:val="none"/>
          <w:lang w:eastAsia="zh-CN"/>
        </w:rPr>
        <w:t>）</w:t>
      </w:r>
      <w:r>
        <w:rPr>
          <w:rFonts w:hint="eastAsia" w:ascii="宋体" w:hAnsi="宋体" w:cs="宋体"/>
          <w:sz w:val="24"/>
          <w:szCs w:val="24"/>
          <w:highlight w:val="none"/>
        </w:rPr>
        <w:t>签字或加盖电子签章的，应附法定代表人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单位负责人</w:t>
      </w:r>
      <w:r>
        <w:rPr>
          <w:rFonts w:hint="eastAsia" w:ascii="宋体" w:hAnsi="宋体" w:cs="宋体"/>
          <w:sz w:val="24"/>
          <w:szCs w:val="24"/>
          <w:highlight w:val="none"/>
          <w:lang w:eastAsia="zh-CN"/>
        </w:rPr>
        <w:t>）</w:t>
      </w:r>
      <w:r>
        <w:rPr>
          <w:rFonts w:hint="eastAsia" w:ascii="宋体" w:hAnsi="宋体" w:cs="宋体"/>
          <w:sz w:val="24"/>
          <w:szCs w:val="24"/>
          <w:highlight w:val="none"/>
        </w:rPr>
        <w:t>身份证明</w:t>
      </w:r>
      <w:r>
        <w:rPr>
          <w:rFonts w:hint="eastAsia" w:ascii="宋体" w:hAnsi="宋体" w:cs="宋体"/>
          <w:sz w:val="24"/>
          <w:szCs w:val="24"/>
          <w:highlight w:val="none"/>
          <w:lang w:val="en-US" w:eastAsia="zh-CN"/>
        </w:rPr>
        <w:t>书</w:t>
      </w:r>
      <w:r>
        <w:rPr>
          <w:rFonts w:hint="eastAsia" w:ascii="宋体" w:hAnsi="宋体" w:cs="宋体"/>
          <w:sz w:val="24"/>
          <w:szCs w:val="24"/>
          <w:highlight w:val="none"/>
        </w:rPr>
        <w:t>，由代理人签字或加盖电子签章的，应附由法定代表人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单位负责人</w:t>
      </w:r>
      <w:r>
        <w:rPr>
          <w:rFonts w:hint="eastAsia" w:ascii="宋体" w:hAnsi="宋体" w:cs="宋体"/>
          <w:sz w:val="24"/>
          <w:szCs w:val="24"/>
          <w:highlight w:val="none"/>
          <w:lang w:eastAsia="zh-CN"/>
        </w:rPr>
        <w:t>）</w:t>
      </w:r>
      <w:r>
        <w:rPr>
          <w:rFonts w:hint="eastAsia" w:ascii="宋体" w:hAnsi="宋体" w:cs="宋体"/>
          <w:sz w:val="24"/>
          <w:szCs w:val="24"/>
          <w:highlight w:val="none"/>
        </w:rPr>
        <w:t>签署的授权委托书。</w:t>
      </w:r>
    </w:p>
    <w:p w14:paraId="10DE64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3.5.4电子投标文件的格式见投标人须知前附表。</w:t>
      </w:r>
    </w:p>
    <w:p w14:paraId="5E7DC2E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3.5.5如投标人提交的电子标书不符合3.5.4要求或开标时无法读取导入或解密，其投标文件将不予受理。</w:t>
      </w:r>
    </w:p>
    <w:p w14:paraId="448B85E1">
      <w:pPr>
        <w:pStyle w:val="4"/>
        <w:spacing w:before="0" w:after="0" w:line="360" w:lineRule="auto"/>
        <w:rPr>
          <w:rFonts w:ascii="宋体" w:hAnsi="宋体" w:eastAsia="宋体" w:cs="宋体"/>
          <w:sz w:val="28"/>
          <w:szCs w:val="28"/>
          <w:highlight w:val="none"/>
        </w:rPr>
      </w:pPr>
      <w:bookmarkStart w:id="113" w:name="_Toc13757"/>
      <w:bookmarkEnd w:id="113"/>
      <w:bookmarkStart w:id="114" w:name="_Toc1490"/>
      <w:bookmarkEnd w:id="114"/>
      <w:bookmarkStart w:id="115" w:name="_Toc7149"/>
      <w:bookmarkStart w:id="116" w:name="_Toc25212"/>
      <w:r>
        <w:rPr>
          <w:rFonts w:hint="eastAsia" w:ascii="宋体" w:hAnsi="宋体" w:eastAsia="宋体" w:cs="宋体"/>
          <w:sz w:val="28"/>
          <w:szCs w:val="28"/>
          <w:highlight w:val="none"/>
        </w:rPr>
        <w:t>4.投标</w:t>
      </w:r>
      <w:bookmarkEnd w:id="115"/>
      <w:bookmarkEnd w:id="116"/>
    </w:p>
    <w:p w14:paraId="580BDF59">
      <w:pPr>
        <w:spacing w:line="360" w:lineRule="auto"/>
        <w:rPr>
          <w:rFonts w:hint="eastAsia" w:ascii="宋体" w:hAnsi="宋体" w:eastAsia="宋体" w:cs="宋体"/>
          <w:b/>
          <w:sz w:val="24"/>
          <w:szCs w:val="24"/>
          <w:highlight w:val="none"/>
          <w:lang w:eastAsia="zh-CN"/>
        </w:rPr>
      </w:pPr>
      <w:bookmarkStart w:id="117" w:name="_Toc1523"/>
      <w:bookmarkEnd w:id="117"/>
      <w:bookmarkStart w:id="118" w:name="_Toc25497"/>
      <w:bookmarkStart w:id="119" w:name="_Toc20324"/>
      <w:r>
        <w:rPr>
          <w:rFonts w:hint="eastAsia" w:ascii="宋体" w:hAnsi="宋体" w:cs="宋体"/>
          <w:b/>
          <w:sz w:val="24"/>
          <w:szCs w:val="24"/>
          <w:highlight w:val="none"/>
        </w:rPr>
        <w:t>4.1投标文件的</w:t>
      </w:r>
      <w:bookmarkEnd w:id="118"/>
      <w:r>
        <w:rPr>
          <w:rFonts w:hint="eastAsia" w:ascii="宋体" w:hAnsi="宋体" w:cs="宋体"/>
          <w:b/>
          <w:sz w:val="24"/>
          <w:szCs w:val="24"/>
          <w:highlight w:val="none"/>
          <w:lang w:eastAsia="zh-CN"/>
        </w:rPr>
        <w:t>加密</w:t>
      </w:r>
    </w:p>
    <w:p w14:paraId="0B4056EB">
      <w:pPr>
        <w:spacing w:line="360" w:lineRule="auto"/>
        <w:ind w:firstLine="480" w:firstLineChars="200"/>
        <w:rPr>
          <w:rFonts w:ascii="宋体" w:hAnsi="宋体" w:cs="宋体"/>
          <w:sz w:val="24"/>
          <w:szCs w:val="24"/>
          <w:highlight w:val="none"/>
        </w:rPr>
      </w:pPr>
      <w:bookmarkStart w:id="120" w:name="_Toc27596"/>
      <w:bookmarkEnd w:id="120"/>
      <w:r>
        <w:rPr>
          <w:rFonts w:hint="eastAsia" w:ascii="宋体" w:hAnsi="宋体" w:cs="宋体"/>
          <w:sz w:val="24"/>
          <w:szCs w:val="24"/>
          <w:highlight w:val="none"/>
        </w:rPr>
        <w:t>4.1.1投标人应当按照招标文件和电子招标投标交易平台的要求加密投标文件，具体要求见投标人须知前附表。</w:t>
      </w:r>
    </w:p>
    <w:p w14:paraId="585AAA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4.1.2未按本章第4.1.1要求加密的投标文件，采购人将予以拒收。</w:t>
      </w:r>
    </w:p>
    <w:p w14:paraId="592FA20C">
      <w:pPr>
        <w:spacing w:line="360" w:lineRule="auto"/>
        <w:rPr>
          <w:rFonts w:ascii="宋体" w:hAnsi="宋体" w:cs="宋体"/>
          <w:b/>
          <w:sz w:val="24"/>
          <w:szCs w:val="24"/>
          <w:highlight w:val="none"/>
        </w:rPr>
      </w:pPr>
      <w:bookmarkStart w:id="121" w:name="_Toc20611"/>
      <w:bookmarkEnd w:id="121"/>
      <w:bookmarkStart w:id="122" w:name="_Toc9134"/>
      <w:r>
        <w:rPr>
          <w:rFonts w:hint="eastAsia" w:ascii="宋体" w:hAnsi="宋体" w:cs="宋体"/>
          <w:b/>
          <w:sz w:val="24"/>
          <w:szCs w:val="24"/>
          <w:highlight w:val="none"/>
        </w:rPr>
        <w:t>4.2投标文件的</w:t>
      </w:r>
      <w:bookmarkEnd w:id="122"/>
      <w:r>
        <w:rPr>
          <w:rFonts w:hint="eastAsia" w:ascii="宋体" w:hAnsi="宋体" w:cs="宋体"/>
          <w:b/>
          <w:sz w:val="24"/>
          <w:szCs w:val="24"/>
          <w:highlight w:val="none"/>
        </w:rPr>
        <w:t>提交</w:t>
      </w:r>
    </w:p>
    <w:p w14:paraId="008A6E7F">
      <w:pPr>
        <w:spacing w:line="360" w:lineRule="auto"/>
        <w:ind w:firstLine="540" w:firstLineChars="225"/>
        <w:rPr>
          <w:rFonts w:ascii="宋体" w:hAnsi="宋体" w:cs="宋体"/>
          <w:sz w:val="24"/>
          <w:szCs w:val="24"/>
          <w:highlight w:val="none"/>
        </w:rPr>
      </w:pPr>
      <w:bookmarkStart w:id="123" w:name="_Toc21133"/>
      <w:bookmarkEnd w:id="123"/>
      <w:r>
        <w:rPr>
          <w:rFonts w:hint="eastAsia" w:ascii="宋体" w:hAnsi="宋体" w:cs="宋体"/>
          <w:sz w:val="24"/>
          <w:szCs w:val="24"/>
          <w:highlight w:val="none"/>
        </w:rPr>
        <w:t>4.2.1投标人应在投标人须知前附表规定的投标截止时间前</w:t>
      </w:r>
      <w:r>
        <w:rPr>
          <w:rFonts w:hint="eastAsia" w:ascii="宋体" w:hAnsi="宋体"/>
          <w:sz w:val="24"/>
          <w:szCs w:val="24"/>
          <w:lang w:val="en-US" w:eastAsia="zh-CN"/>
        </w:rPr>
        <w:t>提交</w:t>
      </w:r>
      <w:r>
        <w:rPr>
          <w:rFonts w:hint="eastAsia" w:ascii="宋体" w:hAnsi="宋体" w:cs="宋体"/>
          <w:sz w:val="24"/>
          <w:szCs w:val="24"/>
          <w:highlight w:val="none"/>
        </w:rPr>
        <w:t>投标文件。</w:t>
      </w:r>
    </w:p>
    <w:p w14:paraId="67720BB8">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4.2.</w:t>
      </w:r>
      <w:r>
        <w:rPr>
          <w:rFonts w:ascii="宋体" w:hAnsi="宋体" w:cs="宋体"/>
          <w:sz w:val="24"/>
          <w:szCs w:val="24"/>
          <w:highlight w:val="none"/>
        </w:rPr>
        <w:t>2</w:t>
      </w:r>
      <w:r>
        <w:rPr>
          <w:rFonts w:hint="eastAsia" w:ascii="宋体" w:hAnsi="宋体" w:cs="宋体"/>
          <w:sz w:val="24"/>
          <w:szCs w:val="24"/>
          <w:highlight w:val="none"/>
        </w:rPr>
        <w:t>除投标人须知前附表另有规定外，投标人所提交的投标文件不予退还。</w:t>
      </w:r>
    </w:p>
    <w:p w14:paraId="298DAE58">
      <w:pPr>
        <w:spacing w:line="360" w:lineRule="auto"/>
        <w:rPr>
          <w:rFonts w:ascii="宋体" w:hAnsi="宋体" w:cs="宋体"/>
          <w:b/>
          <w:sz w:val="24"/>
          <w:szCs w:val="24"/>
          <w:highlight w:val="none"/>
        </w:rPr>
      </w:pPr>
      <w:bookmarkStart w:id="124" w:name="_Toc8975"/>
      <w:bookmarkEnd w:id="124"/>
      <w:bookmarkStart w:id="125" w:name="_Toc5071"/>
      <w:r>
        <w:rPr>
          <w:rFonts w:hint="eastAsia" w:ascii="宋体" w:hAnsi="宋体" w:cs="宋体"/>
          <w:b/>
          <w:sz w:val="24"/>
          <w:szCs w:val="24"/>
          <w:highlight w:val="none"/>
        </w:rPr>
        <w:t>4.3投标文件的修改与撤回</w:t>
      </w:r>
      <w:bookmarkEnd w:id="125"/>
    </w:p>
    <w:p w14:paraId="1E6B858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4.3.1在投标截止时间前，投标人可以撤回在网上已提交的投标文件，修改后重新提交，无须书面形式通知采购人。</w:t>
      </w:r>
    </w:p>
    <w:p w14:paraId="2C0C53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4.3.2修改的投标文件应按照招标文件和电子招标投标交易平台的要求进行</w:t>
      </w:r>
      <w:r>
        <w:rPr>
          <w:rFonts w:hint="eastAsia" w:ascii="宋体" w:hAnsi="宋体" w:cs="宋体"/>
          <w:sz w:val="24"/>
          <w:szCs w:val="24"/>
          <w:highlight w:val="none"/>
          <w:lang w:val="en-US" w:eastAsia="zh-CN"/>
        </w:rPr>
        <w:t>加密、上传</w:t>
      </w:r>
      <w:r>
        <w:rPr>
          <w:rFonts w:hint="eastAsia" w:ascii="宋体" w:hAnsi="宋体" w:cs="宋体"/>
          <w:sz w:val="24"/>
          <w:szCs w:val="24"/>
          <w:highlight w:val="none"/>
        </w:rPr>
        <w:t>。</w:t>
      </w:r>
    </w:p>
    <w:p w14:paraId="7647BDF5">
      <w:pPr>
        <w:pStyle w:val="4"/>
        <w:spacing w:before="0" w:after="0" w:line="360" w:lineRule="auto"/>
        <w:rPr>
          <w:rFonts w:ascii="宋体" w:hAnsi="宋体" w:eastAsia="宋体" w:cs="宋体"/>
          <w:sz w:val="28"/>
          <w:szCs w:val="28"/>
          <w:highlight w:val="none"/>
        </w:rPr>
      </w:pPr>
      <w:bookmarkStart w:id="126" w:name="_Toc22620"/>
      <w:r>
        <w:rPr>
          <w:rFonts w:hint="eastAsia" w:ascii="宋体" w:hAnsi="宋体" w:eastAsia="宋体" w:cs="宋体"/>
          <w:sz w:val="28"/>
          <w:szCs w:val="28"/>
          <w:highlight w:val="none"/>
        </w:rPr>
        <w:t>5.开标</w:t>
      </w:r>
      <w:bookmarkEnd w:id="119"/>
      <w:bookmarkEnd w:id="126"/>
    </w:p>
    <w:p w14:paraId="7D27DF4D">
      <w:pPr>
        <w:spacing w:line="360" w:lineRule="auto"/>
        <w:rPr>
          <w:rFonts w:ascii="宋体" w:hAnsi="宋体" w:cs="宋体"/>
          <w:b/>
          <w:sz w:val="24"/>
          <w:szCs w:val="24"/>
          <w:highlight w:val="none"/>
        </w:rPr>
      </w:pPr>
      <w:bookmarkStart w:id="127" w:name="_Toc1527"/>
      <w:bookmarkEnd w:id="127"/>
      <w:bookmarkStart w:id="128" w:name="_Toc9143"/>
      <w:r>
        <w:rPr>
          <w:rFonts w:hint="eastAsia" w:ascii="宋体" w:hAnsi="宋体" w:cs="宋体"/>
          <w:b/>
          <w:sz w:val="24"/>
          <w:szCs w:val="24"/>
          <w:highlight w:val="none"/>
        </w:rPr>
        <w:t>5.1开标时间和地点</w:t>
      </w:r>
      <w:bookmarkEnd w:id="128"/>
    </w:p>
    <w:p w14:paraId="1DC156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采购人在本章第4.2.1款规定的投标截止时间（开标时间）和投标人须知前附表规定的地点公开开标。</w:t>
      </w:r>
    </w:p>
    <w:p w14:paraId="1C95A354">
      <w:pPr>
        <w:spacing w:line="360" w:lineRule="auto"/>
        <w:rPr>
          <w:rFonts w:ascii="宋体" w:hAnsi="宋体" w:cs="宋体"/>
          <w:b/>
          <w:sz w:val="24"/>
          <w:szCs w:val="24"/>
          <w:highlight w:val="none"/>
        </w:rPr>
      </w:pPr>
      <w:bookmarkStart w:id="129" w:name="_Toc27792"/>
      <w:bookmarkEnd w:id="129"/>
      <w:bookmarkStart w:id="130" w:name="_Toc21332"/>
      <w:bookmarkEnd w:id="130"/>
      <w:bookmarkStart w:id="131" w:name="_Toc24636"/>
      <w:r>
        <w:rPr>
          <w:rFonts w:hint="eastAsia" w:ascii="宋体" w:hAnsi="宋体" w:cs="宋体"/>
          <w:b/>
          <w:sz w:val="24"/>
          <w:szCs w:val="24"/>
          <w:highlight w:val="none"/>
        </w:rPr>
        <w:t>5.2开标程序</w:t>
      </w:r>
      <w:bookmarkEnd w:id="131"/>
    </w:p>
    <w:p w14:paraId="4FCAF524">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见投标人须知前附表。</w:t>
      </w:r>
    </w:p>
    <w:p w14:paraId="20090E47">
      <w:pPr>
        <w:spacing w:line="360" w:lineRule="auto"/>
        <w:rPr>
          <w:rFonts w:ascii="宋体" w:hAnsi="宋体" w:cs="宋体"/>
          <w:b/>
          <w:sz w:val="24"/>
          <w:szCs w:val="24"/>
          <w:highlight w:val="none"/>
        </w:rPr>
      </w:pPr>
      <w:bookmarkStart w:id="132" w:name="_Toc27216"/>
      <w:bookmarkEnd w:id="132"/>
      <w:bookmarkStart w:id="133" w:name="_Toc22860"/>
      <w:r>
        <w:rPr>
          <w:rFonts w:hint="eastAsia" w:ascii="宋体" w:hAnsi="宋体" w:cs="宋体"/>
          <w:b/>
          <w:sz w:val="24"/>
          <w:szCs w:val="24"/>
          <w:highlight w:val="none"/>
        </w:rPr>
        <w:t>5.3开标疑义</w:t>
      </w:r>
      <w:bookmarkEnd w:id="133"/>
    </w:p>
    <w:p w14:paraId="1340458E">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开标过程中如有问题，可以在线提出异议，由代理机构给予回复。在规定的异议询问时间内未提出异议的，则视为对开标结果无异议。</w:t>
      </w:r>
    </w:p>
    <w:p w14:paraId="347A6EB2">
      <w:pPr>
        <w:pStyle w:val="4"/>
        <w:spacing w:before="0" w:after="0" w:line="360" w:lineRule="auto"/>
        <w:rPr>
          <w:rFonts w:ascii="宋体" w:hAnsi="宋体" w:eastAsia="宋体" w:cs="宋体"/>
          <w:sz w:val="28"/>
          <w:szCs w:val="28"/>
          <w:highlight w:val="none"/>
        </w:rPr>
      </w:pPr>
      <w:bookmarkStart w:id="134" w:name="_Toc27754"/>
      <w:bookmarkEnd w:id="134"/>
      <w:bookmarkStart w:id="135" w:name="_Toc26040"/>
      <w:bookmarkEnd w:id="135"/>
      <w:bookmarkStart w:id="136" w:name="_Toc30133"/>
      <w:bookmarkStart w:id="137" w:name="_Toc6689"/>
      <w:r>
        <w:rPr>
          <w:rFonts w:hint="eastAsia" w:ascii="宋体" w:hAnsi="宋体" w:eastAsia="宋体" w:cs="宋体"/>
          <w:sz w:val="28"/>
          <w:szCs w:val="28"/>
          <w:highlight w:val="none"/>
        </w:rPr>
        <w:t>6.资格审查</w:t>
      </w:r>
      <w:bookmarkEnd w:id="136"/>
      <w:bookmarkEnd w:id="137"/>
    </w:p>
    <w:p w14:paraId="33B85807">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公开招标采购项目开标结束后，采购人或者采购代理机构应当依法对投标人的资格进行审查。</w:t>
      </w:r>
    </w:p>
    <w:p w14:paraId="5EC9EF06">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合格投标人不足3家的，不得评标。</w:t>
      </w:r>
    </w:p>
    <w:p w14:paraId="0E3EDC20">
      <w:pPr>
        <w:pStyle w:val="4"/>
        <w:spacing w:before="0" w:after="0" w:line="360" w:lineRule="auto"/>
        <w:rPr>
          <w:rFonts w:ascii="宋体" w:hAnsi="宋体" w:eastAsia="宋体" w:cs="宋体"/>
          <w:sz w:val="28"/>
          <w:szCs w:val="28"/>
          <w:highlight w:val="none"/>
        </w:rPr>
      </w:pPr>
      <w:bookmarkStart w:id="138" w:name="_Toc25563"/>
      <w:bookmarkEnd w:id="138"/>
      <w:bookmarkStart w:id="139" w:name="_Toc11518"/>
      <w:bookmarkEnd w:id="139"/>
      <w:bookmarkStart w:id="140" w:name="_Toc29087"/>
      <w:bookmarkStart w:id="141" w:name="_Toc18008"/>
      <w:r>
        <w:rPr>
          <w:rFonts w:hint="eastAsia" w:ascii="宋体" w:hAnsi="宋体" w:eastAsia="宋体" w:cs="宋体"/>
          <w:sz w:val="28"/>
          <w:szCs w:val="28"/>
          <w:highlight w:val="none"/>
        </w:rPr>
        <w:t>7.评标</w:t>
      </w:r>
      <w:bookmarkEnd w:id="140"/>
      <w:bookmarkEnd w:id="141"/>
    </w:p>
    <w:p w14:paraId="2F1211DE">
      <w:pPr>
        <w:spacing w:line="360" w:lineRule="auto"/>
        <w:rPr>
          <w:rFonts w:ascii="宋体" w:hAnsi="宋体" w:cs="宋体"/>
          <w:b/>
          <w:sz w:val="24"/>
          <w:szCs w:val="24"/>
          <w:highlight w:val="none"/>
        </w:rPr>
      </w:pPr>
      <w:bookmarkStart w:id="142" w:name="_Toc11207"/>
      <w:bookmarkEnd w:id="142"/>
      <w:bookmarkStart w:id="143" w:name="_Toc4770"/>
      <w:r>
        <w:rPr>
          <w:rFonts w:hint="eastAsia" w:ascii="宋体" w:hAnsi="宋体" w:cs="宋体"/>
          <w:b/>
          <w:sz w:val="24"/>
          <w:szCs w:val="24"/>
          <w:highlight w:val="none"/>
        </w:rPr>
        <w:t>7.1评标委员会</w:t>
      </w:r>
      <w:bookmarkEnd w:id="143"/>
    </w:p>
    <w:p w14:paraId="4311A0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7.1.1评标由采购人依法组建的评标委员会负责。评标委员会由采购人代表以及有关技术、经济等方面的专家组成。评标委员会成员人数以及技术、经济等方面专家的确定方式见投标人须知前附表。</w:t>
      </w:r>
    </w:p>
    <w:p w14:paraId="7E108AAF">
      <w:pP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7.1.2评标中因评标委员会成员缺席、回避或者健康等特殊原因导致评标委员会组成不符合《政府采购货物和服务招标投标管理办法》</w:t>
      </w:r>
      <w:r>
        <w:rPr>
          <w:rFonts w:hint="eastAsia" w:ascii="宋体" w:hAnsi="宋体" w:cs="宋体"/>
          <w:sz w:val="24"/>
          <w:szCs w:val="24"/>
          <w:highlight w:val="none"/>
          <w:lang w:eastAsia="zh-CN"/>
        </w:rPr>
        <w:t>（</w:t>
      </w:r>
      <w:r>
        <w:rPr>
          <w:rFonts w:hint="eastAsia" w:ascii="宋体" w:hAnsi="宋体" w:cs="宋体"/>
          <w:sz w:val="24"/>
          <w:szCs w:val="24"/>
          <w:highlight w:val="none"/>
        </w:rPr>
        <w:t>财政部令第87号</w:t>
      </w:r>
      <w:r>
        <w:rPr>
          <w:rFonts w:hint="eastAsia" w:ascii="宋体" w:hAnsi="宋体" w:cs="宋体"/>
          <w:sz w:val="24"/>
          <w:szCs w:val="24"/>
          <w:highlight w:val="none"/>
          <w:lang w:eastAsia="zh-CN"/>
        </w:rPr>
        <w:t>）</w:t>
      </w:r>
      <w:r>
        <w:rPr>
          <w:rFonts w:hint="eastAsia" w:ascii="宋体" w:hAnsi="宋体" w:cs="宋体"/>
          <w:sz w:val="24"/>
          <w:szCs w:val="24"/>
          <w:highlight w:val="none"/>
        </w:rPr>
        <w:t>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招标文件一并存档。</w:t>
      </w:r>
    </w:p>
    <w:p w14:paraId="0C20EAC7">
      <w:pPr>
        <w:spacing w:line="360" w:lineRule="auto"/>
        <w:rPr>
          <w:rFonts w:ascii="宋体" w:hAnsi="宋体" w:cs="宋体"/>
          <w:b/>
          <w:sz w:val="24"/>
          <w:szCs w:val="24"/>
          <w:highlight w:val="none"/>
        </w:rPr>
      </w:pPr>
      <w:bookmarkStart w:id="144" w:name="_Toc28237"/>
      <w:bookmarkEnd w:id="144"/>
      <w:bookmarkStart w:id="145" w:name="_Toc6336"/>
      <w:r>
        <w:rPr>
          <w:rFonts w:hint="eastAsia" w:ascii="宋体" w:hAnsi="宋体" w:cs="宋体"/>
          <w:b/>
          <w:sz w:val="24"/>
          <w:szCs w:val="24"/>
          <w:highlight w:val="none"/>
        </w:rPr>
        <w:t>7.2评标原则</w:t>
      </w:r>
      <w:bookmarkEnd w:id="145"/>
    </w:p>
    <w:p w14:paraId="6F2C3F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评标活动遵循公平、公正、科学和择优的原则。</w:t>
      </w:r>
    </w:p>
    <w:p w14:paraId="6025CC9C">
      <w:pPr>
        <w:spacing w:line="360" w:lineRule="auto"/>
        <w:rPr>
          <w:rFonts w:ascii="宋体" w:hAnsi="宋体" w:cs="宋体"/>
          <w:b/>
          <w:sz w:val="24"/>
          <w:szCs w:val="24"/>
          <w:highlight w:val="none"/>
        </w:rPr>
      </w:pPr>
      <w:bookmarkStart w:id="146" w:name="_Toc10442"/>
      <w:bookmarkEnd w:id="146"/>
      <w:bookmarkStart w:id="147" w:name="_Toc5282"/>
      <w:r>
        <w:rPr>
          <w:rFonts w:hint="eastAsia" w:ascii="宋体" w:hAnsi="宋体" w:cs="宋体"/>
          <w:b/>
          <w:sz w:val="24"/>
          <w:szCs w:val="24"/>
          <w:highlight w:val="none"/>
        </w:rPr>
        <w:t>7.3评标</w:t>
      </w:r>
      <w:bookmarkEnd w:id="147"/>
    </w:p>
    <w:p w14:paraId="13DA80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7.3.1评标委员会按照第四章“评标办法”规定的方法、评审因素、标准和程序对投标文件进行评审。第四章“评标办法”没有规定的方法、评审因素和标准，不作为评标依据。</w:t>
      </w:r>
    </w:p>
    <w:p w14:paraId="500E3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7.3.2评标完成后，评标委员会应当向采购人提交书面评标报告和中标候选人名单。评标委员会推荐中标候选人的人数见投标人须知前附表。</w:t>
      </w:r>
    </w:p>
    <w:p w14:paraId="5399CDCD">
      <w:pPr>
        <w:pStyle w:val="4"/>
        <w:spacing w:before="0" w:after="0" w:line="360" w:lineRule="auto"/>
        <w:rPr>
          <w:rFonts w:ascii="宋体" w:hAnsi="宋体" w:eastAsia="宋体" w:cs="宋体"/>
          <w:sz w:val="28"/>
          <w:szCs w:val="28"/>
          <w:highlight w:val="none"/>
        </w:rPr>
      </w:pPr>
      <w:bookmarkStart w:id="148" w:name="_Toc30483"/>
      <w:bookmarkEnd w:id="148"/>
      <w:bookmarkStart w:id="149" w:name="_Toc6003"/>
      <w:bookmarkEnd w:id="149"/>
      <w:bookmarkStart w:id="150" w:name="_Toc22840"/>
      <w:bookmarkStart w:id="151" w:name="_Toc6673"/>
      <w:r>
        <w:rPr>
          <w:rFonts w:hint="eastAsia" w:ascii="宋体" w:hAnsi="宋体" w:eastAsia="宋体" w:cs="宋体"/>
          <w:sz w:val="28"/>
          <w:szCs w:val="28"/>
          <w:highlight w:val="none"/>
        </w:rPr>
        <w:t>8.中标和合同</w:t>
      </w:r>
      <w:bookmarkEnd w:id="150"/>
      <w:bookmarkEnd w:id="151"/>
    </w:p>
    <w:p w14:paraId="35BEC152">
      <w:pPr>
        <w:spacing w:line="360" w:lineRule="auto"/>
        <w:rPr>
          <w:rFonts w:ascii="宋体" w:hAnsi="宋体" w:cs="宋体"/>
          <w:b/>
          <w:sz w:val="24"/>
          <w:szCs w:val="24"/>
          <w:highlight w:val="none"/>
        </w:rPr>
      </w:pPr>
      <w:bookmarkStart w:id="152" w:name="_Toc18219"/>
      <w:bookmarkEnd w:id="152"/>
      <w:bookmarkStart w:id="153" w:name="_Toc31217"/>
      <w:r>
        <w:rPr>
          <w:rFonts w:hint="eastAsia" w:ascii="宋体" w:hAnsi="宋体" w:cs="宋体"/>
          <w:b/>
          <w:sz w:val="24"/>
          <w:szCs w:val="24"/>
          <w:highlight w:val="none"/>
        </w:rPr>
        <w:t>8.1定标</w:t>
      </w:r>
      <w:bookmarkEnd w:id="153"/>
    </w:p>
    <w:p w14:paraId="2925EB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按照投标人须知前附表的规定，采购人或采购人授权的评标委员会依法确定中标人。</w:t>
      </w:r>
    </w:p>
    <w:p w14:paraId="76F8570B">
      <w:pPr>
        <w:spacing w:line="360" w:lineRule="auto"/>
        <w:rPr>
          <w:rFonts w:ascii="宋体" w:hAnsi="宋体" w:cs="宋体"/>
          <w:b/>
          <w:sz w:val="24"/>
          <w:szCs w:val="24"/>
          <w:highlight w:val="none"/>
        </w:rPr>
      </w:pPr>
      <w:bookmarkStart w:id="154" w:name="_Toc18811"/>
      <w:bookmarkEnd w:id="154"/>
      <w:bookmarkStart w:id="155" w:name="_Toc18115"/>
      <w:r>
        <w:rPr>
          <w:rFonts w:hint="eastAsia" w:ascii="宋体" w:hAnsi="宋体" w:cs="宋体"/>
          <w:b/>
          <w:sz w:val="24"/>
          <w:szCs w:val="24"/>
          <w:highlight w:val="none"/>
        </w:rPr>
        <w:t>8.2中标公告</w:t>
      </w:r>
      <w:bookmarkEnd w:id="155"/>
    </w:p>
    <w:p w14:paraId="6F290035">
      <w:pPr>
        <w:widowControl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采购人或者采购代理机构应当自中标人确定之日起2个工作日内，按照投标人须知前附表规定的媒介和期限公告中标结果，招标文件应当随中标结果同时公告。</w:t>
      </w:r>
    </w:p>
    <w:p w14:paraId="72292917">
      <w:pPr>
        <w:spacing w:line="360" w:lineRule="auto"/>
        <w:ind w:firstLine="480" w:firstLineChars="200"/>
        <w:rPr>
          <w:rFonts w:ascii="宋体" w:hAnsi="宋体" w:cs="宋体"/>
          <w:color w:val="FF0000"/>
          <w:sz w:val="24"/>
          <w:szCs w:val="24"/>
          <w:highlight w:val="none"/>
        </w:rPr>
      </w:pPr>
      <w:r>
        <w:rPr>
          <w:rFonts w:hint="eastAsia" w:ascii="宋体" w:hAnsi="宋体" w:cs="宋体"/>
          <w:sz w:val="24"/>
          <w:szCs w:val="24"/>
          <w:highlight w:val="none"/>
        </w:rPr>
        <w:t>中标公告期限详见投标人须知前附表。</w:t>
      </w:r>
    </w:p>
    <w:p w14:paraId="04D0DF17">
      <w:pPr>
        <w:spacing w:line="360" w:lineRule="auto"/>
        <w:rPr>
          <w:rFonts w:ascii="宋体" w:hAnsi="宋体" w:cs="宋体"/>
          <w:b/>
          <w:sz w:val="24"/>
          <w:szCs w:val="24"/>
          <w:highlight w:val="none"/>
        </w:rPr>
      </w:pPr>
      <w:bookmarkStart w:id="156" w:name="_Toc8411"/>
      <w:bookmarkEnd w:id="156"/>
      <w:bookmarkStart w:id="157" w:name="_Toc16495"/>
      <w:bookmarkEnd w:id="157"/>
      <w:bookmarkStart w:id="158" w:name="_Toc3833"/>
      <w:r>
        <w:rPr>
          <w:rFonts w:hint="eastAsia" w:ascii="宋体" w:hAnsi="宋体" w:cs="宋体"/>
          <w:b/>
          <w:sz w:val="24"/>
          <w:szCs w:val="24"/>
          <w:highlight w:val="none"/>
        </w:rPr>
        <w:t>8.3中标通知</w:t>
      </w:r>
      <w:bookmarkEnd w:id="158"/>
    </w:p>
    <w:p w14:paraId="639E21B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在本章第3.3款规定的投标有效期内，在公告中标结果的同时，采购人或者采购代理机构应当向中标人发出中标通知书。</w:t>
      </w:r>
    </w:p>
    <w:p w14:paraId="317C5D68">
      <w:pPr>
        <w:spacing w:line="360" w:lineRule="auto"/>
        <w:rPr>
          <w:rFonts w:ascii="宋体" w:hAnsi="宋体" w:cs="宋体"/>
          <w:b/>
          <w:sz w:val="24"/>
          <w:szCs w:val="24"/>
          <w:highlight w:val="none"/>
        </w:rPr>
      </w:pPr>
      <w:bookmarkStart w:id="159" w:name="_Toc13042"/>
      <w:bookmarkEnd w:id="159"/>
      <w:bookmarkStart w:id="160" w:name="_Toc7193"/>
      <w:r>
        <w:rPr>
          <w:rFonts w:hint="eastAsia" w:ascii="宋体" w:hAnsi="宋体" w:cs="宋体"/>
          <w:b/>
          <w:sz w:val="24"/>
          <w:szCs w:val="24"/>
          <w:highlight w:val="none"/>
        </w:rPr>
        <w:t>8.4履约保证金</w:t>
      </w:r>
      <w:bookmarkEnd w:id="160"/>
    </w:p>
    <w:p w14:paraId="767779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8.4.1在签订合同前，中标人应按投标人须知前附表规定的形式、金额向采购人提交履约保证金。联合体中标的，其履约保证金以联合体各方或者联合体中牵头人的名义提交。</w:t>
      </w:r>
    </w:p>
    <w:p w14:paraId="00E74D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8.4.2中标人不能按本章第8.4.1项要求提交履约保证金的，视为放弃中标，其投标保证金不予退还，给采购人造成的损失超过投标保证金数额的，中标人还应当对超过部分予以赔偿。</w:t>
      </w:r>
    </w:p>
    <w:p w14:paraId="63EA690D">
      <w:pPr>
        <w:spacing w:line="360" w:lineRule="auto"/>
        <w:rPr>
          <w:rFonts w:ascii="宋体" w:hAnsi="宋体" w:cs="宋体"/>
          <w:b/>
          <w:sz w:val="24"/>
          <w:szCs w:val="24"/>
          <w:highlight w:val="none"/>
        </w:rPr>
      </w:pPr>
      <w:bookmarkStart w:id="161" w:name="_Toc6413"/>
      <w:bookmarkEnd w:id="161"/>
      <w:bookmarkStart w:id="162" w:name="_Toc18519"/>
      <w:r>
        <w:rPr>
          <w:rFonts w:hint="eastAsia" w:ascii="宋体" w:hAnsi="宋体" w:cs="宋体"/>
          <w:b/>
          <w:sz w:val="24"/>
          <w:szCs w:val="24"/>
          <w:highlight w:val="none"/>
        </w:rPr>
        <w:t>8.5签订合同</w:t>
      </w:r>
      <w:bookmarkEnd w:id="162"/>
    </w:p>
    <w:p w14:paraId="03AA3FB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D1420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8.5.2中标通知书发出后，采购人不得违法改变中标结果，中标人无正当理由不得放弃中标。</w:t>
      </w:r>
    </w:p>
    <w:p w14:paraId="6C58F6D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8.5.3联合体中标的，联合体各方应当共同与采购人签订合同，就中标项目向采购人承担连带责任。</w:t>
      </w:r>
    </w:p>
    <w:p w14:paraId="779407D3">
      <w:pPr>
        <w:pStyle w:val="4"/>
        <w:spacing w:before="0" w:after="0" w:line="360" w:lineRule="auto"/>
        <w:rPr>
          <w:rFonts w:ascii="宋体" w:hAnsi="宋体" w:eastAsia="宋体" w:cs="宋体"/>
          <w:sz w:val="28"/>
          <w:szCs w:val="28"/>
          <w:highlight w:val="none"/>
        </w:rPr>
      </w:pPr>
      <w:bookmarkStart w:id="163" w:name="_Toc20224"/>
      <w:r>
        <w:rPr>
          <w:rFonts w:hint="eastAsia" w:ascii="宋体" w:hAnsi="宋体" w:eastAsia="宋体" w:cs="宋体"/>
          <w:sz w:val="28"/>
          <w:szCs w:val="28"/>
          <w:highlight w:val="none"/>
        </w:rPr>
        <w:t>9.询问与答复</w:t>
      </w:r>
      <w:bookmarkEnd w:id="163"/>
    </w:p>
    <w:p w14:paraId="781824EF">
      <w:pPr>
        <w:pStyle w:val="2"/>
        <w:ind w:firstLine="480" w:firstLineChars="200"/>
        <w:rPr>
          <w:rFonts w:ascii="宋体" w:hAnsi="宋体" w:cs="宋体"/>
          <w:kern w:val="0"/>
          <w:sz w:val="24"/>
          <w:highlight w:val="none"/>
        </w:rPr>
      </w:pPr>
      <w:r>
        <w:rPr>
          <w:rFonts w:hint="eastAsia" w:ascii="宋体" w:hAnsi="宋体" w:cs="宋体"/>
          <w:kern w:val="0"/>
          <w:sz w:val="24"/>
          <w:highlight w:val="none"/>
        </w:rPr>
        <w:t>凡对本次招标采购活动事项有疑问的，可以向采购代理机构提出询问，采购代理机构将及时作出答复，但答复的内容不得涉及商业秘密。</w:t>
      </w:r>
    </w:p>
    <w:p w14:paraId="6C575C4E">
      <w:pPr>
        <w:pStyle w:val="4"/>
        <w:spacing w:before="0" w:after="0" w:line="360" w:lineRule="auto"/>
        <w:rPr>
          <w:rFonts w:ascii="宋体" w:hAnsi="宋体" w:eastAsia="宋体" w:cs="宋体"/>
          <w:sz w:val="28"/>
          <w:szCs w:val="28"/>
        </w:rPr>
      </w:pPr>
      <w:bookmarkStart w:id="164" w:name="_Toc11854"/>
      <w:bookmarkEnd w:id="164"/>
      <w:bookmarkStart w:id="165" w:name="_Toc20692"/>
      <w:bookmarkEnd w:id="165"/>
      <w:bookmarkStart w:id="166" w:name="_Toc13396"/>
      <w:bookmarkStart w:id="167" w:name="_Toc20594"/>
      <w:r>
        <w:rPr>
          <w:rFonts w:hint="eastAsia" w:ascii="宋体" w:hAnsi="宋体" w:eastAsia="宋体" w:cs="宋体"/>
          <w:sz w:val="28"/>
          <w:szCs w:val="28"/>
        </w:rPr>
        <w:t>10.质疑接收、回复</w:t>
      </w:r>
      <w:bookmarkEnd w:id="166"/>
    </w:p>
    <w:p w14:paraId="03FC26EB">
      <w:pPr>
        <w:spacing w:line="360" w:lineRule="auto"/>
        <w:ind w:firstLine="482" w:firstLineChars="200"/>
        <w:rPr>
          <w:rFonts w:ascii="宋体" w:hAnsi="宋体" w:cs="宋体"/>
          <w:b/>
          <w:sz w:val="24"/>
          <w:szCs w:val="24"/>
        </w:rPr>
      </w:pPr>
      <w:r>
        <w:rPr>
          <w:rFonts w:hint="eastAsia" w:ascii="宋体" w:hAnsi="宋体" w:cs="宋体"/>
          <w:b/>
          <w:sz w:val="24"/>
          <w:szCs w:val="24"/>
        </w:rPr>
        <w:t>10.1质疑接收</w:t>
      </w:r>
    </w:p>
    <w:p w14:paraId="23A41B7E">
      <w:pPr>
        <w:widowControl w:val="0"/>
        <w:spacing w:line="360" w:lineRule="auto"/>
        <w:ind w:firstLine="480" w:firstLineChars="200"/>
        <w:rPr>
          <w:rFonts w:ascii="宋体" w:hAnsi="宋体" w:cs="宋体"/>
          <w:sz w:val="24"/>
          <w:szCs w:val="24"/>
        </w:rPr>
      </w:pPr>
      <w:r>
        <w:rPr>
          <w:rFonts w:hint="eastAsia" w:ascii="宋体" w:hAnsi="宋体" w:cs="宋体"/>
          <w:sz w:val="24"/>
          <w:szCs w:val="24"/>
        </w:rPr>
        <w:t>10.1.1投标人认为招标文件、招标过程和中标结果使自己的权益受到损害的，可以根据《中华人民共和国政府采购法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中华人民共和国政府采购法实施条例》和《政府采购质疑和投诉办法》的有关规定，依法向采购人或其委托的采购代理机构提出质疑。</w:t>
      </w:r>
    </w:p>
    <w:p w14:paraId="7D4A4832">
      <w:pPr>
        <w:spacing w:line="360" w:lineRule="auto"/>
        <w:ind w:firstLine="480" w:firstLineChars="200"/>
        <w:rPr>
          <w:rFonts w:ascii="宋体" w:hAnsi="宋体" w:cs="宋体"/>
          <w:sz w:val="24"/>
          <w:szCs w:val="24"/>
        </w:rPr>
      </w:pPr>
      <w:r>
        <w:rPr>
          <w:rFonts w:hint="eastAsia" w:ascii="宋体" w:hAnsi="宋体" w:cs="宋体"/>
          <w:sz w:val="24"/>
          <w:szCs w:val="24"/>
        </w:rPr>
        <w:t>10.1.2质疑投标人应按照财政部制定的《政府采购质疑函范本》格式和《政府采购质疑和投诉办法》的要求，在法定质疑期</w:t>
      </w:r>
      <w:r>
        <w:rPr>
          <w:rFonts w:hint="eastAsia" w:ascii="宋体" w:hAnsi="宋体" w:cs="宋体"/>
          <w:sz w:val="24"/>
          <w:szCs w:val="24"/>
          <w:lang w:eastAsia="zh-CN"/>
        </w:rPr>
        <w:t>内以</w:t>
      </w:r>
      <w:r>
        <w:rPr>
          <w:rFonts w:hint="eastAsia" w:ascii="宋体" w:hAnsi="宋体" w:cs="宋体"/>
          <w:sz w:val="24"/>
          <w:szCs w:val="24"/>
        </w:rPr>
        <w:t>书面形式提出质疑，针对同一采购程序环节的质疑应一次性提出。</w:t>
      </w:r>
    </w:p>
    <w:p w14:paraId="45B67056">
      <w:pPr>
        <w:spacing w:line="360" w:lineRule="auto"/>
        <w:ind w:firstLine="480" w:firstLineChars="200"/>
        <w:rPr>
          <w:rFonts w:ascii="宋体" w:hAnsi="宋体" w:cs="宋体"/>
          <w:sz w:val="24"/>
          <w:szCs w:val="24"/>
        </w:rPr>
      </w:pPr>
      <w:r>
        <w:rPr>
          <w:rFonts w:hint="eastAsia" w:ascii="宋体" w:hAnsi="宋体" w:cs="宋体"/>
          <w:sz w:val="24"/>
          <w:szCs w:val="24"/>
        </w:rPr>
        <w:t>超出法定质疑期的、重复提出的、分次提出的或内容、形式不符合《政府采购质疑和投诉办法》的，质疑投标人将依法承担不利后果。</w:t>
      </w:r>
    </w:p>
    <w:p w14:paraId="14F9BE02">
      <w:pPr>
        <w:spacing w:line="360" w:lineRule="auto"/>
        <w:ind w:firstLine="480" w:firstLineChars="200"/>
        <w:rPr>
          <w:rFonts w:ascii="宋体" w:hAnsi="宋体" w:cs="宋体"/>
          <w:sz w:val="24"/>
          <w:szCs w:val="24"/>
        </w:rPr>
      </w:pPr>
      <w:r>
        <w:rPr>
          <w:rFonts w:hint="eastAsia" w:ascii="宋体" w:hAnsi="宋体" w:cs="宋体"/>
          <w:sz w:val="24"/>
          <w:szCs w:val="24"/>
        </w:rPr>
        <w:t>10.1.3采购代理机构接收质疑函的方式、联系部门、联系电话和通讯地址。</w:t>
      </w:r>
    </w:p>
    <w:p w14:paraId="47E3D080">
      <w:pPr>
        <w:spacing w:line="360" w:lineRule="auto"/>
        <w:ind w:firstLine="480" w:firstLineChars="200"/>
        <w:rPr>
          <w:rFonts w:ascii="宋体" w:hAnsi="宋体" w:cs="宋体"/>
          <w:sz w:val="24"/>
          <w:szCs w:val="24"/>
        </w:rPr>
      </w:pPr>
      <w:r>
        <w:rPr>
          <w:rFonts w:hint="eastAsia" w:ascii="宋体" w:hAnsi="宋体" w:cs="宋体"/>
          <w:sz w:val="24"/>
          <w:szCs w:val="24"/>
        </w:rPr>
        <w:t>接收质疑函的方式：质疑函采取现场书面递交形式。由法定代表人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持本人身份证原件或授权委托代理人持本人身份证原件及授权委托书原件，同时携带质疑函</w:t>
      </w:r>
      <w:r>
        <w:rPr>
          <w:rFonts w:hint="eastAsia" w:ascii="宋体" w:hAnsi="宋体" w:cs="宋体"/>
          <w:sz w:val="24"/>
          <w:szCs w:val="24"/>
          <w:lang w:eastAsia="zh-CN"/>
        </w:rPr>
        <w:t>（</w:t>
      </w:r>
      <w:r>
        <w:rPr>
          <w:rFonts w:hint="eastAsia" w:ascii="宋体" w:hAnsi="宋体" w:cs="宋体"/>
          <w:sz w:val="24"/>
          <w:szCs w:val="24"/>
        </w:rPr>
        <w:t>原件</w:t>
      </w:r>
      <w:r>
        <w:rPr>
          <w:rFonts w:hint="eastAsia" w:ascii="宋体" w:hAnsi="宋体" w:cs="宋体"/>
          <w:sz w:val="24"/>
          <w:szCs w:val="24"/>
          <w:lang w:eastAsia="zh-CN"/>
        </w:rPr>
        <w:t>）</w:t>
      </w:r>
      <w:r>
        <w:rPr>
          <w:rFonts w:hint="eastAsia" w:ascii="宋体" w:hAnsi="宋体" w:cs="宋体"/>
          <w:sz w:val="24"/>
          <w:szCs w:val="24"/>
        </w:rPr>
        <w:t>和加盖单位公章的相关依据和证明材料，送至采购代理机构。</w:t>
      </w:r>
    </w:p>
    <w:p w14:paraId="69965FC7">
      <w:pPr>
        <w:spacing w:line="360" w:lineRule="auto"/>
        <w:ind w:firstLine="480" w:firstLineChars="200"/>
        <w:rPr>
          <w:rFonts w:ascii="宋体" w:hAnsi="宋体" w:cs="宋体"/>
          <w:sz w:val="24"/>
          <w:szCs w:val="24"/>
        </w:rPr>
      </w:pPr>
      <w:r>
        <w:rPr>
          <w:rFonts w:hint="eastAsia" w:ascii="宋体" w:hAnsi="宋体" w:cs="宋体"/>
          <w:sz w:val="24"/>
          <w:szCs w:val="24"/>
        </w:rPr>
        <w:t>联系部门：云南力宏建设工程咨询有限公司招标业务部</w:t>
      </w:r>
    </w:p>
    <w:p w14:paraId="2C8ED70C">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sz w:val="24"/>
        </w:rPr>
        <w:t>0871-68315533。</w:t>
      </w:r>
    </w:p>
    <w:p w14:paraId="155B01FD">
      <w:pPr>
        <w:pStyle w:val="2"/>
        <w:ind w:firstLine="480" w:firstLineChars="200"/>
        <w:rPr>
          <w:rFonts w:ascii="宋体" w:hAnsi="宋体" w:cs="宋体"/>
          <w:sz w:val="24"/>
        </w:rPr>
      </w:pPr>
      <w:r>
        <w:rPr>
          <w:rFonts w:hint="eastAsia" w:ascii="宋体" w:hAnsi="宋体" w:cs="宋体"/>
          <w:sz w:val="24"/>
        </w:rPr>
        <w:t>通讯地址：云南省昆明市五华区科新路西城时代西城中心A座2906室</w:t>
      </w:r>
    </w:p>
    <w:p w14:paraId="2ACB1B17">
      <w:pPr>
        <w:pStyle w:val="2"/>
        <w:ind w:firstLine="482" w:firstLineChars="200"/>
        <w:rPr>
          <w:rFonts w:ascii="宋体" w:hAnsi="宋体" w:cs="宋体"/>
          <w:b/>
          <w:kern w:val="0"/>
          <w:sz w:val="24"/>
        </w:rPr>
      </w:pPr>
      <w:r>
        <w:rPr>
          <w:rFonts w:hint="eastAsia" w:ascii="宋体" w:hAnsi="宋体" w:cs="宋体"/>
          <w:b/>
          <w:kern w:val="0"/>
          <w:sz w:val="24"/>
        </w:rPr>
        <w:t>10.1.4不按上述要求提出的，采购人和采购代理机构将不予受理。</w:t>
      </w:r>
    </w:p>
    <w:p w14:paraId="54685C51">
      <w:pPr>
        <w:spacing w:line="360" w:lineRule="auto"/>
        <w:ind w:firstLine="482" w:firstLineChars="200"/>
        <w:rPr>
          <w:rFonts w:ascii="宋体" w:hAnsi="宋体" w:cs="宋体"/>
          <w:b/>
          <w:sz w:val="24"/>
          <w:szCs w:val="24"/>
        </w:rPr>
      </w:pPr>
      <w:r>
        <w:rPr>
          <w:rFonts w:hint="eastAsia" w:ascii="宋体" w:hAnsi="宋体" w:cs="宋体"/>
          <w:b/>
          <w:sz w:val="24"/>
          <w:szCs w:val="24"/>
        </w:rPr>
        <w:t>10.2质疑回复</w:t>
      </w:r>
    </w:p>
    <w:p w14:paraId="6A7CCDDA">
      <w:pPr>
        <w:spacing w:line="360" w:lineRule="auto"/>
        <w:ind w:firstLine="480" w:firstLineChars="200"/>
        <w:rPr>
          <w:rFonts w:ascii="宋体" w:hAnsi="宋体" w:cs="宋体"/>
          <w:sz w:val="24"/>
          <w:szCs w:val="24"/>
        </w:rPr>
      </w:pPr>
      <w:r>
        <w:rPr>
          <w:rFonts w:hint="eastAsia" w:ascii="宋体" w:hAnsi="宋体" w:cs="宋体"/>
          <w:sz w:val="24"/>
          <w:szCs w:val="24"/>
        </w:rPr>
        <w:t>采购人或者采购代理机构应在收到质疑函后7个工作日内作出答复，并以书面形式通知质疑投标人和其他有关投标人，质疑答复的内容不得涉及商业秘密。</w:t>
      </w:r>
    </w:p>
    <w:p w14:paraId="3582FFF7">
      <w:pPr>
        <w:pStyle w:val="4"/>
        <w:spacing w:before="0" w:after="0" w:line="360" w:lineRule="auto"/>
        <w:rPr>
          <w:rFonts w:ascii="宋体" w:hAnsi="宋体" w:eastAsia="宋体" w:cs="宋体"/>
          <w:sz w:val="28"/>
          <w:szCs w:val="28"/>
        </w:rPr>
      </w:pPr>
      <w:bookmarkStart w:id="168" w:name="_Toc31396"/>
      <w:r>
        <w:rPr>
          <w:rFonts w:hint="eastAsia" w:ascii="宋体" w:hAnsi="宋体" w:eastAsia="宋体" w:cs="宋体"/>
          <w:sz w:val="28"/>
          <w:szCs w:val="28"/>
        </w:rPr>
        <w:t>11.纪律和监督</w:t>
      </w:r>
      <w:bookmarkEnd w:id="167"/>
      <w:bookmarkEnd w:id="168"/>
    </w:p>
    <w:p w14:paraId="2B420408">
      <w:pPr>
        <w:spacing w:line="360" w:lineRule="auto"/>
        <w:rPr>
          <w:rFonts w:ascii="宋体" w:hAnsi="宋体" w:cs="宋体"/>
          <w:b/>
          <w:sz w:val="24"/>
          <w:szCs w:val="24"/>
        </w:rPr>
      </w:pPr>
      <w:bookmarkStart w:id="169" w:name="_Toc453"/>
      <w:bookmarkEnd w:id="169"/>
      <w:bookmarkStart w:id="170" w:name="_Toc14990"/>
      <w:r>
        <w:rPr>
          <w:rFonts w:hint="eastAsia" w:ascii="宋体" w:hAnsi="宋体" w:cs="宋体"/>
          <w:b/>
          <w:sz w:val="24"/>
          <w:szCs w:val="24"/>
        </w:rPr>
        <w:t>11.1对采购人的纪律要求</w:t>
      </w:r>
      <w:bookmarkEnd w:id="170"/>
    </w:p>
    <w:p w14:paraId="7A14378A">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按照《政府采购货物和服务招标投标管理办法》</w:t>
      </w:r>
      <w:r>
        <w:rPr>
          <w:rFonts w:hint="eastAsia" w:ascii="宋体" w:hAnsi="宋体" w:cs="宋体"/>
          <w:sz w:val="24"/>
          <w:szCs w:val="24"/>
          <w:lang w:eastAsia="zh-CN"/>
        </w:rPr>
        <w:t>（</w:t>
      </w:r>
      <w:r>
        <w:rPr>
          <w:rFonts w:hint="eastAsia" w:ascii="宋体" w:hAnsi="宋体" w:cs="宋体"/>
          <w:sz w:val="24"/>
          <w:szCs w:val="24"/>
        </w:rPr>
        <w:t>财政部令第87号</w:t>
      </w:r>
      <w:r>
        <w:rPr>
          <w:rFonts w:hint="eastAsia" w:ascii="宋体" w:hAnsi="宋体" w:cs="宋体"/>
          <w:sz w:val="24"/>
          <w:szCs w:val="24"/>
          <w:lang w:eastAsia="zh-CN"/>
        </w:rPr>
        <w:t>）</w:t>
      </w:r>
      <w:r>
        <w:rPr>
          <w:rFonts w:hint="eastAsia" w:ascii="宋体" w:hAnsi="宋体" w:cs="宋体"/>
          <w:sz w:val="24"/>
          <w:szCs w:val="24"/>
        </w:rPr>
        <w:t>的规定编制采购需求；</w:t>
      </w:r>
    </w:p>
    <w:p w14:paraId="3B172297">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采购人不得向投标人索要或者接受其给予的赠品、回扣或者与采购无关的其他商品、服务；</w:t>
      </w:r>
    </w:p>
    <w:p w14:paraId="22AA91CF">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在规定时间内确定中标人；</w:t>
      </w:r>
    </w:p>
    <w:p w14:paraId="7B89660D">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不得向中标人提出不合理要求作为签订合同条件。</w:t>
      </w:r>
    </w:p>
    <w:p w14:paraId="10DE2DE3">
      <w:pPr>
        <w:spacing w:line="360" w:lineRule="auto"/>
        <w:rPr>
          <w:rFonts w:ascii="宋体" w:hAnsi="宋体" w:cs="宋体"/>
          <w:b/>
          <w:sz w:val="24"/>
          <w:szCs w:val="24"/>
        </w:rPr>
      </w:pPr>
      <w:bookmarkStart w:id="171" w:name="_Toc20446"/>
      <w:bookmarkEnd w:id="171"/>
      <w:bookmarkStart w:id="172" w:name="_Toc14876"/>
      <w:r>
        <w:rPr>
          <w:rFonts w:hint="eastAsia" w:ascii="宋体" w:hAnsi="宋体" w:cs="宋体"/>
          <w:b/>
          <w:sz w:val="24"/>
          <w:szCs w:val="24"/>
        </w:rPr>
        <w:t>11.2对投标人的纪律要求</w:t>
      </w:r>
      <w:bookmarkEnd w:id="172"/>
    </w:p>
    <w:p w14:paraId="1EE67A88">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w:t>
      </w:r>
      <w:r>
        <w:rPr>
          <w:rFonts w:hint="eastAsia" w:ascii="宋体" w:hAnsi="宋体" w:cs="宋体"/>
          <w:sz w:val="24"/>
          <w:szCs w:val="24"/>
          <w:lang w:eastAsia="zh-CN"/>
        </w:rPr>
        <w:t>或者以其他方式</w:t>
      </w:r>
      <w:r>
        <w:rPr>
          <w:rFonts w:hint="eastAsia" w:ascii="宋体" w:hAnsi="宋体" w:cs="宋体"/>
          <w:sz w:val="24"/>
          <w:szCs w:val="24"/>
        </w:rPr>
        <w:t>弄虚作假骗取中标；投标人不得以任何方式干扰、影响评标工作。</w:t>
      </w:r>
    </w:p>
    <w:p w14:paraId="2A3587C8">
      <w:pPr>
        <w:spacing w:line="360" w:lineRule="auto"/>
        <w:rPr>
          <w:rFonts w:ascii="宋体" w:hAnsi="宋体" w:cs="宋体"/>
          <w:b/>
          <w:sz w:val="24"/>
          <w:szCs w:val="24"/>
        </w:rPr>
      </w:pPr>
      <w:bookmarkStart w:id="173" w:name="_Toc17796"/>
      <w:bookmarkEnd w:id="173"/>
      <w:bookmarkStart w:id="174" w:name="_Toc29247"/>
      <w:r>
        <w:rPr>
          <w:rFonts w:hint="eastAsia" w:ascii="宋体" w:hAnsi="宋体" w:cs="宋体"/>
          <w:b/>
          <w:sz w:val="24"/>
          <w:szCs w:val="24"/>
        </w:rPr>
        <w:t>11.3对评标委员会成员的纪律要求</w:t>
      </w:r>
      <w:bookmarkEnd w:id="174"/>
    </w:p>
    <w:p w14:paraId="11290B30">
      <w:pPr>
        <w:spacing w:line="360" w:lineRule="auto"/>
        <w:ind w:firstLine="480" w:firstLineChars="200"/>
        <w:rPr>
          <w:rFonts w:ascii="宋体" w:hAnsi="宋体" w:cs="宋体"/>
          <w:sz w:val="24"/>
          <w:szCs w:val="24"/>
        </w:rPr>
      </w:pPr>
      <w:r>
        <w:rPr>
          <w:rFonts w:hint="eastAsia" w:ascii="宋体" w:hAnsi="宋体" w:cs="宋体"/>
          <w:sz w:val="24"/>
          <w:szCs w:val="24"/>
        </w:rPr>
        <w:t>评标委员会及其成员不得有下列行为：</w:t>
      </w:r>
    </w:p>
    <w:p w14:paraId="6DD46B36">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确定参与评标至评标结束前私自接触投标人；</w:t>
      </w:r>
    </w:p>
    <w:p w14:paraId="4AAA1DDE">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接受投标人提出的与投标文件不一致的澄清或者说明；</w:t>
      </w:r>
    </w:p>
    <w:p w14:paraId="28FA9D53">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违反评标纪律发表倾向性意见或者征询采购人的倾向性意见；</w:t>
      </w:r>
    </w:p>
    <w:p w14:paraId="12B5E6BB">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对需要专业判断的主观评审因素协商评分；</w:t>
      </w:r>
    </w:p>
    <w:p w14:paraId="7ED7D3CA">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在评标过程中擅离职守，影响评标程序正常进行的；</w:t>
      </w:r>
    </w:p>
    <w:p w14:paraId="071EF0DE">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6</w:t>
      </w:r>
      <w:r>
        <w:rPr>
          <w:rFonts w:hint="eastAsia" w:ascii="宋体" w:hAnsi="宋体" w:cs="宋体"/>
          <w:sz w:val="24"/>
          <w:szCs w:val="24"/>
          <w:lang w:eastAsia="zh-CN"/>
        </w:rPr>
        <w:t>）</w:t>
      </w:r>
      <w:r>
        <w:rPr>
          <w:rFonts w:hint="eastAsia" w:ascii="宋体" w:hAnsi="宋体" w:cs="宋体"/>
          <w:sz w:val="24"/>
          <w:szCs w:val="24"/>
        </w:rPr>
        <w:t>记录、复制或者带走任何评标资料；</w:t>
      </w:r>
    </w:p>
    <w:p w14:paraId="34AACB38">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7</w:t>
      </w:r>
      <w:r>
        <w:rPr>
          <w:rFonts w:hint="eastAsia" w:ascii="宋体" w:hAnsi="宋体" w:cs="宋体"/>
          <w:sz w:val="24"/>
          <w:szCs w:val="24"/>
          <w:lang w:eastAsia="zh-CN"/>
        </w:rPr>
        <w:t>）</w:t>
      </w:r>
      <w:r>
        <w:rPr>
          <w:rFonts w:hint="eastAsia" w:ascii="宋体" w:hAnsi="宋体" w:cs="宋体"/>
          <w:sz w:val="24"/>
          <w:szCs w:val="24"/>
        </w:rPr>
        <w:t>其他不遵守评标纪律的行为。</w:t>
      </w:r>
    </w:p>
    <w:p w14:paraId="3E1AA47B">
      <w:pPr>
        <w:spacing w:line="360" w:lineRule="auto"/>
        <w:ind w:firstLine="480" w:firstLineChars="200"/>
        <w:rPr>
          <w:rFonts w:ascii="宋体" w:hAnsi="宋体" w:cs="宋体"/>
          <w:sz w:val="24"/>
          <w:szCs w:val="24"/>
        </w:rPr>
      </w:pPr>
      <w:r>
        <w:rPr>
          <w:rFonts w:hint="eastAsia" w:ascii="宋体" w:hAnsi="宋体" w:cs="宋体"/>
          <w:sz w:val="24"/>
          <w:szCs w:val="24"/>
        </w:rPr>
        <w:t>评标委员会成员有前款第</w:t>
      </w: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至</w:t>
      </w:r>
      <w:r>
        <w:rPr>
          <w:rFonts w:hint="eastAsia" w:ascii="宋体" w:hAnsi="宋体" w:cs="宋体"/>
          <w:sz w:val="24"/>
          <w:szCs w:val="24"/>
          <w:lang w:eastAsia="zh-CN"/>
        </w:rPr>
        <w:t>（</w:t>
      </w:r>
      <w:r>
        <w:rPr>
          <w:rFonts w:hint="eastAsia" w:ascii="宋体" w:hAnsi="宋体" w:cs="宋体"/>
          <w:sz w:val="24"/>
          <w:szCs w:val="24"/>
        </w:rPr>
        <w:t>7</w:t>
      </w:r>
      <w:r>
        <w:rPr>
          <w:rFonts w:hint="eastAsia" w:ascii="宋体" w:hAnsi="宋体" w:cs="宋体"/>
          <w:sz w:val="24"/>
          <w:szCs w:val="24"/>
          <w:lang w:eastAsia="zh-CN"/>
        </w:rPr>
        <w:t>）</w:t>
      </w:r>
      <w:r>
        <w:rPr>
          <w:rFonts w:hint="eastAsia" w:ascii="宋体" w:hAnsi="宋体" w:cs="宋体"/>
          <w:sz w:val="24"/>
          <w:szCs w:val="24"/>
        </w:rPr>
        <w:t>项行为之一的，其评审意见无效，并不得获取评审劳务报酬和报销异地评审差旅费。</w:t>
      </w:r>
    </w:p>
    <w:p w14:paraId="31B31F50">
      <w:pPr>
        <w:spacing w:line="360" w:lineRule="auto"/>
        <w:rPr>
          <w:rFonts w:ascii="宋体" w:hAnsi="宋体" w:cs="宋体"/>
          <w:b/>
          <w:sz w:val="24"/>
          <w:szCs w:val="24"/>
        </w:rPr>
      </w:pPr>
      <w:bookmarkStart w:id="175" w:name="_Toc22639"/>
      <w:bookmarkEnd w:id="175"/>
      <w:bookmarkStart w:id="176" w:name="_Toc5153"/>
      <w:r>
        <w:rPr>
          <w:rFonts w:hint="eastAsia" w:ascii="宋体" w:hAnsi="宋体" w:cs="宋体"/>
          <w:b/>
          <w:sz w:val="24"/>
          <w:szCs w:val="24"/>
        </w:rPr>
        <w:t>11.4对与评标活动有关的工作人员的纪律要求</w:t>
      </w:r>
      <w:bookmarkEnd w:id="176"/>
    </w:p>
    <w:p w14:paraId="0EB60A29">
      <w:pPr>
        <w:spacing w:line="360" w:lineRule="auto"/>
        <w:ind w:firstLine="480" w:firstLineChars="200"/>
        <w:rPr>
          <w:rFonts w:ascii="宋体" w:hAnsi="宋体" w:cs="宋体"/>
          <w:sz w:val="24"/>
          <w:szCs w:val="24"/>
        </w:rPr>
      </w:pPr>
      <w:r>
        <w:rPr>
          <w:rFonts w:hint="eastAsia" w:ascii="宋体" w:hAnsi="宋体" w:cs="宋体"/>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CED12B9">
      <w:pPr>
        <w:pStyle w:val="4"/>
        <w:spacing w:before="0" w:after="0" w:line="360" w:lineRule="auto"/>
        <w:rPr>
          <w:rFonts w:ascii="宋体" w:hAnsi="宋体" w:eastAsia="宋体" w:cs="宋体"/>
          <w:sz w:val="28"/>
          <w:szCs w:val="28"/>
        </w:rPr>
      </w:pPr>
      <w:bookmarkStart w:id="177" w:name="_Toc11291"/>
      <w:bookmarkEnd w:id="177"/>
      <w:bookmarkStart w:id="178" w:name="_Toc3960"/>
      <w:bookmarkEnd w:id="178"/>
      <w:bookmarkStart w:id="179" w:name="_Toc19873"/>
      <w:bookmarkEnd w:id="179"/>
      <w:bookmarkStart w:id="180" w:name="_Toc18697"/>
      <w:bookmarkEnd w:id="180"/>
      <w:bookmarkStart w:id="181" w:name="_Toc11354"/>
      <w:bookmarkEnd w:id="181"/>
      <w:bookmarkStart w:id="182" w:name="_Toc14857"/>
      <w:bookmarkStart w:id="183" w:name="_Toc31932"/>
      <w:r>
        <w:rPr>
          <w:rFonts w:hint="eastAsia" w:ascii="宋体" w:hAnsi="宋体" w:eastAsia="宋体" w:cs="宋体"/>
          <w:sz w:val="28"/>
          <w:szCs w:val="28"/>
        </w:rPr>
        <w:t>12.需要补充的其他内容</w:t>
      </w:r>
      <w:bookmarkEnd w:id="182"/>
      <w:bookmarkEnd w:id="183"/>
    </w:p>
    <w:p w14:paraId="5DA53A50">
      <w:pPr>
        <w:spacing w:line="360" w:lineRule="auto"/>
        <w:ind w:firstLine="480" w:firstLineChars="200"/>
        <w:rPr>
          <w:rFonts w:ascii="宋体" w:hAnsi="宋体" w:cs="宋体"/>
          <w:sz w:val="24"/>
          <w:szCs w:val="24"/>
        </w:rPr>
      </w:pPr>
      <w:r>
        <w:rPr>
          <w:rFonts w:hint="eastAsia" w:ascii="宋体" w:hAnsi="宋体" w:cs="宋体"/>
          <w:sz w:val="24"/>
          <w:szCs w:val="24"/>
        </w:rPr>
        <w:t>需要补充的其他内容：见投标人须知前附表。</w:t>
      </w:r>
    </w:p>
    <w:p w14:paraId="48325500">
      <w:pPr>
        <w:pStyle w:val="3"/>
        <w:spacing w:before="0" w:after="0" w:line="360" w:lineRule="auto"/>
        <w:jc w:val="center"/>
        <w:rPr>
          <w:rFonts w:ascii="宋体" w:hAnsi="宋体" w:cs="宋体"/>
        </w:rPr>
      </w:pPr>
      <w:bookmarkStart w:id="184" w:name="_Toc31137"/>
      <w:bookmarkEnd w:id="184"/>
      <w:bookmarkStart w:id="185" w:name="_Toc32052"/>
      <w:r>
        <w:rPr>
          <w:rFonts w:hint="eastAsia" w:ascii="宋体" w:hAnsi="宋体" w:cs="宋体"/>
        </w:rPr>
        <w:br w:type="page"/>
      </w:r>
      <w:bookmarkStart w:id="186" w:name="_Toc3980"/>
      <w:r>
        <w:rPr>
          <w:rFonts w:hint="eastAsia" w:ascii="宋体" w:hAnsi="宋体" w:cs="宋体"/>
          <w:b/>
          <w:bCs/>
          <w:sz w:val="44"/>
          <w:szCs w:val="44"/>
        </w:rPr>
        <w:t>第三章 资格审查</w:t>
      </w:r>
      <w:bookmarkEnd w:id="185"/>
      <w:bookmarkEnd w:id="186"/>
    </w:p>
    <w:p w14:paraId="0EC323BA">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宋体" w:hAnsi="宋体" w:cs="宋体"/>
        </w:rPr>
      </w:pPr>
      <w:r>
        <w:rPr>
          <w:rFonts w:hint="eastAsia" w:ascii="宋体" w:hAnsi="宋体" w:cs="宋体"/>
        </w:rPr>
        <w:t>公开招标采购项目开标结束后，采购人</w:t>
      </w:r>
      <w:r>
        <w:rPr>
          <w:rFonts w:hint="eastAsia" w:ascii="宋体" w:hAnsi="宋体" w:cs="宋体"/>
          <w:lang w:eastAsia="zh-CN"/>
        </w:rPr>
        <w:t>（</w:t>
      </w:r>
      <w:r>
        <w:rPr>
          <w:rFonts w:hint="eastAsia" w:ascii="宋体" w:hAnsi="宋体" w:cs="宋体"/>
        </w:rPr>
        <w:t>和/或</w:t>
      </w:r>
      <w:r>
        <w:rPr>
          <w:rFonts w:hint="eastAsia" w:ascii="宋体" w:hAnsi="宋体" w:cs="宋体"/>
          <w:lang w:eastAsia="zh-CN"/>
        </w:rPr>
        <w:t>）</w:t>
      </w:r>
      <w:r>
        <w:rPr>
          <w:rFonts w:hint="eastAsia" w:ascii="宋体" w:hAnsi="宋体" w:cs="宋体"/>
        </w:rPr>
        <w:t>采购代理机构依法对投标人的资格进行审查。合格投标人不足3家的，不得评标。</w:t>
      </w:r>
    </w:p>
    <w:p w14:paraId="1DDB6D0C">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宋体" w:hAnsi="宋体" w:cs="宋体"/>
          <w:b/>
          <w:bCs/>
          <w:sz w:val="24"/>
          <w:szCs w:val="24"/>
        </w:rPr>
      </w:pPr>
      <w:r>
        <w:rPr>
          <w:rFonts w:hint="eastAsia" w:ascii="宋体" w:hAnsi="宋体" w:cs="宋体"/>
          <w:b/>
          <w:bCs/>
          <w:sz w:val="24"/>
          <w:szCs w:val="24"/>
        </w:rPr>
        <w:t>资格审查：</w:t>
      </w:r>
    </w:p>
    <w:p w14:paraId="5DF1CEC6">
      <w:pPr>
        <w:pStyle w:val="1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采购人依据法律法规和招标文件的规定，对投标文件中“证明投标人的资格文件”进行审查，以确定投标人是否具备投标资格。只有通过资格审查的投标文件才能进入评标。</w:t>
      </w:r>
    </w:p>
    <w:p w14:paraId="273347CD">
      <w:pPr>
        <w:pStyle w:val="1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r>
        <w:rPr>
          <w:rFonts w:hint="eastAsia" w:ascii="宋体" w:hAnsi="宋体" w:cs="宋体"/>
          <w:sz w:val="24"/>
          <w:szCs w:val="24"/>
        </w:rPr>
        <w:t>不符合下列情形之一的投标文件不能通过资格审查：</w:t>
      </w:r>
      <w:bookmarkStart w:id="187" w:name="_Toc5266"/>
    </w:p>
    <w:p w14:paraId="339C1D1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1.满足《中华人民共和国政府采购法》第二十二条规定；</w:t>
      </w:r>
    </w:p>
    <w:p w14:paraId="1BB9463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1.1具有独立承担民事责任的能力，提供法人或者其他组织的营业执照等证明文件（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分公司参与投标的，还须提供总公司出具的授权书；同一家公司的总公司和下属的不同分公司不能同时参与同一项目投标。</w:t>
      </w:r>
    </w:p>
    <w:p w14:paraId="2354453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1.2投标人具有良好的商业信誉和健全的财务会计制度，须提供相关证明材料，内容可为以下四者之一：1）2023年度至今任意一年度经审计的审计报告及财务报表，财务报表包括“四表一注”，即资产负债表、利润表、现金流量表、所有者权益变动表及其附注，根据《关于加强审计报告查验工作的通知》（财会〔2023〕15号）规定，在2022年10月以后出具的审计报告须在注册会计师行业统一监管平台（网址：http://acc.mof.gov.cn）取得赋码，未取得赋码的财务报告视为无效（注：非营利性单位或者社会团体或者其他机关事业单位以符合财务会计制度为准）；2）自投标文件提交截止时间前三个月内基本开户银行出具的资信证明；3）财政部门认可的政府采购专业担保机构出具的投标担保函，须同时提供专业担保机构经财政部门认可的证明文件；4）成立未满一年或成立至今未产生经营活动的投标人提供自成立至今的财务报表或财务情况说明。</w:t>
      </w:r>
    </w:p>
    <w:p w14:paraId="7195FC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1.3具有履行合同所必需的设备和专业技术能力，提供证明材料或书面声明。</w:t>
      </w:r>
    </w:p>
    <w:p w14:paraId="566A9AA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1.4具有依法缴纳税收和社会保障资金的良好记录，提供2025年1月至今任意1个月依法缴纳税收和缴纳社会保障资金的证明（成立未满1个月的提供成立以来的税收和社会保障资金缴纳凭证或相关情况说明；依法免税或不需要缴纳社会保障资金的投标人，应提供相应文件证明其依法免税或不需要缴纳社会保障资金）。</w:t>
      </w:r>
    </w:p>
    <w:p w14:paraId="195EC89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1.5参加政府采购活动前三年内，在经营活动中没有重大违法记录，提供参加本次政府采购活动前三年内在经营活动中没有重大违法记录的书面声明。</w:t>
      </w:r>
    </w:p>
    <w:p w14:paraId="75DAEDD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1.6法律、行政法规规定的其他条件。</w:t>
      </w:r>
    </w:p>
    <w:p w14:paraId="6498321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1.6.1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236F07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1.6.2投标人应在“中国执行信息公开网”网站（zxgk.court.gov.cn）未被列入失信被执行人记录，在“信用中国”网站（www.creditchina.gov.cn）未被列入重大税收违法失信主体，在“中国政府采购网”网站（www.ccgp.gov.cn）没有政府采购严重违法失信行为记录（提交投标文件截止时间后由采购代理机构查询并截图保存，提交评标委员会审核）。</w:t>
      </w:r>
    </w:p>
    <w:p w14:paraId="2B041C0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2.落实政府采购政策需满足的资格要求：本项目为专门面向中小企业采购的项目，行业划分为</w:t>
      </w:r>
      <w:r>
        <w:rPr>
          <w:rFonts w:hint="eastAsia" w:ascii="宋体" w:hAnsi="宋体" w:cs="宋体"/>
          <w:b/>
          <w:bCs/>
          <w:color w:val="000000"/>
          <w:sz w:val="24"/>
          <w:szCs w:val="24"/>
          <w:lang w:bidi="ar"/>
        </w:rPr>
        <w:t>工业</w:t>
      </w:r>
      <w:r>
        <w:rPr>
          <w:rFonts w:hint="eastAsia" w:ascii="宋体" w:hAnsi="宋体" w:cs="宋体"/>
          <w:color w:val="000000"/>
          <w:sz w:val="24"/>
          <w:szCs w:val="24"/>
          <w:lang w:bidi="ar"/>
        </w:rPr>
        <w:t>，投标人应提供“中小企业声明函”或“残疾人福利性单位声明函”或由省级以上监狱管理局、戒毒管理局（含新疆生产建设兵团）出具的属于监狱企业的证明文件。</w:t>
      </w:r>
    </w:p>
    <w:p w14:paraId="580C613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3.本项目的特定资格要求：无。</w:t>
      </w:r>
    </w:p>
    <w:p w14:paraId="2984CDC4">
      <w:pPr>
        <w:pStyle w:val="2"/>
        <w:rPr>
          <w:rFonts w:ascii="宋体" w:hAnsi="宋体" w:cs="宋体"/>
        </w:rPr>
      </w:pPr>
    </w:p>
    <w:p w14:paraId="3C92EF49">
      <w:pPr>
        <w:pStyle w:val="2"/>
        <w:rPr>
          <w:rFonts w:ascii="宋体" w:hAnsi="宋体" w:cs="宋体"/>
        </w:rPr>
        <w:sectPr>
          <w:footerReference r:id="rId7" w:type="default"/>
          <w:pgSz w:w="11906" w:h="16838"/>
          <w:pgMar w:top="1440" w:right="1083" w:bottom="1440" w:left="1083" w:header="737" w:footer="737" w:gutter="0"/>
          <w:pgNumType w:start="1"/>
          <w:cols w:space="720" w:num="1"/>
          <w:docGrid w:type="lines" w:linePitch="317" w:charSpace="0"/>
        </w:sectPr>
      </w:pPr>
    </w:p>
    <w:bookmarkEnd w:id="187"/>
    <w:p w14:paraId="78110258">
      <w:pPr>
        <w:pStyle w:val="3"/>
        <w:spacing w:before="0" w:after="0" w:line="360" w:lineRule="auto"/>
        <w:jc w:val="center"/>
        <w:rPr>
          <w:rFonts w:ascii="宋体" w:hAnsi="宋体" w:cs="宋体"/>
          <w:highlight w:val="none"/>
        </w:rPr>
      </w:pPr>
      <w:bookmarkStart w:id="188" w:name="_Toc26828"/>
      <w:bookmarkEnd w:id="188"/>
      <w:bookmarkStart w:id="189" w:name="_Toc18440"/>
      <w:bookmarkEnd w:id="189"/>
      <w:bookmarkStart w:id="190" w:name="_Toc25845"/>
      <w:bookmarkStart w:id="191" w:name="_Toc839"/>
      <w:bookmarkStart w:id="192" w:name="_Toc30727"/>
      <w:bookmarkStart w:id="193" w:name="_Toc15431"/>
      <w:r>
        <w:rPr>
          <w:rFonts w:hint="eastAsia" w:ascii="宋体" w:hAnsi="宋体" w:cs="宋体"/>
          <w:highlight w:val="none"/>
        </w:rPr>
        <w:t>第四章 评标办法</w:t>
      </w:r>
      <w:r>
        <w:rPr>
          <w:rFonts w:hint="eastAsia" w:ascii="宋体" w:hAnsi="宋体" w:cs="宋体"/>
          <w:highlight w:val="none"/>
          <w:lang w:eastAsia="zh-CN"/>
        </w:rPr>
        <w:t>（</w:t>
      </w:r>
      <w:r>
        <w:rPr>
          <w:rFonts w:hint="eastAsia" w:ascii="宋体" w:hAnsi="宋体" w:cs="宋体"/>
          <w:highlight w:val="none"/>
        </w:rPr>
        <w:t>最低评标价法</w:t>
      </w:r>
      <w:r>
        <w:rPr>
          <w:rFonts w:hint="eastAsia" w:ascii="宋体" w:hAnsi="宋体" w:cs="宋体"/>
          <w:highlight w:val="none"/>
          <w:lang w:eastAsia="zh-CN"/>
        </w:rPr>
        <w:t>）</w:t>
      </w:r>
      <w:bookmarkEnd w:id="190"/>
      <w:bookmarkEnd w:id="191"/>
    </w:p>
    <w:p w14:paraId="699D11B3">
      <w:pPr>
        <w:keepNext w:val="0"/>
        <w:keepLines w:val="0"/>
        <w:pageBreakBefore w:val="0"/>
        <w:kinsoku/>
        <w:wordWrap/>
        <w:overflowPunct/>
        <w:topLinePunct w:val="0"/>
        <w:bidi w:val="0"/>
        <w:spacing w:line="500" w:lineRule="exact"/>
        <w:ind w:firstLine="482" w:firstLineChars="200"/>
        <w:jc w:val="both"/>
        <w:rPr>
          <w:rFonts w:ascii="宋体" w:hAnsi="宋体" w:cs="宋体"/>
          <w:b/>
          <w:bCs/>
          <w:sz w:val="24"/>
          <w:szCs w:val="24"/>
        </w:rPr>
      </w:pPr>
      <w:r>
        <w:rPr>
          <w:rFonts w:hint="eastAsia" w:ascii="宋体" w:hAnsi="宋体" w:cs="宋体"/>
          <w:b/>
          <w:bCs/>
          <w:sz w:val="24"/>
          <w:szCs w:val="24"/>
        </w:rPr>
        <w:t>一、评标机构</w:t>
      </w:r>
    </w:p>
    <w:p w14:paraId="22B17548">
      <w:pPr>
        <w:pStyle w:val="14"/>
        <w:keepNext w:val="0"/>
        <w:keepLines w:val="0"/>
        <w:pageBreakBefore w:val="0"/>
        <w:kinsoku/>
        <w:wordWrap/>
        <w:overflowPunct/>
        <w:topLinePunct w:val="0"/>
        <w:bidi w:val="0"/>
        <w:spacing w:line="500" w:lineRule="exact"/>
        <w:ind w:firstLine="480" w:firstLineChars="200"/>
        <w:rPr>
          <w:rFonts w:ascii="宋体" w:hAnsi="宋体" w:cs="宋体"/>
          <w:color w:val="FF0000"/>
          <w:sz w:val="24"/>
          <w:szCs w:val="24"/>
        </w:rPr>
      </w:pPr>
      <w:r>
        <w:rPr>
          <w:rFonts w:hint="eastAsia" w:ascii="宋体" w:hAnsi="宋体" w:cs="宋体"/>
          <w:sz w:val="24"/>
          <w:szCs w:val="24"/>
        </w:rPr>
        <w:t>评标机构为评标委员会，评标委员会的组成见投标人须知前附表7.1.1。</w:t>
      </w:r>
    </w:p>
    <w:p w14:paraId="5D449350">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二、采购人或者采购代理机构职责</w:t>
      </w:r>
    </w:p>
    <w:p w14:paraId="5DF66215">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采购人或者采购代理机构负责组织评标工作，并履行下列职责：</w:t>
      </w:r>
    </w:p>
    <w:p w14:paraId="230E0A78">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核对评审专家身份和采购人代表授权函，对评审专家在政府采购活动中的职责履行情况予以记录，并及时将有关违法违规行为向财政部门报告。</w:t>
      </w:r>
    </w:p>
    <w:p w14:paraId="7959C6B0">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宣布评标纪律。</w:t>
      </w:r>
    </w:p>
    <w:p w14:paraId="2F2E5FDD">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公布投标人名单，告知评审专家应当回避的情形。</w:t>
      </w:r>
    </w:p>
    <w:p w14:paraId="32B63EBF">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组织评标委员会推选评标组长，采购人代表不得担任组长。</w:t>
      </w:r>
    </w:p>
    <w:p w14:paraId="54886B5A">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五</w:t>
      </w:r>
      <w:r>
        <w:rPr>
          <w:rFonts w:hint="eastAsia" w:ascii="宋体" w:hAnsi="宋体" w:cs="宋体"/>
          <w:sz w:val="24"/>
          <w:szCs w:val="24"/>
          <w:lang w:eastAsia="zh-CN"/>
        </w:rPr>
        <w:t>）</w:t>
      </w:r>
      <w:r>
        <w:rPr>
          <w:rFonts w:hint="eastAsia" w:ascii="宋体" w:hAnsi="宋体" w:cs="宋体"/>
          <w:sz w:val="24"/>
          <w:szCs w:val="24"/>
        </w:rPr>
        <w:t>在评标期间采取必要的</w:t>
      </w:r>
      <w:r>
        <w:rPr>
          <w:rFonts w:hint="eastAsia" w:ascii="宋体" w:hAnsi="宋体" w:cs="宋体"/>
          <w:sz w:val="24"/>
          <w:szCs w:val="24"/>
          <w:lang w:eastAsia="zh-CN"/>
        </w:rPr>
        <w:t>通信管理</w:t>
      </w:r>
      <w:r>
        <w:rPr>
          <w:rFonts w:hint="eastAsia" w:ascii="宋体" w:hAnsi="宋体" w:cs="宋体"/>
          <w:sz w:val="24"/>
          <w:szCs w:val="24"/>
        </w:rPr>
        <w:t>措施，保证评标活动不受外界干扰。</w:t>
      </w:r>
    </w:p>
    <w:p w14:paraId="4105DB49">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六</w:t>
      </w:r>
      <w:r>
        <w:rPr>
          <w:rFonts w:hint="eastAsia" w:ascii="宋体" w:hAnsi="宋体" w:cs="宋体"/>
          <w:sz w:val="24"/>
          <w:szCs w:val="24"/>
          <w:lang w:eastAsia="zh-CN"/>
        </w:rPr>
        <w:t>）</w:t>
      </w:r>
      <w:r>
        <w:rPr>
          <w:rFonts w:hint="eastAsia" w:ascii="宋体" w:hAnsi="宋体" w:cs="宋体"/>
          <w:sz w:val="24"/>
          <w:szCs w:val="24"/>
        </w:rPr>
        <w:t>根据评标委员会的要求介绍政府采购相关政策法规、招标文件。</w:t>
      </w:r>
    </w:p>
    <w:p w14:paraId="120915B4">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七</w:t>
      </w:r>
      <w:r>
        <w:rPr>
          <w:rFonts w:hint="eastAsia" w:ascii="宋体" w:hAnsi="宋体" w:cs="宋体"/>
          <w:sz w:val="24"/>
          <w:szCs w:val="24"/>
          <w:lang w:eastAsia="zh-CN"/>
        </w:rPr>
        <w:t>）</w:t>
      </w:r>
      <w:r>
        <w:rPr>
          <w:rFonts w:hint="eastAsia" w:ascii="宋体" w:hAnsi="宋体" w:cs="宋体"/>
          <w:sz w:val="24"/>
          <w:szCs w:val="24"/>
        </w:rPr>
        <w:t>维护评标秩序，监督评标委员会依照招标文件规定的评标程序、方法和标准进行独立评审，及时制止和纠正采购人代表、评审专家的倾向性言论或者违法违规行为。</w:t>
      </w:r>
    </w:p>
    <w:p w14:paraId="1CE231FA">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八</w:t>
      </w:r>
      <w:r>
        <w:rPr>
          <w:rFonts w:hint="eastAsia" w:ascii="宋体" w:hAnsi="宋体" w:cs="宋体"/>
          <w:sz w:val="24"/>
          <w:szCs w:val="24"/>
          <w:lang w:eastAsia="zh-CN"/>
        </w:rPr>
        <w:t>）</w:t>
      </w:r>
      <w:r>
        <w:rPr>
          <w:rFonts w:hint="eastAsia" w:ascii="宋体" w:hAnsi="宋体" w:cs="宋体"/>
          <w:sz w:val="24"/>
          <w:szCs w:val="24"/>
        </w:rPr>
        <w:t>核对评标结果，有《政府采购货物和服务招标投标管理办法》（财政部第87号令）第六十四条规定情形的，要求评标委员会复核或者书面说明理由，评标委员会拒绝的，应予记录并向本级财政部门报告。</w:t>
      </w:r>
    </w:p>
    <w:p w14:paraId="45A3B36C">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九</w:t>
      </w:r>
      <w:r>
        <w:rPr>
          <w:rFonts w:hint="eastAsia" w:ascii="宋体" w:hAnsi="宋体" w:cs="宋体"/>
          <w:sz w:val="24"/>
          <w:szCs w:val="24"/>
          <w:lang w:eastAsia="zh-CN"/>
        </w:rPr>
        <w:t>）</w:t>
      </w:r>
      <w:r>
        <w:rPr>
          <w:rFonts w:hint="eastAsia" w:ascii="宋体" w:hAnsi="宋体" w:cs="宋体"/>
          <w:sz w:val="24"/>
          <w:szCs w:val="24"/>
        </w:rPr>
        <w:t>评审工作完成后，按照规定向评审专家支付劳务报酬和异地评审差旅费，不得向评审专家以外的其他人员支付评审劳务报酬。</w:t>
      </w:r>
    </w:p>
    <w:p w14:paraId="68C7B5C3">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十</w:t>
      </w:r>
      <w:r>
        <w:rPr>
          <w:rFonts w:hint="eastAsia" w:ascii="宋体" w:hAnsi="宋体" w:cs="宋体"/>
          <w:sz w:val="24"/>
          <w:szCs w:val="24"/>
          <w:lang w:eastAsia="zh-CN"/>
        </w:rPr>
        <w:t>）</w:t>
      </w:r>
      <w:r>
        <w:rPr>
          <w:rFonts w:hint="eastAsia" w:ascii="宋体" w:hAnsi="宋体" w:cs="宋体"/>
          <w:sz w:val="24"/>
          <w:szCs w:val="24"/>
        </w:rPr>
        <w:t>处理与评标有关的其他事项。</w:t>
      </w:r>
    </w:p>
    <w:p w14:paraId="5139EE45">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采购人可以在评标前说明项目背景和采购需求，说明内容不得含有歧视性、倾向性意见，不得超出招标文件所述范围。说明应当提交书面材料，并随</w:t>
      </w:r>
      <w:r>
        <w:rPr>
          <w:rFonts w:hint="eastAsia" w:ascii="宋体" w:hAnsi="宋体" w:cs="宋体"/>
          <w:sz w:val="24"/>
          <w:szCs w:val="24"/>
          <w:lang w:eastAsia="zh-CN"/>
        </w:rPr>
        <w:t>招标文件</w:t>
      </w:r>
      <w:r>
        <w:rPr>
          <w:rFonts w:hint="eastAsia" w:ascii="宋体" w:hAnsi="宋体" w:cs="宋体"/>
          <w:sz w:val="24"/>
          <w:szCs w:val="24"/>
        </w:rPr>
        <w:t>一并存档。</w:t>
      </w:r>
    </w:p>
    <w:p w14:paraId="6178CD7D">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三、评标委员会职责</w:t>
      </w:r>
    </w:p>
    <w:p w14:paraId="42F0024A">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评标委员会负责具体评标事务，并独立履行下列职责：</w:t>
      </w:r>
    </w:p>
    <w:p w14:paraId="41B4DBB9">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审查、评价投标文件是否符合招标文件的商务、技术等实质性要求。</w:t>
      </w:r>
    </w:p>
    <w:p w14:paraId="22067C64">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要求投标人对投标文件有关事项作出澄清或者说明。</w:t>
      </w:r>
    </w:p>
    <w:p w14:paraId="3F7116D9">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对投标文件进行比较和评价。</w:t>
      </w:r>
    </w:p>
    <w:p w14:paraId="7C386901">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确定中标候选人名单，以及根据采购人委托直接确定中标人。</w:t>
      </w:r>
    </w:p>
    <w:p w14:paraId="059371FC">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五</w:t>
      </w:r>
      <w:r>
        <w:rPr>
          <w:rFonts w:hint="eastAsia" w:ascii="宋体" w:hAnsi="宋体" w:cs="宋体"/>
          <w:sz w:val="24"/>
          <w:szCs w:val="24"/>
          <w:lang w:eastAsia="zh-CN"/>
        </w:rPr>
        <w:t>）</w:t>
      </w:r>
      <w:r>
        <w:rPr>
          <w:rFonts w:hint="eastAsia" w:ascii="宋体" w:hAnsi="宋体" w:cs="宋体"/>
          <w:sz w:val="24"/>
          <w:szCs w:val="24"/>
        </w:rPr>
        <w:t>向采购人、采购代理机构或者有关部门报告评标中发现的违法行为。</w:t>
      </w:r>
    </w:p>
    <w:p w14:paraId="63D492EF">
      <w:pPr>
        <w:pStyle w:val="14"/>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四、评标纪律</w:t>
      </w:r>
    </w:p>
    <w:p w14:paraId="0F7A0AC6">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对评标内容和评标过程要严格保密，不得向投标人或与该过程无关的</w:t>
      </w:r>
      <w:r>
        <w:rPr>
          <w:rFonts w:hint="eastAsia" w:ascii="宋体" w:hAnsi="宋体" w:cs="宋体"/>
          <w:sz w:val="24"/>
          <w:szCs w:val="24"/>
          <w:lang w:eastAsia="zh-CN"/>
        </w:rPr>
        <w:t>其他人员</w:t>
      </w:r>
      <w:r>
        <w:rPr>
          <w:rFonts w:hint="eastAsia" w:ascii="宋体" w:hAnsi="宋体" w:cs="宋体"/>
          <w:sz w:val="24"/>
          <w:szCs w:val="24"/>
        </w:rPr>
        <w:t>泄露。</w:t>
      </w:r>
    </w:p>
    <w:p w14:paraId="6B99BD9A">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评标期间的一切资料，包括评标意见、评标记录和评标结论，一律不得外传和泄露。</w:t>
      </w:r>
    </w:p>
    <w:p w14:paraId="7F9A9117">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任何属于投标文件审查、澄清、评价和比较的资料，不得向投标人或与该过程无关的</w:t>
      </w:r>
      <w:r>
        <w:rPr>
          <w:rFonts w:hint="eastAsia" w:ascii="宋体" w:hAnsi="宋体" w:cs="宋体"/>
          <w:sz w:val="24"/>
          <w:szCs w:val="24"/>
          <w:lang w:eastAsia="zh-CN"/>
        </w:rPr>
        <w:t>其他人员</w:t>
      </w:r>
      <w:r>
        <w:rPr>
          <w:rFonts w:hint="eastAsia" w:ascii="宋体" w:hAnsi="宋体" w:cs="宋体"/>
          <w:sz w:val="24"/>
          <w:szCs w:val="24"/>
        </w:rPr>
        <w:t>泄露。</w:t>
      </w:r>
    </w:p>
    <w:p w14:paraId="4FF6D797">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所有资料</w:t>
      </w:r>
      <w:r>
        <w:rPr>
          <w:rFonts w:hint="eastAsia" w:ascii="宋体" w:hAnsi="宋体" w:cs="宋体"/>
          <w:sz w:val="24"/>
          <w:szCs w:val="24"/>
          <w:lang w:eastAsia="zh-CN"/>
        </w:rPr>
        <w:t>（</w:t>
      </w:r>
      <w:r>
        <w:rPr>
          <w:rFonts w:hint="eastAsia" w:ascii="宋体" w:hAnsi="宋体" w:cs="宋体"/>
          <w:sz w:val="24"/>
          <w:szCs w:val="24"/>
        </w:rPr>
        <w:t>包括招标文件、投标文件、评标表格及各种文字记录</w:t>
      </w:r>
      <w:r>
        <w:rPr>
          <w:rFonts w:hint="eastAsia" w:ascii="宋体" w:hAnsi="宋体" w:cs="宋体"/>
          <w:sz w:val="24"/>
          <w:szCs w:val="24"/>
          <w:lang w:eastAsia="zh-CN"/>
        </w:rPr>
        <w:t>）</w:t>
      </w:r>
      <w:r>
        <w:rPr>
          <w:rFonts w:hint="eastAsia" w:ascii="宋体" w:hAnsi="宋体" w:cs="宋体"/>
          <w:sz w:val="24"/>
          <w:szCs w:val="24"/>
        </w:rPr>
        <w:t>在评标结束后均应分别整理、存档备查，任何人不得复制和保留。</w:t>
      </w:r>
    </w:p>
    <w:p w14:paraId="32B99A20">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五</w:t>
      </w:r>
      <w:r>
        <w:rPr>
          <w:rFonts w:hint="eastAsia" w:ascii="宋体" w:hAnsi="宋体" w:cs="宋体"/>
          <w:sz w:val="24"/>
          <w:szCs w:val="24"/>
          <w:lang w:eastAsia="zh-CN"/>
        </w:rPr>
        <w:t>）</w:t>
      </w:r>
      <w:r>
        <w:rPr>
          <w:rFonts w:hint="eastAsia" w:ascii="宋体" w:hAnsi="宋体" w:cs="宋体"/>
          <w:sz w:val="24"/>
          <w:szCs w:val="24"/>
        </w:rPr>
        <w:t>评标期间，未经允许评标委员会以外的任何单位或部门不得参加评标和采访评标工作。</w:t>
      </w:r>
    </w:p>
    <w:p w14:paraId="3D7E2C19">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六</w:t>
      </w:r>
      <w:r>
        <w:rPr>
          <w:rFonts w:hint="eastAsia" w:ascii="宋体" w:hAnsi="宋体" w:cs="宋体"/>
          <w:sz w:val="24"/>
          <w:szCs w:val="24"/>
          <w:lang w:eastAsia="zh-CN"/>
        </w:rPr>
        <w:t>）</w:t>
      </w:r>
      <w:r>
        <w:rPr>
          <w:rFonts w:hint="eastAsia" w:ascii="宋体" w:hAnsi="宋体" w:cs="宋体"/>
          <w:sz w:val="24"/>
          <w:szCs w:val="24"/>
        </w:rPr>
        <w:t>评标期间，评标人员不得外出，确需外出时应事先请假。</w:t>
      </w:r>
    </w:p>
    <w:p w14:paraId="66903A27">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七</w:t>
      </w:r>
      <w:r>
        <w:rPr>
          <w:rFonts w:hint="eastAsia" w:ascii="宋体" w:hAnsi="宋体" w:cs="宋体"/>
          <w:sz w:val="24"/>
          <w:szCs w:val="24"/>
          <w:lang w:eastAsia="zh-CN"/>
        </w:rPr>
        <w:t>）</w:t>
      </w:r>
      <w:r>
        <w:rPr>
          <w:rFonts w:hint="eastAsia" w:ascii="宋体" w:hAnsi="宋体" w:cs="宋体"/>
          <w:sz w:val="24"/>
          <w:szCs w:val="24"/>
        </w:rPr>
        <w:t>评标期间，所有与会人员均不得私自以任何方式和投标人进行联系，需询问、澄清的问题由评委会统一组织办理。</w:t>
      </w:r>
    </w:p>
    <w:p w14:paraId="0AB9023E">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八</w:t>
      </w:r>
      <w:r>
        <w:rPr>
          <w:rFonts w:hint="eastAsia" w:ascii="宋体" w:hAnsi="宋体" w:cs="宋体"/>
          <w:sz w:val="24"/>
          <w:szCs w:val="24"/>
          <w:lang w:eastAsia="zh-CN"/>
        </w:rPr>
        <w:t>）</w:t>
      </w:r>
      <w:r>
        <w:rPr>
          <w:rFonts w:hint="eastAsia" w:ascii="宋体" w:hAnsi="宋体" w:cs="宋体"/>
          <w:sz w:val="24"/>
          <w:szCs w:val="24"/>
        </w:rPr>
        <w:t>评标结束后，与会人员不得向外界透露评标人员的评标意见，如因此造成的后果由责任者承担。</w:t>
      </w:r>
    </w:p>
    <w:p w14:paraId="761C808E">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五、评标原则</w:t>
      </w:r>
    </w:p>
    <w:p w14:paraId="22DD9BE8">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评标将遵循下列原则：</w:t>
      </w:r>
    </w:p>
    <w:p w14:paraId="07695D75">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坚持公平、公正、科学、择优的原则，本着实事求是的精神，不带有任何主观意愿和偏见，认真负责地做好评标工作，公平、公正地对待每一个投标人。</w:t>
      </w:r>
    </w:p>
    <w:p w14:paraId="37CBE063">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全面分析，综合评审。</w:t>
      </w:r>
    </w:p>
    <w:p w14:paraId="1D2860B4">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评标只对投标人的投标文件进行评审，投标文件以外的资料、信息不应作为评标的依据。</w:t>
      </w:r>
    </w:p>
    <w:p w14:paraId="3AC14120">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六、评标程序</w:t>
      </w:r>
    </w:p>
    <w:p w14:paraId="1EAE948C">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本次招标所采用的评标方法为《政府采购货物和服务招标投标管理办法》</w:t>
      </w:r>
      <w:r>
        <w:rPr>
          <w:rFonts w:hint="eastAsia" w:ascii="宋体" w:hAnsi="宋体" w:cs="宋体"/>
          <w:sz w:val="24"/>
          <w:szCs w:val="24"/>
          <w:lang w:eastAsia="zh-CN"/>
        </w:rPr>
        <w:t>（</w:t>
      </w:r>
      <w:r>
        <w:rPr>
          <w:rFonts w:hint="eastAsia" w:ascii="宋体" w:hAnsi="宋体" w:cs="宋体"/>
          <w:sz w:val="24"/>
          <w:szCs w:val="24"/>
        </w:rPr>
        <w:t>财政部令第87号</w:t>
      </w:r>
      <w:r>
        <w:rPr>
          <w:rFonts w:hint="eastAsia" w:ascii="宋体" w:hAnsi="宋体" w:cs="宋体"/>
          <w:sz w:val="24"/>
          <w:szCs w:val="24"/>
          <w:lang w:eastAsia="zh-CN"/>
        </w:rPr>
        <w:t>）</w:t>
      </w:r>
      <w:r>
        <w:rPr>
          <w:rFonts w:hint="eastAsia" w:ascii="宋体" w:hAnsi="宋体" w:cs="宋体"/>
          <w:sz w:val="24"/>
          <w:szCs w:val="24"/>
        </w:rPr>
        <w:t>第五十</w:t>
      </w:r>
      <w:r>
        <w:rPr>
          <w:rFonts w:hint="eastAsia" w:ascii="宋体" w:hAnsi="宋体" w:cs="宋体"/>
          <w:sz w:val="24"/>
          <w:szCs w:val="24"/>
          <w:lang w:val="en-US" w:eastAsia="zh-CN"/>
        </w:rPr>
        <w:t>六</w:t>
      </w:r>
      <w:r>
        <w:rPr>
          <w:rFonts w:hint="eastAsia" w:ascii="宋体" w:hAnsi="宋体" w:cs="宋体"/>
          <w:sz w:val="24"/>
          <w:szCs w:val="24"/>
        </w:rPr>
        <w:t>条规定的“低评标价法，”，即：投标文件满足招标文件全部实质性要求，且投标报价最低的投标人为中标候选人的评标方法。</w:t>
      </w:r>
    </w:p>
    <w:p w14:paraId="6881CA20">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一</w:t>
      </w:r>
      <w:r>
        <w:rPr>
          <w:rFonts w:hint="eastAsia" w:ascii="宋体" w:hAnsi="宋体" w:cs="宋体"/>
          <w:b/>
          <w:bCs/>
          <w:sz w:val="24"/>
          <w:szCs w:val="24"/>
          <w:lang w:eastAsia="zh-CN"/>
        </w:rPr>
        <w:t>）</w:t>
      </w:r>
      <w:r>
        <w:rPr>
          <w:rFonts w:hint="eastAsia" w:ascii="宋体" w:hAnsi="宋体" w:cs="宋体"/>
          <w:b/>
          <w:bCs/>
          <w:sz w:val="24"/>
          <w:szCs w:val="24"/>
        </w:rPr>
        <w:t>符合性审查</w:t>
      </w:r>
    </w:p>
    <w:p w14:paraId="54086500">
      <w:pPr>
        <w:pStyle w:val="14"/>
        <w:keepNext w:val="0"/>
        <w:keepLines w:val="0"/>
        <w:pageBreakBefore w:val="0"/>
        <w:kinsoku/>
        <w:wordWrap/>
        <w:overflowPunct/>
        <w:topLinePunct w:val="0"/>
        <w:bidi w:val="0"/>
        <w:spacing w:line="500" w:lineRule="exact"/>
        <w:ind w:firstLine="480" w:firstLineChars="200"/>
        <w:rPr>
          <w:rFonts w:ascii="宋体" w:hAnsi="宋体" w:cs="宋体"/>
          <w:color w:val="FF0000"/>
          <w:sz w:val="24"/>
          <w:szCs w:val="24"/>
        </w:rPr>
      </w:pPr>
      <w:r>
        <w:rPr>
          <w:rFonts w:hint="eastAsia" w:ascii="宋体" w:hAnsi="宋体" w:cs="宋体"/>
          <w:sz w:val="24"/>
          <w:szCs w:val="24"/>
        </w:rPr>
        <w:t>评标委员会依据符合性评审标准对符合资格的投标人的投标文件进行符合性审查，有一项不符合评审标准的，评标委员会应当否决其投标。</w:t>
      </w:r>
    </w:p>
    <w:tbl>
      <w:tblPr>
        <w:tblStyle w:val="3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388"/>
        <w:gridCol w:w="5813"/>
      </w:tblGrid>
      <w:tr w14:paraId="3EA3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27" w:type="dxa"/>
          </w:tcPr>
          <w:p w14:paraId="728327F6">
            <w:pPr>
              <w:pStyle w:val="14"/>
              <w:keepNext w:val="0"/>
              <w:keepLines w:val="0"/>
              <w:pageBreakBefore w:val="0"/>
              <w:widowControl w:val="0"/>
              <w:kinsoku/>
              <w:wordWrap/>
              <w:overflowPunct/>
              <w:topLinePunct w:val="0"/>
              <w:bidi w:val="0"/>
              <w:spacing w:line="500" w:lineRule="exact"/>
              <w:ind w:firstLine="0"/>
              <w:jc w:val="center"/>
              <w:rPr>
                <w:rFonts w:ascii="宋体" w:hAnsi="宋体" w:cs="宋体"/>
                <w:b/>
                <w:bCs/>
                <w:sz w:val="24"/>
                <w:szCs w:val="24"/>
              </w:rPr>
            </w:pPr>
            <w:r>
              <w:rPr>
                <w:rFonts w:hint="eastAsia" w:ascii="宋体" w:hAnsi="宋体" w:cs="宋体"/>
                <w:b/>
                <w:bCs/>
                <w:sz w:val="24"/>
                <w:szCs w:val="24"/>
              </w:rPr>
              <w:t>审查内容</w:t>
            </w:r>
          </w:p>
        </w:tc>
        <w:tc>
          <w:tcPr>
            <w:tcW w:w="2388" w:type="dxa"/>
          </w:tcPr>
          <w:p w14:paraId="3E21B7DF">
            <w:pPr>
              <w:pStyle w:val="14"/>
              <w:keepNext w:val="0"/>
              <w:keepLines w:val="0"/>
              <w:pageBreakBefore w:val="0"/>
              <w:widowControl w:val="0"/>
              <w:kinsoku/>
              <w:wordWrap/>
              <w:overflowPunct/>
              <w:topLinePunct w:val="0"/>
              <w:bidi w:val="0"/>
              <w:spacing w:line="500" w:lineRule="exact"/>
              <w:ind w:firstLine="0"/>
              <w:jc w:val="center"/>
              <w:rPr>
                <w:rFonts w:ascii="宋体" w:hAnsi="宋体" w:cs="宋体"/>
                <w:b/>
                <w:bCs/>
                <w:sz w:val="24"/>
                <w:szCs w:val="24"/>
              </w:rPr>
            </w:pPr>
            <w:r>
              <w:rPr>
                <w:rFonts w:hint="eastAsia" w:ascii="宋体" w:hAnsi="宋体" w:cs="宋体"/>
                <w:b/>
                <w:bCs/>
                <w:sz w:val="24"/>
                <w:szCs w:val="24"/>
              </w:rPr>
              <w:t>评审因素</w:t>
            </w:r>
          </w:p>
        </w:tc>
        <w:tc>
          <w:tcPr>
            <w:tcW w:w="5813" w:type="dxa"/>
          </w:tcPr>
          <w:p w14:paraId="755C1A03">
            <w:pPr>
              <w:pStyle w:val="14"/>
              <w:keepNext w:val="0"/>
              <w:keepLines w:val="0"/>
              <w:pageBreakBefore w:val="0"/>
              <w:widowControl w:val="0"/>
              <w:kinsoku/>
              <w:wordWrap/>
              <w:overflowPunct/>
              <w:topLinePunct w:val="0"/>
              <w:bidi w:val="0"/>
              <w:spacing w:line="500" w:lineRule="exact"/>
              <w:ind w:firstLine="0"/>
              <w:jc w:val="center"/>
              <w:rPr>
                <w:rFonts w:ascii="宋体" w:hAnsi="宋体" w:cs="宋体"/>
                <w:b/>
                <w:bCs/>
                <w:sz w:val="24"/>
                <w:szCs w:val="24"/>
              </w:rPr>
            </w:pPr>
            <w:r>
              <w:rPr>
                <w:rFonts w:hint="eastAsia" w:ascii="宋体" w:hAnsi="宋体" w:cs="宋体"/>
                <w:b/>
                <w:bCs/>
                <w:sz w:val="24"/>
                <w:szCs w:val="24"/>
              </w:rPr>
              <w:t>评审标准</w:t>
            </w:r>
          </w:p>
        </w:tc>
      </w:tr>
      <w:tr w14:paraId="2A0E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restart"/>
            <w:vAlign w:val="center"/>
          </w:tcPr>
          <w:p w14:paraId="3D2A2AF3">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符合性审查</w:t>
            </w:r>
          </w:p>
        </w:tc>
        <w:tc>
          <w:tcPr>
            <w:tcW w:w="2388" w:type="dxa"/>
            <w:vAlign w:val="center"/>
          </w:tcPr>
          <w:p w14:paraId="0AB19015">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投标文件格式</w:t>
            </w:r>
          </w:p>
        </w:tc>
        <w:tc>
          <w:tcPr>
            <w:tcW w:w="5813" w:type="dxa"/>
          </w:tcPr>
          <w:p w14:paraId="117F8A62">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rPr>
              <w:t>投标文件按</w:t>
            </w:r>
            <w:r>
              <w:rPr>
                <w:rFonts w:hint="eastAsia" w:ascii="宋体" w:hAnsi="宋体" w:cs="宋体"/>
                <w:sz w:val="24"/>
                <w:szCs w:val="24"/>
              </w:rPr>
              <w:t>第七章“投标文件格式”</w:t>
            </w:r>
            <w:r>
              <w:rPr>
                <w:rFonts w:hint="eastAsia" w:ascii="宋体" w:hAnsi="宋体" w:cs="宋体"/>
                <w:sz w:val="24"/>
              </w:rPr>
              <w:t>要求填写，内容完整且关键字迹清晰</w:t>
            </w:r>
            <w:r>
              <w:rPr>
                <w:rFonts w:hint="eastAsia" w:ascii="宋体" w:hAnsi="宋体" w:cs="宋体"/>
                <w:sz w:val="24"/>
                <w:lang w:eastAsia="zh-CN"/>
              </w:rPr>
              <w:t>；</w:t>
            </w:r>
          </w:p>
        </w:tc>
      </w:tr>
      <w:tr w14:paraId="3327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33715E51">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p>
        </w:tc>
        <w:tc>
          <w:tcPr>
            <w:tcW w:w="2388" w:type="dxa"/>
            <w:vAlign w:val="center"/>
          </w:tcPr>
          <w:p w14:paraId="23FA8093">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投标文件签署、盖章</w:t>
            </w:r>
          </w:p>
        </w:tc>
        <w:tc>
          <w:tcPr>
            <w:tcW w:w="5813" w:type="dxa"/>
          </w:tcPr>
          <w:p w14:paraId="0A532955">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按第七章“投标文件格式”</w:t>
            </w:r>
            <w:r>
              <w:rPr>
                <w:rFonts w:hint="eastAsia" w:ascii="宋体" w:hAnsi="宋体" w:cs="宋体"/>
                <w:sz w:val="24"/>
              </w:rPr>
              <w:t>要求在</w:t>
            </w:r>
            <w:r>
              <w:rPr>
                <w:rFonts w:hint="eastAsia" w:ascii="宋体" w:hAnsi="宋体" w:cs="宋体"/>
                <w:sz w:val="24"/>
                <w:highlight w:val="none"/>
              </w:rPr>
              <w:t>规定位置盖电子签章</w:t>
            </w:r>
            <w:r>
              <w:rPr>
                <w:rFonts w:hint="eastAsia" w:ascii="宋体" w:hAnsi="宋体" w:cs="宋体"/>
                <w:sz w:val="24"/>
                <w:szCs w:val="24"/>
                <w:highlight w:val="none"/>
              </w:rPr>
              <w:t>、签字</w:t>
            </w:r>
            <w:r>
              <w:rPr>
                <w:rFonts w:hint="eastAsia" w:ascii="宋体" w:hAnsi="宋体" w:cs="宋体"/>
                <w:sz w:val="24"/>
                <w:szCs w:val="24"/>
                <w:highlight w:val="none"/>
                <w:lang w:eastAsia="zh-CN"/>
              </w:rPr>
              <w:t>；</w:t>
            </w:r>
          </w:p>
        </w:tc>
      </w:tr>
      <w:tr w14:paraId="3461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77C855B3">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3C3DD29E">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投标报价</w:t>
            </w:r>
          </w:p>
        </w:tc>
        <w:tc>
          <w:tcPr>
            <w:tcW w:w="5813" w:type="dxa"/>
          </w:tcPr>
          <w:p w14:paraId="7C084DA8">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符合第二章“投标人须知”第3.2项规定和第二章“投标人须知前附表”第3.2.4款规定</w:t>
            </w:r>
            <w:r>
              <w:rPr>
                <w:rFonts w:hint="eastAsia" w:ascii="宋体" w:hAnsi="宋体" w:cs="宋体"/>
                <w:sz w:val="24"/>
                <w:szCs w:val="24"/>
                <w:lang w:eastAsia="zh-CN"/>
              </w:rPr>
              <w:t>；</w:t>
            </w:r>
          </w:p>
        </w:tc>
      </w:tr>
      <w:tr w14:paraId="0F8F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vMerge w:val="continue"/>
          </w:tcPr>
          <w:p w14:paraId="4001C677">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65607C21">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投标有效期</w:t>
            </w:r>
          </w:p>
        </w:tc>
        <w:tc>
          <w:tcPr>
            <w:tcW w:w="5813" w:type="dxa"/>
          </w:tcPr>
          <w:p w14:paraId="6CB61A17">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符合第二章“投标人须知前附表”第3.3.1款规定</w:t>
            </w:r>
            <w:r>
              <w:rPr>
                <w:rFonts w:hint="eastAsia" w:ascii="宋体" w:hAnsi="宋体" w:cs="宋体"/>
                <w:sz w:val="24"/>
                <w:szCs w:val="24"/>
                <w:lang w:eastAsia="zh-CN"/>
              </w:rPr>
              <w:t>；</w:t>
            </w:r>
          </w:p>
        </w:tc>
      </w:tr>
      <w:tr w14:paraId="724C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27" w:type="dxa"/>
            <w:vMerge w:val="continue"/>
          </w:tcPr>
          <w:p w14:paraId="5A0B44B6">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tcPr>
          <w:p w14:paraId="57B72453">
            <w:pPr>
              <w:pStyle w:val="14"/>
              <w:keepNext w:val="0"/>
              <w:keepLines w:val="0"/>
              <w:pageBreakBefore w:val="0"/>
              <w:widowControl w:val="0"/>
              <w:kinsoku/>
              <w:wordWrap/>
              <w:overflowPunct/>
              <w:topLinePunct w:val="0"/>
              <w:bidi w:val="0"/>
              <w:spacing w:line="500" w:lineRule="exact"/>
              <w:ind w:firstLine="0"/>
              <w:jc w:val="center"/>
              <w:rPr>
                <w:rFonts w:hint="eastAsia" w:ascii="宋体" w:hAnsi="宋体" w:eastAsia="宋体" w:cs="宋体"/>
                <w:sz w:val="24"/>
                <w:szCs w:val="24"/>
                <w:lang w:eastAsia="zh-CN"/>
              </w:rPr>
            </w:pPr>
            <w:r>
              <w:rPr>
                <w:rFonts w:hint="eastAsia" w:ascii="宋体" w:hAnsi="宋体" w:cs="宋体"/>
                <w:sz w:val="24"/>
                <w:szCs w:val="24"/>
                <w:lang w:eastAsia="zh-CN"/>
              </w:rPr>
              <w:t>交付时间</w:t>
            </w:r>
          </w:p>
        </w:tc>
        <w:tc>
          <w:tcPr>
            <w:tcW w:w="5813" w:type="dxa"/>
          </w:tcPr>
          <w:p w14:paraId="17A96B65">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符合第二章“投标人须知前附表”第1.3.2款规定</w:t>
            </w:r>
            <w:r>
              <w:rPr>
                <w:rFonts w:hint="eastAsia" w:ascii="宋体" w:hAnsi="宋体" w:cs="宋体"/>
                <w:sz w:val="24"/>
                <w:szCs w:val="24"/>
                <w:lang w:eastAsia="zh-CN"/>
              </w:rPr>
              <w:t>；</w:t>
            </w:r>
          </w:p>
        </w:tc>
      </w:tr>
      <w:tr w14:paraId="7815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7" w:type="dxa"/>
            <w:vMerge w:val="continue"/>
          </w:tcPr>
          <w:p w14:paraId="7922FD21">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tcPr>
          <w:p w14:paraId="6FFB8B07">
            <w:pPr>
              <w:pStyle w:val="14"/>
              <w:keepNext w:val="0"/>
              <w:keepLines w:val="0"/>
              <w:pageBreakBefore w:val="0"/>
              <w:widowControl w:val="0"/>
              <w:kinsoku/>
              <w:wordWrap/>
              <w:overflowPunct/>
              <w:topLinePunct w:val="0"/>
              <w:bidi w:val="0"/>
              <w:spacing w:line="500" w:lineRule="exact"/>
              <w:ind w:firstLine="0"/>
              <w:jc w:val="center"/>
              <w:rPr>
                <w:rFonts w:hint="eastAsia" w:ascii="宋体" w:hAnsi="宋体" w:eastAsia="宋体" w:cs="宋体"/>
                <w:sz w:val="24"/>
                <w:szCs w:val="24"/>
                <w:lang w:eastAsia="zh-CN"/>
              </w:rPr>
            </w:pPr>
            <w:r>
              <w:rPr>
                <w:rFonts w:hint="eastAsia" w:ascii="宋体" w:hAnsi="宋体" w:cs="宋体"/>
                <w:sz w:val="24"/>
                <w:szCs w:val="24"/>
                <w:lang w:eastAsia="zh-CN"/>
              </w:rPr>
              <w:t>交付地点</w:t>
            </w:r>
          </w:p>
        </w:tc>
        <w:tc>
          <w:tcPr>
            <w:tcW w:w="5813" w:type="dxa"/>
          </w:tcPr>
          <w:p w14:paraId="4C34D615">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符合第二章“投标人须知前附表”第1.3.3款规定</w:t>
            </w:r>
            <w:r>
              <w:rPr>
                <w:rFonts w:hint="eastAsia" w:ascii="宋体" w:hAnsi="宋体" w:cs="宋体"/>
                <w:sz w:val="24"/>
                <w:szCs w:val="24"/>
                <w:lang w:eastAsia="zh-CN"/>
              </w:rPr>
              <w:t>；</w:t>
            </w:r>
          </w:p>
        </w:tc>
      </w:tr>
      <w:tr w14:paraId="5F6C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7" w:type="dxa"/>
            <w:vMerge w:val="continue"/>
          </w:tcPr>
          <w:p w14:paraId="4FF99CB5">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tcPr>
          <w:p w14:paraId="3737E28D">
            <w:pPr>
              <w:pStyle w:val="14"/>
              <w:keepNext w:val="0"/>
              <w:keepLines w:val="0"/>
              <w:pageBreakBefore w:val="0"/>
              <w:widowControl w:val="0"/>
              <w:kinsoku/>
              <w:wordWrap/>
              <w:overflowPunct/>
              <w:topLinePunct w:val="0"/>
              <w:bidi w:val="0"/>
              <w:spacing w:line="500" w:lineRule="exact"/>
              <w:ind w:firstLine="0"/>
              <w:jc w:val="center"/>
              <w:rPr>
                <w:rFonts w:hint="eastAsia" w:ascii="宋体" w:hAnsi="宋体" w:cs="宋体"/>
                <w:sz w:val="24"/>
                <w:szCs w:val="24"/>
                <w:lang w:eastAsia="zh-CN"/>
              </w:rPr>
            </w:pPr>
            <w:r>
              <w:rPr>
                <w:rFonts w:hint="eastAsia" w:ascii="宋体" w:hAnsi="宋体" w:cs="宋体"/>
                <w:kern w:val="2"/>
                <w:sz w:val="24"/>
                <w:szCs w:val="24"/>
                <w:highlight w:val="none"/>
              </w:rPr>
              <w:t>质量标准</w:t>
            </w:r>
          </w:p>
        </w:tc>
        <w:tc>
          <w:tcPr>
            <w:tcW w:w="5813" w:type="dxa"/>
          </w:tcPr>
          <w:p w14:paraId="1244FAD0">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符合第二章“投标人须知前附表”第1.3.</w:t>
            </w:r>
            <w:r>
              <w:rPr>
                <w:rFonts w:hint="eastAsia" w:ascii="宋体" w:hAnsi="宋体" w:cs="宋体"/>
                <w:sz w:val="24"/>
                <w:szCs w:val="24"/>
                <w:lang w:val="en-US" w:eastAsia="zh-CN"/>
              </w:rPr>
              <w:t>4</w:t>
            </w:r>
            <w:r>
              <w:rPr>
                <w:rFonts w:hint="eastAsia" w:ascii="宋体" w:hAnsi="宋体" w:cs="宋体"/>
                <w:sz w:val="24"/>
                <w:szCs w:val="24"/>
              </w:rPr>
              <w:t>款规定</w:t>
            </w:r>
            <w:r>
              <w:rPr>
                <w:rFonts w:hint="eastAsia" w:ascii="宋体" w:hAnsi="宋体" w:cs="宋体"/>
                <w:sz w:val="24"/>
                <w:szCs w:val="24"/>
                <w:lang w:eastAsia="zh-CN"/>
              </w:rPr>
              <w:t>；</w:t>
            </w:r>
          </w:p>
        </w:tc>
      </w:tr>
      <w:tr w14:paraId="1372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27" w:type="dxa"/>
            <w:vMerge w:val="continue"/>
          </w:tcPr>
          <w:p w14:paraId="33B6295A">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35A91471">
            <w:pPr>
              <w:pStyle w:val="14"/>
              <w:keepNext w:val="0"/>
              <w:keepLines w:val="0"/>
              <w:pageBreakBefore w:val="0"/>
              <w:widowControl w:val="0"/>
              <w:kinsoku/>
              <w:wordWrap/>
              <w:overflowPunct/>
              <w:topLinePunct w:val="0"/>
              <w:bidi w:val="0"/>
              <w:spacing w:line="500" w:lineRule="exact"/>
              <w:ind w:firstLine="0"/>
              <w:jc w:val="center"/>
              <w:rPr>
                <w:rFonts w:hint="default" w:ascii="宋体" w:hAnsi="宋体" w:eastAsia="宋体" w:cs="宋体"/>
                <w:sz w:val="24"/>
                <w:szCs w:val="24"/>
                <w:highlight w:val="none"/>
                <w:lang w:val="en-US" w:eastAsia="zh-CN"/>
              </w:rPr>
            </w:pPr>
            <w:r>
              <w:rPr>
                <w:rFonts w:hint="eastAsia" w:ascii="宋体" w:hAnsi="宋体" w:cs="宋体"/>
                <w:sz w:val="24"/>
                <w:highlight w:val="none"/>
                <w:lang w:val="en-US" w:eastAsia="zh-CN"/>
              </w:rPr>
              <w:t>实质性条款响应</w:t>
            </w:r>
          </w:p>
        </w:tc>
        <w:tc>
          <w:tcPr>
            <w:tcW w:w="5813" w:type="dxa"/>
          </w:tcPr>
          <w:p w14:paraId="1C0BC509">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highlight w:val="none"/>
                <w:lang w:eastAsia="zh-CN"/>
              </w:rPr>
            </w:pPr>
            <w:r>
              <w:rPr>
                <w:rFonts w:hint="eastAsia" w:ascii="宋体" w:hAnsi="宋体" w:cs="宋体"/>
                <w:sz w:val="24"/>
                <w:highlight w:val="none"/>
              </w:rPr>
              <w:t>投标文件满足招标文件</w:t>
            </w:r>
            <w:r>
              <w:rPr>
                <w:rFonts w:hint="eastAsia" w:ascii="宋体" w:hAnsi="宋体" w:cs="宋体"/>
                <w:kern w:val="2"/>
                <w:sz w:val="24"/>
                <w:szCs w:val="24"/>
                <w:highlight w:val="none"/>
              </w:rPr>
              <w:t>第六章《</w:t>
            </w:r>
            <w:r>
              <w:rPr>
                <w:rFonts w:hint="eastAsia" w:ascii="宋体" w:hAnsi="宋体" w:cs="宋体"/>
                <w:kern w:val="2"/>
                <w:sz w:val="24"/>
                <w:szCs w:val="24"/>
                <w:highlight w:val="none"/>
                <w:lang w:eastAsia="zh-CN"/>
              </w:rPr>
              <w:t>采购需求</w:t>
            </w:r>
            <w:r>
              <w:rPr>
                <w:rFonts w:hint="eastAsia" w:ascii="宋体" w:hAnsi="宋体" w:cs="宋体"/>
                <w:kern w:val="2"/>
                <w:sz w:val="24"/>
                <w:szCs w:val="24"/>
                <w:highlight w:val="none"/>
              </w:rPr>
              <w:t>》</w:t>
            </w:r>
            <w:r>
              <w:rPr>
                <w:rFonts w:hint="eastAsia" w:ascii="宋体" w:hAnsi="宋体" w:cs="宋体"/>
                <w:sz w:val="24"/>
                <w:highlight w:val="none"/>
              </w:rPr>
              <w:t>中</w:t>
            </w:r>
            <w:r>
              <w:rPr>
                <w:rFonts w:hint="eastAsia" w:ascii="宋体" w:hAnsi="宋体" w:cs="宋体"/>
                <w:sz w:val="24"/>
                <w:highlight w:val="none"/>
                <w:lang w:val="en-US" w:eastAsia="zh-CN"/>
              </w:rPr>
              <w:t>所有</w:t>
            </w:r>
            <w:r>
              <w:rPr>
                <w:rFonts w:hint="eastAsia" w:ascii="宋体" w:hAnsi="宋体" w:cs="宋体"/>
                <w:sz w:val="24"/>
                <w:highlight w:val="none"/>
              </w:rPr>
              <w:t>条款要求的</w:t>
            </w:r>
            <w:r>
              <w:rPr>
                <w:rFonts w:hint="eastAsia" w:ascii="宋体" w:hAnsi="宋体" w:cs="宋体"/>
                <w:sz w:val="24"/>
                <w:highlight w:val="none"/>
                <w:lang w:eastAsia="zh-CN"/>
              </w:rPr>
              <w:t>；</w:t>
            </w:r>
          </w:p>
        </w:tc>
      </w:tr>
      <w:tr w14:paraId="0AB3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4A2117CC">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5BF2A832">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highlight w:val="none"/>
              </w:rPr>
            </w:pPr>
            <w:r>
              <w:rPr>
                <w:rFonts w:hint="eastAsia" w:ascii="宋体" w:hAnsi="宋体" w:cs="宋体"/>
                <w:sz w:val="24"/>
                <w:highlight w:val="none"/>
              </w:rPr>
              <w:t>报价合理性</w:t>
            </w:r>
          </w:p>
        </w:tc>
        <w:tc>
          <w:tcPr>
            <w:tcW w:w="5813" w:type="dxa"/>
            <w:vAlign w:val="center"/>
          </w:tcPr>
          <w:p w14:paraId="64140586">
            <w:pPr>
              <w:keepNext w:val="0"/>
              <w:keepLines w:val="0"/>
              <w:pageBreakBefore w:val="0"/>
              <w:widowControl w:val="0"/>
              <w:kinsoku/>
              <w:wordWrap/>
              <w:overflowPunct/>
              <w:topLinePunct w:val="0"/>
              <w:bidi w:val="0"/>
              <w:spacing w:line="500" w:lineRule="exact"/>
              <w:rPr>
                <w:rFonts w:hint="eastAsia" w:ascii="宋体" w:hAnsi="宋体" w:eastAsia="宋体" w:cs="宋体"/>
                <w:sz w:val="24"/>
                <w:highlight w:val="none"/>
                <w:lang w:eastAsia="zh-CN"/>
              </w:rPr>
            </w:pPr>
            <w:r>
              <w:rPr>
                <w:rFonts w:hint="eastAsia" w:ascii="宋体" w:hAnsi="宋体" w:cs="宋体"/>
                <w:sz w:val="24"/>
                <w:szCs w:val="24"/>
                <w:highlight w:val="none"/>
              </w:rPr>
              <w:t>报价合理，或投标人的报价</w:t>
            </w:r>
            <w:r>
              <w:rPr>
                <w:rFonts w:hint="eastAsia" w:ascii="宋体" w:hAnsi="宋体" w:cs="宋体"/>
                <w:sz w:val="24"/>
                <w:szCs w:val="24"/>
                <w:highlight w:val="none"/>
                <w:lang w:eastAsia="zh-CN"/>
              </w:rPr>
              <w:t>（</w:t>
            </w:r>
            <w:r>
              <w:rPr>
                <w:rFonts w:hint="eastAsia" w:ascii="宋体" w:hAnsi="宋体" w:cs="宋体"/>
                <w:sz w:val="24"/>
                <w:szCs w:val="24"/>
                <w:highlight w:val="none"/>
              </w:rPr>
              <w:t>总价或单价</w:t>
            </w:r>
            <w:r>
              <w:rPr>
                <w:rFonts w:hint="eastAsia" w:ascii="宋体" w:hAnsi="宋体" w:cs="宋体"/>
                <w:sz w:val="24"/>
                <w:szCs w:val="24"/>
                <w:highlight w:val="none"/>
                <w:lang w:eastAsia="zh-CN"/>
              </w:rPr>
              <w:t>）</w:t>
            </w:r>
            <w:r>
              <w:rPr>
                <w:rFonts w:hint="eastAsia" w:ascii="宋体" w:hAnsi="宋体" w:cs="宋体"/>
                <w:sz w:val="24"/>
                <w:szCs w:val="24"/>
                <w:highlight w:val="none"/>
              </w:rPr>
              <w:t>明显低于其他通过符合性审查投标人的报价</w:t>
            </w:r>
            <w:r>
              <w:rPr>
                <w:rFonts w:hint="eastAsia" w:ascii="宋体" w:hAnsi="宋体" w:cs="宋体"/>
                <w:sz w:val="24"/>
                <w:szCs w:val="24"/>
                <w:highlight w:val="none"/>
                <w:lang w:eastAsia="zh-CN"/>
              </w:rPr>
              <w:t>（</w:t>
            </w:r>
            <w:r>
              <w:rPr>
                <w:rFonts w:hint="eastAsia" w:ascii="宋体" w:hAnsi="宋体" w:cs="宋体"/>
                <w:sz w:val="24"/>
                <w:szCs w:val="24"/>
                <w:highlight w:val="none"/>
              </w:rPr>
              <w:t>总价或单价</w:t>
            </w:r>
            <w:r>
              <w:rPr>
                <w:rFonts w:hint="eastAsia" w:ascii="宋体" w:hAnsi="宋体" w:cs="宋体"/>
                <w:sz w:val="24"/>
                <w:szCs w:val="24"/>
                <w:highlight w:val="none"/>
                <w:lang w:eastAsia="zh-CN"/>
              </w:rPr>
              <w:t>）</w:t>
            </w:r>
            <w:r>
              <w:rPr>
                <w:rFonts w:hint="eastAsia" w:ascii="宋体" w:hAnsi="宋体" w:cs="宋体"/>
                <w:sz w:val="24"/>
                <w:szCs w:val="24"/>
                <w:highlight w:val="none"/>
              </w:rPr>
              <w:t>，有可能影响产品质量或者不能诚信履约的，能够应评标委员会要求在规定时间内证明其报价合理性的</w:t>
            </w:r>
            <w:r>
              <w:rPr>
                <w:rFonts w:hint="eastAsia" w:ascii="宋体" w:hAnsi="宋体" w:cs="宋体"/>
                <w:sz w:val="24"/>
                <w:szCs w:val="24"/>
                <w:highlight w:val="none"/>
                <w:lang w:eastAsia="zh-CN"/>
              </w:rPr>
              <w:t>；</w:t>
            </w:r>
          </w:p>
        </w:tc>
      </w:tr>
      <w:tr w14:paraId="4E82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46C1AC43">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5613712F">
            <w:pPr>
              <w:pStyle w:val="14"/>
              <w:keepNext w:val="0"/>
              <w:keepLines w:val="0"/>
              <w:pageBreakBefore w:val="0"/>
              <w:widowControl w:val="0"/>
              <w:kinsoku/>
              <w:wordWrap/>
              <w:overflowPunct/>
              <w:topLinePunct w:val="0"/>
              <w:bidi w:val="0"/>
              <w:spacing w:line="500" w:lineRule="exact"/>
              <w:ind w:firstLine="0"/>
              <w:jc w:val="center"/>
              <w:rPr>
                <w:rFonts w:hint="eastAsia" w:ascii="宋体" w:hAnsi="宋体" w:cs="宋体"/>
                <w:sz w:val="24"/>
                <w:highlight w:val="none"/>
              </w:rPr>
            </w:pPr>
            <w:r>
              <w:rPr>
                <w:rFonts w:hint="eastAsia" w:ascii="宋体" w:hAnsi="宋体" w:cs="宋体"/>
                <w:sz w:val="24"/>
                <w:highlight w:val="none"/>
              </w:rPr>
              <w:t>进口产品</w:t>
            </w:r>
          </w:p>
        </w:tc>
        <w:tc>
          <w:tcPr>
            <w:tcW w:w="5813" w:type="dxa"/>
            <w:vAlign w:val="center"/>
          </w:tcPr>
          <w:p w14:paraId="0B7674C8">
            <w:pPr>
              <w:keepNext w:val="0"/>
              <w:keepLines w:val="0"/>
              <w:pageBreakBefore w:val="0"/>
              <w:widowControl w:val="0"/>
              <w:kinsoku/>
              <w:wordWrap/>
              <w:overflowPunct/>
              <w:topLinePunct w:val="0"/>
              <w:bidi w:val="0"/>
              <w:spacing w:line="50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招标文件不接受进口产品投标的内容时，投标人所投产品不含进口产品</w:t>
            </w:r>
            <w:r>
              <w:rPr>
                <w:rFonts w:hint="eastAsia" w:ascii="宋体" w:hAnsi="宋体" w:cs="宋体"/>
                <w:sz w:val="24"/>
                <w:szCs w:val="24"/>
                <w:highlight w:val="none"/>
                <w:lang w:eastAsia="zh-CN"/>
              </w:rPr>
              <w:t>；</w:t>
            </w:r>
          </w:p>
        </w:tc>
      </w:tr>
      <w:tr w14:paraId="11F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26002B47">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09988043">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授权委托书</w:t>
            </w:r>
          </w:p>
        </w:tc>
        <w:tc>
          <w:tcPr>
            <w:tcW w:w="5813" w:type="dxa"/>
          </w:tcPr>
          <w:p w14:paraId="1BA04D18">
            <w:pPr>
              <w:pStyle w:val="14"/>
              <w:keepNext w:val="0"/>
              <w:keepLines w:val="0"/>
              <w:pageBreakBefore w:val="0"/>
              <w:widowControl w:val="0"/>
              <w:kinsoku/>
              <w:wordWrap/>
              <w:overflowPunct/>
              <w:topLinePunct w:val="0"/>
              <w:bidi w:val="0"/>
              <w:spacing w:line="500" w:lineRule="exact"/>
              <w:ind w:firstLine="0"/>
              <w:jc w:val="both"/>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委托代理人投标的，应附法定代表人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授权委托书原件</w:t>
            </w:r>
            <w:r>
              <w:rPr>
                <w:rFonts w:hint="eastAsia" w:ascii="宋体" w:hAnsi="宋体" w:cs="宋体"/>
                <w:sz w:val="24"/>
                <w:szCs w:val="24"/>
                <w:highlight w:val="none"/>
                <w:lang w:val="en-US" w:eastAsia="zh-CN"/>
              </w:rPr>
              <w:t>扫描件；</w:t>
            </w:r>
          </w:p>
        </w:tc>
      </w:tr>
      <w:tr w14:paraId="5D18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tcPr>
          <w:p w14:paraId="6ABEB285">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vAlign w:val="center"/>
          </w:tcPr>
          <w:p w14:paraId="0AEF18F0">
            <w:pPr>
              <w:keepNext w:val="0"/>
              <w:keepLines w:val="0"/>
              <w:pageBreakBefore w:val="0"/>
              <w:widowControl w:val="0"/>
              <w:tabs>
                <w:tab w:val="left" w:pos="1260"/>
                <w:tab w:val="left" w:pos="1620"/>
              </w:tabs>
              <w:kinsoku/>
              <w:wordWrap/>
              <w:overflowPunct/>
              <w:topLinePunct w:val="0"/>
              <w:bidi w:val="0"/>
              <w:adjustRightInd w:val="0"/>
              <w:snapToGrid w:val="0"/>
              <w:spacing w:line="500" w:lineRule="exact"/>
              <w:jc w:val="center"/>
              <w:textAlignment w:val="baseline"/>
              <w:rPr>
                <w:rFonts w:ascii="宋体" w:hAnsi="宋体" w:cs="宋体"/>
                <w:sz w:val="24"/>
                <w:szCs w:val="24"/>
              </w:rPr>
            </w:pPr>
            <w:r>
              <w:rPr>
                <w:rFonts w:hint="eastAsia" w:ascii="宋体" w:hAnsi="宋体" w:cs="宋体"/>
                <w:sz w:val="24"/>
              </w:rPr>
              <w:t>其他无效情形</w:t>
            </w:r>
          </w:p>
        </w:tc>
        <w:tc>
          <w:tcPr>
            <w:tcW w:w="5813" w:type="dxa"/>
            <w:vAlign w:val="center"/>
          </w:tcPr>
          <w:p w14:paraId="589E67FC">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不同投标人的投标文件由同一单位或者个人编制；</w:t>
            </w:r>
          </w:p>
          <w:p w14:paraId="2D54F2D3">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不同投标人委托同一单位或者个人办理投标事宜；</w:t>
            </w:r>
          </w:p>
          <w:p w14:paraId="3BD5141F">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不同投标人的投标文件载明的项目管理成员或者联系人员为同一人；</w:t>
            </w:r>
          </w:p>
          <w:p w14:paraId="188FD72D">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不同投标人的投标文件异常一致或者投标报价呈规律性差异；</w:t>
            </w:r>
          </w:p>
          <w:p w14:paraId="684677C9">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rPr>
              <w:t>不同投标人的投标文件相互混装；</w:t>
            </w:r>
          </w:p>
          <w:p w14:paraId="2337B299">
            <w:pPr>
              <w:pStyle w:val="14"/>
              <w:keepNext w:val="0"/>
              <w:keepLines w:val="0"/>
              <w:pageBreakBefore w:val="0"/>
              <w:widowControl w:val="0"/>
              <w:kinsoku/>
              <w:wordWrap/>
              <w:overflowPunct/>
              <w:topLinePunct w:val="0"/>
              <w:autoSpaceDE w:val="0"/>
              <w:bidi w:val="0"/>
              <w:spacing w:line="500" w:lineRule="exact"/>
              <w:ind w:firstLine="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rPr>
              <w:t>法律、法规和招标文件规定的其他无效情形。</w:t>
            </w:r>
          </w:p>
        </w:tc>
      </w:tr>
      <w:tr w14:paraId="169D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27" w:type="dxa"/>
            <w:vMerge w:val="continue"/>
          </w:tcPr>
          <w:p w14:paraId="7CA31E9C">
            <w:pPr>
              <w:pStyle w:val="14"/>
              <w:keepNext w:val="0"/>
              <w:keepLines w:val="0"/>
              <w:pageBreakBefore w:val="0"/>
              <w:widowControl w:val="0"/>
              <w:kinsoku/>
              <w:wordWrap/>
              <w:overflowPunct/>
              <w:topLinePunct w:val="0"/>
              <w:bidi w:val="0"/>
              <w:spacing w:line="500" w:lineRule="exact"/>
              <w:jc w:val="both"/>
              <w:rPr>
                <w:rFonts w:ascii="宋体" w:hAnsi="宋体" w:cs="宋体"/>
                <w:sz w:val="24"/>
                <w:szCs w:val="24"/>
              </w:rPr>
            </w:pPr>
          </w:p>
        </w:tc>
        <w:tc>
          <w:tcPr>
            <w:tcW w:w="2388" w:type="dxa"/>
          </w:tcPr>
          <w:p w14:paraId="27C1550E">
            <w:pPr>
              <w:pStyle w:val="14"/>
              <w:keepNext w:val="0"/>
              <w:keepLines w:val="0"/>
              <w:pageBreakBefore w:val="0"/>
              <w:widowControl w:val="0"/>
              <w:kinsoku/>
              <w:wordWrap/>
              <w:overflowPunct/>
              <w:topLinePunct w:val="0"/>
              <w:bidi w:val="0"/>
              <w:spacing w:line="500" w:lineRule="exact"/>
              <w:ind w:firstLine="0"/>
              <w:jc w:val="center"/>
              <w:rPr>
                <w:rFonts w:ascii="宋体" w:hAnsi="宋体" w:cs="宋体"/>
                <w:sz w:val="24"/>
                <w:szCs w:val="24"/>
              </w:rPr>
            </w:pPr>
            <w:r>
              <w:rPr>
                <w:rFonts w:hint="eastAsia" w:ascii="宋体" w:hAnsi="宋体" w:cs="宋体"/>
                <w:sz w:val="24"/>
                <w:szCs w:val="24"/>
              </w:rPr>
              <w:t>附加条件</w:t>
            </w:r>
          </w:p>
        </w:tc>
        <w:tc>
          <w:tcPr>
            <w:tcW w:w="5813" w:type="dxa"/>
          </w:tcPr>
          <w:p w14:paraId="06B2F6F4">
            <w:pPr>
              <w:pStyle w:val="14"/>
              <w:keepNext w:val="0"/>
              <w:keepLines w:val="0"/>
              <w:pageBreakBefore w:val="0"/>
              <w:widowControl w:val="0"/>
              <w:kinsoku/>
              <w:wordWrap/>
              <w:overflowPunct/>
              <w:topLinePunct w:val="0"/>
              <w:bidi w:val="0"/>
              <w:spacing w:line="500" w:lineRule="exact"/>
              <w:ind w:firstLine="0"/>
              <w:jc w:val="both"/>
              <w:rPr>
                <w:rFonts w:hint="eastAsia" w:ascii="宋体" w:hAnsi="宋体" w:eastAsia="宋体" w:cs="宋体"/>
                <w:sz w:val="24"/>
                <w:szCs w:val="24"/>
                <w:lang w:eastAsia="zh-CN"/>
              </w:rPr>
            </w:pPr>
            <w:r>
              <w:rPr>
                <w:rFonts w:hint="eastAsia" w:ascii="宋体" w:hAnsi="宋体" w:cs="宋体"/>
                <w:sz w:val="24"/>
                <w:szCs w:val="24"/>
              </w:rPr>
              <w:t>投标文件未含有采购人不能接受的附加条件</w:t>
            </w:r>
            <w:r>
              <w:rPr>
                <w:rFonts w:hint="eastAsia" w:ascii="宋体" w:hAnsi="宋体" w:cs="宋体"/>
                <w:sz w:val="24"/>
                <w:szCs w:val="24"/>
                <w:lang w:eastAsia="zh-CN"/>
              </w:rPr>
              <w:t>。</w:t>
            </w:r>
          </w:p>
        </w:tc>
      </w:tr>
    </w:tbl>
    <w:p w14:paraId="01F6F056">
      <w:pPr>
        <w:pStyle w:val="14"/>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二</w:t>
      </w:r>
      <w:r>
        <w:rPr>
          <w:rFonts w:hint="eastAsia" w:ascii="宋体" w:hAnsi="宋体" w:cs="宋体"/>
          <w:b/>
          <w:bCs/>
          <w:sz w:val="24"/>
          <w:szCs w:val="24"/>
          <w:lang w:eastAsia="zh-CN"/>
        </w:rPr>
        <w:t>）</w:t>
      </w:r>
      <w:r>
        <w:rPr>
          <w:rFonts w:hint="eastAsia" w:ascii="宋体" w:hAnsi="宋体" w:cs="宋体"/>
          <w:b/>
          <w:bCs/>
          <w:sz w:val="24"/>
          <w:szCs w:val="24"/>
        </w:rPr>
        <w:t>澄清有关问题</w:t>
      </w:r>
    </w:p>
    <w:p w14:paraId="15885288">
      <w:pPr>
        <w:pStyle w:val="14"/>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1.投标文件内容澄清</w:t>
      </w:r>
    </w:p>
    <w:p w14:paraId="1D94E92E">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单位公章，或者由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或其授权的代</w:t>
      </w:r>
      <w:r>
        <w:rPr>
          <w:rFonts w:hint="eastAsia" w:ascii="宋体" w:hAnsi="宋体" w:cs="宋体"/>
          <w:sz w:val="24"/>
          <w:szCs w:val="24"/>
          <w:lang w:eastAsia="zh-CN"/>
        </w:rPr>
        <w:t>表人</w:t>
      </w:r>
      <w:r>
        <w:rPr>
          <w:rFonts w:hint="eastAsia" w:ascii="宋体" w:hAnsi="宋体" w:cs="宋体"/>
          <w:sz w:val="24"/>
          <w:szCs w:val="24"/>
        </w:rPr>
        <w:t>签字。投标人的澄清、说明或者补正不得超出投标文件的范围或者改变投标文件的实质性内容。</w:t>
      </w:r>
    </w:p>
    <w:p w14:paraId="225BEE29">
      <w:pPr>
        <w:pStyle w:val="14"/>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2.报价不一致情形澄清</w:t>
      </w:r>
    </w:p>
    <w:p w14:paraId="06A47D5F">
      <w:pPr>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投标文件报价出现前后不一致的，除招标文件另有规定外，按照下列规定修正：</w:t>
      </w:r>
    </w:p>
    <w:p w14:paraId="5BCC752D">
      <w:pPr>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投标文件中《开标一览表》内容与投标文件中相应内容不一致的，以《开标一览表》为准；</w:t>
      </w:r>
    </w:p>
    <w:p w14:paraId="2E0BDD7A">
      <w:pPr>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大写金额和小写金额不一致的，以大写金额为准；</w:t>
      </w:r>
    </w:p>
    <w:p w14:paraId="36F75E27">
      <w:pPr>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单价金额小数点或者百分比有明显错位的，以开标一览表的总价为准，并修改单价；</w:t>
      </w:r>
    </w:p>
    <w:p w14:paraId="27E9E0F3">
      <w:pPr>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总价金额与按单价汇总金额不一致的，以单价金额计算结果为准。</w:t>
      </w:r>
    </w:p>
    <w:p w14:paraId="3AE6E14C">
      <w:pPr>
        <w:pStyle w:val="14"/>
        <w:keepNext w:val="0"/>
        <w:keepLines w:val="0"/>
        <w:pageBreakBefore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同时出现两种以上不一致的，按照前款规定的顺序修正。修正后的报价经投标人确认后产生约束力，投标人不确认的，其投标无效。</w:t>
      </w:r>
    </w:p>
    <w:p w14:paraId="4962927C">
      <w:pPr>
        <w:pStyle w:val="14"/>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rPr>
        <w:t>3.报价过低情形澄清</w:t>
      </w:r>
    </w:p>
    <w:p w14:paraId="5874B225">
      <w:pPr>
        <w:pStyle w:val="14"/>
        <w:keepNext w:val="0"/>
        <w:keepLines w:val="0"/>
        <w:pageBreakBefore w:val="0"/>
        <w:widowControl w:val="0"/>
        <w:kinsoku/>
        <w:wordWrap/>
        <w:overflowPunct/>
        <w:topLinePunct w:val="0"/>
        <w:bidi w:val="0"/>
        <w:spacing w:line="500" w:lineRule="exact"/>
        <w:ind w:firstLine="480" w:firstLineChars="200"/>
        <w:rPr>
          <w:rFonts w:ascii="宋体" w:hAnsi="宋体" w:cs="宋体"/>
          <w:sz w:val="24"/>
          <w:szCs w:val="24"/>
        </w:rPr>
      </w:pPr>
      <w:r>
        <w:rPr>
          <w:rFonts w:hint="eastAsia" w:ascii="宋体" w:hAnsi="宋体" w:cs="宋体"/>
          <w:sz w:val="24"/>
          <w:szCs w:val="24"/>
        </w:rPr>
        <w:t>评标委员会认为投标人的报价</w:t>
      </w:r>
      <w:r>
        <w:rPr>
          <w:rFonts w:hint="eastAsia" w:ascii="宋体" w:hAnsi="宋体" w:cs="宋体"/>
          <w:sz w:val="24"/>
          <w:szCs w:val="24"/>
          <w:lang w:eastAsia="zh-CN"/>
        </w:rPr>
        <w:t>（</w:t>
      </w:r>
      <w:r>
        <w:rPr>
          <w:rFonts w:hint="eastAsia" w:ascii="宋体" w:hAnsi="宋体" w:cs="宋体"/>
          <w:sz w:val="24"/>
          <w:szCs w:val="24"/>
        </w:rPr>
        <w:t>总价或单价</w:t>
      </w:r>
      <w:r>
        <w:rPr>
          <w:rFonts w:hint="eastAsia" w:ascii="宋体" w:hAnsi="宋体" w:cs="宋体"/>
          <w:sz w:val="24"/>
          <w:szCs w:val="24"/>
          <w:lang w:eastAsia="zh-CN"/>
        </w:rPr>
        <w:t>）</w:t>
      </w:r>
      <w:r>
        <w:rPr>
          <w:rFonts w:hint="eastAsia" w:ascii="宋体" w:hAnsi="宋体" w:cs="宋体"/>
          <w:sz w:val="24"/>
          <w:szCs w:val="24"/>
        </w:rPr>
        <w:t>明显低于其他通过符合性审查投标人的报价</w:t>
      </w:r>
      <w:r>
        <w:rPr>
          <w:rFonts w:hint="eastAsia" w:ascii="宋体" w:hAnsi="宋体" w:cs="宋体"/>
          <w:sz w:val="24"/>
          <w:szCs w:val="24"/>
          <w:lang w:eastAsia="zh-CN"/>
        </w:rPr>
        <w:t>（</w:t>
      </w:r>
      <w:r>
        <w:rPr>
          <w:rFonts w:hint="eastAsia" w:ascii="宋体" w:hAnsi="宋体" w:cs="宋体"/>
          <w:sz w:val="24"/>
          <w:szCs w:val="24"/>
        </w:rPr>
        <w:t>总价或单价</w:t>
      </w:r>
      <w:r>
        <w:rPr>
          <w:rFonts w:hint="eastAsia" w:ascii="宋体" w:hAnsi="宋体" w:cs="宋体"/>
          <w:sz w:val="24"/>
          <w:szCs w:val="24"/>
          <w:lang w:eastAsia="zh-CN"/>
        </w:rPr>
        <w:t>）</w:t>
      </w:r>
      <w:r>
        <w:rPr>
          <w:rFonts w:hint="eastAsia" w:ascii="宋体" w:hAnsi="宋体" w:cs="宋体"/>
          <w:sz w:val="24"/>
          <w:szCs w:val="24"/>
        </w:rPr>
        <w:t>，有可能影响产品质量或者不能诚信履约的，应当要求其在评标现场合理的时间内提供书面说明，必要时提交相关证明材料；投标人不能证明其报价合理性的，评标委员会应当将其作为无效投标处理。</w:t>
      </w:r>
    </w:p>
    <w:p w14:paraId="2D337DBD">
      <w:pPr>
        <w:keepNext w:val="0"/>
        <w:keepLines w:val="0"/>
        <w:pageBreakBefore w:val="0"/>
        <w:kinsoku/>
        <w:wordWrap/>
        <w:overflowPunct/>
        <w:topLinePunct w:val="0"/>
        <w:bidi w:val="0"/>
        <w:spacing w:line="500" w:lineRule="exact"/>
        <w:ind w:firstLine="482" w:firstLineChars="2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三</w:t>
      </w:r>
      <w:r>
        <w:rPr>
          <w:rFonts w:hint="eastAsia" w:ascii="宋体" w:hAnsi="宋体" w:cs="宋体"/>
          <w:b/>
          <w:bCs/>
          <w:sz w:val="24"/>
          <w:szCs w:val="24"/>
          <w:lang w:eastAsia="zh-CN"/>
        </w:rPr>
        <w:t>）</w:t>
      </w:r>
      <w:r>
        <w:rPr>
          <w:rFonts w:hint="eastAsia" w:ascii="宋体" w:hAnsi="宋体" w:cs="宋体"/>
          <w:b/>
          <w:bCs/>
          <w:sz w:val="24"/>
          <w:szCs w:val="24"/>
        </w:rPr>
        <w:t>同品牌产品不同投标人的处理方式</w:t>
      </w:r>
    </w:p>
    <w:p w14:paraId="79AF2494">
      <w:pPr>
        <w:keepNext w:val="0"/>
        <w:keepLines w:val="0"/>
        <w:pageBreakBefore w:val="0"/>
        <w:widowControl w:val="0"/>
        <w:kinsoku/>
        <w:wordWrap/>
        <w:overflowPunct/>
        <w:topLinePunct w:val="0"/>
        <w:bidi w:val="0"/>
        <w:spacing w:line="500" w:lineRule="exact"/>
        <w:ind w:firstLine="470" w:firstLineChars="196"/>
        <w:jc w:val="both"/>
        <w:rPr>
          <w:rFonts w:hint="eastAsia" w:ascii="宋体" w:hAnsi="宋体" w:cs="宋体"/>
          <w:sz w:val="24"/>
          <w:szCs w:val="24"/>
        </w:rPr>
      </w:pPr>
      <w:r>
        <w:rPr>
          <w:rFonts w:hint="eastAsia" w:ascii="宋体" w:hAnsi="宋体" w:cs="宋体"/>
          <w:sz w:val="24"/>
          <w:szCs w:val="24"/>
        </w:rPr>
        <w:t>采用最低评标价法时，</w:t>
      </w:r>
      <w:r>
        <w:rPr>
          <w:rFonts w:hint="eastAsia" w:ascii="宋体" w:hAnsi="宋体" w:cs="宋体"/>
          <w:sz w:val="24"/>
          <w:szCs w:val="24"/>
          <w:lang w:val="en-US" w:eastAsia="zh-CN"/>
        </w:rPr>
        <w:t>提</w:t>
      </w:r>
      <w:r>
        <w:rPr>
          <w:rFonts w:hint="eastAsia" w:ascii="宋体" w:hAnsi="宋体" w:cs="宋体"/>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随机抽取确定一个参加评标的投标人</w:t>
      </w:r>
      <w:r>
        <w:rPr>
          <w:rFonts w:hint="eastAsia" w:ascii="宋体" w:hAnsi="宋体" w:cs="宋体"/>
          <w:sz w:val="24"/>
          <w:szCs w:val="24"/>
          <w:lang w:eastAsia="zh-CN"/>
        </w:rPr>
        <w:t>，其他投标无效</w:t>
      </w:r>
      <w:r>
        <w:rPr>
          <w:rFonts w:hint="eastAsia" w:ascii="宋体" w:hAnsi="宋体" w:cs="宋体"/>
          <w:sz w:val="24"/>
          <w:szCs w:val="24"/>
        </w:rPr>
        <w:t>。</w:t>
      </w:r>
    </w:p>
    <w:p w14:paraId="61FAD38D">
      <w:pPr>
        <w:keepNext w:val="0"/>
        <w:keepLines w:val="0"/>
        <w:pageBreakBefore w:val="0"/>
        <w:kinsoku/>
        <w:wordWrap/>
        <w:overflowPunct/>
        <w:topLinePunct w:val="0"/>
        <w:bidi w:val="0"/>
        <w:spacing w:line="500" w:lineRule="exact"/>
        <w:ind w:firstLine="482" w:firstLineChars="200"/>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cs="宋体"/>
          <w:b/>
          <w:bCs/>
          <w:sz w:val="24"/>
          <w:szCs w:val="24"/>
        </w:rPr>
        <w:t>政府采购扶持政策</w:t>
      </w:r>
    </w:p>
    <w:p w14:paraId="29554D59">
      <w:pPr>
        <w:keepNext w:val="0"/>
        <w:keepLines w:val="0"/>
        <w:pageBreakBefore w:val="0"/>
        <w:widowControl w:val="0"/>
        <w:kinsoku/>
        <w:wordWrap/>
        <w:overflowPunct/>
        <w:topLinePunct w:val="0"/>
        <w:bidi w:val="0"/>
        <w:spacing w:line="500" w:lineRule="exact"/>
        <w:ind w:firstLine="472" w:firstLineChars="196"/>
        <w:jc w:val="both"/>
        <w:rPr>
          <w:rFonts w:ascii="宋体" w:hAnsi="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w:t>
      </w:r>
      <w:r>
        <w:rPr>
          <w:rFonts w:hint="eastAsia" w:ascii="宋体" w:hAnsi="宋体"/>
          <w:b/>
          <w:bCs/>
          <w:sz w:val="24"/>
          <w:szCs w:val="24"/>
        </w:rPr>
        <w:t>中小企业扶持政策</w:t>
      </w:r>
    </w:p>
    <w:p w14:paraId="6BFA047E">
      <w:pPr>
        <w:keepNext w:val="0"/>
        <w:keepLines w:val="0"/>
        <w:pageBreakBefore w:val="0"/>
        <w:kinsoku/>
        <w:wordWrap/>
        <w:overflowPunct/>
        <w:topLinePunct w:val="0"/>
        <w:autoSpaceDE w:val="0"/>
        <w:autoSpaceDN w:val="0"/>
        <w:bidi w:val="0"/>
        <w:spacing w:line="500" w:lineRule="exact"/>
        <w:ind w:firstLine="470" w:firstLineChars="196"/>
        <w:rPr>
          <w:rFonts w:hint="eastAsia" w:ascii="宋体" w:hAnsi="宋体" w:cs="宋体"/>
          <w:sz w:val="24"/>
          <w:szCs w:val="24"/>
        </w:rPr>
      </w:pPr>
      <w:r>
        <w:rPr>
          <w:rFonts w:hint="eastAsia" w:ascii="宋体" w:hAnsi="宋体" w:cs="宋体"/>
          <w:sz w:val="24"/>
          <w:szCs w:val="24"/>
        </w:rPr>
        <w:t>根据《政府采购促进中小企业发展管理办法》（财库〔2020〕46号</w:t>
      </w:r>
      <w:r>
        <w:rPr>
          <w:rFonts w:hint="eastAsia" w:ascii="宋体" w:hAnsi="宋体" w:cs="宋体"/>
          <w:sz w:val="24"/>
          <w:szCs w:val="24"/>
          <w:lang w:eastAsia="zh-CN"/>
        </w:rPr>
        <w:t>）</w:t>
      </w:r>
      <w:r>
        <w:rPr>
          <w:rFonts w:hint="eastAsia" w:ascii="宋体" w:hAnsi="宋体" w:cs="宋体"/>
          <w:sz w:val="24"/>
          <w:szCs w:val="24"/>
        </w:rPr>
        <w:t>的规定，本项目为专门面向中小企业采购的项目（不再执行价格评审优惠的扶持政策）。在货物采购项目中，货物由中小企业制造，即货物由中小企业生产且使用该中小企业商号或者注册商标，享受本办法规定的中小企业扶持政策。在货物采购项目中，</w:t>
      </w:r>
      <w:r>
        <w:rPr>
          <w:rFonts w:hint="eastAsia" w:ascii="宋体" w:hAnsi="宋体" w:cs="宋体"/>
          <w:sz w:val="24"/>
          <w:szCs w:val="24"/>
          <w:lang w:eastAsia="zh-CN"/>
        </w:rPr>
        <w:t>投标人</w:t>
      </w:r>
      <w:r>
        <w:rPr>
          <w:rFonts w:hint="eastAsia" w:ascii="宋体" w:hAnsi="宋体" w:cs="宋体"/>
          <w:sz w:val="24"/>
          <w:szCs w:val="24"/>
        </w:rPr>
        <w:t>提供的货物既有中小企业制造货物，也有大型企业制造货物的，不享受本办法规定的中小企业扶持政策。</w:t>
      </w:r>
    </w:p>
    <w:p w14:paraId="57DB231B">
      <w:pPr>
        <w:keepNext w:val="0"/>
        <w:keepLines w:val="0"/>
        <w:pageBreakBefore w:val="0"/>
        <w:kinsoku/>
        <w:wordWrap/>
        <w:overflowPunct/>
        <w:topLinePunct w:val="0"/>
        <w:autoSpaceDE w:val="0"/>
        <w:autoSpaceDN w:val="0"/>
        <w:bidi w:val="0"/>
        <w:spacing w:line="500" w:lineRule="exact"/>
        <w:ind w:firstLine="470" w:firstLineChars="196"/>
        <w:rPr>
          <w:rFonts w:hint="eastAsia" w:ascii="宋体" w:hAnsi="宋体" w:cs="宋体"/>
          <w:sz w:val="24"/>
          <w:szCs w:val="24"/>
        </w:rPr>
      </w:pPr>
      <w:r>
        <w:rPr>
          <w:rFonts w:hint="eastAsia" w:ascii="宋体" w:hAnsi="宋体" w:cs="宋体"/>
          <w:sz w:val="24"/>
          <w:szCs w:val="24"/>
        </w:rPr>
        <w:t>本项目对应的中小企业划分标准所属行业为：</w:t>
      </w:r>
      <w:r>
        <w:rPr>
          <w:rFonts w:hint="eastAsia" w:ascii="宋体" w:hAnsi="宋体" w:cs="宋体"/>
          <w:b/>
          <w:bCs/>
          <w:sz w:val="24"/>
          <w:szCs w:val="24"/>
        </w:rPr>
        <w:t>工业</w:t>
      </w:r>
      <w:r>
        <w:rPr>
          <w:rFonts w:hint="eastAsia" w:ascii="宋体" w:hAnsi="宋体" w:cs="宋体"/>
          <w:sz w:val="24"/>
          <w:szCs w:val="24"/>
        </w:rPr>
        <w:t>。</w:t>
      </w:r>
    </w:p>
    <w:p w14:paraId="0883D031">
      <w:pPr>
        <w:keepNext w:val="0"/>
        <w:keepLines w:val="0"/>
        <w:pageBreakBefore w:val="0"/>
        <w:kinsoku/>
        <w:wordWrap/>
        <w:overflowPunct/>
        <w:topLinePunct w:val="0"/>
        <w:autoSpaceDE w:val="0"/>
        <w:autoSpaceDN w:val="0"/>
        <w:bidi w:val="0"/>
        <w:spacing w:line="500" w:lineRule="exact"/>
        <w:ind w:firstLine="470" w:firstLineChars="196"/>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根据《政府采购促进中小企业发展管理办法》（财库〔2020〕46号</w:t>
      </w:r>
      <w:r>
        <w:rPr>
          <w:rFonts w:hint="eastAsia" w:ascii="宋体" w:hAnsi="宋体" w:cs="宋体"/>
          <w:sz w:val="24"/>
          <w:szCs w:val="24"/>
          <w:lang w:eastAsia="zh-CN"/>
        </w:rPr>
        <w:t>）</w:t>
      </w:r>
      <w:r>
        <w:rPr>
          <w:rFonts w:hint="eastAsia" w:ascii="宋体" w:hAnsi="宋体" w:cs="宋体"/>
          <w:sz w:val="24"/>
          <w:szCs w:val="24"/>
        </w:rPr>
        <w:t>的规定，提供《中小企业声明函》，</w:t>
      </w:r>
      <w:r>
        <w:rPr>
          <w:rFonts w:hint="eastAsia" w:ascii="宋体" w:hAnsi="宋体" w:cs="宋体"/>
          <w:sz w:val="24"/>
          <w:szCs w:val="24"/>
          <w:lang w:eastAsia="zh-CN"/>
        </w:rPr>
        <w:t>投标人</w:t>
      </w:r>
      <w:r>
        <w:rPr>
          <w:rFonts w:hint="eastAsia" w:ascii="宋体" w:hAnsi="宋体" w:cs="宋体"/>
          <w:sz w:val="24"/>
          <w:szCs w:val="24"/>
        </w:rPr>
        <w:t>对《中小企业声明函》的真实性负责，如有虚假，采购人将向监管部门反映，</w:t>
      </w:r>
      <w:r>
        <w:rPr>
          <w:rFonts w:hint="eastAsia" w:ascii="宋体" w:hAnsi="宋体" w:cs="宋体"/>
          <w:sz w:val="24"/>
          <w:szCs w:val="24"/>
          <w:lang w:eastAsia="zh-CN"/>
        </w:rPr>
        <w:t>投标人</w:t>
      </w:r>
      <w:r>
        <w:rPr>
          <w:rFonts w:hint="eastAsia" w:ascii="宋体" w:hAnsi="宋体" w:cs="宋体"/>
          <w:sz w:val="24"/>
          <w:szCs w:val="24"/>
        </w:rPr>
        <w:t>依法承担相应责任。</w:t>
      </w:r>
    </w:p>
    <w:p w14:paraId="44D96C93">
      <w:pPr>
        <w:keepNext w:val="0"/>
        <w:keepLines w:val="0"/>
        <w:pageBreakBefore w:val="0"/>
        <w:kinsoku/>
        <w:wordWrap/>
        <w:overflowPunct/>
        <w:topLinePunct w:val="0"/>
        <w:autoSpaceDE w:val="0"/>
        <w:autoSpaceDN w:val="0"/>
        <w:bidi w:val="0"/>
        <w:spacing w:line="500" w:lineRule="exact"/>
        <w:ind w:firstLine="470" w:firstLineChars="196"/>
        <w:rPr>
          <w:rFonts w:ascii="宋体" w:hAnsi="宋体" w:cs="宋体"/>
          <w:sz w:val="24"/>
          <w:szCs w:val="24"/>
        </w:rPr>
      </w:pPr>
      <w:r>
        <w:rPr>
          <w:rFonts w:hint="eastAsia" w:ascii="宋体" w:hAnsi="宋体" w:cs="宋体"/>
          <w:sz w:val="24"/>
          <w:szCs w:val="24"/>
        </w:rPr>
        <w:t>其他未尽事宜，按照《政府采购促进中小企业发展管理办法》（财库〔2020〕46号</w:t>
      </w:r>
      <w:r>
        <w:rPr>
          <w:rFonts w:hint="eastAsia" w:ascii="宋体" w:hAnsi="宋体" w:cs="宋体"/>
          <w:sz w:val="24"/>
          <w:szCs w:val="24"/>
          <w:lang w:eastAsia="zh-CN"/>
        </w:rPr>
        <w:t>）</w:t>
      </w:r>
      <w:r>
        <w:rPr>
          <w:rFonts w:hint="eastAsia" w:ascii="宋体" w:hAnsi="宋体" w:cs="宋体"/>
          <w:sz w:val="24"/>
          <w:szCs w:val="24"/>
        </w:rPr>
        <w:t>规定执行。</w:t>
      </w:r>
    </w:p>
    <w:p w14:paraId="3BD6C0F6">
      <w:pPr>
        <w:keepNext w:val="0"/>
        <w:keepLines w:val="0"/>
        <w:pageBreakBefore w:val="0"/>
        <w:kinsoku/>
        <w:wordWrap/>
        <w:overflowPunct/>
        <w:topLinePunct w:val="0"/>
        <w:autoSpaceDE w:val="0"/>
        <w:autoSpaceDN w:val="0"/>
        <w:bidi w:val="0"/>
        <w:spacing w:line="500" w:lineRule="exact"/>
        <w:ind w:firstLine="472" w:firstLineChars="196"/>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.监狱企业扶持政策</w:t>
      </w:r>
    </w:p>
    <w:p w14:paraId="7569A739">
      <w:pPr>
        <w:keepNext w:val="0"/>
        <w:keepLines w:val="0"/>
        <w:pageBreakBefore w:val="0"/>
        <w:kinsoku/>
        <w:wordWrap/>
        <w:overflowPunct/>
        <w:topLinePunct w:val="0"/>
        <w:autoSpaceDE w:val="0"/>
        <w:autoSpaceDN w:val="0"/>
        <w:bidi w:val="0"/>
        <w:spacing w:line="500" w:lineRule="exact"/>
        <w:ind w:left="-15" w:leftChars="-7" w:firstLine="480" w:firstLineChars="200"/>
        <w:rPr>
          <w:rFonts w:ascii="宋体" w:hAnsi="宋体" w:cs="宋体"/>
          <w:sz w:val="24"/>
          <w:szCs w:val="24"/>
        </w:rPr>
      </w:pPr>
      <w:r>
        <w:rPr>
          <w:rFonts w:hint="eastAsia" w:ascii="宋体" w:hAnsi="宋体" w:cs="宋体"/>
          <w:sz w:val="24"/>
          <w:szCs w:val="24"/>
        </w:rPr>
        <w:t>根据《关于政府采购支持监狱企业发展有关问题的通知》</w:t>
      </w:r>
      <w:r>
        <w:rPr>
          <w:rFonts w:hint="eastAsia" w:ascii="宋体" w:hAnsi="宋体" w:cs="宋体"/>
          <w:sz w:val="24"/>
          <w:szCs w:val="24"/>
          <w:lang w:eastAsia="zh-CN"/>
        </w:rPr>
        <w:t>（</w:t>
      </w:r>
      <w:r>
        <w:rPr>
          <w:rFonts w:hint="eastAsia" w:ascii="宋体" w:hAnsi="宋体" w:cs="宋体"/>
          <w:sz w:val="24"/>
          <w:szCs w:val="24"/>
        </w:rPr>
        <w:t>财库</w:t>
      </w:r>
      <w:r>
        <w:rPr>
          <w:rFonts w:hint="eastAsia" w:ascii="宋体" w:hAnsi="宋体" w:cs="宋体"/>
          <w:sz w:val="24"/>
          <w:szCs w:val="24"/>
          <w:lang w:eastAsia="zh-CN"/>
        </w:rPr>
        <w:t>〔2014〕68号）</w:t>
      </w:r>
      <w:r>
        <w:rPr>
          <w:rFonts w:hint="eastAsia" w:ascii="宋体" w:hAnsi="宋体" w:cs="宋体"/>
          <w:sz w:val="24"/>
          <w:szCs w:val="24"/>
        </w:rPr>
        <w:t>的规定，监狱企业</w:t>
      </w:r>
      <w:r>
        <w:rPr>
          <w:rFonts w:hint="eastAsia" w:ascii="宋体" w:hAnsi="宋体" w:cs="宋体"/>
          <w:kern w:val="2"/>
          <w:sz w:val="24"/>
          <w:szCs w:val="24"/>
        </w:rPr>
        <w:t>扶持政策</w:t>
      </w:r>
      <w:r>
        <w:rPr>
          <w:rFonts w:hint="eastAsia" w:ascii="宋体" w:hAnsi="宋体" w:cs="宋体"/>
          <w:sz w:val="24"/>
          <w:szCs w:val="24"/>
        </w:rPr>
        <w:t>，监狱企业参与本项目投标时，提供由省级以上监狱管理局、戒毒管理局</w:t>
      </w:r>
      <w:r>
        <w:rPr>
          <w:rFonts w:hint="eastAsia" w:ascii="宋体" w:hAnsi="宋体" w:cs="宋体"/>
          <w:sz w:val="24"/>
          <w:szCs w:val="24"/>
          <w:lang w:eastAsia="zh-CN"/>
        </w:rPr>
        <w:t>（</w:t>
      </w:r>
      <w:r>
        <w:rPr>
          <w:rFonts w:hint="eastAsia" w:ascii="宋体" w:hAnsi="宋体" w:cs="宋体"/>
          <w:sz w:val="24"/>
          <w:szCs w:val="24"/>
        </w:rPr>
        <w:t>含新疆生产建设兵团</w:t>
      </w:r>
      <w:r>
        <w:rPr>
          <w:rFonts w:hint="eastAsia" w:ascii="宋体" w:hAnsi="宋体" w:cs="宋体"/>
          <w:sz w:val="24"/>
          <w:szCs w:val="24"/>
          <w:lang w:eastAsia="zh-CN"/>
        </w:rPr>
        <w:t>）</w:t>
      </w:r>
      <w:r>
        <w:rPr>
          <w:rFonts w:hint="eastAsia" w:ascii="宋体" w:hAnsi="宋体" w:cs="宋体"/>
          <w:sz w:val="24"/>
          <w:szCs w:val="24"/>
        </w:rPr>
        <w:t>出具的属于监狱企业的证明文件的，视同小型、微型企业。</w:t>
      </w:r>
    </w:p>
    <w:p w14:paraId="23F11752">
      <w:pPr>
        <w:keepNext w:val="0"/>
        <w:keepLines w:val="0"/>
        <w:pageBreakBefore w:val="0"/>
        <w:kinsoku/>
        <w:wordWrap/>
        <w:overflowPunct/>
        <w:topLinePunct w:val="0"/>
        <w:autoSpaceDE w:val="0"/>
        <w:autoSpaceDN w:val="0"/>
        <w:bidi w:val="0"/>
        <w:spacing w:line="500" w:lineRule="exact"/>
        <w:ind w:firstLine="472" w:firstLineChars="196"/>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.残疾人福利性单位扶持政策</w:t>
      </w:r>
    </w:p>
    <w:p w14:paraId="0B2E1809">
      <w:pPr>
        <w:keepNext w:val="0"/>
        <w:keepLines w:val="0"/>
        <w:pageBreakBefore w:val="0"/>
        <w:kinsoku/>
        <w:wordWrap/>
        <w:overflowPunct/>
        <w:topLinePunct w:val="0"/>
        <w:autoSpaceDE w:val="0"/>
        <w:bidi w:val="0"/>
        <w:spacing w:line="500" w:lineRule="exact"/>
        <w:ind w:firstLine="480" w:firstLineChars="200"/>
        <w:rPr>
          <w:rFonts w:ascii="宋体" w:hAnsi="宋体" w:cs="宋体"/>
          <w:b/>
          <w:sz w:val="24"/>
          <w:szCs w:val="24"/>
        </w:rPr>
      </w:pPr>
      <w:r>
        <w:rPr>
          <w:rFonts w:hint="eastAsia" w:ascii="宋体" w:hAnsi="宋体" w:cs="宋体"/>
          <w:sz w:val="24"/>
          <w:szCs w:val="24"/>
        </w:rPr>
        <w:t>根据《关于促进残疾人就业政府采购政策的通知》</w:t>
      </w:r>
      <w:r>
        <w:rPr>
          <w:rFonts w:hint="eastAsia" w:ascii="宋体" w:hAnsi="宋体" w:cs="宋体"/>
          <w:sz w:val="24"/>
          <w:szCs w:val="24"/>
          <w:lang w:eastAsia="zh-CN"/>
        </w:rPr>
        <w:t>（</w:t>
      </w:r>
      <w:r>
        <w:rPr>
          <w:rFonts w:hint="eastAsia" w:ascii="宋体" w:hAnsi="宋体" w:cs="宋体"/>
          <w:sz w:val="24"/>
          <w:szCs w:val="24"/>
        </w:rPr>
        <w:t>财库</w:t>
      </w:r>
      <w:r>
        <w:rPr>
          <w:rFonts w:hint="eastAsia" w:ascii="宋体" w:hAnsi="宋体" w:cs="宋体"/>
          <w:sz w:val="24"/>
          <w:szCs w:val="24"/>
          <w:lang w:eastAsia="zh-CN"/>
        </w:rPr>
        <w:t>〔2017〕141号）</w:t>
      </w:r>
      <w:r>
        <w:rPr>
          <w:rFonts w:hint="eastAsia" w:ascii="宋体" w:hAnsi="宋体" w:cs="宋体"/>
          <w:sz w:val="24"/>
          <w:szCs w:val="24"/>
        </w:rPr>
        <w:t>的规定，残疾人福利性单位</w:t>
      </w:r>
      <w:r>
        <w:rPr>
          <w:rFonts w:hint="eastAsia" w:ascii="宋体" w:hAnsi="宋体" w:cs="宋体"/>
          <w:kern w:val="2"/>
          <w:sz w:val="24"/>
          <w:szCs w:val="24"/>
        </w:rPr>
        <w:t>优惠政策</w:t>
      </w:r>
      <w:r>
        <w:rPr>
          <w:rFonts w:hint="eastAsia" w:ascii="宋体" w:hAnsi="宋体" w:cs="宋体"/>
          <w:sz w:val="24"/>
          <w:szCs w:val="24"/>
        </w:rPr>
        <w:t>，残疾人福利性单位参与本项目投标时，提供《残疾人福利性单位声明函》并对声明的真实性负责，视同小型、微型企业。</w:t>
      </w:r>
      <w:r>
        <w:rPr>
          <w:rFonts w:hint="eastAsia" w:ascii="宋体" w:hAnsi="宋体" w:cs="宋体"/>
          <w:b/>
          <w:sz w:val="24"/>
          <w:szCs w:val="24"/>
        </w:rPr>
        <w:t>投标人对《残疾人福利性单位声明函》的真实性负责，如有虚假，自行承担相应责任。</w:t>
      </w:r>
    </w:p>
    <w:p w14:paraId="18347571">
      <w:pPr>
        <w:keepNext w:val="0"/>
        <w:keepLines w:val="0"/>
        <w:pageBreakBefore w:val="0"/>
        <w:kinsoku/>
        <w:wordWrap/>
        <w:overflowPunct/>
        <w:topLinePunct w:val="0"/>
        <w:autoSpaceDE w:val="0"/>
        <w:autoSpaceDN w:val="0"/>
        <w:bidi w:val="0"/>
        <w:spacing w:line="500" w:lineRule="exact"/>
        <w:ind w:firstLine="472" w:firstLineChars="196"/>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.节能产品及环境标志产品的扶持政策</w:t>
      </w:r>
    </w:p>
    <w:p w14:paraId="0AA4A717">
      <w:pPr>
        <w:pStyle w:val="14"/>
        <w:keepNext w:val="0"/>
        <w:keepLines w:val="0"/>
        <w:pageBreakBefore w:val="0"/>
        <w:kinsoku/>
        <w:wordWrap/>
        <w:overflowPunct/>
        <w:topLinePunct w:val="0"/>
        <w:bidi w:val="0"/>
        <w:spacing w:line="500" w:lineRule="exact"/>
        <w:ind w:firstLine="480" w:firstLineChars="200"/>
        <w:rPr>
          <w:rFonts w:ascii="宋体" w:hAnsi="宋体" w:cs="宋体"/>
        </w:rPr>
      </w:pPr>
      <w:r>
        <w:rPr>
          <w:rFonts w:hint="eastAsia" w:ascii="宋体" w:hAnsi="宋体" w:cs="宋体"/>
          <w:sz w:val="24"/>
          <w:szCs w:val="24"/>
        </w:rPr>
        <w:t>按照“财政部 发展改革委 生态环境部 市场监管总局 关于调整优化节能产品、环境标志产品政府采购执行机制的通知”财库〔2019〕9号的规定执行。</w:t>
      </w:r>
    </w:p>
    <w:p w14:paraId="1700B5A0">
      <w:pPr>
        <w:keepNext w:val="0"/>
        <w:keepLines w:val="0"/>
        <w:pageBreakBefore w:val="0"/>
        <w:kinsoku/>
        <w:wordWrap/>
        <w:overflowPunct/>
        <w:topLinePunct w:val="0"/>
        <w:bidi w:val="0"/>
        <w:spacing w:before="72" w:beforeLines="30" w:after="72" w:afterLines="30"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七、推荐</w:t>
      </w:r>
    </w:p>
    <w:p w14:paraId="55EF8674">
      <w:pPr>
        <w:keepNext w:val="0"/>
        <w:keepLines w:val="0"/>
        <w:pageBreakBefore w:val="0"/>
        <w:kinsoku/>
        <w:wordWrap/>
        <w:overflowPunct/>
        <w:topLinePunct w:val="0"/>
        <w:autoSpaceDE w:val="0"/>
        <w:autoSpaceDN w:val="0"/>
        <w:bidi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本次评标采用最低评标价法，评标结果按投标单价报价由低到高顺序排列。投标单价报价相同的并列。投标文件满足招标文件全部实质性要求（即通过资格审查标准及符合性审查）且投标单价报价最低的</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为排名第一的中标候选人。</w:t>
      </w:r>
    </w:p>
    <w:p w14:paraId="5BE2F47A">
      <w:pPr>
        <w:keepNext w:val="0"/>
        <w:keepLines w:val="0"/>
        <w:pageBreakBefore w:val="0"/>
        <w:kinsoku/>
        <w:wordWrap/>
        <w:overflowPunct/>
        <w:topLinePunct w:val="0"/>
        <w:autoSpaceDE w:val="0"/>
        <w:autoSpaceDN w:val="0"/>
        <w:bidi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投标单价报价相同的，评标委员会将依次按照</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技术指标，质量及售后服务承诺的情况顺序排列中标候选人。（技术指标高的，优先排列；如技术指标相同，则质量及售后服务承诺完善的优先排列）</w:t>
      </w:r>
    </w:p>
    <w:p w14:paraId="1238C03D">
      <w:pPr>
        <w:keepNext w:val="0"/>
        <w:keepLines w:val="0"/>
        <w:pageBreakBefore w:val="0"/>
        <w:kinsoku/>
        <w:wordWrap/>
        <w:overflowPunct/>
        <w:topLinePunct w:val="0"/>
        <w:bidi w:val="0"/>
        <w:spacing w:before="72" w:beforeLines="30" w:after="72" w:afterLines="30"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八、评标报告编写</w:t>
      </w:r>
    </w:p>
    <w:p w14:paraId="54979DC9">
      <w:pPr>
        <w:keepNext w:val="0"/>
        <w:keepLines w:val="0"/>
        <w:pageBreakBefore w:val="0"/>
        <w:kinsoku/>
        <w:wordWrap/>
        <w:overflowPunct/>
        <w:topLinePunct w:val="0"/>
        <w:bidi w:val="0"/>
        <w:spacing w:line="500" w:lineRule="exact"/>
        <w:ind w:firstLine="480" w:firstLineChars="200"/>
        <w:rPr>
          <w:rFonts w:hint="eastAsia" w:ascii="宋体" w:hAnsi="宋体" w:eastAsia="宋体"/>
          <w:b/>
          <w:bCs/>
          <w:sz w:val="24"/>
          <w:szCs w:val="24"/>
          <w:highlight w:val="none"/>
        </w:rPr>
      </w:pPr>
      <w:r>
        <w:rPr>
          <w:rFonts w:hint="eastAsia" w:ascii="宋体" w:hAnsi="宋体" w:cs="宋体"/>
          <w:sz w:val="24"/>
          <w:szCs w:val="24"/>
          <w:highlight w:val="none"/>
        </w:rPr>
        <w:t>评标委员会根据全体评标成员签字的原始评标记录和评标结果编写评标报告。</w:t>
      </w:r>
    </w:p>
    <w:p w14:paraId="610D70A6">
      <w:pPr>
        <w:keepNext w:val="0"/>
        <w:keepLines w:val="0"/>
        <w:pageBreakBefore w:val="0"/>
        <w:numPr>
          <w:ilvl w:val="0"/>
          <w:numId w:val="0"/>
        </w:numPr>
        <w:kinsoku/>
        <w:wordWrap/>
        <w:overflowPunct/>
        <w:topLinePunct w:val="0"/>
        <w:bidi w:val="0"/>
        <w:spacing w:before="72" w:beforeLines="30" w:after="72" w:afterLines="30" w:line="500" w:lineRule="exact"/>
        <w:ind w:firstLine="482" w:firstLineChars="200"/>
        <w:rPr>
          <w:rFonts w:hint="eastAsia" w:ascii="宋体" w:hAnsi="宋体" w:cs="宋体"/>
          <w:b/>
          <w:bCs/>
          <w:sz w:val="24"/>
          <w:szCs w:val="24"/>
          <w:highlight w:val="none"/>
        </w:rPr>
      </w:pPr>
      <w:r>
        <w:rPr>
          <w:rFonts w:hint="eastAsia" w:ascii="宋体" w:hAnsi="宋体" w:eastAsia="宋体" w:cs="宋体"/>
          <w:b/>
          <w:bCs/>
          <w:sz w:val="24"/>
          <w:szCs w:val="24"/>
          <w:highlight w:val="none"/>
          <w:lang w:val="en-US" w:eastAsia="zh-CN" w:bidi="ar-SA"/>
        </w:rPr>
        <w:t>九、</w:t>
      </w:r>
      <w:r>
        <w:rPr>
          <w:rFonts w:hint="eastAsia" w:ascii="宋体" w:hAnsi="宋体" w:cs="宋体"/>
          <w:b/>
          <w:bCs/>
          <w:sz w:val="24"/>
          <w:szCs w:val="24"/>
          <w:highlight w:val="none"/>
        </w:rPr>
        <w:t>评标结果</w:t>
      </w:r>
    </w:p>
    <w:p w14:paraId="3400E643">
      <w:pPr>
        <w:keepNext w:val="0"/>
        <w:keepLines w:val="0"/>
        <w:pageBreakBefore w:val="0"/>
        <w:kinsoku/>
        <w:wordWrap/>
        <w:overflowPunct/>
        <w:topLinePunct w:val="0"/>
        <w:autoSpaceDE w:val="0"/>
        <w:autoSpaceDN w:val="0"/>
        <w:bidi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评标委员会按投标单价报价由低到高顺序排列。投标单价报价相同的并列。投标文件满足招标文件全部实质性要求且投标单价报价最低的</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为排名第一的中标候选人，并提出书面评标报告。投标单价报价相同的，评标委员会将依次按照</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技术指标，</w:t>
      </w:r>
      <w:r>
        <w:rPr>
          <w:rFonts w:hint="eastAsia" w:ascii="宋体" w:hAnsi="宋体" w:cs="宋体"/>
          <w:sz w:val="24"/>
          <w:szCs w:val="24"/>
          <w:highlight w:val="none"/>
          <w:lang w:val="en-US" w:eastAsia="zh-CN"/>
        </w:rPr>
        <w:t>质量及售后服务承诺</w:t>
      </w:r>
      <w:r>
        <w:rPr>
          <w:rFonts w:hint="eastAsia" w:ascii="宋体" w:hAnsi="宋体" w:cs="宋体"/>
          <w:sz w:val="24"/>
          <w:szCs w:val="24"/>
          <w:highlight w:val="none"/>
        </w:rPr>
        <w:t>的情况顺序排列中标候选人。（技术指标高的，优先排列；如技术指标相同，则</w:t>
      </w:r>
      <w:r>
        <w:rPr>
          <w:rFonts w:hint="eastAsia" w:ascii="宋体" w:hAnsi="宋体" w:cs="宋体"/>
          <w:sz w:val="24"/>
          <w:szCs w:val="24"/>
          <w:highlight w:val="none"/>
          <w:lang w:val="en-US" w:eastAsia="zh-CN"/>
        </w:rPr>
        <w:t>质量及售后服务承诺</w:t>
      </w:r>
      <w:r>
        <w:rPr>
          <w:rFonts w:hint="eastAsia" w:ascii="宋体" w:hAnsi="宋体" w:cs="宋体"/>
          <w:sz w:val="24"/>
          <w:szCs w:val="24"/>
          <w:highlight w:val="none"/>
        </w:rPr>
        <w:t>完善的优先排列）</w:t>
      </w:r>
    </w:p>
    <w:p w14:paraId="47E93EA3">
      <w:pPr>
        <w:keepNext w:val="0"/>
        <w:keepLines w:val="0"/>
        <w:pageBreakBefore w:val="0"/>
        <w:kinsoku/>
        <w:wordWrap/>
        <w:overflowPunct/>
        <w:topLinePunct w:val="0"/>
        <w:autoSpaceDE w:val="0"/>
        <w:autoSpaceDN w:val="0"/>
        <w:bidi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采购人根据评标委员会提出的书面评标报告和推荐的中标候选人名单，确定中标人。</w:t>
      </w:r>
    </w:p>
    <w:p w14:paraId="69BCF1CB">
      <w:pPr>
        <w:keepNext w:val="0"/>
        <w:keepLines w:val="0"/>
        <w:pageBreakBefore w:val="0"/>
        <w:kinsoku/>
        <w:wordWrap/>
        <w:overflowPunct/>
        <w:topLinePunct w:val="0"/>
        <w:autoSpaceDE w:val="0"/>
        <w:autoSpaceDN w:val="0"/>
        <w:bidi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评</w:t>
      </w:r>
      <w:r>
        <w:rPr>
          <w:rFonts w:hint="eastAsia" w:ascii="宋体" w:hAnsi="宋体" w:cs="宋体"/>
          <w:sz w:val="24"/>
          <w:szCs w:val="24"/>
          <w:highlight w:val="none"/>
          <w:lang w:val="en-US" w:eastAsia="zh-CN"/>
        </w:rPr>
        <w:t>标</w:t>
      </w:r>
      <w:r>
        <w:rPr>
          <w:rFonts w:hint="eastAsia" w:ascii="宋体" w:hAnsi="宋体" w:cs="宋体"/>
          <w:sz w:val="24"/>
          <w:szCs w:val="24"/>
          <w:highlight w:val="none"/>
        </w:rPr>
        <w:t>委员会发现</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文件存在歧义、重大缺陷导致评审工作无法进行，或者</w:t>
      </w:r>
      <w:r>
        <w:rPr>
          <w:rFonts w:hint="eastAsia" w:ascii="宋体" w:hAnsi="宋体" w:cs="宋体"/>
          <w:sz w:val="24"/>
          <w:szCs w:val="24"/>
          <w:highlight w:val="none"/>
          <w:lang w:eastAsia="zh-CN"/>
        </w:rPr>
        <w:t>招标文件</w:t>
      </w:r>
      <w:r>
        <w:rPr>
          <w:rFonts w:hint="eastAsia" w:ascii="宋体" w:hAnsi="宋体" w:cs="宋体"/>
          <w:sz w:val="24"/>
          <w:szCs w:val="24"/>
          <w:highlight w:val="none"/>
        </w:rPr>
        <w:t>内容违反国家有关规定的，要停止评审工作并向采购人或采购代理机构书面说明情况，采购人或采购代理机构应当修改</w:t>
      </w:r>
      <w:r>
        <w:rPr>
          <w:rFonts w:hint="eastAsia" w:ascii="宋体" w:hAnsi="宋体" w:cs="宋体"/>
          <w:sz w:val="24"/>
          <w:szCs w:val="24"/>
          <w:highlight w:val="none"/>
          <w:lang w:eastAsia="zh-CN"/>
        </w:rPr>
        <w:t>招标文件</w:t>
      </w:r>
      <w:r>
        <w:rPr>
          <w:rFonts w:hint="eastAsia" w:ascii="宋体" w:hAnsi="宋体" w:cs="宋体"/>
          <w:sz w:val="24"/>
          <w:szCs w:val="24"/>
          <w:highlight w:val="none"/>
        </w:rPr>
        <w:t>后重新组织采购活动；发现</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提供虚假材料、串通等违法违规行为的，要及时向采购人或采购代理机构报告。</w:t>
      </w:r>
    </w:p>
    <w:p w14:paraId="62CFFADE">
      <w:r>
        <w:rPr>
          <w:rFonts w:hint="eastAsia"/>
        </w:rPr>
        <w:br w:type="page"/>
      </w:r>
    </w:p>
    <w:p w14:paraId="5D026634">
      <w:pPr>
        <w:pStyle w:val="3"/>
        <w:spacing w:before="0" w:after="0" w:line="360" w:lineRule="auto"/>
        <w:jc w:val="center"/>
        <w:rPr>
          <w:rFonts w:ascii="宋体" w:hAnsi="宋体" w:cs="宋体"/>
        </w:rPr>
      </w:pPr>
      <w:bookmarkStart w:id="194" w:name="_Toc32069"/>
      <w:r>
        <w:rPr>
          <w:rFonts w:hint="eastAsia" w:ascii="宋体" w:hAnsi="宋体" w:cs="宋体"/>
        </w:rPr>
        <w:t>第五章 合同条款及格式</w:t>
      </w:r>
      <w:bookmarkEnd w:id="192"/>
      <w:bookmarkEnd w:id="194"/>
    </w:p>
    <w:bookmarkEnd w:id="193"/>
    <w:tbl>
      <w:tblPr>
        <w:tblStyle w:val="30"/>
        <w:tblpPr w:leftFromText="180" w:rightFromText="180" w:vertAnchor="page" w:horzAnchor="page" w:tblpXSpec="center" w:tblpY="2075"/>
        <w:tblOverlap w:val="never"/>
        <w:tblW w:w="8720" w:type="dxa"/>
        <w:jc w:val="center"/>
        <w:tblLayout w:type="fixed"/>
        <w:tblCellMar>
          <w:top w:w="0" w:type="dxa"/>
          <w:left w:w="0" w:type="dxa"/>
          <w:bottom w:w="0" w:type="dxa"/>
          <w:right w:w="0" w:type="dxa"/>
        </w:tblCellMar>
      </w:tblPr>
      <w:tblGrid>
        <w:gridCol w:w="8720"/>
      </w:tblGrid>
      <w:tr w14:paraId="6EC4E395">
        <w:tblPrEx>
          <w:tblCellMar>
            <w:top w:w="0" w:type="dxa"/>
            <w:left w:w="0" w:type="dxa"/>
            <w:bottom w:w="0" w:type="dxa"/>
            <w:right w:w="0" w:type="dxa"/>
          </w:tblCellMar>
        </w:tblPrEx>
        <w:trPr>
          <w:trHeight w:val="364" w:hRule="atLeast"/>
          <w:jc w:val="center"/>
        </w:trPr>
        <w:tc>
          <w:tcPr>
            <w:tcW w:w="8720" w:type="dxa"/>
            <w:vAlign w:val="center"/>
          </w:tcPr>
          <w:p w14:paraId="444DE361">
            <w:pPr>
              <w:widowControl w:val="0"/>
              <w:tabs>
                <w:tab w:val="left" w:pos="1590"/>
                <w:tab w:val="left" w:pos="3409"/>
                <w:tab w:val="left" w:pos="4847"/>
                <w:tab w:val="left" w:pos="6915"/>
                <w:tab w:val="left" w:pos="7020"/>
                <w:tab w:val="left" w:pos="7891"/>
              </w:tabs>
              <w:jc w:val="both"/>
              <w:rPr>
                <w:rFonts w:cs="Tahoma" w:asciiTheme="minorEastAsia" w:hAnsiTheme="minorEastAsia" w:eastAsiaTheme="minorEastAsia"/>
                <w:kern w:val="2"/>
                <w:sz w:val="24"/>
                <w:szCs w:val="22"/>
              </w:rPr>
            </w:pPr>
            <w:bookmarkStart w:id="195" w:name="_Toc8577"/>
            <w:r>
              <w:rPr>
                <w:rFonts w:hint="eastAsia" w:cs="Tahoma" w:asciiTheme="minorEastAsia" w:hAnsiTheme="minorEastAsia" w:eastAsiaTheme="minorEastAsia"/>
                <w:kern w:val="2"/>
                <w:sz w:val="24"/>
                <w:szCs w:val="22"/>
              </w:rPr>
              <w:t xml:space="preserve">合同编号：          合同自编号：    </w:t>
            </w:r>
            <w:r>
              <w:rPr>
                <w:rFonts w:hint="eastAsia" w:cs="Tahoma" w:asciiTheme="minorEastAsia" w:hAnsiTheme="minorEastAsia" w:eastAsiaTheme="minorEastAsia"/>
                <w:kern w:val="2"/>
                <w:sz w:val="24"/>
                <w:szCs w:val="22"/>
                <w:lang w:val="en-US" w:eastAsia="zh-CN"/>
              </w:rPr>
              <w:t xml:space="preserve">  </w:t>
            </w:r>
            <w:r>
              <w:rPr>
                <w:rFonts w:hint="eastAsia" w:cs="Tahoma" w:asciiTheme="minorEastAsia" w:hAnsiTheme="minorEastAsia" w:eastAsiaTheme="minorEastAsia"/>
                <w:kern w:val="2"/>
                <w:sz w:val="24"/>
                <w:szCs w:val="22"/>
              </w:rPr>
              <w:t xml:space="preserve"> </w:t>
            </w:r>
            <w:r>
              <w:rPr>
                <w:rFonts w:hint="eastAsia" w:cs="Tahoma" w:asciiTheme="minorEastAsia" w:hAnsiTheme="minorEastAsia" w:eastAsiaTheme="minorEastAsia"/>
                <w:kern w:val="2"/>
                <w:sz w:val="24"/>
                <w:szCs w:val="22"/>
              </w:rPr>
              <w:tab/>
            </w:r>
            <w:r>
              <w:rPr>
                <w:rFonts w:hint="eastAsia" w:cs="Tahoma" w:asciiTheme="minorEastAsia" w:hAnsiTheme="minorEastAsia" w:eastAsiaTheme="minorEastAsia"/>
                <w:kern w:val="2"/>
                <w:sz w:val="24"/>
                <w:szCs w:val="22"/>
                <w:lang w:val="en-US" w:eastAsia="zh-CN"/>
              </w:rPr>
              <w:t xml:space="preserve">     </w:t>
            </w:r>
            <w:r>
              <w:rPr>
                <w:rFonts w:hint="eastAsia" w:cs="Tahoma" w:asciiTheme="minorEastAsia" w:hAnsiTheme="minorEastAsia" w:eastAsiaTheme="minorEastAsia"/>
                <w:kern w:val="2"/>
                <w:sz w:val="24"/>
                <w:szCs w:val="22"/>
              </w:rPr>
              <w:t>项目编号：</w:t>
            </w:r>
            <w:r>
              <w:rPr>
                <w:rFonts w:cs="Tahoma" w:asciiTheme="minorEastAsia" w:hAnsiTheme="minorEastAsia" w:eastAsiaTheme="minorEastAsia"/>
                <w:kern w:val="2"/>
                <w:sz w:val="24"/>
                <w:szCs w:val="22"/>
              </w:rPr>
              <w:t xml:space="preserve"> </w:t>
            </w:r>
          </w:p>
        </w:tc>
      </w:tr>
    </w:tbl>
    <w:p w14:paraId="0FA642D9">
      <w:pPr>
        <w:widowControl w:val="0"/>
        <w:spacing w:after="240"/>
        <w:jc w:val="center"/>
        <w:rPr>
          <w:rFonts w:cs="Tahoma" w:asciiTheme="minorEastAsia" w:hAnsiTheme="minorEastAsia" w:eastAsiaTheme="minorEastAsia"/>
          <w:kern w:val="2"/>
          <w:sz w:val="24"/>
          <w:szCs w:val="22"/>
        </w:rPr>
      </w:pPr>
    </w:p>
    <w:p w14:paraId="7ECCDBFB">
      <w:pPr>
        <w:widowControl w:val="0"/>
        <w:spacing w:after="240"/>
        <w:jc w:val="center"/>
        <w:rPr>
          <w:rFonts w:cs="Tahoma" w:asciiTheme="minorEastAsia" w:hAnsiTheme="minorEastAsia" w:eastAsiaTheme="minorEastAsia"/>
          <w:kern w:val="2"/>
          <w:sz w:val="32"/>
          <w:szCs w:val="32"/>
        </w:rPr>
      </w:pPr>
      <w:r>
        <w:rPr>
          <w:rFonts w:hint="eastAsia" w:cs="Tahoma" w:asciiTheme="minorEastAsia" w:hAnsiTheme="minorEastAsia" w:eastAsiaTheme="minorEastAsia"/>
          <w:kern w:val="2"/>
          <w:sz w:val="24"/>
          <w:szCs w:val="22"/>
        </w:rPr>
        <w:t>●本合同须加盖甲乙双方骑缝章有效</w:t>
      </w:r>
      <w:r>
        <w:rPr>
          <w:rFonts w:cs="Tahoma" w:asciiTheme="minorEastAsia" w:hAnsiTheme="minorEastAsia" w:eastAsiaTheme="minorEastAsia"/>
          <w:kern w:val="2"/>
          <w:sz w:val="24"/>
          <w:szCs w:val="22"/>
        </w:rPr>
        <w:br w:type="textWrapping"/>
      </w:r>
    </w:p>
    <w:p w14:paraId="3560F662">
      <w:pPr>
        <w:widowControl w:val="0"/>
        <w:spacing w:line="360" w:lineRule="auto"/>
        <w:jc w:val="center"/>
        <w:rPr>
          <w:rFonts w:cs="Tahoma" w:asciiTheme="minorEastAsia" w:hAnsiTheme="minorEastAsia" w:eastAsiaTheme="minorEastAsia"/>
          <w:kern w:val="2"/>
          <w:sz w:val="32"/>
          <w:szCs w:val="32"/>
        </w:rPr>
      </w:pPr>
      <w:r>
        <w:rPr>
          <w:rFonts w:cs="Tahoma" w:asciiTheme="minorEastAsia" w:hAnsiTheme="minorEastAsia" w:eastAsiaTheme="minorEastAsia"/>
          <w:kern w:val="2"/>
          <w:sz w:val="32"/>
          <w:szCs w:val="32"/>
        </w:rPr>
        <w:br w:type="textWrapping"/>
      </w:r>
    </w:p>
    <w:p w14:paraId="1F338421">
      <w:pPr>
        <w:widowControl w:val="0"/>
        <w:spacing w:after="240"/>
        <w:jc w:val="center"/>
        <w:rPr>
          <w:rFonts w:cs="Tahoma" w:asciiTheme="minorEastAsia" w:hAnsiTheme="minorEastAsia" w:eastAsiaTheme="minorEastAsia"/>
          <w:b/>
          <w:kern w:val="2"/>
          <w:sz w:val="96"/>
          <w:szCs w:val="48"/>
        </w:rPr>
      </w:pPr>
      <w:r>
        <w:rPr>
          <w:rFonts w:hint="eastAsia" w:cs="Tahoma" w:asciiTheme="minorEastAsia" w:hAnsiTheme="minorEastAsia" w:eastAsiaTheme="minorEastAsia"/>
          <w:b/>
          <w:kern w:val="2"/>
          <w:sz w:val="96"/>
          <w:szCs w:val="48"/>
        </w:rPr>
        <w:t>合</w:t>
      </w:r>
    </w:p>
    <w:p w14:paraId="17CA412A">
      <w:pPr>
        <w:widowControl w:val="0"/>
        <w:spacing w:after="240"/>
        <w:jc w:val="center"/>
        <w:rPr>
          <w:rFonts w:cs="Tahoma" w:asciiTheme="minorEastAsia" w:hAnsiTheme="minorEastAsia" w:eastAsiaTheme="minorEastAsia"/>
          <w:b/>
          <w:kern w:val="2"/>
          <w:sz w:val="96"/>
          <w:szCs w:val="48"/>
        </w:rPr>
      </w:pPr>
      <w:r>
        <w:rPr>
          <w:rFonts w:hint="eastAsia" w:cs="Tahoma" w:asciiTheme="minorEastAsia" w:hAnsiTheme="minorEastAsia" w:eastAsiaTheme="minorEastAsia"/>
          <w:b/>
          <w:kern w:val="2"/>
          <w:sz w:val="96"/>
          <w:szCs w:val="48"/>
        </w:rPr>
        <w:t>同</w:t>
      </w:r>
    </w:p>
    <w:p w14:paraId="5A8F3E9C">
      <w:pPr>
        <w:widowControl w:val="0"/>
        <w:spacing w:after="240"/>
        <w:jc w:val="center"/>
        <w:rPr>
          <w:rFonts w:cs="Tahoma" w:asciiTheme="minorEastAsia" w:hAnsiTheme="minorEastAsia" w:eastAsiaTheme="minorEastAsia"/>
          <w:kern w:val="2"/>
          <w:sz w:val="24"/>
          <w:szCs w:val="22"/>
        </w:rPr>
      </w:pPr>
      <w:r>
        <w:rPr>
          <w:rFonts w:hint="eastAsia" w:cs="Tahoma" w:asciiTheme="minorEastAsia" w:hAnsiTheme="minorEastAsia" w:eastAsiaTheme="minorEastAsia"/>
          <w:b/>
          <w:kern w:val="2"/>
          <w:sz w:val="96"/>
          <w:szCs w:val="48"/>
        </w:rPr>
        <w:t>书</w:t>
      </w:r>
      <w:r>
        <w:rPr>
          <w:rFonts w:cs="Tahoma" w:asciiTheme="minorEastAsia" w:hAnsiTheme="minorEastAsia" w:eastAsiaTheme="minorEastAsia"/>
          <w:kern w:val="2"/>
          <w:sz w:val="48"/>
          <w:szCs w:val="32"/>
        </w:rPr>
        <w:t xml:space="preserve"> </w:t>
      </w:r>
      <w:r>
        <w:rPr>
          <w:rFonts w:cs="Tahoma" w:asciiTheme="minorEastAsia" w:hAnsiTheme="minorEastAsia" w:eastAsiaTheme="minorEastAsia"/>
          <w:kern w:val="2"/>
          <w:sz w:val="32"/>
          <w:szCs w:val="32"/>
        </w:rPr>
        <w:br w:type="textWrapping"/>
      </w:r>
    </w:p>
    <w:p w14:paraId="09CF2976">
      <w:pPr>
        <w:widowControl w:val="0"/>
        <w:spacing w:after="240"/>
        <w:jc w:val="center"/>
        <w:rPr>
          <w:rFonts w:cs="Tahoma" w:asciiTheme="minorEastAsia" w:hAnsiTheme="minorEastAsia" w:eastAsiaTheme="minorEastAsia"/>
          <w:kern w:val="2"/>
          <w:sz w:val="24"/>
          <w:szCs w:val="22"/>
        </w:rPr>
      </w:pPr>
    </w:p>
    <w:p w14:paraId="7E3D09A2">
      <w:pPr>
        <w:widowControl w:val="0"/>
        <w:spacing w:after="240"/>
        <w:jc w:val="center"/>
        <w:rPr>
          <w:rFonts w:cs="Tahoma" w:asciiTheme="minorEastAsia" w:hAnsiTheme="minorEastAsia" w:eastAsiaTheme="minorEastAsia"/>
          <w:kern w:val="2"/>
          <w:sz w:val="24"/>
          <w:szCs w:val="22"/>
        </w:rPr>
      </w:pPr>
    </w:p>
    <w:p w14:paraId="7F06829D">
      <w:pPr>
        <w:widowControl w:val="0"/>
        <w:spacing w:after="240"/>
        <w:jc w:val="center"/>
        <w:rPr>
          <w:rFonts w:cs="Tahoma" w:asciiTheme="minorEastAsia" w:hAnsiTheme="minorEastAsia" w:eastAsiaTheme="minorEastAsia"/>
          <w:kern w:val="2"/>
          <w:sz w:val="24"/>
          <w:szCs w:val="22"/>
        </w:rPr>
      </w:pPr>
    </w:p>
    <w:p w14:paraId="3C994434">
      <w:pPr>
        <w:widowControl w:val="0"/>
        <w:spacing w:after="240"/>
        <w:jc w:val="center"/>
        <w:rPr>
          <w:rFonts w:cs="Tahoma" w:asciiTheme="minorEastAsia" w:hAnsiTheme="minorEastAsia" w:eastAsiaTheme="minorEastAsia"/>
          <w:kern w:val="2"/>
          <w:sz w:val="24"/>
          <w:szCs w:val="22"/>
        </w:rPr>
      </w:pPr>
    </w:p>
    <w:p w14:paraId="32C9517C">
      <w:pPr>
        <w:widowControl w:val="0"/>
        <w:spacing w:after="240"/>
        <w:jc w:val="center"/>
        <w:rPr>
          <w:rFonts w:cs="Tahoma" w:asciiTheme="minorEastAsia" w:hAnsiTheme="minorEastAsia" w:eastAsiaTheme="minorEastAsia"/>
          <w:kern w:val="2"/>
          <w:sz w:val="24"/>
          <w:szCs w:val="22"/>
        </w:rPr>
      </w:pPr>
    </w:p>
    <w:p w14:paraId="40F391E7">
      <w:pPr>
        <w:widowControl w:val="0"/>
        <w:spacing w:after="240"/>
        <w:jc w:val="center"/>
        <w:rPr>
          <w:rFonts w:cs="Tahoma" w:asciiTheme="minorEastAsia" w:hAnsiTheme="minorEastAsia" w:eastAsiaTheme="minorEastAsia"/>
          <w:kern w:val="2"/>
          <w:sz w:val="24"/>
          <w:szCs w:val="22"/>
        </w:rPr>
      </w:pPr>
      <w:r>
        <w:rPr>
          <w:rFonts w:hint="eastAsia" w:cs="Tahoma" w:asciiTheme="minorEastAsia" w:hAnsiTheme="minorEastAsia" w:eastAsiaTheme="minorEastAsia"/>
          <w:b/>
          <w:bCs/>
          <w:kern w:val="2"/>
          <w:sz w:val="24"/>
          <w:szCs w:val="22"/>
        </w:rPr>
        <w:t>签订地点:云南省昆明市</w:t>
      </w:r>
    </w:p>
    <w:p w14:paraId="2F95B601">
      <w:pPr>
        <w:keepLines w:val="0"/>
        <w:pageBreakBefore w:val="0"/>
        <w:widowControl w:val="0"/>
        <w:kinsoku/>
        <w:topLinePunct w:val="0"/>
        <w:bidi w:val="0"/>
        <w:snapToGrid/>
        <w:spacing w:after="240" w:line="560" w:lineRule="exact"/>
        <w:ind w:firstLine="482" w:firstLineChars="200"/>
        <w:jc w:val="center"/>
        <w:rPr>
          <w:rFonts w:hint="eastAsia" w:cs="Tahoma" w:asciiTheme="minorEastAsia" w:hAnsiTheme="minorEastAsia" w:eastAsiaTheme="minorEastAsia"/>
          <w:b/>
          <w:bCs/>
          <w:kern w:val="2"/>
          <w:sz w:val="24"/>
          <w:szCs w:val="22"/>
        </w:rPr>
      </w:pPr>
      <w:r>
        <w:rPr>
          <w:rFonts w:hint="eastAsia" w:cs="Tahoma" w:asciiTheme="minorEastAsia" w:hAnsiTheme="minorEastAsia" w:eastAsiaTheme="minorEastAsia"/>
          <w:b/>
          <w:bCs/>
          <w:kern w:val="2"/>
          <w:sz w:val="24"/>
          <w:szCs w:val="22"/>
        </w:rPr>
        <w:t>签订日期:        年　     月　     日</w:t>
      </w:r>
    </w:p>
    <w:p w14:paraId="0B466C14">
      <w:pPr>
        <w:keepLines w:val="0"/>
        <w:pageBreakBefore w:val="0"/>
        <w:widowControl w:val="0"/>
        <w:kinsoku/>
        <w:topLinePunct w:val="0"/>
        <w:bidi w:val="0"/>
        <w:snapToGrid/>
        <w:spacing w:after="240" w:line="560" w:lineRule="exact"/>
        <w:ind w:firstLine="640" w:firstLineChars="200"/>
        <w:jc w:val="both"/>
        <w:rPr>
          <w:rFonts w:hint="eastAsia" w:ascii="仿宋_GB2312" w:hAnsi="仿宋_GB2312" w:eastAsia="仿宋_GB2312" w:cs="仿宋_GB2312"/>
          <w:kern w:val="2"/>
          <w:sz w:val="32"/>
          <w:szCs w:val="32"/>
        </w:rPr>
      </w:pPr>
    </w:p>
    <w:p w14:paraId="3E22AACF">
      <w:pPr>
        <w:keepLines w:val="0"/>
        <w:pageBreakBefore w:val="0"/>
        <w:widowControl w:val="0"/>
        <w:kinsoku/>
        <w:topLinePunct w:val="0"/>
        <w:bidi w:val="0"/>
        <w:snapToGrid/>
        <w:spacing w:after="240" w:line="560" w:lineRule="exact"/>
        <w:ind w:firstLine="480" w:firstLineChars="20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甲 方（采购人）：</w:t>
      </w:r>
      <w:r>
        <w:rPr>
          <w:rFonts w:hint="eastAsia" w:ascii="宋体" w:hAnsi="宋体" w:eastAsia="宋体" w:cs="宋体"/>
          <w:kern w:val="2"/>
          <w:sz w:val="24"/>
          <w:szCs w:val="24"/>
          <w:u w:val="single"/>
          <w:lang w:val="en-US" w:eastAsia="zh-CN"/>
        </w:rPr>
        <w:t xml:space="preserve">                         </w:t>
      </w:r>
    </w:p>
    <w:p w14:paraId="14854EEF">
      <w:pPr>
        <w:keepLines w:val="0"/>
        <w:pageBreakBefore w:val="0"/>
        <w:widowControl w:val="0"/>
        <w:kinsoku/>
        <w:topLinePunct w:val="0"/>
        <w:bidi w:val="0"/>
        <w:snapToGrid/>
        <w:spacing w:after="240" w:line="560" w:lineRule="exact"/>
        <w:ind w:firstLine="480" w:firstLineChars="20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 方（</w:t>
      </w:r>
      <w:r>
        <w:rPr>
          <w:rFonts w:hint="eastAsia" w:ascii="宋体" w:hAnsi="宋体" w:cs="宋体"/>
          <w:kern w:val="2"/>
          <w:sz w:val="24"/>
          <w:szCs w:val="24"/>
          <w:lang w:eastAsia="zh-CN"/>
        </w:rPr>
        <w:t>投标人</w:t>
      </w:r>
      <w:r>
        <w:rPr>
          <w:rFonts w:hint="eastAsia" w:ascii="宋体" w:hAnsi="宋体" w:eastAsia="宋体" w:cs="宋体"/>
          <w:kern w:val="2"/>
          <w:sz w:val="24"/>
          <w:szCs w:val="24"/>
        </w:rPr>
        <w:t>）：</w:t>
      </w:r>
      <w:r>
        <w:rPr>
          <w:rFonts w:hint="eastAsia" w:ascii="宋体" w:hAnsi="宋体" w:eastAsia="宋体" w:cs="宋体"/>
          <w:kern w:val="2"/>
          <w:sz w:val="24"/>
          <w:szCs w:val="24"/>
          <w:u w:val="single"/>
          <w:lang w:val="en-US" w:eastAsia="zh-CN"/>
        </w:rPr>
        <w:t xml:space="preserve">                         </w:t>
      </w:r>
    </w:p>
    <w:p w14:paraId="040C9A83">
      <w:pPr>
        <w:keepLines w:val="0"/>
        <w:pageBreakBefore w:val="0"/>
        <w:widowControl w:val="0"/>
        <w:kinsoku/>
        <w:topLinePunct w:val="0"/>
        <w:bidi w:val="0"/>
        <w:snapToGrid/>
        <w:spacing w:after="240" w:line="5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kern w:val="2"/>
          <w:sz w:val="24"/>
          <w:szCs w:val="24"/>
        </w:rPr>
        <w:t>甲乙双方根据</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lang w:val="en-US" w:eastAsia="zh-CN"/>
        </w:rPr>
        <w:t>执行</w:t>
      </w:r>
      <w:r>
        <w:rPr>
          <w:rFonts w:hint="eastAsia" w:ascii="宋体" w:hAnsi="宋体" w:eastAsia="宋体" w:cs="宋体"/>
          <w:kern w:val="2"/>
          <w:sz w:val="24"/>
          <w:szCs w:val="24"/>
          <w:lang w:eastAsia="zh-CN"/>
        </w:rPr>
        <w:t>相关法律法规的规定</w:t>
      </w:r>
      <w:r>
        <w:rPr>
          <w:rFonts w:hint="eastAsia" w:ascii="宋体" w:hAnsi="宋体" w:eastAsia="宋体" w:cs="宋体"/>
          <w:kern w:val="2"/>
          <w:sz w:val="24"/>
          <w:szCs w:val="24"/>
        </w:rPr>
        <w:t>，项目编号为</w:t>
      </w:r>
      <w:r>
        <w:rPr>
          <w:rFonts w:hint="eastAsia" w:ascii="宋体" w:hAnsi="宋体" w:eastAsia="宋体" w:cs="宋体"/>
          <w:b w:val="0"/>
          <w:bCs/>
          <w:kern w:val="2"/>
          <w:sz w:val="24"/>
          <w:szCs w:val="24"/>
          <w:u w:val="none"/>
          <w:lang w:val="en-US" w:eastAsia="zh-CN"/>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kern w:val="2"/>
          <w:sz w:val="24"/>
          <w:szCs w:val="24"/>
        </w:rPr>
        <w:t>的“</w:t>
      </w:r>
      <w:r>
        <w:rPr>
          <w:rFonts w:hint="eastAsia" w:ascii="宋体" w:hAnsi="宋体" w:eastAsia="宋体" w:cs="宋体"/>
          <w:kern w:val="2"/>
          <w:sz w:val="24"/>
          <w:szCs w:val="24"/>
          <w:lang w:eastAsia="zh-CN"/>
        </w:rPr>
        <w:t>昆明市融媒中心报纸印刷用新闻纸采购</w:t>
      </w:r>
      <w:r>
        <w:rPr>
          <w:rFonts w:hint="eastAsia" w:ascii="宋体" w:hAnsi="宋体" w:eastAsia="宋体" w:cs="宋体"/>
          <w:kern w:val="2"/>
          <w:sz w:val="24"/>
          <w:szCs w:val="24"/>
        </w:rPr>
        <w:t>”项目公开招标采购结果，依据《</w:t>
      </w:r>
      <w:r>
        <w:rPr>
          <w:rFonts w:hint="eastAsia" w:ascii="宋体" w:hAnsi="宋体" w:eastAsia="宋体" w:cs="宋体"/>
          <w:kern w:val="2"/>
          <w:sz w:val="24"/>
          <w:szCs w:val="24"/>
          <w:highlight w:val="none"/>
        </w:rPr>
        <w:t>中华人民共和国</w:t>
      </w:r>
      <w:r>
        <w:rPr>
          <w:rFonts w:hint="eastAsia" w:ascii="宋体" w:hAnsi="宋体" w:eastAsia="宋体" w:cs="宋体"/>
          <w:kern w:val="2"/>
          <w:sz w:val="24"/>
          <w:szCs w:val="24"/>
          <w:highlight w:val="none"/>
          <w:lang w:eastAsia="zh-CN"/>
        </w:rPr>
        <w:t>民</w:t>
      </w:r>
      <w:r>
        <w:rPr>
          <w:rFonts w:hint="eastAsia" w:ascii="宋体" w:hAnsi="宋体" w:eastAsia="宋体" w:cs="宋体"/>
          <w:kern w:val="2"/>
          <w:sz w:val="24"/>
          <w:szCs w:val="24"/>
          <w:highlight w:val="none"/>
          <w:lang w:val="en-US" w:eastAsia="zh-CN"/>
        </w:rPr>
        <w:t>法典</w:t>
      </w:r>
      <w:r>
        <w:rPr>
          <w:rFonts w:hint="eastAsia" w:ascii="宋体" w:hAnsi="宋体" w:eastAsia="宋体" w:cs="宋体"/>
          <w:bCs/>
          <w:kern w:val="2"/>
          <w:sz w:val="24"/>
          <w:szCs w:val="24"/>
          <w:highlight w:val="none"/>
        </w:rPr>
        <w:t>》</w:t>
      </w:r>
      <w:r>
        <w:rPr>
          <w:rFonts w:hint="eastAsia" w:ascii="宋体" w:hAnsi="宋体" w:eastAsia="宋体" w:cs="宋体"/>
          <w:bCs/>
          <w:kern w:val="2"/>
          <w:sz w:val="24"/>
          <w:szCs w:val="24"/>
        </w:rPr>
        <w:t>和有关法律法规，经双方协商达成一致，签订如下协议：</w:t>
      </w:r>
    </w:p>
    <w:p w14:paraId="75C0C748">
      <w:pPr>
        <w:keepLines w:val="0"/>
        <w:pageBreakBefore w:val="0"/>
        <w:widowControl w:val="0"/>
        <w:kinsoku/>
        <w:topLinePunct w:val="0"/>
        <w:bidi w:val="0"/>
        <w:snapToGrid/>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一、产品名称、规格、数量、价格、金额</w:t>
      </w:r>
    </w:p>
    <w:tbl>
      <w:tblPr>
        <w:tblStyle w:val="30"/>
        <w:tblW w:w="9950" w:type="dxa"/>
        <w:tblInd w:w="0" w:type="dxa"/>
        <w:tblLayout w:type="fixed"/>
        <w:tblCellMar>
          <w:top w:w="0" w:type="dxa"/>
          <w:left w:w="108" w:type="dxa"/>
          <w:bottom w:w="0" w:type="dxa"/>
          <w:right w:w="108" w:type="dxa"/>
        </w:tblCellMar>
      </w:tblPr>
      <w:tblGrid>
        <w:gridCol w:w="1045"/>
        <w:gridCol w:w="1246"/>
        <w:gridCol w:w="1246"/>
        <w:gridCol w:w="1178"/>
        <w:gridCol w:w="1361"/>
        <w:gridCol w:w="1510"/>
        <w:gridCol w:w="2364"/>
      </w:tblGrid>
      <w:tr w14:paraId="36AF6726">
        <w:tblPrEx>
          <w:tblCellMar>
            <w:top w:w="0" w:type="dxa"/>
            <w:left w:w="108" w:type="dxa"/>
            <w:bottom w:w="0" w:type="dxa"/>
            <w:right w:w="108" w:type="dxa"/>
          </w:tblCellMar>
        </w:tblPrEx>
        <w:trPr>
          <w:trHeight w:val="870" w:hRule="atLeast"/>
        </w:trPr>
        <w:tc>
          <w:tcPr>
            <w:tcW w:w="1045" w:type="dxa"/>
            <w:tcBorders>
              <w:top w:val="single" w:color="auto" w:sz="4" w:space="0"/>
              <w:left w:val="single" w:color="auto" w:sz="4" w:space="0"/>
              <w:bottom w:val="single" w:color="auto" w:sz="4" w:space="0"/>
              <w:right w:val="single" w:color="auto" w:sz="4" w:space="0"/>
            </w:tcBorders>
            <w:vAlign w:val="center"/>
          </w:tcPr>
          <w:p w14:paraId="667B0D1C">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产品</w:t>
            </w:r>
          </w:p>
          <w:p w14:paraId="3EC979FA">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1246" w:type="dxa"/>
            <w:tcBorders>
              <w:top w:val="single" w:color="auto" w:sz="4" w:space="0"/>
              <w:left w:val="nil"/>
              <w:bottom w:val="single" w:color="auto" w:sz="4" w:space="0"/>
              <w:right w:val="single" w:color="auto" w:sz="4" w:space="0"/>
            </w:tcBorders>
            <w:vAlign w:val="center"/>
          </w:tcPr>
          <w:p w14:paraId="2AF96194">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规格</w:t>
            </w:r>
          </w:p>
          <w:p w14:paraId="5A4915D6">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型号</w:t>
            </w:r>
          </w:p>
        </w:tc>
        <w:tc>
          <w:tcPr>
            <w:tcW w:w="1246" w:type="dxa"/>
            <w:tcBorders>
              <w:top w:val="single" w:color="auto" w:sz="4" w:space="0"/>
              <w:left w:val="nil"/>
              <w:bottom w:val="single" w:color="auto" w:sz="4" w:space="0"/>
              <w:right w:val="single" w:color="auto" w:sz="4" w:space="0"/>
            </w:tcBorders>
            <w:vAlign w:val="center"/>
          </w:tcPr>
          <w:p w14:paraId="43EE5A61">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克重</w:t>
            </w:r>
          </w:p>
        </w:tc>
        <w:tc>
          <w:tcPr>
            <w:tcW w:w="1178" w:type="dxa"/>
            <w:tcBorders>
              <w:top w:val="single" w:color="auto" w:sz="4" w:space="0"/>
              <w:left w:val="nil"/>
              <w:bottom w:val="single" w:color="auto" w:sz="4" w:space="0"/>
              <w:right w:val="single" w:color="auto" w:sz="4" w:space="0"/>
            </w:tcBorders>
            <w:vAlign w:val="center"/>
          </w:tcPr>
          <w:p w14:paraId="2887F4D6">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计量</w:t>
            </w:r>
          </w:p>
          <w:p w14:paraId="6FBC4EC6">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单位</w:t>
            </w:r>
          </w:p>
        </w:tc>
        <w:tc>
          <w:tcPr>
            <w:tcW w:w="1361" w:type="dxa"/>
            <w:tcBorders>
              <w:top w:val="single" w:color="auto" w:sz="4" w:space="0"/>
              <w:left w:val="nil"/>
              <w:bottom w:val="single" w:color="auto" w:sz="4" w:space="0"/>
              <w:right w:val="single" w:color="auto" w:sz="4" w:space="0"/>
            </w:tcBorders>
            <w:vAlign w:val="center"/>
          </w:tcPr>
          <w:p w14:paraId="6AC43C25">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1510" w:type="dxa"/>
            <w:tcBorders>
              <w:top w:val="single" w:color="auto" w:sz="4" w:space="0"/>
              <w:left w:val="nil"/>
              <w:bottom w:val="single" w:color="auto" w:sz="4" w:space="0"/>
              <w:right w:val="single" w:color="auto" w:sz="4" w:space="0"/>
            </w:tcBorders>
            <w:vAlign w:val="center"/>
          </w:tcPr>
          <w:p w14:paraId="10A1FD3E">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单价</w:t>
            </w:r>
          </w:p>
          <w:p w14:paraId="6FB7E1B5">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（元）</w:t>
            </w:r>
          </w:p>
        </w:tc>
        <w:tc>
          <w:tcPr>
            <w:tcW w:w="2364" w:type="dxa"/>
            <w:tcBorders>
              <w:top w:val="single" w:color="auto" w:sz="4" w:space="0"/>
              <w:left w:val="nil"/>
              <w:bottom w:val="single" w:color="auto" w:sz="4" w:space="0"/>
              <w:right w:val="single" w:color="auto" w:sz="4" w:space="0"/>
            </w:tcBorders>
            <w:vAlign w:val="center"/>
          </w:tcPr>
          <w:p w14:paraId="2945C9EE">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总金额</w:t>
            </w:r>
          </w:p>
          <w:p w14:paraId="1E44E747">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（元）</w:t>
            </w:r>
          </w:p>
        </w:tc>
      </w:tr>
      <w:tr w14:paraId="42D98B7F">
        <w:tblPrEx>
          <w:tblCellMar>
            <w:top w:w="0" w:type="dxa"/>
            <w:left w:w="108" w:type="dxa"/>
            <w:bottom w:w="0" w:type="dxa"/>
            <w:right w:w="108" w:type="dxa"/>
          </w:tblCellMar>
        </w:tblPrEx>
        <w:trPr>
          <w:trHeight w:val="870" w:hRule="atLeast"/>
        </w:trPr>
        <w:tc>
          <w:tcPr>
            <w:tcW w:w="1045" w:type="dxa"/>
            <w:tcBorders>
              <w:top w:val="nil"/>
              <w:left w:val="single" w:color="auto" w:sz="4" w:space="0"/>
              <w:bottom w:val="single" w:color="auto" w:sz="4" w:space="0"/>
              <w:right w:val="single" w:color="auto" w:sz="4" w:space="0"/>
            </w:tcBorders>
            <w:vAlign w:val="center"/>
          </w:tcPr>
          <w:p w14:paraId="55D17FE4">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报纸印刷用新闻纸</w:t>
            </w:r>
          </w:p>
        </w:tc>
        <w:tc>
          <w:tcPr>
            <w:tcW w:w="1246" w:type="dxa"/>
            <w:tcBorders>
              <w:top w:val="nil"/>
              <w:left w:val="nil"/>
              <w:bottom w:val="single" w:color="auto" w:sz="4" w:space="0"/>
              <w:right w:val="single" w:color="auto" w:sz="4" w:space="0"/>
            </w:tcBorders>
            <w:vAlign w:val="center"/>
          </w:tcPr>
          <w:p w14:paraId="56965D0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2"/>
                <w:sz w:val="24"/>
                <w:szCs w:val="24"/>
              </w:rPr>
            </w:pPr>
          </w:p>
        </w:tc>
        <w:tc>
          <w:tcPr>
            <w:tcW w:w="1246" w:type="dxa"/>
            <w:tcBorders>
              <w:top w:val="nil"/>
              <w:left w:val="nil"/>
              <w:bottom w:val="single" w:color="auto" w:sz="4" w:space="0"/>
              <w:right w:val="single" w:color="auto" w:sz="4" w:space="0"/>
            </w:tcBorders>
            <w:vAlign w:val="center"/>
          </w:tcPr>
          <w:p w14:paraId="7068984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pPr>
          </w:p>
        </w:tc>
        <w:tc>
          <w:tcPr>
            <w:tcW w:w="1178" w:type="dxa"/>
            <w:tcBorders>
              <w:top w:val="nil"/>
              <w:left w:val="nil"/>
              <w:bottom w:val="single" w:color="auto" w:sz="4" w:space="0"/>
              <w:right w:val="single" w:color="auto" w:sz="4" w:space="0"/>
            </w:tcBorders>
            <w:vAlign w:val="center"/>
          </w:tcPr>
          <w:p w14:paraId="7C03D05C">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eastAsia="zh-CN"/>
              </w:rPr>
            </w:pPr>
          </w:p>
        </w:tc>
        <w:tc>
          <w:tcPr>
            <w:tcW w:w="1361" w:type="dxa"/>
            <w:tcBorders>
              <w:top w:val="nil"/>
              <w:left w:val="nil"/>
              <w:bottom w:val="single" w:color="auto" w:sz="4" w:space="0"/>
              <w:right w:val="single" w:color="auto" w:sz="4" w:space="0"/>
            </w:tcBorders>
            <w:vAlign w:val="center"/>
          </w:tcPr>
          <w:p w14:paraId="09A4EA75">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val="en-US" w:eastAsia="zh-CN"/>
              </w:rPr>
            </w:pPr>
          </w:p>
        </w:tc>
        <w:tc>
          <w:tcPr>
            <w:tcW w:w="1510" w:type="dxa"/>
            <w:tcBorders>
              <w:top w:val="nil"/>
              <w:left w:val="nil"/>
              <w:bottom w:val="single" w:color="auto" w:sz="4" w:space="0"/>
              <w:right w:val="single" w:color="auto" w:sz="4" w:space="0"/>
            </w:tcBorders>
            <w:vAlign w:val="center"/>
          </w:tcPr>
          <w:p w14:paraId="45DC54FE">
            <w:pPr>
              <w:keepLines w:val="0"/>
              <w:pageBreakBefore w:val="0"/>
              <w:widowControl w:val="0"/>
              <w:kinsoku/>
              <w:wordWrap w:val="0"/>
              <w:topLinePunct w:val="0"/>
              <w:bidi w:val="0"/>
              <w:snapToGrid/>
              <w:spacing w:line="560" w:lineRule="exact"/>
              <w:jc w:val="center"/>
              <w:rPr>
                <w:rFonts w:hint="eastAsia" w:ascii="宋体" w:hAnsi="宋体" w:eastAsia="宋体" w:cs="宋体"/>
                <w:kern w:val="2"/>
                <w:sz w:val="24"/>
                <w:szCs w:val="24"/>
                <w:lang w:val="en-US" w:eastAsia="zh-CN"/>
              </w:rPr>
            </w:pPr>
          </w:p>
        </w:tc>
        <w:tc>
          <w:tcPr>
            <w:tcW w:w="2364" w:type="dxa"/>
            <w:tcBorders>
              <w:top w:val="nil"/>
              <w:left w:val="nil"/>
              <w:bottom w:val="single" w:color="auto" w:sz="4" w:space="0"/>
              <w:right w:val="single" w:color="auto" w:sz="4" w:space="0"/>
            </w:tcBorders>
            <w:vAlign w:val="center"/>
          </w:tcPr>
          <w:p w14:paraId="7479F495">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lang w:eastAsia="zh-CN"/>
              </w:rPr>
            </w:pPr>
          </w:p>
        </w:tc>
      </w:tr>
      <w:tr w14:paraId="0AA54646">
        <w:tblPrEx>
          <w:tblCellMar>
            <w:top w:w="0" w:type="dxa"/>
            <w:left w:w="108" w:type="dxa"/>
            <w:bottom w:w="0" w:type="dxa"/>
            <w:right w:w="108" w:type="dxa"/>
          </w:tblCellMar>
        </w:tblPrEx>
        <w:trPr>
          <w:trHeight w:val="870" w:hRule="atLeast"/>
        </w:trPr>
        <w:tc>
          <w:tcPr>
            <w:tcW w:w="3537" w:type="dxa"/>
            <w:gridSpan w:val="3"/>
            <w:tcBorders>
              <w:top w:val="single" w:color="auto" w:sz="4" w:space="0"/>
              <w:left w:val="single" w:color="auto" w:sz="4" w:space="0"/>
              <w:bottom w:val="single" w:color="auto" w:sz="4" w:space="0"/>
              <w:right w:val="single" w:color="auto" w:sz="4" w:space="0"/>
            </w:tcBorders>
            <w:vAlign w:val="center"/>
          </w:tcPr>
          <w:p w14:paraId="3E4C855A">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人民币大写合计（元）</w:t>
            </w:r>
          </w:p>
        </w:tc>
        <w:tc>
          <w:tcPr>
            <w:tcW w:w="6413" w:type="dxa"/>
            <w:gridSpan w:val="4"/>
            <w:tcBorders>
              <w:top w:val="single" w:color="auto" w:sz="4" w:space="0"/>
              <w:left w:val="nil"/>
              <w:bottom w:val="single" w:color="auto" w:sz="4" w:space="0"/>
              <w:right w:val="single" w:color="auto" w:sz="4" w:space="0"/>
            </w:tcBorders>
            <w:vAlign w:val="center"/>
          </w:tcPr>
          <w:p w14:paraId="0F2236FE">
            <w:pPr>
              <w:keepLines w:val="0"/>
              <w:pageBreakBefore w:val="0"/>
              <w:widowControl w:val="0"/>
              <w:kinsoku/>
              <w:topLinePunct w:val="0"/>
              <w:bidi w:val="0"/>
              <w:snapToGrid/>
              <w:spacing w:line="560" w:lineRule="exact"/>
              <w:jc w:val="center"/>
              <w:rPr>
                <w:rFonts w:hint="eastAsia" w:ascii="宋体" w:hAnsi="宋体" w:eastAsia="宋体" w:cs="宋体"/>
                <w:kern w:val="2"/>
                <w:sz w:val="24"/>
                <w:szCs w:val="24"/>
              </w:rPr>
            </w:pPr>
          </w:p>
        </w:tc>
      </w:tr>
      <w:tr w14:paraId="388AFFB1">
        <w:tblPrEx>
          <w:tblCellMar>
            <w:top w:w="0" w:type="dxa"/>
            <w:left w:w="108" w:type="dxa"/>
            <w:bottom w:w="0" w:type="dxa"/>
            <w:right w:w="108" w:type="dxa"/>
          </w:tblCellMar>
        </w:tblPrEx>
        <w:trPr>
          <w:trHeight w:val="2338" w:hRule="atLeast"/>
        </w:trPr>
        <w:tc>
          <w:tcPr>
            <w:tcW w:w="9950" w:type="dxa"/>
            <w:gridSpan w:val="7"/>
            <w:tcBorders>
              <w:top w:val="single" w:color="auto" w:sz="4" w:space="0"/>
              <w:left w:val="single" w:color="auto" w:sz="4" w:space="0"/>
              <w:bottom w:val="single" w:color="auto" w:sz="4" w:space="0"/>
              <w:right w:val="single" w:color="auto" w:sz="4" w:space="0"/>
            </w:tcBorders>
            <w:vAlign w:val="center"/>
          </w:tcPr>
          <w:p w14:paraId="46C31F44">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备注：1、具体数量以甲方根据生产需求所发出的发运通知单为准</w:t>
            </w:r>
            <w:r>
              <w:rPr>
                <w:rFonts w:hint="eastAsia" w:ascii="宋体" w:hAnsi="宋体" w:eastAsia="宋体" w:cs="宋体"/>
                <w:kern w:val="2"/>
                <w:sz w:val="24"/>
                <w:szCs w:val="24"/>
                <w:lang w:val="en-US" w:eastAsia="zh-CN"/>
              </w:rPr>
              <w:t>,如需</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提供其他横幅或纸卷规格的卷筒新闻纸，将另行通知</w:t>
            </w:r>
            <w:r>
              <w:rPr>
                <w:rFonts w:hint="eastAsia" w:ascii="宋体" w:hAnsi="宋体" w:eastAsia="宋体" w:cs="宋体"/>
                <w:kern w:val="2"/>
                <w:sz w:val="24"/>
                <w:szCs w:val="24"/>
              </w:rPr>
              <w:t>。</w:t>
            </w:r>
          </w:p>
          <w:p w14:paraId="69D0F986">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2、单价含税，税率为13%。</w:t>
            </w:r>
          </w:p>
        </w:tc>
      </w:tr>
    </w:tbl>
    <w:p w14:paraId="5296288F">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br w:type="page"/>
      </w:r>
    </w:p>
    <w:p w14:paraId="0D4EA3AB">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二、质量标准：</w:t>
      </w:r>
    </w:p>
    <w:p w14:paraId="2309A309">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1.乙方向甲方销售产品的质量</w:t>
      </w:r>
      <w:r>
        <w:rPr>
          <w:rFonts w:hint="eastAsia" w:ascii="宋体" w:hAnsi="宋体" w:eastAsia="宋体" w:cs="宋体"/>
          <w:kern w:val="2"/>
          <w:sz w:val="24"/>
          <w:szCs w:val="24"/>
          <w:highlight w:val="none"/>
          <w:lang w:val="en-US" w:eastAsia="zh-CN"/>
        </w:rPr>
        <w:t>满足国家相关质保标准</w:t>
      </w:r>
      <w:r>
        <w:rPr>
          <w:rFonts w:hint="eastAsia" w:ascii="宋体" w:hAnsi="宋体" w:eastAsia="宋体" w:cs="宋体"/>
          <w:kern w:val="2"/>
          <w:sz w:val="24"/>
          <w:szCs w:val="24"/>
          <w:highlight w:val="none"/>
        </w:rPr>
        <w:t>或以双方确认质量标准为准。</w:t>
      </w:r>
    </w:p>
    <w:p w14:paraId="4C17C4E1">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2.甲方对纸张品种、规格等有特殊要求的产品，按甲乙双方共同确定的书面质量标准（技术参数）作为质量检测的标准。</w:t>
      </w:r>
    </w:p>
    <w:p w14:paraId="6F1806F8">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三、交货时间：</w:t>
      </w:r>
      <w:r>
        <w:rPr>
          <w:rFonts w:hint="eastAsia" w:ascii="宋体" w:hAnsi="宋体" w:eastAsia="宋体" w:cs="宋体"/>
          <w:kern w:val="2"/>
          <w:sz w:val="24"/>
          <w:szCs w:val="24"/>
          <w:highlight w:val="none"/>
          <w:u w:val="none"/>
          <w:lang w:val="en-US" w:eastAsia="zh-CN"/>
        </w:rPr>
        <w:t>2026年</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val="en-US" w:eastAsia="zh-CN"/>
        </w:rPr>
        <w:t>月</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val="en-US" w:eastAsia="zh-CN"/>
        </w:rPr>
        <w:t>日</w:t>
      </w:r>
      <w:r>
        <w:rPr>
          <w:rFonts w:hint="eastAsia" w:ascii="宋体" w:hAnsi="宋体" w:eastAsia="宋体" w:cs="宋体"/>
          <w:kern w:val="2"/>
          <w:sz w:val="24"/>
          <w:szCs w:val="24"/>
          <w:highlight w:val="none"/>
          <w:u w:val="none"/>
        </w:rPr>
        <w:t>。</w:t>
      </w:r>
    </w:p>
    <w:p w14:paraId="6ECFA980">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lang w:val="en-US"/>
        </w:rPr>
      </w:pPr>
      <w:r>
        <w:rPr>
          <w:rFonts w:hint="eastAsia" w:ascii="宋体" w:hAnsi="宋体" w:eastAsia="宋体" w:cs="宋体"/>
          <w:kern w:val="2"/>
          <w:sz w:val="24"/>
          <w:szCs w:val="24"/>
        </w:rPr>
        <w:t>四、交货地址：</w:t>
      </w:r>
      <w:r>
        <w:rPr>
          <w:rFonts w:hint="eastAsia" w:ascii="宋体" w:hAnsi="宋体" w:eastAsia="宋体" w:cs="宋体"/>
          <w:kern w:val="2"/>
          <w:sz w:val="24"/>
          <w:szCs w:val="24"/>
          <w:highlight w:val="none"/>
          <w:u w:val="single"/>
          <w:lang w:val="en-US" w:eastAsia="zh-CN"/>
        </w:rPr>
        <w:t>云南省昆明市富民县工业园区大营五金建材产业园。</w:t>
      </w:r>
    </w:p>
    <w:p w14:paraId="008EDA1A">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五、</w:t>
      </w:r>
      <w:r>
        <w:rPr>
          <w:rFonts w:hint="eastAsia" w:ascii="宋体" w:hAnsi="宋体" w:eastAsia="宋体" w:cs="宋体"/>
          <w:color w:val="000000" w:themeColor="text1"/>
          <w:kern w:val="2"/>
          <w:sz w:val="24"/>
          <w:szCs w:val="24"/>
          <w14:textFill>
            <w14:solidFill>
              <w14:schemeClr w14:val="tx1"/>
            </w14:solidFill>
          </w14:textFill>
        </w:rPr>
        <w:t>付款日期</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分期付款，6月3</w:t>
      </w:r>
      <w:r>
        <w:rPr>
          <w:rFonts w:hint="eastAsia" w:ascii="宋体" w:hAnsi="宋体" w:cs="宋体"/>
          <w:b w:val="0"/>
          <w:bCs w:val="0"/>
          <w:color w:val="000000" w:themeColor="text1"/>
          <w:kern w:val="2"/>
          <w:sz w:val="24"/>
          <w:szCs w:val="24"/>
          <w:u w:val="single"/>
          <w:lang w:val="en-US" w:eastAsia="zh-CN"/>
          <w14:textFill>
            <w14:solidFill>
              <w14:schemeClr w14:val="tx1"/>
            </w14:solidFill>
          </w14:textFill>
        </w:rPr>
        <w:t>0</w:t>
      </w: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日前支付54万，7月31日前支付53万元，8月31日前支付53万元</w:t>
      </w:r>
      <w:r>
        <w:rPr>
          <w:rFonts w:hint="eastAsia" w:ascii="宋体" w:hAnsi="宋体" w:cs="宋体"/>
          <w:b w:val="0"/>
          <w:bCs w:val="0"/>
          <w:color w:val="000000" w:themeColor="text1"/>
          <w:kern w:val="2"/>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p>
    <w:p w14:paraId="33468488">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六、</w:t>
      </w:r>
      <w:r>
        <w:rPr>
          <w:rFonts w:hint="eastAsia" w:ascii="宋体" w:hAnsi="宋体" w:eastAsia="宋体" w:cs="宋体"/>
          <w:kern w:val="2"/>
          <w:sz w:val="24"/>
          <w:szCs w:val="24"/>
        </w:rPr>
        <w:t>履约期限</w:t>
      </w:r>
      <w:r>
        <w:rPr>
          <w:rFonts w:hint="eastAsia" w:ascii="宋体" w:hAnsi="宋体" w:eastAsia="宋体" w:cs="宋体"/>
          <w:kern w:val="2"/>
          <w:sz w:val="24"/>
          <w:szCs w:val="24"/>
          <w:lang w:eastAsia="zh-CN"/>
        </w:rPr>
        <w:t>：</w:t>
      </w:r>
      <w:r>
        <w:rPr>
          <w:rFonts w:hint="eastAsia" w:ascii="宋体" w:hAnsi="宋体" w:eastAsia="宋体" w:cs="宋体"/>
          <w:b w:val="0"/>
          <w:bCs w:val="0"/>
          <w:kern w:val="2"/>
          <w:sz w:val="24"/>
          <w:szCs w:val="24"/>
          <w:u w:val="single"/>
          <w:lang w:val="en-US" w:eastAsia="zh-CN"/>
        </w:rPr>
        <w:t xml:space="preserve">                                   </w:t>
      </w:r>
    </w:p>
    <w:p w14:paraId="312A6E53">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七、</w:t>
      </w:r>
      <w:r>
        <w:rPr>
          <w:rFonts w:hint="eastAsia" w:ascii="宋体" w:hAnsi="宋体" w:eastAsia="宋体" w:cs="宋体"/>
          <w:color w:val="000000" w:themeColor="text1"/>
          <w:kern w:val="2"/>
          <w:sz w:val="24"/>
          <w:szCs w:val="24"/>
          <w14:textFill>
            <w14:solidFill>
              <w14:schemeClr w14:val="tx1"/>
            </w14:solidFill>
          </w14:textFill>
        </w:rPr>
        <w:t>验收日期</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p>
    <w:p w14:paraId="20522CC2">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八、</w:t>
      </w:r>
      <w:r>
        <w:rPr>
          <w:rFonts w:hint="eastAsia" w:ascii="宋体" w:hAnsi="宋体" w:eastAsia="宋体" w:cs="宋体"/>
          <w:color w:val="000000" w:themeColor="text1"/>
          <w:kern w:val="2"/>
          <w:sz w:val="24"/>
          <w:szCs w:val="24"/>
          <w14:textFill>
            <w14:solidFill>
              <w14:schemeClr w14:val="tx1"/>
            </w14:solidFill>
          </w14:textFill>
        </w:rPr>
        <w:t>完成支付的时间</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2026年</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日</w:t>
      </w:r>
      <w:r>
        <w:rPr>
          <w:rFonts w:hint="eastAsia" w:ascii="宋体" w:hAnsi="宋体" w:eastAsia="宋体" w:cs="宋体"/>
          <w:color w:val="000000" w:themeColor="text1"/>
          <w:kern w:val="2"/>
          <w:sz w:val="24"/>
          <w:szCs w:val="24"/>
          <w14:textFill>
            <w14:solidFill>
              <w14:schemeClr w14:val="tx1"/>
            </w14:solidFill>
          </w14:textFill>
        </w:rPr>
        <w:t>或验</w:t>
      </w:r>
      <w:r>
        <w:rPr>
          <w:rFonts w:hint="eastAsia" w:ascii="宋体" w:hAnsi="宋体" w:eastAsia="宋体" w:cs="宋体"/>
          <w:color w:val="000000" w:themeColor="text1"/>
          <w:kern w:val="2"/>
          <w:sz w:val="24"/>
          <w:szCs w:val="24"/>
          <w:highlight w:val="none"/>
          <w14:textFill>
            <w14:solidFill>
              <w14:schemeClr w14:val="tx1"/>
            </w14:solidFill>
          </w14:textFill>
        </w:rPr>
        <w:t>收后</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日完成</w:t>
      </w:r>
      <w:r>
        <w:rPr>
          <w:rFonts w:hint="eastAsia" w:ascii="宋体" w:hAnsi="宋体" w:eastAsia="宋体" w:cs="宋体"/>
          <w:color w:val="000000" w:themeColor="text1"/>
          <w:kern w:val="2"/>
          <w:sz w:val="24"/>
          <w:szCs w:val="24"/>
          <w14:textFill>
            <w14:solidFill>
              <w14:schemeClr w14:val="tx1"/>
            </w14:solidFill>
          </w14:textFill>
        </w:rPr>
        <w:t>交付。</w:t>
      </w:r>
      <w:r>
        <w:rPr>
          <w:rFonts w:hint="eastAsia" w:ascii="宋体" w:hAnsi="宋体" w:cs="宋体"/>
          <w:b w:val="0"/>
          <w:bCs w:val="0"/>
          <w:color w:val="000000" w:themeColor="text1"/>
          <w:kern w:val="2"/>
          <w:sz w:val="24"/>
          <w:szCs w:val="24"/>
          <w:u w:val="single"/>
          <w:lang w:val="en-US" w:eastAsia="zh-CN"/>
          <w14:textFill>
            <w14:solidFill>
              <w14:schemeClr w14:val="tx1"/>
            </w14:solidFill>
          </w14:textFill>
        </w:rPr>
        <w:t>实际支付时间以市本级财政资金指标下达时间为准。</w:t>
      </w:r>
    </w:p>
    <w:p w14:paraId="05CC53E5">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九</w:t>
      </w:r>
      <w:r>
        <w:rPr>
          <w:rFonts w:hint="eastAsia" w:ascii="宋体" w:hAnsi="宋体" w:eastAsia="宋体" w:cs="宋体"/>
          <w:kern w:val="2"/>
          <w:sz w:val="24"/>
          <w:szCs w:val="24"/>
        </w:rPr>
        <w:t>、结算方式：甲方收到货物及乙方开具的增值税专用发票后以电汇支付货款。</w:t>
      </w:r>
    </w:p>
    <w:p w14:paraId="03AFAC98">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十</w:t>
      </w:r>
      <w:r>
        <w:rPr>
          <w:rFonts w:hint="eastAsia" w:ascii="宋体" w:hAnsi="宋体" w:eastAsia="宋体" w:cs="宋体"/>
          <w:kern w:val="2"/>
          <w:sz w:val="24"/>
          <w:szCs w:val="24"/>
        </w:rPr>
        <w:t>、验收标准</w:t>
      </w:r>
    </w:p>
    <w:p w14:paraId="50FE3227">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1、甲方按双方共同确定的质量标准进行验收。</w:t>
      </w:r>
    </w:p>
    <w:p w14:paraId="1659B8EE">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2、甲方按规定提出产品质量异议并经双方确认的，由双方协商选择降价、换货、退货、赔偿等方式处理。</w:t>
      </w:r>
    </w:p>
    <w:p w14:paraId="03E44174">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十一</w:t>
      </w:r>
      <w:r>
        <w:rPr>
          <w:rFonts w:hint="eastAsia" w:ascii="宋体" w:hAnsi="宋体" w:eastAsia="宋体" w:cs="宋体"/>
          <w:kern w:val="2"/>
          <w:sz w:val="24"/>
          <w:szCs w:val="24"/>
        </w:rPr>
        <w:t>、包装标准及要求：包装标准符合乙方正常的生产包装标准，</w:t>
      </w:r>
      <w:r>
        <w:rPr>
          <w:rFonts w:hint="eastAsia" w:ascii="宋体" w:hAnsi="宋体" w:eastAsia="宋体" w:cs="宋体"/>
          <w:kern w:val="2"/>
          <w:sz w:val="24"/>
          <w:szCs w:val="24"/>
          <w:lang w:eastAsia="zh-CN"/>
        </w:rPr>
        <w:t>确保不出现水湿雨淋、包装破损，包装</w:t>
      </w:r>
      <w:r>
        <w:rPr>
          <w:rFonts w:hint="eastAsia" w:ascii="宋体" w:hAnsi="宋体" w:eastAsia="宋体" w:cs="宋体"/>
          <w:kern w:val="2"/>
          <w:sz w:val="24"/>
          <w:szCs w:val="24"/>
        </w:rPr>
        <w:t>必须标识清晰明确。</w:t>
      </w:r>
    </w:p>
    <w:p w14:paraId="386CE755">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十二</w:t>
      </w:r>
      <w:r>
        <w:rPr>
          <w:rFonts w:hint="eastAsia" w:ascii="宋体" w:hAnsi="宋体" w:eastAsia="宋体" w:cs="宋体"/>
          <w:kern w:val="2"/>
          <w:sz w:val="24"/>
          <w:szCs w:val="24"/>
        </w:rPr>
        <w:t>、违约责任</w:t>
      </w:r>
    </w:p>
    <w:p w14:paraId="4FE5FC77">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双方应认真遵守合同的约定，任何一方不履行或不完全履行合同内容，违约方承担因违约给对方造成的全部损失。</w:t>
      </w:r>
    </w:p>
    <w:p w14:paraId="3FCC442B">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十三</w:t>
      </w:r>
      <w:r>
        <w:rPr>
          <w:rFonts w:hint="eastAsia" w:ascii="宋体" w:hAnsi="宋体" w:eastAsia="宋体" w:cs="宋体"/>
          <w:kern w:val="2"/>
          <w:sz w:val="24"/>
          <w:szCs w:val="24"/>
        </w:rPr>
        <w:t>、争议的解决方式</w:t>
      </w:r>
    </w:p>
    <w:p w14:paraId="7A709AE7">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双方履行合同过程中，若发生争议由双方当事人协商解决；协商未果的，可申请甲方所在地人民法院裁决。</w:t>
      </w:r>
    </w:p>
    <w:p w14:paraId="7825EC37">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十</w:t>
      </w:r>
      <w:r>
        <w:rPr>
          <w:rFonts w:hint="eastAsia" w:ascii="宋体" w:hAnsi="宋体" w:eastAsia="宋体" w:cs="宋体"/>
          <w:kern w:val="2"/>
          <w:sz w:val="24"/>
          <w:szCs w:val="24"/>
          <w:lang w:val="en-US" w:eastAsia="zh-CN"/>
        </w:rPr>
        <w:t>四</w:t>
      </w:r>
      <w:r>
        <w:rPr>
          <w:rFonts w:hint="eastAsia" w:ascii="宋体" w:hAnsi="宋体" w:eastAsia="宋体" w:cs="宋体"/>
          <w:kern w:val="2"/>
          <w:sz w:val="24"/>
          <w:szCs w:val="24"/>
        </w:rPr>
        <w:t>、本合同有效期</w:t>
      </w:r>
    </w:p>
    <w:p w14:paraId="6131B177">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自</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2026</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日起至</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2026</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日止。</w:t>
      </w:r>
    </w:p>
    <w:p w14:paraId="23B1E9B8">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十</w:t>
      </w:r>
      <w:r>
        <w:rPr>
          <w:rFonts w:hint="eastAsia" w:ascii="宋体" w:hAnsi="宋体" w:eastAsia="宋体" w:cs="宋体"/>
          <w:kern w:val="2"/>
          <w:sz w:val="24"/>
          <w:szCs w:val="24"/>
          <w:lang w:val="en-US" w:eastAsia="zh-CN"/>
        </w:rPr>
        <w:t>五</w:t>
      </w:r>
      <w:r>
        <w:rPr>
          <w:rFonts w:hint="eastAsia" w:ascii="宋体" w:hAnsi="宋体" w:eastAsia="宋体" w:cs="宋体"/>
          <w:kern w:val="2"/>
          <w:sz w:val="24"/>
          <w:szCs w:val="24"/>
        </w:rPr>
        <w:t>、其他约定事项</w:t>
      </w:r>
    </w:p>
    <w:p w14:paraId="55266595">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1、本合同一式</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份，甲方持有</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份，乙方持有</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份，双方签字盖章生效，具有同等法律效力。</w:t>
      </w:r>
    </w:p>
    <w:p w14:paraId="195F484B">
      <w:pPr>
        <w:keepLines w:val="0"/>
        <w:pageBreakBefore w:val="0"/>
        <w:widowControl w:val="0"/>
        <w:kinsoku/>
        <w:topLinePunct w:val="0"/>
        <w:bidi w:val="0"/>
        <w:snapToGri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2、其他未尽事宜，双方另行协商确定。</w:t>
      </w:r>
    </w:p>
    <w:p w14:paraId="2C608D3E">
      <w:pPr>
        <w:widowControl w:val="0"/>
        <w:jc w:val="both"/>
        <w:rPr>
          <w:rFonts w:hint="eastAsia" w:ascii="宋体" w:hAnsi="宋体" w:eastAsia="宋体" w:cs="宋体"/>
          <w:kern w:val="2"/>
          <w:sz w:val="24"/>
          <w:szCs w:val="24"/>
          <w:lang w:val="en-US" w:eastAsia="zh-CN" w:bidi="ar-SA"/>
        </w:rPr>
      </w:pPr>
    </w:p>
    <w:p w14:paraId="2326C776">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---------------------以下无正文内容--------------------</w:t>
      </w:r>
    </w:p>
    <w:p w14:paraId="449D195B">
      <w:pPr>
        <w:widowControl w:val="0"/>
        <w:jc w:val="both"/>
        <w:rPr>
          <w:rFonts w:hint="eastAsia" w:ascii="宋体" w:hAnsi="宋体" w:eastAsia="宋体" w:cs="宋体"/>
          <w:kern w:val="2"/>
          <w:sz w:val="24"/>
          <w:szCs w:val="24"/>
          <w:lang w:val="en-US" w:eastAsia="zh-CN" w:bidi="ar-SA"/>
        </w:rPr>
      </w:pPr>
    </w:p>
    <w:p w14:paraId="22C4A643">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br w:type="page"/>
      </w:r>
    </w:p>
    <w:p w14:paraId="1080F7A1">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甲方（盖章）：</w:t>
      </w:r>
      <w:r>
        <w:rPr>
          <w:rFonts w:hint="eastAsia" w:ascii="宋体" w:hAnsi="宋体" w:eastAsia="宋体" w:cs="宋体"/>
          <w:kern w:val="2"/>
          <w:sz w:val="24"/>
          <w:szCs w:val="24"/>
          <w:u w:val="single"/>
          <w:lang w:val="en-US" w:eastAsia="zh-CN" w:bidi="ar-SA"/>
        </w:rPr>
        <w:t xml:space="preserve">  昆明市融媒体中心               </w:t>
      </w:r>
    </w:p>
    <w:p w14:paraId="492DA92A">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kern w:val="2"/>
          <w:sz w:val="24"/>
          <w:szCs w:val="24"/>
          <w:u w:val="single"/>
          <w:lang w:val="en-US" w:eastAsia="zh-CN" w:bidi="ar-SA"/>
        </w:rPr>
        <w:t xml:space="preserve">     云南省昆明市西山区丹霞路198号 </w:t>
      </w:r>
    </w:p>
    <w:p w14:paraId="4A2A7FA3">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甲方法定代表人或授权代表：</w:t>
      </w:r>
      <w:r>
        <w:rPr>
          <w:rFonts w:hint="eastAsia" w:ascii="宋体" w:hAnsi="宋体" w:eastAsia="宋体" w:cs="宋体"/>
          <w:kern w:val="2"/>
          <w:sz w:val="24"/>
          <w:szCs w:val="24"/>
          <w:u w:val="single"/>
          <w:lang w:val="en-US" w:eastAsia="zh-CN" w:bidi="ar-SA"/>
        </w:rPr>
        <w:t xml:space="preserve">                    </w:t>
      </w:r>
    </w:p>
    <w:p w14:paraId="18DECD55">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电    话：</w:t>
      </w:r>
      <w:r>
        <w:rPr>
          <w:rFonts w:hint="eastAsia" w:ascii="宋体" w:hAnsi="宋体" w:eastAsia="宋体" w:cs="宋体"/>
          <w:kern w:val="2"/>
          <w:sz w:val="24"/>
          <w:szCs w:val="24"/>
          <w:u w:val="single"/>
          <w:lang w:val="en-US" w:eastAsia="zh-CN" w:bidi="ar-SA"/>
        </w:rPr>
        <w:t xml:space="preserve">     0871-65391707                  </w:t>
      </w:r>
    </w:p>
    <w:p w14:paraId="6D2A7884">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w:t>
      </w:r>
      <w:r>
        <w:rPr>
          <w:rFonts w:hint="eastAsia" w:ascii="宋体" w:hAnsi="宋体" w:eastAsia="宋体" w:cs="宋体"/>
          <w:kern w:val="2"/>
          <w:sz w:val="24"/>
          <w:szCs w:val="24"/>
          <w:u w:val="single"/>
          <w:lang w:val="en-US" w:eastAsia="zh-CN" w:bidi="ar-SA"/>
        </w:rPr>
        <w:t>中国工商银行股份有限公司昆明白马支行</w:t>
      </w:r>
    </w:p>
    <w:p w14:paraId="67FFB409">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eastAsia="宋体" w:cs="宋体"/>
          <w:kern w:val="2"/>
          <w:sz w:val="24"/>
          <w:szCs w:val="24"/>
          <w:u w:val="single"/>
          <w:lang w:val="en-US" w:eastAsia="zh-CN" w:bidi="ar-SA"/>
        </w:rPr>
        <w:t xml:space="preserve">     2502024729200080906            </w:t>
      </w:r>
    </w:p>
    <w:p w14:paraId="7C2093A7">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    期：</w:t>
      </w:r>
      <w:r>
        <w:rPr>
          <w:rFonts w:hint="eastAsia" w:ascii="宋体" w:hAnsi="宋体" w:eastAsia="宋体" w:cs="宋体"/>
          <w:kern w:val="2"/>
          <w:sz w:val="24"/>
          <w:szCs w:val="24"/>
          <w:u w:val="single"/>
          <w:lang w:val="en-US" w:eastAsia="zh-CN" w:bidi="ar-SA"/>
        </w:rPr>
        <w:t xml:space="preserve">                                    </w:t>
      </w:r>
    </w:p>
    <w:p w14:paraId="331C2178">
      <w:pPr>
        <w:keepNext w:val="0"/>
        <w:keepLines w:val="0"/>
        <w:pageBreakBefore w:val="0"/>
        <w:widowControl w:val="0"/>
        <w:kinsoku/>
        <w:wordWrap/>
        <w:overflowPunct/>
        <w:topLinePunct w:val="0"/>
        <w:autoSpaceDE/>
        <w:autoSpaceDN/>
        <w:bidi w:val="0"/>
        <w:adjustRightInd/>
        <w:snapToGrid/>
        <w:spacing w:line="800" w:lineRule="exact"/>
        <w:ind w:firstLine="480"/>
        <w:jc w:val="both"/>
        <w:textAlignment w:val="auto"/>
        <w:outlineLvl w:val="9"/>
        <w:rPr>
          <w:rFonts w:hint="eastAsia" w:ascii="宋体" w:hAnsi="宋体" w:eastAsia="宋体" w:cs="宋体"/>
          <w:kern w:val="2"/>
          <w:sz w:val="24"/>
          <w:szCs w:val="24"/>
          <w:lang w:val="en-US" w:eastAsia="zh-CN" w:bidi="ar-SA"/>
        </w:rPr>
      </w:pPr>
    </w:p>
    <w:p w14:paraId="27B89DDC">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乙方（盖章）：</w:t>
      </w:r>
      <w:r>
        <w:rPr>
          <w:rFonts w:hint="eastAsia" w:ascii="宋体" w:hAnsi="宋体" w:eastAsia="宋体" w:cs="宋体"/>
          <w:kern w:val="2"/>
          <w:sz w:val="24"/>
          <w:szCs w:val="24"/>
          <w:u w:val="single"/>
          <w:lang w:val="en-US" w:eastAsia="zh-CN" w:bidi="ar-SA"/>
        </w:rPr>
        <w:t xml:space="preserve">                                 </w:t>
      </w:r>
    </w:p>
    <w:p w14:paraId="47185356">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kern w:val="2"/>
          <w:sz w:val="24"/>
          <w:szCs w:val="24"/>
          <w:u w:val="single"/>
          <w:lang w:val="en-US" w:eastAsia="zh-CN" w:bidi="ar-SA"/>
        </w:rPr>
        <w:t xml:space="preserve">                                    </w:t>
      </w:r>
    </w:p>
    <w:p w14:paraId="671FFF17">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乙方法定代表人或授权代表：</w:t>
      </w:r>
      <w:r>
        <w:rPr>
          <w:rFonts w:hint="eastAsia" w:ascii="宋体" w:hAnsi="宋体" w:eastAsia="宋体" w:cs="宋体"/>
          <w:kern w:val="2"/>
          <w:sz w:val="24"/>
          <w:szCs w:val="24"/>
          <w:u w:val="single"/>
          <w:lang w:val="en-US" w:eastAsia="zh-CN" w:bidi="ar-SA"/>
        </w:rPr>
        <w:t xml:space="preserve">                    </w:t>
      </w:r>
    </w:p>
    <w:p w14:paraId="36A26B42">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    话：</w:t>
      </w:r>
      <w:r>
        <w:rPr>
          <w:rFonts w:hint="eastAsia" w:ascii="宋体" w:hAnsi="宋体" w:eastAsia="宋体" w:cs="宋体"/>
          <w:kern w:val="2"/>
          <w:sz w:val="24"/>
          <w:szCs w:val="24"/>
          <w:u w:val="single"/>
          <w:lang w:val="en-US" w:eastAsia="zh-CN" w:bidi="ar-SA"/>
        </w:rPr>
        <w:t xml:space="preserve">                                    </w:t>
      </w:r>
    </w:p>
    <w:p w14:paraId="63BB250A">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w:t>
      </w:r>
      <w:r>
        <w:rPr>
          <w:rFonts w:hint="eastAsia" w:ascii="宋体" w:hAnsi="宋体" w:eastAsia="宋体" w:cs="宋体"/>
          <w:kern w:val="2"/>
          <w:sz w:val="24"/>
          <w:szCs w:val="24"/>
          <w:u w:val="single"/>
          <w:lang w:val="en-US" w:eastAsia="zh-CN" w:bidi="ar-SA"/>
        </w:rPr>
        <w:t xml:space="preserve">                                    </w:t>
      </w:r>
    </w:p>
    <w:p w14:paraId="5DC7F7E5">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eastAsia="宋体" w:cs="宋体"/>
          <w:kern w:val="2"/>
          <w:sz w:val="24"/>
          <w:szCs w:val="24"/>
          <w:u w:val="single"/>
          <w:lang w:val="en-US" w:eastAsia="zh-CN" w:bidi="ar-SA"/>
        </w:rPr>
        <w:t xml:space="preserve">                                    </w:t>
      </w:r>
    </w:p>
    <w:p w14:paraId="5263B9A6">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both"/>
        <w:textAlignment w:val="auto"/>
        <w:outlineLvl w:val="9"/>
        <w:rPr>
          <w:rFonts w:hint="eastAsia" w:ascii="仿宋_GB2312" w:hAnsi="仿宋_GB2312" w:eastAsia="仿宋_GB2312" w:cs="仿宋_GB2312"/>
          <w:kern w:val="2"/>
          <w:sz w:val="32"/>
          <w:szCs w:val="32"/>
          <w:u w:val="single"/>
          <w:lang w:val="en-US" w:eastAsia="zh-CN" w:bidi="ar-SA"/>
        </w:rPr>
      </w:pPr>
      <w:r>
        <w:rPr>
          <w:rFonts w:hint="eastAsia" w:ascii="宋体" w:hAnsi="宋体" w:eastAsia="宋体" w:cs="宋体"/>
          <w:kern w:val="2"/>
          <w:sz w:val="24"/>
          <w:szCs w:val="24"/>
          <w:lang w:val="en-US" w:eastAsia="zh-CN" w:bidi="ar-SA"/>
        </w:rPr>
        <w:t>日    期：</w:t>
      </w:r>
      <w:r>
        <w:rPr>
          <w:rFonts w:hint="eastAsia" w:ascii="宋体" w:hAnsi="宋体" w:eastAsia="宋体" w:cs="宋体"/>
          <w:kern w:val="2"/>
          <w:sz w:val="24"/>
          <w:szCs w:val="24"/>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p>
    <w:p w14:paraId="4D07A151">
      <w:pPr>
        <w:keepNext w:val="0"/>
        <w:keepLines w:val="0"/>
        <w:pageBreakBefore w:val="0"/>
        <w:widowControl w:val="0"/>
        <w:kinsoku/>
        <w:wordWrap/>
        <w:overflowPunct/>
        <w:topLinePunct w:val="0"/>
        <w:autoSpaceDE/>
        <w:autoSpaceDN/>
        <w:bidi w:val="0"/>
        <w:adjustRightInd/>
        <w:snapToGrid/>
        <w:spacing w:line="800" w:lineRule="exact"/>
        <w:ind w:firstLine="420" w:firstLineChars="200"/>
        <w:jc w:val="center"/>
        <w:textAlignment w:val="auto"/>
        <w:outlineLvl w:val="9"/>
        <w:rPr>
          <w:rFonts w:ascii="宋体" w:hAnsi="宋体" w:eastAsia="宋体"/>
        </w:rPr>
      </w:pPr>
      <w:r>
        <w:rPr>
          <w:rFonts w:ascii="宋体" w:hAnsi="宋体" w:eastAsia="宋体"/>
          <w:color w:val="000000"/>
        </w:rPr>
        <w:br w:type="page"/>
      </w:r>
      <w:bookmarkStart w:id="196" w:name="_Toc128867388"/>
      <w:r>
        <w:rPr>
          <w:rFonts w:hint="eastAsia" w:ascii="宋体" w:hAnsi="宋体" w:eastAsia="宋体"/>
          <w:b/>
          <w:bCs/>
          <w:spacing w:val="10"/>
          <w:sz w:val="42"/>
          <w:szCs w:val="48"/>
        </w:rPr>
        <w:t>廉  政  承  诺  书</w:t>
      </w:r>
      <w:bookmarkEnd w:id="196"/>
    </w:p>
    <w:p w14:paraId="545FA059">
      <w:pPr>
        <w:spacing w:line="360" w:lineRule="auto"/>
        <w:rPr>
          <w:rFonts w:ascii="宋体" w:hAnsi="宋体" w:eastAsia="宋体"/>
          <w:sz w:val="24"/>
          <w:szCs w:val="24"/>
        </w:rPr>
      </w:pPr>
      <w:r>
        <w:rPr>
          <w:rFonts w:hint="eastAsia" w:ascii="宋体" w:hAnsi="宋体" w:eastAsia="宋体"/>
          <w:sz w:val="24"/>
          <w:szCs w:val="24"/>
        </w:rPr>
        <w:t>甲方：</w:t>
      </w:r>
    </w:p>
    <w:p w14:paraId="17B1AA94">
      <w:pPr>
        <w:spacing w:line="360" w:lineRule="auto"/>
        <w:rPr>
          <w:rFonts w:ascii="宋体" w:hAnsi="宋体" w:eastAsia="宋体"/>
          <w:sz w:val="24"/>
          <w:szCs w:val="24"/>
        </w:rPr>
      </w:pPr>
      <w:r>
        <w:rPr>
          <w:rFonts w:hint="eastAsia" w:ascii="宋体" w:hAnsi="宋体" w:eastAsia="宋体"/>
          <w:sz w:val="24"/>
          <w:szCs w:val="24"/>
        </w:rPr>
        <w:t xml:space="preserve">乙方： </w:t>
      </w:r>
    </w:p>
    <w:p w14:paraId="26390432">
      <w:pPr>
        <w:spacing w:line="360" w:lineRule="auto"/>
        <w:ind w:firstLine="480" w:firstLineChars="200"/>
        <w:rPr>
          <w:rFonts w:ascii="宋体" w:hAnsi="宋体" w:eastAsia="宋体"/>
          <w:sz w:val="24"/>
          <w:szCs w:val="24"/>
        </w:rPr>
      </w:pPr>
      <w:r>
        <w:rPr>
          <w:rFonts w:hint="eastAsia" w:ascii="宋体" w:hAnsi="宋体" w:eastAsia="宋体"/>
          <w:sz w:val="24"/>
          <w:szCs w:val="24"/>
        </w:rPr>
        <w:t>为加强</w:t>
      </w:r>
      <w:r>
        <w:rPr>
          <w:rFonts w:hint="eastAsia" w:ascii="宋体" w:hAnsi="宋体"/>
          <w:sz w:val="24"/>
          <w:szCs w:val="24"/>
          <w:u w:val="none"/>
          <w:lang w:val="en-US" w:eastAsia="zh-CN"/>
        </w:rPr>
        <w:t>昆明市融媒体中心</w:t>
      </w:r>
      <w:r>
        <w:rPr>
          <w:rFonts w:hint="eastAsia" w:ascii="宋体" w:hAnsi="宋体" w:eastAsia="宋体"/>
          <w:sz w:val="24"/>
          <w:szCs w:val="24"/>
        </w:rPr>
        <w:t>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ascii="宋体" w:hAnsi="宋体"/>
          <w:sz w:val="24"/>
          <w:szCs w:val="24"/>
          <w:u w:val="single"/>
          <w:lang w:val="en-US" w:eastAsia="zh-CN"/>
        </w:rPr>
        <w:t>昆明市融媒体中心2026年报纸印刷用新闻纸采购</w:t>
      </w:r>
      <w:r>
        <w:rPr>
          <w:rFonts w:hint="eastAsia" w:ascii="宋体" w:hAnsi="宋体" w:eastAsia="宋体"/>
          <w:sz w:val="24"/>
          <w:szCs w:val="24"/>
        </w:rPr>
        <w:t>公开招标项目签订《廉政承诺书》，甲、乙双方共同信守。</w:t>
      </w:r>
    </w:p>
    <w:p w14:paraId="571362EC">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第一条  甲、乙双方共同的承诺</w:t>
      </w:r>
    </w:p>
    <w:p w14:paraId="3C600236">
      <w:pPr>
        <w:spacing w:line="360" w:lineRule="auto"/>
        <w:ind w:firstLine="480" w:firstLineChars="200"/>
        <w:rPr>
          <w:rFonts w:ascii="宋体" w:hAnsi="宋体" w:eastAsia="宋体"/>
          <w:sz w:val="24"/>
          <w:szCs w:val="24"/>
        </w:rPr>
      </w:pPr>
      <w:r>
        <w:rPr>
          <w:rFonts w:hint="eastAsia" w:ascii="宋体" w:hAnsi="宋体" w:eastAsia="宋体"/>
          <w:sz w:val="24"/>
          <w:szCs w:val="24"/>
        </w:rPr>
        <w:t>（一）严格遵守国家关于市场准入、工程建设和物资采购招投标的有关法律法规和相关政策，以及党风廉政建设各项规定。</w:t>
      </w:r>
    </w:p>
    <w:p w14:paraId="455F136D">
      <w:pPr>
        <w:spacing w:line="360" w:lineRule="auto"/>
        <w:ind w:firstLine="480" w:firstLineChars="200"/>
        <w:rPr>
          <w:rFonts w:ascii="宋体" w:hAnsi="宋体" w:eastAsia="宋体"/>
          <w:sz w:val="24"/>
          <w:szCs w:val="24"/>
        </w:rPr>
      </w:pPr>
      <w:r>
        <w:rPr>
          <w:rFonts w:hint="eastAsia" w:ascii="宋体" w:hAnsi="宋体" w:eastAsia="宋体"/>
          <w:sz w:val="24"/>
          <w:szCs w:val="24"/>
        </w:rPr>
        <w:t>（二）严格执行物资采购合同。</w:t>
      </w:r>
    </w:p>
    <w:p w14:paraId="3617FAAB">
      <w:pPr>
        <w:spacing w:line="360" w:lineRule="auto"/>
        <w:ind w:firstLine="480" w:firstLineChars="200"/>
        <w:rPr>
          <w:rFonts w:ascii="宋体" w:hAnsi="宋体" w:eastAsia="宋体"/>
          <w:sz w:val="24"/>
          <w:szCs w:val="24"/>
        </w:rPr>
      </w:pPr>
      <w:r>
        <w:rPr>
          <w:rFonts w:hint="eastAsia" w:ascii="宋体" w:hAnsi="宋体" w:eastAsia="宋体"/>
          <w:sz w:val="24"/>
          <w:szCs w:val="24"/>
        </w:rPr>
        <w:t>（三）项目实施的全过程必须坚持公开、公平、公正、透明诚信的原则（除法律法规另有规定外），不得违反相关法律法规，损害国家、企业和对方利益而谋取不正当利益。</w:t>
      </w:r>
    </w:p>
    <w:p w14:paraId="30DFEDF9">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第二条  甲方的承诺</w:t>
      </w:r>
    </w:p>
    <w:p w14:paraId="63643DC5">
      <w:pPr>
        <w:spacing w:line="360" w:lineRule="auto"/>
        <w:ind w:firstLine="480" w:firstLineChars="200"/>
        <w:rPr>
          <w:rFonts w:ascii="宋体" w:hAnsi="宋体" w:eastAsia="宋体"/>
          <w:sz w:val="24"/>
          <w:szCs w:val="24"/>
        </w:rPr>
      </w:pPr>
      <w:r>
        <w:rPr>
          <w:rFonts w:hint="eastAsia" w:ascii="宋体" w:hAnsi="宋体" w:eastAsia="宋体"/>
          <w:sz w:val="24"/>
          <w:szCs w:val="24"/>
        </w:rPr>
        <w:t>甲方相关领导和工作人员，在工程建设和物资设备采购工作中须严格遵守以下规定：</w:t>
      </w:r>
    </w:p>
    <w:p w14:paraId="67BAAA94">
      <w:pPr>
        <w:spacing w:line="360" w:lineRule="auto"/>
        <w:ind w:firstLine="480" w:firstLineChars="200"/>
        <w:rPr>
          <w:rFonts w:ascii="宋体" w:hAnsi="宋体" w:eastAsia="宋体"/>
          <w:sz w:val="24"/>
          <w:szCs w:val="24"/>
        </w:rPr>
      </w:pPr>
      <w:r>
        <w:rPr>
          <w:rFonts w:hint="eastAsia" w:ascii="宋体" w:hAnsi="宋体" w:eastAsia="宋体"/>
          <w:sz w:val="24"/>
          <w:szCs w:val="24"/>
        </w:rPr>
        <w:t>（一）不准向乙方和相关单位或个人索要或接受回扣、礼金、礼品、好处费、感谢费、有价证券、信用卡和其他支付凭证。</w:t>
      </w:r>
    </w:p>
    <w:p w14:paraId="139A98EB">
      <w:pPr>
        <w:spacing w:line="360" w:lineRule="auto"/>
        <w:ind w:firstLine="480" w:firstLineChars="200"/>
        <w:rPr>
          <w:rFonts w:ascii="宋体" w:hAnsi="宋体" w:eastAsia="宋体"/>
          <w:sz w:val="24"/>
          <w:szCs w:val="24"/>
        </w:rPr>
      </w:pPr>
      <w:r>
        <w:rPr>
          <w:rFonts w:hint="eastAsia" w:ascii="宋体" w:hAnsi="宋体" w:eastAsia="宋体"/>
          <w:sz w:val="24"/>
          <w:szCs w:val="24"/>
        </w:rPr>
        <w:t>（二）不准在乙方和相关单位报销任何由甲方或个人支付的费用。</w:t>
      </w:r>
    </w:p>
    <w:p w14:paraId="42EB952B">
      <w:pPr>
        <w:spacing w:line="360" w:lineRule="auto"/>
        <w:ind w:firstLine="480" w:firstLineChars="200"/>
        <w:rPr>
          <w:rFonts w:ascii="宋体" w:hAnsi="宋体" w:eastAsia="宋体"/>
          <w:sz w:val="24"/>
          <w:szCs w:val="24"/>
        </w:rPr>
      </w:pPr>
      <w:r>
        <w:rPr>
          <w:rFonts w:hint="eastAsia" w:ascii="宋体" w:hAnsi="宋体" w:eastAsia="宋体"/>
          <w:sz w:val="24"/>
          <w:szCs w:val="24"/>
        </w:rPr>
        <w:t>（三）不准要求、暗示和接受乙方和相关单位或个人为个人装修房屋、婚丧嫁娶、配偶子女的工作安排以及出国（境）、旅游等提供方便。</w:t>
      </w:r>
    </w:p>
    <w:p w14:paraId="5393B5F9">
      <w:pPr>
        <w:spacing w:line="360" w:lineRule="auto"/>
        <w:ind w:firstLine="480" w:firstLineChars="200"/>
        <w:rPr>
          <w:rFonts w:ascii="宋体" w:hAnsi="宋体" w:eastAsia="宋体"/>
          <w:sz w:val="24"/>
          <w:szCs w:val="24"/>
        </w:rPr>
      </w:pPr>
      <w:r>
        <w:rPr>
          <w:rFonts w:hint="eastAsia" w:ascii="宋体" w:hAnsi="宋体" w:eastAsia="宋体"/>
          <w:sz w:val="24"/>
          <w:szCs w:val="24"/>
        </w:rPr>
        <w:t>（四）不准参加乙方和相关单位组织的有可能影响公正执行公务的宴请、健身和娱乐等活动。</w:t>
      </w:r>
    </w:p>
    <w:p w14:paraId="30748FA6">
      <w:pPr>
        <w:spacing w:line="360" w:lineRule="auto"/>
        <w:ind w:firstLine="480" w:firstLineChars="200"/>
        <w:rPr>
          <w:rFonts w:ascii="宋体" w:hAnsi="宋体" w:eastAsia="宋体"/>
          <w:sz w:val="24"/>
          <w:szCs w:val="24"/>
        </w:rPr>
      </w:pPr>
      <w:r>
        <w:rPr>
          <w:rFonts w:hint="eastAsia" w:ascii="宋体" w:hAnsi="宋体" w:eastAsia="宋体"/>
          <w:sz w:val="24"/>
          <w:szCs w:val="24"/>
        </w:rPr>
        <w:t>（五）不准向乙方为配偶、子女、亲属、朋友介绍与甲方工程建设和物资采购有关的设备、材料、劳务等经济活动。</w:t>
      </w:r>
    </w:p>
    <w:p w14:paraId="11F01C18">
      <w:pPr>
        <w:spacing w:line="360" w:lineRule="auto"/>
        <w:ind w:firstLine="480" w:firstLineChars="200"/>
        <w:rPr>
          <w:rFonts w:ascii="宋体" w:hAnsi="宋体" w:eastAsia="宋体"/>
          <w:sz w:val="24"/>
          <w:szCs w:val="24"/>
        </w:rPr>
      </w:pPr>
      <w:r>
        <w:rPr>
          <w:rFonts w:hint="eastAsia" w:ascii="宋体" w:hAnsi="宋体" w:eastAsia="宋体"/>
          <w:sz w:val="24"/>
          <w:szCs w:val="24"/>
        </w:rPr>
        <w:t>（六）不得以任何理由向乙方和相关单位推荐分包单位或要求乙方购买工程合同、采购合同规定以外的物资。</w:t>
      </w:r>
    </w:p>
    <w:p w14:paraId="7D30AF1A">
      <w:pPr>
        <w:spacing w:line="360" w:lineRule="auto"/>
        <w:ind w:firstLine="480" w:firstLineChars="200"/>
        <w:rPr>
          <w:rFonts w:ascii="宋体" w:hAnsi="宋体" w:eastAsia="宋体"/>
          <w:sz w:val="24"/>
          <w:szCs w:val="24"/>
        </w:rPr>
      </w:pPr>
      <w:r>
        <w:rPr>
          <w:rFonts w:hint="eastAsia" w:ascii="宋体" w:hAnsi="宋体" w:eastAsia="宋体"/>
          <w:sz w:val="24"/>
          <w:szCs w:val="24"/>
        </w:rPr>
        <w:t>（七）严守保密纪律，禁止私下接触竞标人或透露采购单位保密标底，向不应该知晓的人员透露对</w:t>
      </w:r>
      <w:r>
        <w:rPr>
          <w:rFonts w:hint="eastAsia" w:ascii="宋体" w:hAnsi="宋体" w:eastAsia="宋体"/>
          <w:sz w:val="24"/>
          <w:szCs w:val="24"/>
          <w:lang w:val="en-US" w:eastAsia="zh-CN"/>
        </w:rPr>
        <w:t>招标</w:t>
      </w:r>
      <w:r>
        <w:rPr>
          <w:rFonts w:hint="eastAsia" w:ascii="宋体" w:hAnsi="宋体" w:eastAsia="宋体"/>
          <w:sz w:val="24"/>
          <w:szCs w:val="24"/>
        </w:rPr>
        <w:t>文件的评审、比较和中标候选人的推荐等与评标有关的情况和资料。</w:t>
      </w:r>
    </w:p>
    <w:p w14:paraId="42E73A38">
      <w:pPr>
        <w:spacing w:line="360" w:lineRule="auto"/>
        <w:ind w:firstLine="480" w:firstLineChars="200"/>
        <w:rPr>
          <w:rFonts w:ascii="宋体" w:hAnsi="宋体" w:eastAsia="宋体"/>
          <w:sz w:val="24"/>
          <w:szCs w:val="24"/>
        </w:rPr>
      </w:pPr>
      <w:r>
        <w:rPr>
          <w:rFonts w:hint="eastAsia" w:ascii="宋体" w:hAnsi="宋体" w:eastAsia="宋体"/>
          <w:sz w:val="24"/>
          <w:szCs w:val="24"/>
        </w:rPr>
        <w:t>（八）禁止与招标代理机构、竞标人串通损害采购单位或相关单位利益。</w:t>
      </w:r>
    </w:p>
    <w:p w14:paraId="1A3A1FE8">
      <w:pPr>
        <w:spacing w:line="360" w:lineRule="auto"/>
        <w:ind w:firstLine="480" w:firstLineChars="200"/>
        <w:rPr>
          <w:rFonts w:ascii="宋体" w:hAnsi="宋体" w:eastAsia="宋体"/>
          <w:sz w:val="24"/>
          <w:szCs w:val="24"/>
        </w:rPr>
      </w:pPr>
      <w:r>
        <w:rPr>
          <w:rFonts w:hint="eastAsia" w:ascii="宋体" w:hAnsi="宋体" w:eastAsia="宋体"/>
          <w:sz w:val="24"/>
          <w:szCs w:val="24"/>
        </w:rPr>
        <w:t>（九）禁止其他影响廉洁性、公正性的行为。</w:t>
      </w:r>
    </w:p>
    <w:p w14:paraId="64DED441">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第三条  乙方的承诺</w:t>
      </w:r>
    </w:p>
    <w:p w14:paraId="058178EB">
      <w:pPr>
        <w:spacing w:line="360" w:lineRule="auto"/>
        <w:ind w:firstLine="480" w:firstLineChars="200"/>
        <w:rPr>
          <w:rFonts w:ascii="宋体" w:hAnsi="宋体" w:eastAsia="宋体"/>
          <w:sz w:val="24"/>
          <w:szCs w:val="24"/>
        </w:rPr>
      </w:pPr>
      <w:r>
        <w:rPr>
          <w:rFonts w:hint="eastAsia" w:ascii="宋体" w:hAnsi="宋体" w:eastAsia="宋体"/>
          <w:sz w:val="24"/>
          <w:szCs w:val="24"/>
        </w:rPr>
        <w:t>乙方应按照有关法律法规和程序开展业务工作，严格执行工程建设和物资采购的有关方针、政策，尤其是有关建筑施工安装的强制性标准和规范，并遵守以下规定：</w:t>
      </w:r>
    </w:p>
    <w:p w14:paraId="4475D878">
      <w:pPr>
        <w:spacing w:line="360" w:lineRule="auto"/>
        <w:ind w:firstLine="480" w:firstLineChars="200"/>
        <w:rPr>
          <w:rFonts w:ascii="宋体" w:hAnsi="宋体" w:eastAsia="宋体"/>
          <w:sz w:val="24"/>
          <w:szCs w:val="24"/>
        </w:rPr>
      </w:pPr>
      <w:r>
        <w:rPr>
          <w:rFonts w:hint="eastAsia" w:ascii="宋体" w:hAnsi="宋体" w:eastAsia="宋体"/>
          <w:sz w:val="24"/>
          <w:szCs w:val="24"/>
        </w:rPr>
        <w:t>（一）不准以任何理由向甲方、相关单位（部门）和工作人员赠送礼金、有价证券、贵重物品、回扣、好处费、感谢费等。</w:t>
      </w:r>
    </w:p>
    <w:p w14:paraId="7068518B">
      <w:pPr>
        <w:spacing w:line="360" w:lineRule="auto"/>
        <w:ind w:firstLine="480" w:firstLineChars="200"/>
        <w:rPr>
          <w:rFonts w:ascii="宋体" w:hAnsi="宋体" w:eastAsia="宋体"/>
          <w:sz w:val="24"/>
          <w:szCs w:val="24"/>
        </w:rPr>
      </w:pPr>
      <w:r>
        <w:rPr>
          <w:rFonts w:hint="eastAsia" w:ascii="宋体" w:hAnsi="宋体" w:eastAsia="宋体"/>
          <w:sz w:val="24"/>
          <w:szCs w:val="24"/>
        </w:rPr>
        <w:t>（二）不准以任何理由为甲方、相关单位（部门）和工作人员报销应由对方或个人支付的费用。</w:t>
      </w:r>
    </w:p>
    <w:p w14:paraId="0A65A2FF">
      <w:pPr>
        <w:spacing w:line="360" w:lineRule="auto"/>
        <w:ind w:firstLine="480" w:firstLineChars="200"/>
        <w:rPr>
          <w:rFonts w:ascii="宋体" w:hAnsi="宋体" w:eastAsia="宋体"/>
          <w:sz w:val="24"/>
          <w:szCs w:val="24"/>
        </w:rPr>
      </w:pPr>
      <w:r>
        <w:rPr>
          <w:rFonts w:hint="eastAsia" w:ascii="宋体" w:hAnsi="宋体" w:eastAsia="宋体"/>
          <w:sz w:val="24"/>
          <w:szCs w:val="24"/>
        </w:rPr>
        <w:t>（三）不准（暗示）向甲方、相关单位或个人在房屋装修、婚丧嫁娶、配偶子女的工作安排以及出国（境）、旅游等方面提供方便。</w:t>
      </w:r>
    </w:p>
    <w:p w14:paraId="5231A95B">
      <w:pPr>
        <w:spacing w:line="360" w:lineRule="auto"/>
        <w:ind w:firstLine="480" w:firstLineChars="200"/>
        <w:rPr>
          <w:rFonts w:ascii="宋体" w:hAnsi="宋体" w:eastAsia="宋体"/>
          <w:sz w:val="24"/>
          <w:szCs w:val="24"/>
        </w:rPr>
      </w:pPr>
      <w:r>
        <w:rPr>
          <w:rFonts w:hint="eastAsia" w:ascii="宋体" w:hAnsi="宋体" w:eastAsia="宋体"/>
          <w:sz w:val="24"/>
          <w:szCs w:val="24"/>
        </w:rPr>
        <w:t>（四）不准以任何理由为甲方、相关单位或个人提供和安排有可能影响公正执行公务的宴请、健身和娱乐等活动。</w:t>
      </w:r>
    </w:p>
    <w:p w14:paraId="2F8CF34E">
      <w:pPr>
        <w:spacing w:line="360" w:lineRule="auto"/>
        <w:ind w:firstLine="480" w:firstLineChars="200"/>
        <w:rPr>
          <w:rFonts w:ascii="宋体" w:hAnsi="宋体" w:eastAsia="宋体"/>
          <w:sz w:val="24"/>
          <w:szCs w:val="24"/>
        </w:rPr>
      </w:pPr>
      <w:r>
        <w:rPr>
          <w:rFonts w:hint="eastAsia" w:ascii="宋体" w:hAnsi="宋体" w:eastAsia="宋体"/>
          <w:sz w:val="24"/>
          <w:szCs w:val="24"/>
        </w:rPr>
        <w:t>（五）禁止与招标代理机构、采购人串通损害采购单位或相关单位利益。</w:t>
      </w:r>
    </w:p>
    <w:p w14:paraId="2ED3B3CD">
      <w:pPr>
        <w:spacing w:line="360" w:lineRule="auto"/>
        <w:ind w:firstLine="480" w:firstLineChars="200"/>
        <w:rPr>
          <w:rFonts w:ascii="宋体" w:hAnsi="宋体" w:eastAsia="宋体"/>
          <w:sz w:val="24"/>
          <w:szCs w:val="24"/>
        </w:rPr>
      </w:pPr>
      <w:r>
        <w:rPr>
          <w:rFonts w:hint="eastAsia" w:ascii="宋体" w:hAnsi="宋体" w:eastAsia="宋体"/>
          <w:sz w:val="24"/>
          <w:szCs w:val="24"/>
        </w:rPr>
        <w:t>（六）禁止其他影响廉洁性、公正性的行为。</w:t>
      </w:r>
    </w:p>
    <w:p w14:paraId="7C3F69BA">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第四条  双方违反承诺的责任</w:t>
      </w:r>
    </w:p>
    <w:p w14:paraId="3B1A8CAD">
      <w:pPr>
        <w:spacing w:line="360" w:lineRule="auto"/>
        <w:ind w:firstLine="480" w:firstLineChars="200"/>
        <w:rPr>
          <w:rFonts w:ascii="宋体" w:hAnsi="宋体" w:eastAsia="宋体"/>
          <w:sz w:val="24"/>
          <w:szCs w:val="24"/>
        </w:rPr>
      </w:pPr>
      <w:r>
        <w:rPr>
          <w:rFonts w:hint="eastAsia" w:ascii="宋体" w:hAnsi="宋体" w:eastAsia="宋体"/>
          <w:sz w:val="24"/>
          <w:szCs w:val="24"/>
        </w:rPr>
        <w:t>（一）甲方工作人员违反本承诺书规定行为的，按照管理权限，依据有关法律法规和规定给予党纪政纪处分或组织处理。涉嫌犯罪的，移交司法机关处理。给乙方造成经济损失，应依法及合同规定予以赔偿。</w:t>
      </w:r>
    </w:p>
    <w:p w14:paraId="0F56C18C">
      <w:pPr>
        <w:spacing w:line="360" w:lineRule="auto"/>
        <w:ind w:firstLine="480" w:firstLineChars="200"/>
        <w:rPr>
          <w:rFonts w:ascii="宋体" w:hAnsi="宋体" w:eastAsia="宋体"/>
          <w:sz w:val="24"/>
          <w:szCs w:val="24"/>
        </w:rPr>
      </w:pPr>
      <w:r>
        <w:rPr>
          <w:rFonts w:hint="eastAsia" w:ascii="宋体" w:hAnsi="宋体" w:eastAsia="宋体"/>
          <w:sz w:val="24"/>
          <w:szCs w:val="24"/>
        </w:rPr>
        <w:t>（二）乙方工作人员违反本承诺书规定的，一至三年内不允许参与甲方工程建设和物资采购活动，给甲方造成经济损失的，应依法及合同规定予以赔偿。</w:t>
      </w:r>
    </w:p>
    <w:p w14:paraId="4A199403">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第五条  本承诺书作为合同的附件一并执行。</w:t>
      </w:r>
    </w:p>
    <w:p w14:paraId="5D915138">
      <w:pPr>
        <w:pStyle w:val="2"/>
        <w:ind w:firstLine="482" w:firstLineChars="200"/>
        <w:rPr>
          <w:rFonts w:ascii="宋体" w:hAnsi="宋体" w:eastAsia="宋体"/>
          <w:b/>
          <w:bCs/>
          <w:sz w:val="24"/>
        </w:rPr>
      </w:pPr>
      <w:r>
        <w:rPr>
          <w:rFonts w:hint="eastAsia" w:ascii="宋体" w:hAnsi="宋体" w:eastAsia="宋体"/>
          <w:b/>
          <w:bCs/>
          <w:sz w:val="24"/>
        </w:rPr>
        <w:t>第六条  本承诺书的有效期为甲乙双方签署之日起至该工程项目或该采购项目完成为止。</w:t>
      </w:r>
    </w:p>
    <w:p w14:paraId="5AC1C36B">
      <w:pPr>
        <w:pStyle w:val="2"/>
        <w:ind w:left="1684" w:leftChars="228" w:hanging="1205" w:hangingChars="500"/>
        <w:rPr>
          <w:rFonts w:ascii="宋体" w:hAnsi="宋体" w:eastAsia="宋体"/>
          <w:b/>
          <w:bCs/>
          <w:sz w:val="24"/>
        </w:rPr>
      </w:pPr>
      <w:r>
        <w:rPr>
          <w:rFonts w:hint="eastAsia" w:ascii="宋体" w:hAnsi="宋体" w:eastAsia="宋体"/>
          <w:b/>
          <w:bCs/>
          <w:sz w:val="24"/>
        </w:rPr>
        <w:t>第七条  本承诺书一式</w:t>
      </w:r>
      <w:r>
        <w:rPr>
          <w:rFonts w:hint="eastAsia" w:hAnsi="宋体" w:eastAsia="宋体"/>
          <w:b/>
          <w:bCs/>
          <w:sz w:val="24"/>
          <w:u w:val="single"/>
          <w:lang w:val="en-US" w:eastAsia="zh-CN"/>
        </w:rPr>
        <w:t xml:space="preserve">    </w:t>
      </w:r>
      <w:r>
        <w:rPr>
          <w:rFonts w:hint="eastAsia" w:ascii="宋体" w:hAnsi="宋体" w:eastAsia="宋体"/>
          <w:b/>
          <w:bCs/>
          <w:sz w:val="24"/>
        </w:rPr>
        <w:t>份，由甲乙双方各执</w:t>
      </w:r>
      <w:r>
        <w:rPr>
          <w:rFonts w:hint="eastAsia" w:hAnsi="宋体" w:eastAsia="宋体"/>
          <w:b/>
          <w:bCs/>
          <w:sz w:val="24"/>
          <w:u w:val="single"/>
          <w:lang w:val="en-US" w:eastAsia="zh-CN"/>
        </w:rPr>
        <w:t xml:space="preserve">     </w:t>
      </w:r>
      <w:r>
        <w:rPr>
          <w:rFonts w:hint="eastAsia" w:ascii="宋体" w:hAnsi="宋体" w:eastAsia="宋体"/>
          <w:b/>
          <w:bCs/>
          <w:sz w:val="24"/>
        </w:rPr>
        <w:t>份，甲方纪检监察部门</w:t>
      </w:r>
      <w:r>
        <w:rPr>
          <w:rFonts w:hint="eastAsia" w:hAnsi="宋体" w:eastAsia="宋体"/>
          <w:b/>
          <w:bCs/>
          <w:sz w:val="24"/>
          <w:lang w:val="en-US" w:eastAsia="zh-CN"/>
        </w:rPr>
        <w:t>执</w:t>
      </w:r>
      <w:r>
        <w:rPr>
          <w:rFonts w:hint="eastAsia" w:hAnsi="宋体" w:eastAsia="宋体"/>
          <w:b/>
          <w:bCs/>
          <w:sz w:val="24"/>
          <w:u w:val="single"/>
          <w:lang w:val="en-US" w:eastAsia="zh-CN"/>
        </w:rPr>
        <w:t xml:space="preserve">   </w:t>
      </w:r>
      <w:r>
        <w:rPr>
          <w:rFonts w:hint="eastAsia" w:ascii="宋体" w:hAnsi="宋体" w:eastAsia="宋体"/>
          <w:b/>
          <w:bCs/>
          <w:sz w:val="24"/>
        </w:rPr>
        <w:t>份存档备案</w:t>
      </w:r>
    </w:p>
    <w:p w14:paraId="0AAC99C4">
      <w:pPr>
        <w:spacing w:line="360" w:lineRule="auto"/>
        <w:rPr>
          <w:rFonts w:ascii="宋体" w:hAnsi="宋体" w:eastAsia="宋体"/>
          <w:sz w:val="24"/>
          <w:szCs w:val="24"/>
        </w:rPr>
      </w:pPr>
      <w:r>
        <w:rPr>
          <w:rFonts w:hint="eastAsia" w:ascii="宋体" w:hAnsi="宋体" w:eastAsia="宋体"/>
          <w:sz w:val="24"/>
          <w:szCs w:val="24"/>
        </w:rPr>
        <w:t>甲方单位（盖章）：                    乙方单位（盖章）：</w:t>
      </w:r>
    </w:p>
    <w:p w14:paraId="5CE8227A">
      <w:pPr>
        <w:spacing w:line="360" w:lineRule="auto"/>
        <w:rPr>
          <w:rFonts w:ascii="宋体" w:hAnsi="宋体" w:eastAsia="宋体"/>
          <w:sz w:val="24"/>
          <w:szCs w:val="24"/>
        </w:rPr>
      </w:pPr>
      <w:r>
        <w:rPr>
          <w:rFonts w:hint="eastAsia" w:ascii="宋体" w:hAnsi="宋体" w:eastAsia="宋体"/>
          <w:sz w:val="24"/>
          <w:szCs w:val="24"/>
        </w:rPr>
        <w:t>法定代表人（签字或盖章）：            法定代表人（签字或盖章）：</w:t>
      </w:r>
    </w:p>
    <w:p w14:paraId="2D25AC8F">
      <w:pPr>
        <w:spacing w:line="360" w:lineRule="auto"/>
        <w:rPr>
          <w:rFonts w:ascii="宋体" w:hAnsi="宋体" w:eastAsia="宋体"/>
          <w:sz w:val="24"/>
          <w:szCs w:val="24"/>
        </w:rPr>
      </w:pPr>
      <w:r>
        <w:rPr>
          <w:rFonts w:hint="eastAsia" w:ascii="宋体" w:hAnsi="宋体" w:eastAsia="宋体"/>
          <w:sz w:val="24"/>
          <w:szCs w:val="24"/>
        </w:rPr>
        <w:t>项目负责人：                           项目负责人：</w:t>
      </w:r>
    </w:p>
    <w:p w14:paraId="34029152">
      <w:pPr>
        <w:spacing w:line="360" w:lineRule="auto"/>
        <w:rPr>
          <w:rFonts w:hint="eastAsia" w:ascii="宋体" w:hAnsi="宋体" w:eastAsia="宋体"/>
          <w:sz w:val="24"/>
          <w:szCs w:val="24"/>
        </w:rPr>
      </w:pPr>
      <w:r>
        <w:rPr>
          <w:rFonts w:hint="eastAsia" w:ascii="宋体" w:hAnsi="宋体" w:eastAsia="宋体"/>
          <w:sz w:val="24"/>
          <w:szCs w:val="24"/>
        </w:rPr>
        <w:t>年   月   日                           年    月   日</w:t>
      </w:r>
    </w:p>
    <w:p w14:paraId="7114C46C">
      <w:pPr>
        <w:pStyle w:val="3"/>
        <w:spacing w:before="0" w:after="0" w:line="720" w:lineRule="auto"/>
        <w:jc w:val="center"/>
        <w:rPr>
          <w:rFonts w:hint="eastAsia" w:ascii="宋体" w:hAnsi="宋体" w:eastAsia="宋体" w:cs="宋体"/>
          <w:lang w:eastAsia="zh-CN"/>
        </w:rPr>
      </w:pPr>
      <w:bookmarkStart w:id="197" w:name="_Toc17066"/>
      <w:r>
        <w:rPr>
          <w:rFonts w:hint="eastAsia" w:ascii="宋体" w:hAnsi="宋体" w:cs="宋体"/>
        </w:rPr>
        <w:t xml:space="preserve">第六章 </w:t>
      </w:r>
      <w:bookmarkEnd w:id="195"/>
      <w:r>
        <w:rPr>
          <w:rFonts w:hint="eastAsia" w:ascii="宋体" w:hAnsi="宋体" w:cs="宋体"/>
          <w:lang w:eastAsia="zh-CN"/>
        </w:rPr>
        <w:t>采购需求</w:t>
      </w:r>
      <w:bookmarkEnd w:id="197"/>
    </w:p>
    <w:p w14:paraId="0A47DEAB">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1.纸卷横幅：720mm、770mm、781mm，纸卷直径：1000mm-1200mm，如需投标人提供其他横幅或纸卷规格的卷筒新闻纸，将另行通知。</w:t>
      </w:r>
    </w:p>
    <w:p w14:paraId="3362D695">
      <w:pPr>
        <w:pStyle w:val="2"/>
        <w:spacing w:line="480" w:lineRule="exact"/>
        <w:ind w:firstLine="240" w:firstLineChars="100"/>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2.纸张克重：47g/m²，51g/m²，55g/m²</w:t>
      </w:r>
    </w:p>
    <w:p w14:paraId="09DFD6C3">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3.纵向扩张指数：≥46N.m/g</w:t>
      </w:r>
    </w:p>
    <w:p w14:paraId="6142A770">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4.横向撕裂指数：≥6mN. m²/g</w:t>
      </w:r>
    </w:p>
    <w:p w14:paraId="5D6FF653">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5.白度：≥58%</w:t>
      </w:r>
    </w:p>
    <w:p w14:paraId="42C4C667">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6.不透明度：&gt;90%</w:t>
      </w:r>
    </w:p>
    <w:p w14:paraId="6388B2A7">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7.接头率：0%</w:t>
      </w:r>
    </w:p>
    <w:p w14:paraId="0D271FA2">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8.卷筒芯内径：76mm</w:t>
      </w:r>
    </w:p>
    <w:p w14:paraId="6936B2FD">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9.交付地点:采购人指定地点</w:t>
      </w:r>
    </w:p>
    <w:p w14:paraId="5D193431">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10.交付时间：下达发运通知单后30天内交付</w:t>
      </w:r>
    </w:p>
    <w:p w14:paraId="6A632105">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11.采购标的需满足国家相关质保标准</w:t>
      </w:r>
    </w:p>
    <w:p w14:paraId="38D182F5">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12.采购标的包装要求：包装完整无明显破损</w:t>
      </w:r>
    </w:p>
    <w:p w14:paraId="740567D0">
      <w:pPr>
        <w:pStyle w:val="2"/>
        <w:spacing w:line="480" w:lineRule="exact"/>
        <w:ind w:firstLine="240" w:firstLineChars="1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13.售后服务：产品出现质量问题，五日内厂家派人解决。出现质量问题的产品应包退、包换（如尺寸、划伤、折痕、脱涂等）。</w:t>
      </w:r>
    </w:p>
    <w:p w14:paraId="3512E36A">
      <w:pPr>
        <w:pStyle w:val="2"/>
        <w:spacing w:line="480" w:lineRule="exact"/>
        <w:ind w:firstLine="210" w:firstLineChars="100"/>
        <w:rPr>
          <w:rFonts w:ascii="宋体" w:hAnsi="宋体" w:cs="宋体"/>
        </w:rPr>
      </w:pPr>
      <w:r>
        <w:rPr>
          <w:rFonts w:hint="eastAsia" w:ascii="宋体" w:hAnsi="宋体" w:cs="宋体"/>
        </w:rPr>
        <w:br w:type="page"/>
      </w:r>
    </w:p>
    <w:p w14:paraId="34BFCDCF">
      <w:pPr>
        <w:spacing w:line="240" w:lineRule="exact"/>
        <w:rPr>
          <w:rFonts w:ascii="宋体" w:hAnsi="宋体" w:cs="宋体"/>
        </w:rPr>
      </w:pPr>
      <w:r>
        <w:rPr>
          <w:rFonts w:hint="eastAsia" w:ascii="宋体" w:hAnsi="宋体" w:cs="宋体"/>
        </w:rPr>
        <w:t xml:space="preserve"> </w:t>
      </w:r>
    </w:p>
    <w:p w14:paraId="31B59867">
      <w:pPr>
        <w:pStyle w:val="3"/>
        <w:spacing w:before="0" w:after="0" w:line="360" w:lineRule="auto"/>
        <w:jc w:val="center"/>
        <w:rPr>
          <w:rFonts w:ascii="宋体" w:hAnsi="宋体" w:cs="宋体"/>
        </w:rPr>
      </w:pPr>
      <w:bookmarkStart w:id="198" w:name="_Toc19163"/>
      <w:bookmarkEnd w:id="198"/>
      <w:bookmarkStart w:id="199" w:name="_Toc17654"/>
      <w:bookmarkEnd w:id="199"/>
      <w:bookmarkStart w:id="200" w:name="_Toc24075"/>
      <w:bookmarkStart w:id="201" w:name="_Toc32651"/>
      <w:r>
        <w:rPr>
          <w:rFonts w:hint="eastAsia" w:ascii="宋体" w:hAnsi="宋体" w:cs="宋体"/>
        </w:rPr>
        <w:t>第七章 投标文件格式</w:t>
      </w:r>
      <w:bookmarkEnd w:id="200"/>
      <w:bookmarkEnd w:id="201"/>
    </w:p>
    <w:p w14:paraId="38D910FB">
      <w:pPr>
        <w:rPr>
          <w:rFonts w:ascii="宋体" w:hAnsi="宋体" w:cs="宋体"/>
        </w:rPr>
      </w:pPr>
      <w:r>
        <w:rPr>
          <w:rFonts w:hint="eastAsia" w:ascii="宋体" w:hAnsi="宋体" w:cs="宋体"/>
        </w:rPr>
        <w:t xml:space="preserve"> </w:t>
      </w:r>
    </w:p>
    <w:p w14:paraId="164C11A7">
      <w:pPr>
        <w:rPr>
          <w:rFonts w:ascii="宋体" w:hAnsi="宋体" w:cs="宋体"/>
        </w:rPr>
      </w:pPr>
      <w:r>
        <w:rPr>
          <w:rFonts w:hint="eastAsia" w:ascii="宋体" w:hAnsi="宋体" w:cs="宋体"/>
        </w:rPr>
        <w:t xml:space="preserve"> </w:t>
      </w:r>
    </w:p>
    <w:p w14:paraId="23239EB2">
      <w:pPr>
        <w:rPr>
          <w:rFonts w:ascii="宋体" w:hAnsi="宋体" w:cs="宋体"/>
        </w:rPr>
      </w:pPr>
      <w:r>
        <w:rPr>
          <w:rFonts w:hint="eastAsia" w:ascii="宋体" w:hAnsi="宋体" w:cs="宋体"/>
        </w:rPr>
        <w:t xml:space="preserve"> </w:t>
      </w:r>
    </w:p>
    <w:p w14:paraId="33823223">
      <w:pPr>
        <w:spacing w:line="500" w:lineRule="exact"/>
        <w:jc w:val="center"/>
        <w:rPr>
          <w:rFonts w:ascii="宋体" w:hAnsi="宋体" w:cs="宋体"/>
          <w:b/>
          <w:bCs/>
          <w:sz w:val="44"/>
          <w:szCs w:val="44"/>
        </w:rPr>
      </w:pPr>
      <w:bookmarkStart w:id="202" w:name="_Toc14917"/>
      <w:bookmarkEnd w:id="202"/>
      <w:bookmarkStart w:id="203" w:name="_Toc184"/>
      <w:bookmarkEnd w:id="203"/>
      <w:bookmarkStart w:id="204" w:name="_Toc25438"/>
      <w:r>
        <w:rPr>
          <w:rFonts w:hint="eastAsia" w:ascii="宋体" w:hAnsi="宋体" w:cs="宋体"/>
          <w:b/>
          <w:bCs/>
          <w:sz w:val="44"/>
          <w:szCs w:val="44"/>
          <w:u w:val="single"/>
        </w:rPr>
        <w:t xml:space="preserve">                        </w:t>
      </w:r>
      <w:r>
        <w:rPr>
          <w:rFonts w:hint="eastAsia" w:ascii="宋体" w:hAnsi="宋体" w:cs="宋体"/>
          <w:b/>
          <w:bCs/>
          <w:sz w:val="44"/>
          <w:szCs w:val="44"/>
        </w:rPr>
        <w:t>（项目名称）</w:t>
      </w:r>
    </w:p>
    <w:p w14:paraId="30D1E1C6">
      <w:pPr>
        <w:spacing w:line="500" w:lineRule="exact"/>
        <w:jc w:val="center"/>
        <w:rPr>
          <w:rFonts w:ascii="宋体" w:hAnsi="宋体" w:cs="宋体"/>
          <w:b/>
          <w:bCs/>
          <w:sz w:val="24"/>
          <w:szCs w:val="24"/>
        </w:rPr>
      </w:pPr>
    </w:p>
    <w:p w14:paraId="0DE66BB4">
      <w:pPr>
        <w:spacing w:line="500" w:lineRule="exact"/>
        <w:jc w:val="center"/>
        <w:rPr>
          <w:rFonts w:ascii="宋体" w:hAnsi="宋体" w:cs="宋体"/>
          <w:b/>
          <w:bCs/>
          <w:sz w:val="44"/>
          <w:szCs w:val="44"/>
        </w:rPr>
      </w:pPr>
      <w:r>
        <w:rPr>
          <w:rFonts w:hint="eastAsia" w:ascii="宋体" w:hAnsi="宋体" w:cs="宋体"/>
          <w:b/>
          <w:bCs/>
          <w:sz w:val="44"/>
          <w:szCs w:val="44"/>
        </w:rPr>
        <w:t>（项目编号：</w:t>
      </w:r>
      <w:r>
        <w:rPr>
          <w:rFonts w:hint="eastAsia" w:ascii="宋体" w:hAnsi="宋体" w:cs="宋体"/>
          <w:b/>
          <w:bCs/>
          <w:sz w:val="44"/>
          <w:szCs w:val="44"/>
          <w:u w:val="single"/>
        </w:rPr>
        <w:t xml:space="preserve">           </w:t>
      </w:r>
      <w:r>
        <w:rPr>
          <w:rFonts w:hint="eastAsia" w:ascii="宋体" w:hAnsi="宋体" w:cs="宋体"/>
          <w:b/>
          <w:bCs/>
          <w:sz w:val="44"/>
          <w:szCs w:val="44"/>
        </w:rPr>
        <w:t>）</w:t>
      </w:r>
    </w:p>
    <w:p w14:paraId="7BEEA1CC">
      <w:pPr>
        <w:spacing w:line="480" w:lineRule="auto"/>
        <w:rPr>
          <w:rFonts w:ascii="宋体" w:hAnsi="宋体" w:cs="宋体"/>
          <w:b/>
          <w:bCs/>
          <w:sz w:val="44"/>
          <w:szCs w:val="44"/>
        </w:rPr>
      </w:pPr>
    </w:p>
    <w:p w14:paraId="248D4207">
      <w:pPr>
        <w:pStyle w:val="9"/>
        <w:ind w:firstLine="0" w:firstLineChars="0"/>
      </w:pPr>
    </w:p>
    <w:p w14:paraId="24F902DE">
      <w:pPr>
        <w:spacing w:line="480" w:lineRule="auto"/>
        <w:rPr>
          <w:rFonts w:ascii="宋体" w:hAnsi="宋体" w:cs="宋体"/>
          <w:b/>
          <w:bCs/>
          <w:sz w:val="44"/>
          <w:szCs w:val="44"/>
        </w:rPr>
      </w:pPr>
    </w:p>
    <w:p w14:paraId="6ED574BD">
      <w:pPr>
        <w:spacing w:line="480" w:lineRule="auto"/>
        <w:rPr>
          <w:rFonts w:ascii="宋体" w:hAnsi="宋体" w:cs="宋体"/>
          <w:b/>
          <w:bCs/>
          <w:sz w:val="44"/>
          <w:szCs w:val="44"/>
        </w:rPr>
      </w:pPr>
      <w:r>
        <w:rPr>
          <w:rFonts w:hint="eastAsia" w:ascii="宋体" w:hAnsi="宋体" w:cs="宋体"/>
          <w:b/>
          <w:bCs/>
          <w:sz w:val="44"/>
          <w:szCs w:val="44"/>
        </w:rPr>
        <w:t xml:space="preserve"> </w:t>
      </w:r>
    </w:p>
    <w:p w14:paraId="7FFC122C">
      <w:pPr>
        <w:spacing w:line="480" w:lineRule="auto"/>
        <w:rPr>
          <w:rFonts w:ascii="宋体" w:hAnsi="宋体" w:cs="宋体"/>
          <w:b/>
          <w:bCs/>
          <w:sz w:val="44"/>
          <w:szCs w:val="44"/>
        </w:rPr>
      </w:pPr>
      <w:r>
        <w:rPr>
          <w:rFonts w:hint="eastAsia" w:ascii="宋体" w:hAnsi="宋体" w:cs="宋体"/>
          <w:b/>
          <w:bCs/>
          <w:sz w:val="44"/>
          <w:szCs w:val="44"/>
        </w:rPr>
        <w:t xml:space="preserve"> </w:t>
      </w:r>
    </w:p>
    <w:p w14:paraId="4B3654C9">
      <w:pPr>
        <w:spacing w:line="480" w:lineRule="auto"/>
        <w:jc w:val="center"/>
        <w:rPr>
          <w:rFonts w:ascii="宋体" w:hAnsi="宋体" w:cs="宋体"/>
          <w:b/>
          <w:bCs/>
          <w:sz w:val="72"/>
          <w:szCs w:val="72"/>
        </w:rPr>
      </w:pPr>
      <w:r>
        <w:rPr>
          <w:rFonts w:hint="eastAsia" w:ascii="宋体" w:hAnsi="宋体" w:cs="宋体"/>
          <w:b/>
          <w:bCs/>
          <w:sz w:val="72"/>
          <w:szCs w:val="72"/>
        </w:rPr>
        <w:t>投 标 文 件</w:t>
      </w:r>
    </w:p>
    <w:p w14:paraId="544B044D">
      <w:pPr>
        <w:spacing w:line="480" w:lineRule="auto"/>
        <w:rPr>
          <w:rFonts w:ascii="宋体" w:hAnsi="宋体" w:cs="宋体"/>
          <w:b/>
          <w:bCs/>
          <w:sz w:val="44"/>
          <w:szCs w:val="44"/>
        </w:rPr>
      </w:pPr>
    </w:p>
    <w:p w14:paraId="696C536D">
      <w:pPr>
        <w:spacing w:line="480" w:lineRule="auto"/>
        <w:rPr>
          <w:rFonts w:ascii="宋体" w:hAnsi="宋体" w:cs="宋体"/>
          <w:b/>
          <w:bCs/>
          <w:sz w:val="44"/>
          <w:szCs w:val="44"/>
        </w:rPr>
      </w:pPr>
    </w:p>
    <w:p w14:paraId="5765A625">
      <w:pPr>
        <w:spacing w:line="480" w:lineRule="auto"/>
        <w:rPr>
          <w:rFonts w:ascii="宋体" w:hAnsi="宋体" w:cs="宋体"/>
          <w:b/>
          <w:bCs/>
          <w:sz w:val="44"/>
          <w:szCs w:val="44"/>
        </w:rPr>
      </w:pPr>
    </w:p>
    <w:p w14:paraId="21333B05">
      <w:pPr>
        <w:pStyle w:val="2"/>
        <w:rPr>
          <w:rFonts w:ascii="宋体" w:hAnsi="宋体" w:cs="宋体"/>
        </w:rPr>
      </w:pPr>
    </w:p>
    <w:p w14:paraId="63EA68F3">
      <w:pPr>
        <w:spacing w:line="480" w:lineRule="auto"/>
        <w:rPr>
          <w:rFonts w:ascii="宋体" w:hAnsi="宋体" w:cs="宋体"/>
          <w:b/>
          <w:bCs/>
          <w:sz w:val="28"/>
          <w:szCs w:val="28"/>
        </w:rPr>
      </w:pPr>
      <w:r>
        <w:rPr>
          <w:rFonts w:hint="eastAsia" w:ascii="宋体" w:hAnsi="宋体" w:cs="宋体"/>
          <w:b/>
          <w:bCs/>
          <w:sz w:val="28"/>
          <w:szCs w:val="28"/>
        </w:rPr>
        <w:t>投标人：</w:t>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rPr>
        <w:t>（盖章或电子签章）</w:t>
      </w:r>
    </w:p>
    <w:p w14:paraId="290FF897">
      <w:pPr>
        <w:spacing w:line="480" w:lineRule="auto"/>
        <w:rPr>
          <w:rFonts w:ascii="宋体" w:hAnsi="宋体" w:cs="宋体"/>
          <w:b/>
          <w:bCs/>
          <w:sz w:val="28"/>
          <w:szCs w:val="28"/>
        </w:rPr>
      </w:pPr>
      <w:r>
        <w:rPr>
          <w:rFonts w:hint="eastAsia" w:ascii="宋体" w:hAnsi="宋体" w:cs="宋体"/>
          <w:b/>
          <w:bCs/>
          <w:sz w:val="28"/>
          <w:szCs w:val="28"/>
        </w:rPr>
        <w:t xml:space="preserve"> </w:t>
      </w:r>
    </w:p>
    <w:p w14:paraId="74AD6D78">
      <w:pPr>
        <w:spacing w:line="480" w:lineRule="auto"/>
        <w:rPr>
          <w:rFonts w:ascii="宋体" w:hAnsi="宋体" w:cs="宋体"/>
          <w:b/>
          <w:bCs/>
          <w:sz w:val="28"/>
          <w:szCs w:val="28"/>
        </w:rPr>
      </w:pPr>
      <w:r>
        <w:rPr>
          <w:rFonts w:hint="eastAsia" w:ascii="宋体" w:hAnsi="宋体" w:cs="宋体"/>
          <w:b/>
          <w:bCs/>
          <w:sz w:val="28"/>
          <w:szCs w:val="28"/>
        </w:rPr>
        <w:t>法定代表人（单位负责人）或其委托代理人：</w:t>
      </w:r>
      <w:r>
        <w:rPr>
          <w:rFonts w:hint="eastAsia" w:ascii="宋体" w:hAnsi="宋体" w:cs="宋体"/>
          <w:b/>
          <w:bCs/>
          <w:sz w:val="28"/>
          <w:szCs w:val="28"/>
        </w:rPr>
        <w:tab/>
      </w:r>
      <w:r>
        <w:rPr>
          <w:rFonts w:hint="eastAsia" w:ascii="宋体" w:hAnsi="宋体" w:cs="宋体"/>
          <w:b/>
          <w:bCs/>
          <w:sz w:val="28"/>
          <w:szCs w:val="28"/>
          <w:u w:val="single"/>
        </w:rPr>
        <w:t xml:space="preserve">     </w:t>
      </w:r>
      <w:r>
        <w:rPr>
          <w:rFonts w:hint="eastAsia" w:ascii="宋体" w:hAnsi="宋体" w:cs="宋体"/>
          <w:b/>
          <w:bCs/>
          <w:sz w:val="28"/>
          <w:szCs w:val="28"/>
        </w:rPr>
        <w:t>（签字或电子签章）</w:t>
      </w:r>
    </w:p>
    <w:p w14:paraId="2B51A093">
      <w:pPr>
        <w:spacing w:line="480" w:lineRule="auto"/>
        <w:ind w:firstLine="1405" w:firstLineChars="500"/>
        <w:rPr>
          <w:rFonts w:ascii="宋体" w:hAnsi="宋体" w:cs="宋体"/>
          <w:b/>
          <w:bCs/>
          <w:sz w:val="28"/>
          <w:szCs w:val="28"/>
        </w:rPr>
      </w:pPr>
    </w:p>
    <w:p w14:paraId="10B66311">
      <w:pPr>
        <w:rPr>
          <w:rFonts w:hint="eastAsia" w:ascii="宋体" w:hAnsi="宋体" w:cs="宋体"/>
          <w:b/>
          <w:bCs/>
          <w:sz w:val="28"/>
          <w:szCs w:val="28"/>
        </w:rPr>
      </w:pPr>
      <w:r>
        <w:rPr>
          <w:rFonts w:hint="eastAsia" w:ascii="宋体" w:hAnsi="宋体" w:cs="宋体"/>
          <w:b/>
          <w:bCs/>
          <w:sz w:val="28"/>
          <w:szCs w:val="28"/>
        </w:rPr>
        <w:t xml:space="preserve">日期： </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14:paraId="408C1002">
      <w:pPr>
        <w:rPr>
          <w:rFonts w:hint="eastAsia" w:ascii="宋体" w:hAnsi="宋体" w:cs="宋体"/>
          <w:b/>
          <w:bCs/>
          <w:sz w:val="28"/>
          <w:szCs w:val="28"/>
        </w:rPr>
      </w:pPr>
      <w:r>
        <w:rPr>
          <w:rFonts w:hint="eastAsia" w:ascii="宋体" w:hAnsi="宋体" w:cs="宋体"/>
          <w:b/>
          <w:bCs/>
          <w:sz w:val="28"/>
          <w:szCs w:val="28"/>
        </w:rPr>
        <w:br w:type="page"/>
      </w:r>
    </w:p>
    <w:p w14:paraId="1F7907F7">
      <w:pPr>
        <w:pStyle w:val="5"/>
        <w:widowControl/>
        <w:autoSpaceDE w:val="0"/>
        <w:spacing w:before="0" w:after="0" w:line="240" w:lineRule="auto"/>
        <w:rPr>
          <w:rFonts w:ascii="宋体" w:hAnsi="宋体" w:cs="宋体"/>
          <w:szCs w:val="28"/>
        </w:rPr>
      </w:pPr>
      <w:bookmarkStart w:id="205" w:name="_Toc27688"/>
      <w:r>
        <w:rPr>
          <w:rFonts w:hint="eastAsia" w:ascii="宋体" w:hAnsi="宋体" w:cs="宋体"/>
          <w:szCs w:val="28"/>
        </w:rPr>
        <w:t>开标一览表</w:t>
      </w:r>
      <w:bookmarkEnd w:id="205"/>
    </w:p>
    <w:p w14:paraId="10323EA2">
      <w:pPr>
        <w:spacing w:line="480" w:lineRule="exact"/>
        <w:ind w:left="1200" w:hanging="1200" w:hangingChars="5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 xml:space="preserve">                                     </w:t>
      </w:r>
    </w:p>
    <w:p w14:paraId="1E5E4679">
      <w:pPr>
        <w:spacing w:line="48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 xml:space="preserve">                 </w:t>
      </w:r>
    </w:p>
    <w:tbl>
      <w:tblPr>
        <w:tblStyle w:val="30"/>
        <w:tblW w:w="9952" w:type="dxa"/>
        <w:tblInd w:w="0" w:type="dxa"/>
        <w:tblLayout w:type="fixed"/>
        <w:tblCellMar>
          <w:top w:w="0" w:type="dxa"/>
          <w:left w:w="108" w:type="dxa"/>
          <w:bottom w:w="0" w:type="dxa"/>
          <w:right w:w="108" w:type="dxa"/>
        </w:tblCellMar>
      </w:tblPr>
      <w:tblGrid>
        <w:gridCol w:w="1678"/>
        <w:gridCol w:w="2577"/>
        <w:gridCol w:w="1993"/>
        <w:gridCol w:w="1852"/>
        <w:gridCol w:w="1852"/>
      </w:tblGrid>
      <w:tr w14:paraId="78B871AE">
        <w:tblPrEx>
          <w:tblCellMar>
            <w:top w:w="0" w:type="dxa"/>
            <w:left w:w="108" w:type="dxa"/>
            <w:bottom w:w="0" w:type="dxa"/>
            <w:right w:w="108" w:type="dxa"/>
          </w:tblCellMar>
        </w:tblPrEx>
        <w:trPr>
          <w:cantSplit/>
          <w:trHeight w:val="860" w:hRule="atLeast"/>
        </w:trPr>
        <w:tc>
          <w:tcPr>
            <w:tcW w:w="1678" w:type="dxa"/>
            <w:tcBorders>
              <w:top w:val="single" w:color="auto" w:sz="4" w:space="0"/>
              <w:left w:val="single" w:color="auto" w:sz="4" w:space="0"/>
              <w:bottom w:val="single" w:color="auto" w:sz="4" w:space="0"/>
              <w:right w:val="single" w:color="auto" w:sz="4" w:space="0"/>
            </w:tcBorders>
            <w:vAlign w:val="center"/>
          </w:tcPr>
          <w:p w14:paraId="339432D0">
            <w:pPr>
              <w:adjustRightInd w:val="0"/>
              <w:snapToGrid w:val="0"/>
              <w:spacing w:line="440" w:lineRule="exact"/>
              <w:jc w:val="center"/>
              <w:rPr>
                <w:rFonts w:hint="default" w:ascii="宋体" w:hAnsi="宋体" w:eastAsia="宋体" w:cs="宋体"/>
                <w:b/>
                <w:bCs/>
                <w:kern w:val="2"/>
                <w:sz w:val="24"/>
                <w:szCs w:val="24"/>
                <w:lang w:val="en-US" w:eastAsia="zh-CN"/>
              </w:rPr>
            </w:pPr>
            <w:r>
              <w:rPr>
                <w:rFonts w:hint="eastAsia" w:ascii="宋体" w:hAnsi="宋体" w:cs="宋体"/>
                <w:b/>
                <w:bCs/>
                <w:kern w:val="2"/>
                <w:sz w:val="24"/>
                <w:szCs w:val="24"/>
                <w:lang w:val="en-US" w:eastAsia="zh-CN"/>
              </w:rPr>
              <w:t>投标总报价（元）</w:t>
            </w:r>
          </w:p>
        </w:tc>
        <w:tc>
          <w:tcPr>
            <w:tcW w:w="2577" w:type="dxa"/>
            <w:tcBorders>
              <w:top w:val="single" w:color="auto" w:sz="4" w:space="0"/>
              <w:left w:val="single" w:color="auto" w:sz="4" w:space="0"/>
              <w:bottom w:val="single" w:color="auto" w:sz="4" w:space="0"/>
              <w:right w:val="single" w:color="auto" w:sz="4" w:space="0"/>
            </w:tcBorders>
            <w:vAlign w:val="center"/>
          </w:tcPr>
          <w:p w14:paraId="1994514D">
            <w:pPr>
              <w:adjustRightInd w:val="0"/>
              <w:snapToGrid w:val="0"/>
              <w:spacing w:line="440" w:lineRule="exact"/>
              <w:jc w:val="center"/>
              <w:rPr>
                <w:rFonts w:hint="eastAsia" w:ascii="宋体" w:hAnsi="宋体" w:cs="宋体"/>
                <w:b/>
                <w:bCs/>
                <w:kern w:val="2"/>
                <w:sz w:val="24"/>
                <w:szCs w:val="24"/>
                <w:lang w:val="en-US" w:eastAsia="zh-CN"/>
              </w:rPr>
            </w:pPr>
            <w:r>
              <w:rPr>
                <w:rFonts w:hint="eastAsia" w:ascii="宋体" w:hAnsi="宋体" w:cs="宋体"/>
                <w:b/>
                <w:bCs/>
                <w:kern w:val="2"/>
                <w:sz w:val="24"/>
                <w:szCs w:val="24"/>
              </w:rPr>
              <w:t>投标</w:t>
            </w:r>
            <w:r>
              <w:rPr>
                <w:rFonts w:hint="eastAsia" w:ascii="宋体" w:hAnsi="宋体" w:cs="宋体"/>
                <w:b/>
                <w:bCs/>
                <w:kern w:val="2"/>
                <w:sz w:val="24"/>
                <w:szCs w:val="24"/>
                <w:lang w:val="en-US" w:eastAsia="zh-CN"/>
              </w:rPr>
              <w:t>单价</w:t>
            </w:r>
          </w:p>
          <w:p w14:paraId="0E73BCD1">
            <w:pPr>
              <w:adjustRightInd w:val="0"/>
              <w:snapToGrid w:val="0"/>
              <w:spacing w:line="440" w:lineRule="exact"/>
              <w:jc w:val="center"/>
              <w:rPr>
                <w:rFonts w:ascii="宋体" w:hAnsi="宋体" w:cs="宋体"/>
                <w:b/>
                <w:bCs/>
                <w:kern w:val="2"/>
                <w:sz w:val="24"/>
                <w:szCs w:val="24"/>
              </w:rPr>
            </w:pPr>
            <w:r>
              <w:rPr>
                <w:rFonts w:hint="eastAsia" w:ascii="宋体" w:hAnsi="宋体" w:cs="宋体"/>
                <w:b/>
                <w:bCs/>
                <w:kern w:val="2"/>
                <w:sz w:val="24"/>
                <w:szCs w:val="24"/>
                <w:lang w:val="en-US" w:eastAsia="zh-CN"/>
              </w:rPr>
              <w:t>（</w:t>
            </w:r>
            <w:r>
              <w:rPr>
                <w:rFonts w:hint="eastAsia"/>
                <w:b/>
                <w:bCs/>
                <w:color w:val="auto"/>
                <w:kern w:val="2"/>
                <w:sz w:val="24"/>
                <w:szCs w:val="24"/>
                <w:highlight w:val="none"/>
                <w:lang w:val="en-US" w:eastAsia="zh-CN"/>
              </w:rPr>
              <w:t>元/吨）</w:t>
            </w:r>
          </w:p>
        </w:tc>
        <w:tc>
          <w:tcPr>
            <w:tcW w:w="1993" w:type="dxa"/>
            <w:tcBorders>
              <w:top w:val="single" w:color="auto" w:sz="4" w:space="0"/>
              <w:left w:val="nil"/>
              <w:bottom w:val="single" w:color="auto" w:sz="4" w:space="0"/>
              <w:right w:val="single" w:color="auto" w:sz="4" w:space="0"/>
            </w:tcBorders>
            <w:vAlign w:val="center"/>
          </w:tcPr>
          <w:p w14:paraId="575F2451">
            <w:pPr>
              <w:adjustRightInd w:val="0"/>
              <w:snapToGrid w:val="0"/>
              <w:spacing w:line="440" w:lineRule="exact"/>
              <w:jc w:val="center"/>
              <w:rPr>
                <w:rFonts w:hint="eastAsia" w:ascii="宋体" w:hAnsi="宋体" w:eastAsia="宋体" w:cs="宋体"/>
                <w:b/>
                <w:bCs/>
                <w:kern w:val="2"/>
                <w:sz w:val="24"/>
                <w:szCs w:val="24"/>
                <w:lang w:eastAsia="zh-CN"/>
              </w:rPr>
            </w:pPr>
            <w:r>
              <w:rPr>
                <w:rFonts w:hint="eastAsia" w:ascii="宋体" w:hAnsi="宋体" w:cs="宋体"/>
                <w:b/>
                <w:bCs/>
                <w:kern w:val="2"/>
                <w:sz w:val="24"/>
                <w:szCs w:val="24"/>
                <w:lang w:eastAsia="zh-CN"/>
              </w:rPr>
              <w:t>交付时间</w:t>
            </w:r>
          </w:p>
        </w:tc>
        <w:tc>
          <w:tcPr>
            <w:tcW w:w="1852" w:type="dxa"/>
            <w:tcBorders>
              <w:top w:val="single" w:color="auto" w:sz="4" w:space="0"/>
              <w:left w:val="nil"/>
              <w:bottom w:val="single" w:color="auto" w:sz="4" w:space="0"/>
              <w:right w:val="single" w:color="auto" w:sz="4" w:space="0"/>
            </w:tcBorders>
            <w:vAlign w:val="center"/>
          </w:tcPr>
          <w:p w14:paraId="430137CA">
            <w:pPr>
              <w:adjustRightInd w:val="0"/>
              <w:snapToGrid w:val="0"/>
              <w:spacing w:line="440" w:lineRule="exact"/>
              <w:jc w:val="center"/>
              <w:rPr>
                <w:rFonts w:hint="default" w:ascii="宋体" w:hAnsi="宋体" w:eastAsia="宋体" w:cs="宋体"/>
                <w:b/>
                <w:bCs/>
                <w:kern w:val="2"/>
                <w:sz w:val="24"/>
                <w:szCs w:val="24"/>
                <w:lang w:val="en-US" w:eastAsia="zh-CN"/>
              </w:rPr>
            </w:pPr>
            <w:r>
              <w:rPr>
                <w:rFonts w:hint="eastAsia" w:ascii="宋体" w:hAnsi="宋体" w:eastAsia="宋体" w:cs="宋体"/>
                <w:b/>
                <w:bCs/>
                <w:color w:val="auto"/>
                <w:kern w:val="2"/>
                <w:sz w:val="24"/>
                <w:szCs w:val="24"/>
                <w:highlight w:val="none"/>
                <w:lang w:val="en-US" w:eastAsia="zh-CN"/>
              </w:rPr>
              <w:t>品牌</w:t>
            </w:r>
          </w:p>
        </w:tc>
        <w:tc>
          <w:tcPr>
            <w:tcW w:w="1852" w:type="dxa"/>
            <w:tcBorders>
              <w:top w:val="single" w:color="auto" w:sz="4" w:space="0"/>
              <w:left w:val="nil"/>
              <w:bottom w:val="single" w:color="auto" w:sz="4" w:space="0"/>
              <w:right w:val="single" w:color="auto" w:sz="4" w:space="0"/>
            </w:tcBorders>
            <w:vAlign w:val="center"/>
          </w:tcPr>
          <w:p w14:paraId="60DCF735">
            <w:pPr>
              <w:adjustRightInd w:val="0"/>
              <w:snapToGrid w:val="0"/>
              <w:spacing w:line="440" w:lineRule="exact"/>
              <w:jc w:val="center"/>
              <w:rPr>
                <w:rFonts w:hint="eastAsia" w:ascii="宋体" w:hAnsi="宋体" w:cs="宋体"/>
                <w:b/>
                <w:bCs/>
                <w:kern w:val="2"/>
                <w:sz w:val="24"/>
                <w:szCs w:val="24"/>
                <w:lang w:val="en-US" w:eastAsia="zh-CN"/>
              </w:rPr>
            </w:pPr>
            <w:r>
              <w:rPr>
                <w:rFonts w:hint="eastAsia" w:ascii="宋体" w:hAnsi="宋体" w:eastAsia="宋体" w:cs="宋体"/>
                <w:b/>
                <w:bCs/>
                <w:color w:val="auto"/>
                <w:kern w:val="2"/>
                <w:sz w:val="24"/>
                <w:szCs w:val="24"/>
                <w:highlight w:val="none"/>
                <w:lang w:val="en-US" w:eastAsia="zh-CN"/>
              </w:rPr>
              <w:t>规格、型号</w:t>
            </w:r>
          </w:p>
        </w:tc>
      </w:tr>
      <w:tr w14:paraId="59B1EAB1">
        <w:tblPrEx>
          <w:tblCellMar>
            <w:top w:w="0" w:type="dxa"/>
            <w:left w:w="108" w:type="dxa"/>
            <w:bottom w:w="0" w:type="dxa"/>
            <w:right w:w="108" w:type="dxa"/>
          </w:tblCellMar>
        </w:tblPrEx>
        <w:trPr>
          <w:cantSplit/>
          <w:trHeight w:val="1977" w:hRule="atLeast"/>
        </w:trPr>
        <w:tc>
          <w:tcPr>
            <w:tcW w:w="1678" w:type="dxa"/>
            <w:tcBorders>
              <w:top w:val="single" w:color="auto" w:sz="4" w:space="0"/>
              <w:left w:val="single" w:color="auto" w:sz="4" w:space="0"/>
              <w:bottom w:val="single" w:color="auto" w:sz="4" w:space="0"/>
              <w:right w:val="single" w:color="auto" w:sz="4" w:space="0"/>
            </w:tcBorders>
            <w:vAlign w:val="center"/>
          </w:tcPr>
          <w:p w14:paraId="30F01A00">
            <w:pPr>
              <w:spacing w:line="460" w:lineRule="exact"/>
              <w:jc w:val="center"/>
              <w:rPr>
                <w:rFonts w:hint="default" w:ascii="宋体" w:hAnsi="宋体" w:cs="宋体"/>
                <w:b w:val="0"/>
                <w:bCs w:val="0"/>
                <w:kern w:val="2"/>
                <w:sz w:val="24"/>
                <w:szCs w:val="24"/>
                <w:u w:val="single"/>
                <w:lang w:val="en-US" w:eastAsia="zh-CN"/>
              </w:rPr>
            </w:pPr>
            <w:r>
              <w:rPr>
                <w:rFonts w:hint="eastAsia" w:ascii="宋体" w:hAnsi="宋体" w:eastAsia="宋体" w:cs="宋体"/>
                <w:sz w:val="24"/>
                <w:szCs w:val="24"/>
                <w:lang w:val="en-US" w:eastAsia="zh-CN"/>
              </w:rPr>
              <w:t>1600000.00</w:t>
            </w:r>
          </w:p>
        </w:tc>
        <w:tc>
          <w:tcPr>
            <w:tcW w:w="2577" w:type="dxa"/>
            <w:tcBorders>
              <w:top w:val="single" w:color="auto" w:sz="4" w:space="0"/>
              <w:left w:val="single" w:color="auto" w:sz="4" w:space="0"/>
              <w:bottom w:val="single" w:color="auto" w:sz="4" w:space="0"/>
              <w:right w:val="single" w:color="auto" w:sz="4" w:space="0"/>
            </w:tcBorders>
            <w:vAlign w:val="center"/>
          </w:tcPr>
          <w:p w14:paraId="20B126C6">
            <w:pPr>
              <w:spacing w:line="460" w:lineRule="exact"/>
              <w:jc w:val="center"/>
              <w:rPr>
                <w:rFonts w:hint="default" w:ascii="宋体" w:hAnsi="宋体" w:eastAsia="宋体" w:cs="宋体"/>
                <w:b/>
                <w:bCs/>
                <w:kern w:val="2"/>
                <w:sz w:val="24"/>
                <w:szCs w:val="24"/>
                <w:lang w:val="en-US" w:eastAsia="zh-CN"/>
              </w:rPr>
            </w:pPr>
          </w:p>
        </w:tc>
        <w:tc>
          <w:tcPr>
            <w:tcW w:w="1993" w:type="dxa"/>
            <w:tcBorders>
              <w:top w:val="single" w:color="auto" w:sz="4" w:space="0"/>
              <w:left w:val="nil"/>
              <w:bottom w:val="single" w:color="auto" w:sz="4" w:space="0"/>
              <w:right w:val="single" w:color="auto" w:sz="4" w:space="0"/>
            </w:tcBorders>
            <w:vAlign w:val="center"/>
          </w:tcPr>
          <w:p w14:paraId="25104602">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下达发运通知单后30天内交付。</w:t>
            </w:r>
          </w:p>
        </w:tc>
        <w:tc>
          <w:tcPr>
            <w:tcW w:w="1852" w:type="dxa"/>
            <w:tcBorders>
              <w:top w:val="single" w:color="auto" w:sz="4" w:space="0"/>
              <w:left w:val="nil"/>
              <w:bottom w:val="single" w:color="auto" w:sz="4" w:space="0"/>
              <w:right w:val="single" w:color="auto" w:sz="4" w:space="0"/>
            </w:tcBorders>
            <w:vAlign w:val="center"/>
          </w:tcPr>
          <w:p w14:paraId="5FEDD5E2">
            <w:pPr>
              <w:spacing w:line="460" w:lineRule="exact"/>
              <w:jc w:val="center"/>
              <w:rPr>
                <w:rFonts w:hint="eastAsia" w:ascii="宋体" w:hAnsi="宋体" w:eastAsia="宋体" w:cs="宋体"/>
                <w:sz w:val="24"/>
                <w:szCs w:val="24"/>
                <w:lang w:val="en-US" w:eastAsia="zh-CN"/>
              </w:rPr>
            </w:pPr>
          </w:p>
        </w:tc>
        <w:tc>
          <w:tcPr>
            <w:tcW w:w="1852" w:type="dxa"/>
            <w:tcBorders>
              <w:top w:val="single" w:color="auto" w:sz="4" w:space="0"/>
              <w:left w:val="nil"/>
              <w:bottom w:val="single" w:color="auto" w:sz="4" w:space="0"/>
              <w:right w:val="single" w:color="auto" w:sz="4" w:space="0"/>
            </w:tcBorders>
            <w:vAlign w:val="center"/>
          </w:tcPr>
          <w:p w14:paraId="5CAA7CDF">
            <w:pPr>
              <w:spacing w:line="460" w:lineRule="exact"/>
              <w:jc w:val="center"/>
              <w:rPr>
                <w:rFonts w:hint="eastAsia" w:ascii="宋体" w:hAnsi="宋体" w:eastAsia="宋体" w:cs="宋体"/>
                <w:sz w:val="24"/>
                <w:szCs w:val="24"/>
                <w:lang w:val="en-US" w:eastAsia="zh-CN"/>
              </w:rPr>
            </w:pPr>
          </w:p>
        </w:tc>
      </w:tr>
    </w:tbl>
    <w:p w14:paraId="58467B24">
      <w:pPr>
        <w:spacing w:line="600" w:lineRule="atLeast"/>
        <w:rPr>
          <w:rFonts w:ascii="宋体" w:hAnsi="宋体" w:cs="宋体"/>
          <w:sz w:val="28"/>
          <w:szCs w:val="28"/>
        </w:rPr>
      </w:pPr>
    </w:p>
    <w:p w14:paraId="2C582488">
      <w:pPr>
        <w:pStyle w:val="2"/>
      </w:pPr>
    </w:p>
    <w:p w14:paraId="3A3C2894">
      <w:pPr>
        <w:spacing w:line="600" w:lineRule="atLeast"/>
        <w:rPr>
          <w:rFonts w:ascii="宋体" w:hAnsi="宋体" w:cs="宋体"/>
          <w:sz w:val="28"/>
          <w:szCs w:val="28"/>
        </w:rPr>
      </w:pPr>
    </w:p>
    <w:p w14:paraId="29DEFBDD">
      <w:pPr>
        <w:rPr>
          <w:rFonts w:ascii="宋体" w:hAnsi="宋体"/>
          <w:b/>
          <w:bCs/>
          <w:sz w:val="24"/>
          <w:szCs w:val="24"/>
        </w:rPr>
      </w:pPr>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173BBA80">
      <w:pPr>
        <w:rPr>
          <w:rFonts w:ascii="宋体" w:hAnsi="宋体"/>
          <w:b/>
          <w:bCs/>
          <w:sz w:val="24"/>
          <w:szCs w:val="24"/>
        </w:rPr>
      </w:pPr>
    </w:p>
    <w:p w14:paraId="427337E7">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6BC24F56">
      <w:pPr>
        <w:rPr>
          <w:rFonts w:ascii="宋体" w:hAnsi="宋体"/>
          <w:b/>
          <w:bCs/>
          <w:sz w:val="24"/>
          <w:szCs w:val="24"/>
        </w:rPr>
      </w:pPr>
      <w:r>
        <w:rPr>
          <w:rFonts w:hint="eastAsia" w:ascii="宋体" w:hAnsi="宋体"/>
          <w:b/>
          <w:bCs/>
          <w:sz w:val="24"/>
          <w:szCs w:val="24"/>
        </w:rPr>
        <w:t xml:space="preserve"> </w:t>
      </w:r>
    </w:p>
    <w:p w14:paraId="3B5CE18E">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6DCF0D">
      <w:pPr>
        <w:pStyle w:val="2"/>
      </w:pPr>
    </w:p>
    <w:bookmarkEnd w:id="204"/>
    <w:p w14:paraId="6975C372">
      <w:pPr>
        <w:jc w:val="center"/>
        <w:rPr>
          <w:rFonts w:ascii="宋体" w:hAnsi="宋体" w:cs="宋体"/>
          <w:szCs w:val="28"/>
        </w:rPr>
      </w:pPr>
      <w:bookmarkStart w:id="206" w:name="_Toc24434"/>
      <w:bookmarkEnd w:id="206"/>
      <w:r>
        <w:rPr>
          <w:rFonts w:hint="eastAsia" w:ascii="宋体" w:hAnsi="宋体" w:cs="宋体"/>
          <w:szCs w:val="28"/>
        </w:rPr>
        <w:br w:type="page"/>
      </w:r>
      <w:bookmarkStart w:id="207" w:name="_Toc19649_WPSOffice_Level1"/>
      <w:bookmarkStart w:id="208" w:name="_Toc15157_WPSOffice_Level1"/>
    </w:p>
    <w:p w14:paraId="24FEB395">
      <w:pPr>
        <w:jc w:val="center"/>
        <w:rPr>
          <w:rFonts w:ascii="宋体" w:hAnsi="宋体" w:cs="宋体"/>
          <w:szCs w:val="28"/>
        </w:rPr>
      </w:pPr>
    </w:p>
    <w:p w14:paraId="22ABB26F">
      <w:pPr>
        <w:jc w:val="center"/>
        <w:rPr>
          <w:rFonts w:ascii="宋体" w:hAnsi="宋体" w:cs="宋体"/>
          <w:szCs w:val="28"/>
        </w:rPr>
      </w:pPr>
    </w:p>
    <w:p w14:paraId="0213F40D">
      <w:pPr>
        <w:jc w:val="center"/>
        <w:rPr>
          <w:rFonts w:ascii="宋体" w:hAnsi="宋体" w:cs="宋体"/>
          <w:szCs w:val="28"/>
        </w:rPr>
      </w:pPr>
    </w:p>
    <w:p w14:paraId="45DAD0F9">
      <w:pPr>
        <w:jc w:val="center"/>
        <w:rPr>
          <w:rFonts w:ascii="宋体" w:hAnsi="宋体" w:cs="宋体"/>
          <w:szCs w:val="28"/>
        </w:rPr>
      </w:pPr>
    </w:p>
    <w:p w14:paraId="12A19A6F">
      <w:pPr>
        <w:jc w:val="center"/>
        <w:rPr>
          <w:rFonts w:ascii="宋体" w:hAnsi="宋体" w:cs="宋体"/>
          <w:szCs w:val="28"/>
        </w:rPr>
      </w:pPr>
    </w:p>
    <w:p w14:paraId="2411AE40">
      <w:pPr>
        <w:jc w:val="center"/>
        <w:rPr>
          <w:rFonts w:ascii="宋体" w:hAnsi="宋体" w:cs="宋体"/>
          <w:szCs w:val="28"/>
        </w:rPr>
      </w:pPr>
    </w:p>
    <w:p w14:paraId="1CED2FD4">
      <w:pPr>
        <w:jc w:val="center"/>
        <w:rPr>
          <w:rFonts w:ascii="宋体" w:hAnsi="宋体" w:cs="宋体"/>
          <w:szCs w:val="28"/>
        </w:rPr>
      </w:pPr>
    </w:p>
    <w:p w14:paraId="796F8441">
      <w:pPr>
        <w:jc w:val="center"/>
        <w:rPr>
          <w:rFonts w:ascii="宋体" w:hAnsi="宋体" w:cs="宋体"/>
          <w:szCs w:val="28"/>
        </w:rPr>
      </w:pPr>
    </w:p>
    <w:p w14:paraId="420C4AAD">
      <w:pPr>
        <w:jc w:val="center"/>
        <w:rPr>
          <w:rFonts w:ascii="宋体" w:hAnsi="宋体" w:cs="宋体"/>
          <w:szCs w:val="28"/>
        </w:rPr>
      </w:pPr>
    </w:p>
    <w:p w14:paraId="650E2ECE">
      <w:pPr>
        <w:jc w:val="center"/>
        <w:rPr>
          <w:rFonts w:ascii="宋体" w:hAnsi="宋体" w:cs="宋体"/>
          <w:szCs w:val="28"/>
        </w:rPr>
      </w:pPr>
    </w:p>
    <w:p w14:paraId="146322B8">
      <w:pPr>
        <w:jc w:val="center"/>
        <w:rPr>
          <w:rFonts w:ascii="宋体" w:hAnsi="宋体" w:cs="宋体"/>
          <w:szCs w:val="28"/>
        </w:rPr>
      </w:pPr>
    </w:p>
    <w:p w14:paraId="6B919C87">
      <w:pPr>
        <w:jc w:val="center"/>
        <w:rPr>
          <w:rFonts w:ascii="宋体" w:hAnsi="宋体" w:cs="宋体"/>
          <w:szCs w:val="28"/>
        </w:rPr>
      </w:pPr>
    </w:p>
    <w:p w14:paraId="17C2ED41">
      <w:pPr>
        <w:jc w:val="center"/>
        <w:rPr>
          <w:rFonts w:ascii="宋体" w:hAnsi="宋体" w:cs="宋体"/>
          <w:szCs w:val="28"/>
        </w:rPr>
      </w:pPr>
    </w:p>
    <w:p w14:paraId="0FB4DAFC">
      <w:pPr>
        <w:jc w:val="center"/>
        <w:rPr>
          <w:rFonts w:ascii="宋体" w:hAnsi="宋体" w:cs="宋体"/>
          <w:szCs w:val="28"/>
        </w:rPr>
      </w:pPr>
    </w:p>
    <w:p w14:paraId="040649C7">
      <w:pPr>
        <w:jc w:val="center"/>
        <w:rPr>
          <w:rFonts w:ascii="宋体" w:hAnsi="宋体" w:cs="宋体"/>
          <w:szCs w:val="28"/>
        </w:rPr>
      </w:pPr>
    </w:p>
    <w:p w14:paraId="21188051">
      <w:pPr>
        <w:jc w:val="center"/>
        <w:rPr>
          <w:rFonts w:ascii="宋体" w:hAnsi="宋体" w:cs="宋体"/>
          <w:szCs w:val="28"/>
        </w:rPr>
      </w:pPr>
    </w:p>
    <w:p w14:paraId="5B8D0087">
      <w:pPr>
        <w:jc w:val="center"/>
        <w:rPr>
          <w:rFonts w:ascii="宋体" w:hAnsi="宋体" w:cs="宋体"/>
          <w:szCs w:val="28"/>
        </w:rPr>
      </w:pPr>
    </w:p>
    <w:p w14:paraId="4A66CE60">
      <w:pPr>
        <w:jc w:val="center"/>
        <w:rPr>
          <w:rFonts w:ascii="宋体" w:hAnsi="宋体" w:cs="宋体"/>
          <w:szCs w:val="28"/>
        </w:rPr>
      </w:pPr>
    </w:p>
    <w:p w14:paraId="6CC0C9E6">
      <w:pPr>
        <w:jc w:val="center"/>
        <w:rPr>
          <w:rFonts w:ascii="宋体" w:hAnsi="宋体" w:cs="宋体"/>
          <w:szCs w:val="28"/>
        </w:rPr>
      </w:pPr>
    </w:p>
    <w:p w14:paraId="4DD93CC5">
      <w:pPr>
        <w:jc w:val="center"/>
        <w:rPr>
          <w:b/>
          <w:bCs/>
          <w:sz w:val="44"/>
          <w:szCs w:val="44"/>
        </w:rPr>
      </w:pPr>
      <w:r>
        <w:rPr>
          <w:rFonts w:hint="eastAsia"/>
          <w:b/>
          <w:bCs/>
          <w:sz w:val="44"/>
          <w:szCs w:val="44"/>
        </w:rPr>
        <w:t>资格审查部分</w:t>
      </w:r>
      <w:bookmarkEnd w:id="207"/>
      <w:bookmarkEnd w:id="208"/>
    </w:p>
    <w:p w14:paraId="6B8FBAA2">
      <w:pPr>
        <w:rPr>
          <w:b/>
          <w:bCs/>
        </w:rPr>
      </w:pPr>
      <w:r>
        <w:rPr>
          <w:rFonts w:hint="eastAsia"/>
          <w:b/>
          <w:bCs/>
        </w:rPr>
        <w:br w:type="page"/>
      </w:r>
    </w:p>
    <w:p w14:paraId="18D64D49">
      <w:pPr>
        <w:spacing w:line="360" w:lineRule="auto"/>
        <w:rPr>
          <w:rFonts w:ascii="宋体" w:hAnsi="宋体"/>
          <w:b/>
          <w:bCs/>
          <w:sz w:val="24"/>
          <w:szCs w:val="24"/>
        </w:rPr>
      </w:pPr>
      <w:r>
        <w:rPr>
          <w:rFonts w:hint="eastAsia" w:ascii="宋体" w:hAnsi="宋体"/>
          <w:b/>
          <w:bCs/>
          <w:sz w:val="24"/>
          <w:szCs w:val="24"/>
        </w:rPr>
        <w:t>（一）具有独立承担民事责任的能力</w:t>
      </w:r>
    </w:p>
    <w:p w14:paraId="6E24A99E">
      <w:pPr>
        <w:pStyle w:val="18"/>
        <w:tabs>
          <w:tab w:val="left" w:pos="5580"/>
        </w:tabs>
        <w:spacing w:line="360" w:lineRule="auto"/>
        <w:ind w:firstLine="480" w:firstLineChars="200"/>
        <w:rPr>
          <w:rFonts w:hint="eastAsia" w:hAnsi="宋体" w:cs="宋体"/>
          <w:sz w:val="24"/>
          <w:szCs w:val="24"/>
        </w:rPr>
      </w:pPr>
      <w:r>
        <w:rPr>
          <w:rFonts w:hint="eastAsia" w:hAnsi="宋体" w:cs="宋体"/>
          <w:sz w:val="24"/>
          <w:szCs w:val="24"/>
        </w:rPr>
        <w:t>提供法人或者其他组织的营业执照等证明文件（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分公司参与投标的，还须提供总公司出具的授权书；同一家公司的总公司和下属的不同分公司不能同时参与同一项目投标。</w:t>
      </w:r>
    </w:p>
    <w:p w14:paraId="45DEA1DC">
      <w:pPr>
        <w:pStyle w:val="18"/>
        <w:tabs>
          <w:tab w:val="left" w:pos="5580"/>
        </w:tabs>
        <w:spacing w:line="360" w:lineRule="auto"/>
        <w:ind w:firstLine="480" w:firstLineChars="200"/>
        <w:rPr>
          <w:rFonts w:hint="eastAsia" w:hAnsi="宋体" w:cs="宋体"/>
          <w:sz w:val="24"/>
          <w:szCs w:val="24"/>
        </w:rPr>
      </w:pPr>
    </w:p>
    <w:p w14:paraId="5C9694E8">
      <w:pPr>
        <w:spacing w:line="360" w:lineRule="auto"/>
        <w:rPr>
          <w:rFonts w:ascii="宋体" w:hAnsi="宋体"/>
          <w:b/>
          <w:bCs/>
          <w:sz w:val="24"/>
          <w:szCs w:val="24"/>
        </w:rPr>
      </w:pPr>
      <w:r>
        <w:rPr>
          <w:rFonts w:hint="eastAsia" w:ascii="宋体" w:hAnsi="宋体"/>
          <w:b/>
          <w:bCs/>
          <w:sz w:val="24"/>
          <w:szCs w:val="24"/>
        </w:rPr>
        <w:t>（二）具有良好的商业信誉和健全的财务会计制度</w:t>
      </w:r>
    </w:p>
    <w:p w14:paraId="009D864E">
      <w:pPr>
        <w:pStyle w:val="49"/>
        <w:ind w:firstLine="480" w:firstLineChars="200"/>
        <w:rPr>
          <w:rFonts w:hint="eastAsia" w:ascii="宋体" w:hAnsi="宋体" w:eastAsia="宋体"/>
          <w:sz w:val="24"/>
          <w:szCs w:val="24"/>
        </w:rPr>
      </w:pPr>
      <w:r>
        <w:rPr>
          <w:rFonts w:hint="eastAsia" w:ascii="宋体" w:hAnsi="宋体" w:eastAsia="宋体"/>
          <w:sz w:val="24"/>
          <w:szCs w:val="24"/>
        </w:rPr>
        <w:t>须提供相关证明材料，内容可为以下四者之一：1）2023年度至今任意一年度经审计的审计报告及财务报表，财务报表包括“四表一注”，即资产负债表、利润表、现金流量表、所有者权益变动表及其附注，根据《关于加强审计报告查验工作的通知》（财会〔2023〕15号）规定，在2022年10月以后出具的审计报告须在注册会计师行业统一监管平台（网址：http://acc.mof.gov.cn）取得赋码，未取得赋码的财务报告视为无效（注：非营利性单位或者社会团体或者其他机关事业单位以符合财务会计制度为准）；2）自投标文件提交截止时间前三个月内基本开户银行出具的资信证明；3）财政部门认可的政府采购专业担保机构出具的投标担保函，须同时提供专业担保机构经财政部门认可的证明文件；4）成立未满一年或成立至今未产生经营活动的投标人提供自成立至今的财务报表或财务情况说明。</w:t>
      </w:r>
    </w:p>
    <w:p w14:paraId="389563FB">
      <w:pPr>
        <w:pStyle w:val="49"/>
        <w:ind w:firstLine="480" w:firstLineChars="200"/>
        <w:rPr>
          <w:rFonts w:hint="eastAsia" w:ascii="宋体" w:hAnsi="宋体" w:eastAsia="宋体"/>
          <w:sz w:val="24"/>
          <w:szCs w:val="24"/>
        </w:rPr>
      </w:pPr>
    </w:p>
    <w:p w14:paraId="7B08EC9B">
      <w:pPr>
        <w:spacing w:line="360" w:lineRule="auto"/>
        <w:rPr>
          <w:rFonts w:ascii="宋体" w:hAnsi="宋体"/>
          <w:b/>
          <w:bCs/>
          <w:sz w:val="24"/>
          <w:szCs w:val="24"/>
        </w:rPr>
      </w:pPr>
      <w:bookmarkStart w:id="209" w:name="_Toc14504"/>
      <w:bookmarkEnd w:id="209"/>
      <w:bookmarkStart w:id="210" w:name="_Toc20341"/>
      <w:r>
        <w:rPr>
          <w:rFonts w:hint="eastAsia" w:ascii="宋体" w:hAnsi="宋体"/>
          <w:b/>
          <w:bCs/>
          <w:sz w:val="24"/>
          <w:szCs w:val="24"/>
        </w:rPr>
        <w:t>（三）具有履行合同所必需的设备和专业技术能力</w:t>
      </w:r>
    </w:p>
    <w:p w14:paraId="421B1BBD">
      <w:pPr>
        <w:pStyle w:val="49"/>
        <w:ind w:firstLine="480" w:firstLineChars="200"/>
        <w:rPr>
          <w:rFonts w:ascii="宋体" w:hAnsi="宋体" w:eastAsia="宋体"/>
          <w:sz w:val="24"/>
          <w:szCs w:val="24"/>
        </w:rPr>
      </w:pPr>
      <w:r>
        <w:rPr>
          <w:rFonts w:hint="eastAsia" w:ascii="宋体" w:hAnsi="宋体" w:eastAsia="宋体"/>
          <w:sz w:val="24"/>
          <w:szCs w:val="24"/>
        </w:rPr>
        <w:t>提供证明材料或书面声明。</w:t>
      </w:r>
    </w:p>
    <w:p w14:paraId="73136FB5">
      <w:pPr>
        <w:spacing w:line="360" w:lineRule="auto"/>
        <w:ind w:firstLine="482" w:firstLineChars="200"/>
        <w:rPr>
          <w:rFonts w:ascii="宋体" w:hAnsi="宋体"/>
          <w:b/>
          <w:bCs/>
          <w:sz w:val="24"/>
          <w:szCs w:val="24"/>
        </w:rPr>
      </w:pPr>
    </w:p>
    <w:bookmarkEnd w:id="210"/>
    <w:p w14:paraId="3F1E9E40">
      <w:pPr>
        <w:spacing w:line="360" w:lineRule="auto"/>
        <w:rPr>
          <w:rFonts w:ascii="宋体" w:hAnsi="宋体"/>
          <w:b/>
          <w:bCs/>
          <w:sz w:val="24"/>
          <w:szCs w:val="24"/>
        </w:rPr>
      </w:pPr>
      <w:r>
        <w:rPr>
          <w:rFonts w:hint="eastAsia" w:ascii="宋体" w:hAnsi="宋体"/>
          <w:b/>
          <w:bCs/>
          <w:sz w:val="24"/>
          <w:szCs w:val="24"/>
        </w:rPr>
        <w:t>（四）具有依法缴纳税收和社会保障资金的良好记录</w:t>
      </w:r>
    </w:p>
    <w:p w14:paraId="6593D4E9">
      <w:pPr>
        <w:spacing w:line="360" w:lineRule="auto"/>
        <w:ind w:firstLine="480" w:firstLineChars="200"/>
        <w:jc w:val="both"/>
        <w:rPr>
          <w:rFonts w:ascii="宋体" w:hAnsi="宋体" w:cs="宋体"/>
          <w:color w:val="FF0000"/>
          <w:sz w:val="24"/>
          <w:szCs w:val="24"/>
        </w:rPr>
      </w:pPr>
      <w:r>
        <w:rPr>
          <w:rFonts w:hint="eastAsia" w:ascii="宋体" w:hAnsi="宋体" w:cs="宋体"/>
          <w:sz w:val="24"/>
          <w:szCs w:val="24"/>
        </w:rPr>
        <w:t>提供</w:t>
      </w:r>
      <w:r>
        <w:rPr>
          <w:rFonts w:hint="eastAsia" w:ascii="宋体" w:hAnsi="宋体" w:cs="宋体"/>
          <w:sz w:val="24"/>
          <w:szCs w:val="24"/>
          <w:lang w:eastAsia="zh-CN"/>
        </w:rPr>
        <w:t>2025年1月至今任意1个月依法缴纳税收</w:t>
      </w:r>
      <w:r>
        <w:rPr>
          <w:rFonts w:hint="eastAsia" w:ascii="宋体" w:hAnsi="宋体" w:cs="宋体"/>
          <w:sz w:val="24"/>
          <w:szCs w:val="24"/>
        </w:rPr>
        <w:t>和缴纳社会保障资金的证明（成立未满1个月的提供成立以来的税收和社会保障资金缴纳凭证或相关情况说明；依法免税或不需要缴纳社会保障资金的投标人，应提供相应文件证明其依法免税或不需要缴纳社会保障资金）。</w:t>
      </w:r>
    </w:p>
    <w:p w14:paraId="6239B981">
      <w:pPr>
        <w:pStyle w:val="49"/>
        <w:ind w:firstLine="0" w:firstLineChars="0"/>
        <w:rPr>
          <w:rFonts w:ascii="宋体" w:hAnsi="宋体" w:eastAsia="宋体"/>
        </w:rPr>
      </w:pPr>
      <w:bookmarkStart w:id="211" w:name="_Toc8069"/>
      <w:bookmarkEnd w:id="211"/>
      <w:r>
        <w:rPr>
          <w:rFonts w:hint="eastAsia" w:ascii="宋体" w:hAnsi="宋体" w:eastAsia="宋体"/>
        </w:rPr>
        <w:br w:type="page"/>
      </w:r>
      <w:r>
        <w:rPr>
          <w:rFonts w:hint="eastAsia" w:ascii="宋体" w:hAnsi="宋体" w:eastAsia="宋体" w:cs="Times New Roman"/>
          <w:b/>
          <w:bCs/>
          <w:sz w:val="24"/>
          <w:szCs w:val="24"/>
        </w:rPr>
        <w:t>（五）在经营活动中没有重大违法记录</w:t>
      </w:r>
    </w:p>
    <w:p w14:paraId="7A85726C">
      <w:pPr>
        <w:spacing w:line="360" w:lineRule="auto"/>
        <w:ind w:firstLine="480" w:firstLineChars="200"/>
        <w:rPr>
          <w:rFonts w:ascii="宋体" w:hAnsi="宋体" w:cs="宋体"/>
          <w:sz w:val="24"/>
          <w:szCs w:val="24"/>
        </w:rPr>
      </w:pPr>
      <w:r>
        <w:rPr>
          <w:rFonts w:hint="eastAsia" w:ascii="宋体" w:hAnsi="宋体" w:cs="宋体"/>
          <w:sz w:val="24"/>
          <w:szCs w:val="24"/>
        </w:rPr>
        <w:t>提供参加本次政府采购活动前三年内在经营活动中没有重大违法记录的书面声明。</w:t>
      </w:r>
    </w:p>
    <w:p w14:paraId="1A36C16C">
      <w:pPr>
        <w:jc w:val="center"/>
        <w:rPr>
          <w:rFonts w:ascii="宋体" w:hAnsi="宋体" w:cs="宋体"/>
          <w:b/>
          <w:sz w:val="24"/>
        </w:rPr>
      </w:pPr>
    </w:p>
    <w:p w14:paraId="5828D155">
      <w:pPr>
        <w:jc w:val="center"/>
        <w:rPr>
          <w:rFonts w:ascii="宋体" w:hAnsi="宋体" w:cs="宋体"/>
          <w:b/>
          <w:sz w:val="24"/>
        </w:rPr>
      </w:pPr>
      <w:r>
        <w:rPr>
          <w:rFonts w:hint="eastAsia" w:ascii="宋体" w:hAnsi="宋体" w:cs="宋体"/>
          <w:b/>
          <w:sz w:val="24"/>
        </w:rPr>
        <w:t>声明函</w:t>
      </w:r>
    </w:p>
    <w:p w14:paraId="7AE305CD">
      <w:pPr>
        <w:jc w:val="center"/>
        <w:rPr>
          <w:rFonts w:ascii="宋体" w:hAnsi="宋体" w:cs="宋体"/>
          <w:sz w:val="24"/>
        </w:rPr>
      </w:pPr>
    </w:p>
    <w:p w14:paraId="35F19B64">
      <w:pPr>
        <w:tabs>
          <w:tab w:val="left" w:pos="5580"/>
        </w:tabs>
        <w:spacing w:before="120"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p>
    <w:p w14:paraId="5F3BB5E6">
      <w:pPr>
        <w:tabs>
          <w:tab w:val="left" w:pos="5580"/>
        </w:tabs>
        <w:spacing w:before="120" w:line="360" w:lineRule="auto"/>
        <w:ind w:firstLine="480" w:firstLineChars="200"/>
        <w:rPr>
          <w:rFonts w:ascii="宋体" w:hAnsi="宋体" w:cs="宋体"/>
          <w:sz w:val="24"/>
        </w:rPr>
      </w:pPr>
    </w:p>
    <w:p w14:paraId="48AE1D53">
      <w:pPr>
        <w:tabs>
          <w:tab w:val="left" w:pos="5580"/>
        </w:tabs>
        <w:spacing w:before="120" w:line="360" w:lineRule="auto"/>
        <w:ind w:firstLine="480" w:firstLineChars="200"/>
        <w:rPr>
          <w:rFonts w:ascii="宋体" w:hAnsi="宋体" w:cs="宋体"/>
          <w:sz w:val="24"/>
        </w:rPr>
      </w:pPr>
      <w:r>
        <w:rPr>
          <w:rFonts w:hint="eastAsia" w:ascii="宋体" w:hAnsi="宋体" w:cs="宋体"/>
          <w:sz w:val="24"/>
        </w:rPr>
        <w:t>我公司郑重承诺在参加本项目政府采购活动前三年内，在经营活动中无重大违法记录。公司未受到行政处罚或责令停业、吊销许可证（或执照）；未处于财产被接管、冻结、破产状况。</w:t>
      </w:r>
    </w:p>
    <w:p w14:paraId="149D6D70">
      <w:pPr>
        <w:tabs>
          <w:tab w:val="left" w:pos="5580"/>
        </w:tabs>
        <w:spacing w:before="120" w:line="360" w:lineRule="auto"/>
        <w:ind w:firstLine="480" w:firstLineChars="200"/>
        <w:rPr>
          <w:rFonts w:ascii="宋体" w:hAnsi="宋体" w:cs="宋体"/>
          <w:sz w:val="24"/>
        </w:rPr>
      </w:pPr>
      <w:r>
        <w:rPr>
          <w:rFonts w:hint="eastAsia" w:ascii="宋体" w:hAnsi="宋体" w:cs="宋体"/>
          <w:sz w:val="24"/>
        </w:rPr>
        <w:t>特此声明。</w:t>
      </w:r>
    </w:p>
    <w:p w14:paraId="4EBFF826">
      <w:pPr>
        <w:ind w:firstLine="1200" w:firstLineChars="500"/>
        <w:rPr>
          <w:rFonts w:ascii="宋体" w:hAnsi="宋体" w:cs="宋体"/>
          <w:sz w:val="24"/>
        </w:rPr>
      </w:pPr>
    </w:p>
    <w:p w14:paraId="4B621553">
      <w:pPr>
        <w:ind w:firstLine="1205" w:firstLineChars="500"/>
        <w:rPr>
          <w:rFonts w:ascii="宋体" w:hAnsi="宋体" w:cs="宋体"/>
          <w:b/>
          <w:bCs/>
          <w:sz w:val="24"/>
          <w:szCs w:val="24"/>
        </w:rPr>
      </w:pPr>
    </w:p>
    <w:p w14:paraId="18D997A0">
      <w:pPr>
        <w:ind w:firstLine="1205" w:firstLineChars="500"/>
        <w:rPr>
          <w:rFonts w:ascii="宋体" w:hAnsi="宋体" w:cs="宋体"/>
          <w:b/>
          <w:bCs/>
          <w:sz w:val="24"/>
          <w:szCs w:val="24"/>
        </w:rPr>
      </w:pPr>
    </w:p>
    <w:p w14:paraId="16A81AD4">
      <w:pPr>
        <w:ind w:firstLine="1205" w:firstLineChars="500"/>
        <w:rPr>
          <w:rFonts w:ascii="宋体" w:hAnsi="宋体" w:cs="宋体"/>
          <w:b/>
          <w:bCs/>
          <w:sz w:val="24"/>
          <w:szCs w:val="24"/>
        </w:rPr>
      </w:pPr>
    </w:p>
    <w:p w14:paraId="17459DDD">
      <w:pPr>
        <w:ind w:firstLine="1205" w:firstLineChars="500"/>
        <w:rPr>
          <w:rFonts w:ascii="宋体" w:hAnsi="宋体" w:cs="宋体"/>
          <w:b/>
          <w:bCs/>
          <w:sz w:val="24"/>
          <w:szCs w:val="24"/>
        </w:rPr>
      </w:pPr>
    </w:p>
    <w:p w14:paraId="2C30913D">
      <w:pPr>
        <w:ind w:firstLine="1205" w:firstLineChars="500"/>
        <w:rPr>
          <w:rFonts w:ascii="宋体" w:hAnsi="宋体" w:cs="宋体"/>
          <w:b/>
          <w:bCs/>
          <w:sz w:val="24"/>
          <w:szCs w:val="24"/>
        </w:rPr>
      </w:pPr>
    </w:p>
    <w:p w14:paraId="1827F80D">
      <w:pPr>
        <w:rPr>
          <w:rFonts w:ascii="宋体" w:hAnsi="宋体"/>
          <w:b/>
          <w:bCs/>
          <w:sz w:val="24"/>
          <w:szCs w:val="24"/>
        </w:rPr>
      </w:pPr>
      <w:bookmarkStart w:id="212" w:name="_Toc16296"/>
      <w:bookmarkEnd w:id="212"/>
      <w:bookmarkStart w:id="213" w:name="_Toc15638"/>
      <w:bookmarkEnd w:id="213"/>
      <w:bookmarkStart w:id="214" w:name="_Toc15765"/>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17AE4C13">
      <w:pPr>
        <w:rPr>
          <w:rFonts w:ascii="宋体" w:hAnsi="宋体"/>
          <w:b/>
          <w:bCs/>
          <w:sz w:val="24"/>
          <w:szCs w:val="24"/>
        </w:rPr>
      </w:pPr>
      <w:r>
        <w:rPr>
          <w:rFonts w:hint="eastAsia" w:ascii="宋体" w:hAnsi="宋体"/>
          <w:b/>
          <w:bCs/>
          <w:sz w:val="24"/>
          <w:szCs w:val="24"/>
        </w:rPr>
        <w:t xml:space="preserve"> </w:t>
      </w:r>
    </w:p>
    <w:p w14:paraId="49FBCFC0">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1E4F0543">
      <w:pPr>
        <w:rPr>
          <w:rFonts w:ascii="宋体" w:hAnsi="宋体"/>
          <w:b/>
          <w:bCs/>
          <w:sz w:val="24"/>
          <w:szCs w:val="24"/>
        </w:rPr>
      </w:pPr>
    </w:p>
    <w:p w14:paraId="0198DBB1">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bookmarkStart w:id="215" w:name="_Toc4022"/>
      <w:bookmarkEnd w:id="215"/>
    </w:p>
    <w:p w14:paraId="679B0B51">
      <w:pPr>
        <w:rPr>
          <w:rFonts w:ascii="宋体" w:hAnsi="宋体" w:cs="宋体"/>
        </w:rPr>
      </w:pPr>
      <w:r>
        <w:rPr>
          <w:rFonts w:hint="eastAsia" w:ascii="宋体" w:hAnsi="宋体" w:cs="宋体"/>
        </w:rPr>
        <w:br w:type="page"/>
      </w:r>
    </w:p>
    <w:bookmarkEnd w:id="214"/>
    <w:p w14:paraId="2BB6CB77">
      <w:pPr>
        <w:numPr>
          <w:ilvl w:val="0"/>
          <w:numId w:val="0"/>
        </w:numPr>
        <w:spacing w:line="360" w:lineRule="auto"/>
        <w:rPr>
          <w:rFonts w:hint="eastAsia" w:ascii="宋体" w:hAnsi="宋体" w:eastAsia="宋体"/>
          <w:b/>
          <w:bCs/>
          <w:sz w:val="24"/>
          <w:szCs w:val="24"/>
          <w:lang w:eastAsia="zh-CN"/>
        </w:rPr>
      </w:pPr>
      <w:bookmarkStart w:id="216" w:name="_Toc29133"/>
      <w:bookmarkEnd w:id="216"/>
      <w:r>
        <w:rPr>
          <w:rFonts w:hint="eastAsia" w:ascii="宋体" w:hAnsi="宋体" w:eastAsia="宋体" w:cs="Times New Roman"/>
          <w:b/>
          <w:bCs/>
          <w:sz w:val="24"/>
          <w:szCs w:val="24"/>
          <w:lang w:val="en-US" w:eastAsia="zh-CN" w:bidi="ar-SA"/>
        </w:rPr>
        <w:t>（六）</w:t>
      </w:r>
      <w:r>
        <w:rPr>
          <w:rFonts w:hint="eastAsia" w:ascii="宋体" w:hAnsi="宋体"/>
          <w:b/>
          <w:bCs/>
          <w:sz w:val="24"/>
          <w:szCs w:val="24"/>
        </w:rPr>
        <w:t>本项目为专门面向中小企业采购的项目</w:t>
      </w:r>
      <w:r>
        <w:rPr>
          <w:rFonts w:hint="eastAsia" w:ascii="宋体" w:hAnsi="宋体"/>
          <w:b/>
          <w:bCs/>
          <w:sz w:val="24"/>
          <w:szCs w:val="24"/>
          <w:lang w:eastAsia="zh-CN"/>
        </w:rPr>
        <w:t>，行业划分为工业</w:t>
      </w:r>
    </w:p>
    <w:p w14:paraId="721B7B8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b w:val="0"/>
          <w:bCs w:val="0"/>
          <w:sz w:val="24"/>
          <w:szCs w:val="24"/>
        </w:rPr>
      </w:pPr>
      <w:r>
        <w:rPr>
          <w:rFonts w:hint="eastAsia" w:ascii="宋体" w:hAnsi="宋体"/>
          <w:b w:val="0"/>
          <w:bCs w:val="0"/>
          <w:sz w:val="24"/>
          <w:szCs w:val="24"/>
        </w:rPr>
        <w:t>投标人应提供“中小企业声明函”或“残疾人福利性单位声明函”或由省级以上监狱管理局、戒毒管理局</w:t>
      </w:r>
      <w:r>
        <w:rPr>
          <w:rFonts w:hint="eastAsia" w:ascii="宋体" w:hAnsi="宋体"/>
          <w:b w:val="0"/>
          <w:bCs w:val="0"/>
          <w:sz w:val="24"/>
          <w:szCs w:val="24"/>
          <w:lang w:eastAsia="zh-CN"/>
        </w:rPr>
        <w:t>（</w:t>
      </w:r>
      <w:r>
        <w:rPr>
          <w:rFonts w:hint="eastAsia" w:ascii="宋体" w:hAnsi="宋体"/>
          <w:b w:val="0"/>
          <w:bCs w:val="0"/>
          <w:sz w:val="24"/>
          <w:szCs w:val="24"/>
        </w:rPr>
        <w:t>含新疆生产建设兵团</w:t>
      </w:r>
      <w:r>
        <w:rPr>
          <w:rFonts w:hint="eastAsia" w:ascii="宋体" w:hAnsi="宋体"/>
          <w:b w:val="0"/>
          <w:bCs w:val="0"/>
          <w:sz w:val="24"/>
          <w:szCs w:val="24"/>
          <w:lang w:eastAsia="zh-CN"/>
        </w:rPr>
        <w:t>）</w:t>
      </w:r>
      <w:r>
        <w:rPr>
          <w:rFonts w:hint="eastAsia" w:ascii="宋体" w:hAnsi="宋体"/>
          <w:b w:val="0"/>
          <w:bCs w:val="0"/>
          <w:sz w:val="24"/>
          <w:szCs w:val="24"/>
        </w:rPr>
        <w:t>出具的属于监狱企业的证明文件。</w:t>
      </w:r>
    </w:p>
    <w:p w14:paraId="2097DC71">
      <w:pPr>
        <w:spacing w:line="360" w:lineRule="auto"/>
        <w:ind w:firstLine="480" w:firstLineChars="200"/>
        <w:jc w:val="both"/>
        <w:rPr>
          <w:rFonts w:hint="eastAsia" w:ascii="宋体" w:hAnsi="宋体"/>
          <w:sz w:val="24"/>
          <w:szCs w:val="24"/>
        </w:rPr>
      </w:pPr>
    </w:p>
    <w:p w14:paraId="1B325210">
      <w:pPr>
        <w:spacing w:line="480" w:lineRule="auto"/>
        <w:jc w:val="both"/>
        <w:rPr>
          <w:rFonts w:ascii="宋体" w:hAnsi="宋体" w:cs="宋体"/>
          <w:sz w:val="24"/>
          <w:szCs w:val="24"/>
        </w:rPr>
      </w:pPr>
      <w:r>
        <w:rPr>
          <w:rFonts w:hint="eastAsia" w:ascii="宋体" w:hAnsi="宋体"/>
          <w:b/>
          <w:bCs/>
          <w:sz w:val="24"/>
          <w:szCs w:val="24"/>
        </w:rPr>
        <w:t>格式1：</w:t>
      </w:r>
    </w:p>
    <w:p w14:paraId="109BFFE5">
      <w:pPr>
        <w:spacing w:line="480" w:lineRule="auto"/>
        <w:jc w:val="center"/>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中小企业声明函</w:t>
      </w:r>
      <w:r>
        <w:rPr>
          <w:rFonts w:hint="eastAsia" w:ascii="宋体" w:hAnsi="宋体" w:cs="宋体"/>
          <w:b/>
          <w:bCs/>
          <w:color w:val="000000"/>
          <w:sz w:val="24"/>
          <w:szCs w:val="24"/>
          <w:shd w:val="clear" w:color="auto" w:fill="FFFFFF"/>
          <w:lang w:eastAsia="zh-CN"/>
        </w:rPr>
        <w:t>（</w:t>
      </w:r>
      <w:r>
        <w:rPr>
          <w:rFonts w:hint="eastAsia" w:ascii="宋体" w:hAnsi="宋体" w:cs="宋体"/>
          <w:b/>
          <w:bCs/>
          <w:color w:val="000000"/>
          <w:sz w:val="24"/>
          <w:szCs w:val="24"/>
          <w:shd w:val="clear" w:color="auto" w:fill="FFFFFF"/>
        </w:rPr>
        <w:t>货物</w:t>
      </w:r>
      <w:r>
        <w:rPr>
          <w:rFonts w:hint="eastAsia" w:ascii="宋体" w:hAnsi="宋体" w:cs="宋体"/>
          <w:b/>
          <w:bCs/>
          <w:color w:val="000000"/>
          <w:sz w:val="24"/>
          <w:szCs w:val="24"/>
          <w:shd w:val="clear" w:color="auto" w:fill="FFFFFF"/>
          <w:lang w:eastAsia="zh-CN"/>
        </w:rPr>
        <w:t>）</w:t>
      </w:r>
    </w:p>
    <w:p w14:paraId="603DA265">
      <w:pPr>
        <w:widowControl w:val="0"/>
        <w:spacing w:line="48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本公司（联合体</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郑重声明，根据《政府采购促进中小企业发展管理办法》</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财库</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 xml:space="preserve"> 2020 </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46号</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的规定，本公司</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联合体</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参加</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单位名称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的</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项目名称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采购活动，提供的货物全部由符合政策要求的中小企业制造。相关</w:t>
      </w:r>
      <w:r>
        <w:rPr>
          <w:rFonts w:hint="eastAsia" w:ascii="宋体" w:hAnsi="宋体" w:cs="宋体"/>
          <w:color w:val="000000"/>
          <w:sz w:val="24"/>
          <w:szCs w:val="24"/>
          <w:shd w:val="clear" w:color="auto" w:fill="FFFFFF"/>
          <w:lang w:eastAsia="zh-CN"/>
        </w:rPr>
        <w:t>企业（</w:t>
      </w:r>
      <w:r>
        <w:rPr>
          <w:rFonts w:hint="eastAsia" w:ascii="宋体" w:hAnsi="宋体" w:cs="宋体"/>
          <w:color w:val="000000"/>
          <w:sz w:val="24"/>
          <w:szCs w:val="24"/>
          <w:shd w:val="clear" w:color="auto" w:fill="FFFFFF"/>
        </w:rPr>
        <w:t>含联合体中的中小企业、签订分包意向协议的中小企业</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的具体情况如下</w:t>
      </w:r>
      <w:r>
        <w:rPr>
          <w:rFonts w:hint="eastAsia" w:ascii="宋体" w:hAnsi="宋体" w:cs="宋体"/>
          <w:color w:val="000000"/>
          <w:sz w:val="24"/>
          <w:szCs w:val="24"/>
          <w:shd w:val="clear" w:color="auto" w:fill="FFFFFF"/>
          <w:lang w:eastAsia="zh-CN"/>
        </w:rPr>
        <w:t>：</w:t>
      </w:r>
    </w:p>
    <w:p w14:paraId="25962923">
      <w:pPr>
        <w:widowControl w:val="0"/>
        <w:spacing w:line="480" w:lineRule="auto"/>
        <w:ind w:firstLine="480" w:firstLineChars="200"/>
        <w:jc w:val="both"/>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xml:space="preserve">1. </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标的名称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，属于</w:t>
      </w:r>
      <w:r>
        <w:rPr>
          <w:rFonts w:hint="eastAsia" w:ascii="宋体" w:hAnsi="宋体" w:cs="宋体"/>
          <w:sz w:val="24"/>
          <w:szCs w:val="24"/>
          <w:u w:val="single"/>
          <w:shd w:val="clear" w:color="auto" w:fill="FFFFFF"/>
        </w:rPr>
        <w:t>（招标文件中明确的所属行业）</w:t>
      </w:r>
      <w:r>
        <w:rPr>
          <w:rFonts w:hint="eastAsia" w:ascii="宋体" w:hAnsi="宋体" w:cs="宋体"/>
          <w:color w:val="000000"/>
          <w:sz w:val="24"/>
          <w:szCs w:val="24"/>
          <w:shd w:val="clear" w:color="auto" w:fill="FFFFFF"/>
        </w:rPr>
        <w:t>；制造商为</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企业名称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，从业人员</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人，营业收入为</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万元，资产总额为___ 万元，属于</w:t>
      </w:r>
      <w:r>
        <w:rPr>
          <w:rFonts w:hint="eastAsia" w:ascii="宋体" w:hAnsi="宋体" w:cs="宋体"/>
          <w:color w:val="000000"/>
          <w:sz w:val="24"/>
          <w:szCs w:val="24"/>
          <w:u w:val="single"/>
          <w:shd w:val="clear" w:color="auto" w:fill="FFFFFF"/>
        </w:rPr>
        <w:t xml:space="preserve">     （中型企业、小型企业、微型企业）</w:t>
      </w:r>
      <w:r>
        <w:rPr>
          <w:rFonts w:hint="eastAsia" w:ascii="宋体" w:hAnsi="宋体" w:cs="宋体"/>
          <w:color w:val="000000"/>
          <w:sz w:val="24"/>
          <w:szCs w:val="24"/>
          <w:shd w:val="clear" w:color="auto" w:fill="FFFFFF"/>
        </w:rPr>
        <w:t>；</w:t>
      </w:r>
    </w:p>
    <w:p w14:paraId="27101533">
      <w:pPr>
        <w:widowControl w:val="0"/>
        <w:spacing w:line="36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w:t>
      </w:r>
      <w:r>
        <w:rPr>
          <w:rFonts w:hint="eastAsia" w:ascii="宋体" w:hAnsi="宋体" w:cs="宋体"/>
          <w:color w:val="000000"/>
          <w:sz w:val="24"/>
          <w:szCs w:val="24"/>
          <w:u w:val="single"/>
          <w:shd w:val="clear" w:color="auto" w:fill="FFFFFF"/>
        </w:rPr>
        <w:t xml:space="preserve">      （标的名称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，属于</w:t>
      </w:r>
      <w:r>
        <w:rPr>
          <w:rFonts w:hint="eastAsia" w:ascii="宋体" w:hAnsi="宋体" w:cs="宋体"/>
          <w:sz w:val="24"/>
          <w:szCs w:val="24"/>
          <w:u w:val="single"/>
          <w:shd w:val="clear" w:color="auto" w:fill="FFFFFF"/>
        </w:rPr>
        <w:t>（招标文件中明确的所属行业）</w:t>
      </w:r>
      <w:r>
        <w:rPr>
          <w:rFonts w:hint="eastAsia" w:ascii="宋体" w:hAnsi="宋体" w:cs="宋体"/>
          <w:color w:val="000000"/>
          <w:sz w:val="24"/>
          <w:szCs w:val="24"/>
          <w:shd w:val="clear" w:color="auto" w:fill="FFFFFF"/>
        </w:rPr>
        <w:t>；制造商为</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u w:val="single"/>
          <w:shd w:val="clear" w:color="auto" w:fill="FFFFFF"/>
        </w:rPr>
        <w:t>企业名称</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，从业人员</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人， 营业收入为</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万元， 资产总额为</w:t>
      </w:r>
      <w:r>
        <w:rPr>
          <w:rFonts w:hint="eastAsia" w:ascii="宋体" w:hAnsi="宋体" w:cs="宋体"/>
          <w:color w:val="000000"/>
          <w:sz w:val="24"/>
          <w:szCs w:val="24"/>
          <w:u w:val="single"/>
          <w:shd w:val="clear" w:color="auto" w:fill="FFFFFF"/>
        </w:rPr>
        <w:t xml:space="preserve">      </w:t>
      </w:r>
      <w:r>
        <w:rPr>
          <w:rFonts w:hint="eastAsia" w:ascii="宋体" w:hAnsi="宋体" w:cs="宋体"/>
          <w:color w:val="000000"/>
          <w:sz w:val="24"/>
          <w:szCs w:val="24"/>
          <w:shd w:val="clear" w:color="auto" w:fill="FFFFFF"/>
        </w:rPr>
        <w:t>万元，属于</w:t>
      </w:r>
      <w:r>
        <w:rPr>
          <w:rFonts w:hint="eastAsia" w:ascii="宋体" w:hAnsi="宋体" w:cs="宋体"/>
          <w:color w:val="000000"/>
          <w:sz w:val="24"/>
          <w:szCs w:val="24"/>
          <w:u w:val="single"/>
          <w:shd w:val="clear" w:color="auto" w:fill="FFFFFF"/>
        </w:rPr>
        <w:t xml:space="preserve">   （中型企业、 小型企业、微型企业</w:t>
      </w:r>
      <w:r>
        <w:rPr>
          <w:rFonts w:hint="eastAsia" w:ascii="宋体" w:hAnsi="宋体" w:cs="宋体"/>
          <w:color w:val="000000"/>
          <w:sz w:val="24"/>
          <w:szCs w:val="24"/>
          <w:u w:val="single"/>
          <w:shd w:val="clear" w:color="auto" w:fill="FFFFFF"/>
          <w:lang w:eastAsia="zh-CN"/>
        </w:rPr>
        <w:t>）</w:t>
      </w:r>
      <w:r>
        <w:rPr>
          <w:rFonts w:hint="eastAsia" w:ascii="宋体" w:hAnsi="宋体" w:cs="宋体"/>
          <w:color w:val="000000"/>
          <w:sz w:val="24"/>
          <w:szCs w:val="24"/>
          <w:shd w:val="clear" w:color="auto" w:fill="FFFFFF"/>
        </w:rPr>
        <w:t>；</w:t>
      </w:r>
    </w:p>
    <w:p w14:paraId="76A35B2E">
      <w:pPr>
        <w:widowControl w:val="0"/>
        <w:spacing w:line="48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lang w:eastAsia="zh-CN"/>
        </w:rPr>
        <w:t>……</w:t>
      </w:r>
    </w:p>
    <w:p w14:paraId="1C1E6C06">
      <w:pPr>
        <w:widowControl w:val="0"/>
        <w:spacing w:line="48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以上企业，不属于大企业的分支机构，不存在控股股东为大企业的情形，也不存在与大企业的负责人为同一人的情形。</w:t>
      </w:r>
    </w:p>
    <w:p w14:paraId="34B0365C">
      <w:pPr>
        <w:widowControl w:val="0"/>
        <w:spacing w:line="480" w:lineRule="auto"/>
        <w:ind w:firstLine="480" w:firstLineChars="200"/>
        <w:jc w:val="both"/>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本企业对上述声明内容的真实性负责。如有</w:t>
      </w:r>
      <w:r>
        <w:rPr>
          <w:rFonts w:hint="eastAsia" w:ascii="宋体" w:hAnsi="宋体" w:cs="宋体"/>
          <w:color w:val="000000"/>
          <w:sz w:val="24"/>
          <w:szCs w:val="24"/>
          <w:shd w:val="clear" w:color="auto" w:fill="FFFFFF"/>
          <w:lang w:eastAsia="zh-CN"/>
        </w:rPr>
        <w:t>虚</w:t>
      </w:r>
      <w:r>
        <w:rPr>
          <w:rFonts w:hint="eastAsia" w:ascii="宋体" w:hAnsi="宋体" w:cs="宋体"/>
          <w:color w:val="000000"/>
          <w:sz w:val="24"/>
          <w:szCs w:val="24"/>
          <w:shd w:val="clear" w:color="auto" w:fill="FFFFFF"/>
        </w:rPr>
        <w:t>假，将依法承担相应责任。</w:t>
      </w:r>
    </w:p>
    <w:p w14:paraId="3B90F172">
      <w:pPr>
        <w:spacing w:line="480" w:lineRule="auto"/>
        <w:ind w:left="3360" w:hanging="3360" w:hangingChars="1400"/>
        <w:jc w:val="cente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企业名称</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盖章</w:t>
      </w: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rPr>
        <w:t>:</w:t>
      </w:r>
    </w:p>
    <w:p w14:paraId="5CC28623">
      <w:pPr>
        <w:spacing w:line="480" w:lineRule="auto"/>
        <w:ind w:left="3352" w:leftChars="1596" w:firstLine="720" w:firstLineChars="300"/>
        <w:jc w:val="both"/>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日 期</w:t>
      </w:r>
      <w:r>
        <w:rPr>
          <w:rFonts w:hint="eastAsia" w:ascii="宋体" w:hAnsi="宋体" w:cs="宋体"/>
          <w:color w:val="000000"/>
          <w:sz w:val="24"/>
          <w:szCs w:val="24"/>
          <w:shd w:val="clear" w:color="auto" w:fill="FFFFFF"/>
          <w:lang w:eastAsia="zh-CN"/>
        </w:rPr>
        <w:t>：</w:t>
      </w:r>
    </w:p>
    <w:p w14:paraId="3AE4AA59">
      <w:pPr>
        <w:spacing w:line="480" w:lineRule="auto"/>
        <w:rPr>
          <w:rFonts w:ascii="宋体" w:hAnsi="宋体" w:cs="宋体"/>
          <w:color w:val="000000"/>
          <w:sz w:val="18"/>
          <w:szCs w:val="18"/>
          <w:shd w:val="clear" w:color="auto" w:fill="FFFFFF"/>
        </w:rPr>
      </w:pPr>
      <w:r>
        <w:rPr>
          <w:rFonts w:hint="eastAsia" w:ascii="宋体" w:hAnsi="宋体" w:cs="宋体"/>
          <w:color w:val="000000"/>
          <w:sz w:val="18"/>
          <w:szCs w:val="18"/>
          <w:shd w:val="clear" w:color="auto" w:fill="FFFFFF"/>
          <w:vertAlign w:val="superscript"/>
        </w:rPr>
        <w:t>1</w:t>
      </w:r>
      <w:r>
        <w:rPr>
          <w:rFonts w:hint="eastAsia" w:ascii="宋体" w:hAnsi="宋体" w:cs="宋体"/>
          <w:color w:val="000000"/>
          <w:sz w:val="18"/>
          <w:szCs w:val="18"/>
          <w:shd w:val="clear" w:color="auto" w:fill="FFFFFF"/>
        </w:rPr>
        <w:t>从业人员、营业收入、资产总额填报上一年度数据，无上一年度数据的新成立企业可不填报。</w:t>
      </w:r>
    </w:p>
    <w:p w14:paraId="138B46CF">
      <w:pPr>
        <w:rPr>
          <w:rFonts w:ascii="宋体" w:hAnsi="宋体" w:cs="宋体"/>
          <w:color w:val="000000"/>
          <w:sz w:val="18"/>
          <w:szCs w:val="18"/>
          <w:shd w:val="clear" w:color="auto" w:fill="FFFFFF"/>
        </w:rPr>
      </w:pPr>
      <w:r>
        <w:rPr>
          <w:rFonts w:hint="eastAsia" w:ascii="宋体" w:hAnsi="宋体" w:cs="宋体"/>
          <w:color w:val="000000"/>
          <w:sz w:val="18"/>
          <w:szCs w:val="18"/>
          <w:shd w:val="clear" w:color="auto" w:fill="FFFFFF"/>
        </w:rPr>
        <w:br w:type="page"/>
      </w:r>
    </w:p>
    <w:p w14:paraId="35B60C67">
      <w:pPr>
        <w:spacing w:line="400" w:lineRule="exact"/>
        <w:ind w:firstLine="482" w:firstLineChars="200"/>
        <w:jc w:val="both"/>
        <w:rPr>
          <w:rFonts w:ascii="宋体" w:hAnsi="宋体" w:cs="宋体"/>
          <w:sz w:val="24"/>
          <w:szCs w:val="24"/>
          <w:shd w:val="clear" w:color="auto" w:fill="FFFFFF"/>
        </w:rPr>
      </w:pPr>
      <w:r>
        <w:rPr>
          <w:rFonts w:hint="eastAsia" w:ascii="宋体" w:hAnsi="宋体" w:cs="宋体"/>
          <w:b/>
          <w:bCs/>
          <w:sz w:val="24"/>
          <w:szCs w:val="24"/>
          <w:shd w:val="clear" w:color="auto" w:fill="FFFFFF"/>
        </w:rPr>
        <w:t>附件：</w:t>
      </w:r>
    </w:p>
    <w:p w14:paraId="799FEC19">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《关于印发中小企业划型标准规定的通知》（工信部联企业〔2011〕300 号）中小企业划型标准规定节选：</w:t>
      </w:r>
    </w:p>
    <w:p w14:paraId="632ADAA9">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四、各行业划型标准为：</w:t>
      </w:r>
    </w:p>
    <w:p w14:paraId="48F84CCD">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035DC8D8">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（二）工业。从业人员1000人以下或营业收入40000万元以下的为中小微型企业。其中，从业人员300人及以上，且营业收入 2000万元及以上的为中型企业；从业人员20人及以上，且营业收入300万元及以上的为小型企业；从业人员20人以下或营业收入300万元以下的为微型企业。</w:t>
      </w:r>
    </w:p>
    <w:p w14:paraId="63C548AF">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16E9F5">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E9DF33">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F529BF">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（六）交通运输业。从业人员1000人以下或营业收入30000万元以下的为中小微型企业。其中，从业人员300人及以上，且营业收入3000万元及以上的为中型企业；从业人员20人及以上，且营业收入 200万元及以上的为小型企业；从业人员20人以下或营业收入 200万元以下的为微型企业。</w:t>
      </w:r>
    </w:p>
    <w:p w14:paraId="0336D875">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7329F93">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5C2AF6">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AE0FC">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7DFC63">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1826BF4">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97B555">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（十三）房地产开发经营。营业收入 200000万元以下或资产总额10000万元以下的为中小微型企业。其中，营业收入1000万元及以上，且资产总额 5000万元及以上的为中型企业；营业收入100万元及以上，且资产总额 2000万元及以上的为小型企业；营业收入100万元以下或资产总额 2000万元以下的为微型企业。</w:t>
      </w:r>
    </w:p>
    <w:p w14:paraId="4E4C3B5A">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9DDF81">
      <w:pPr>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（十五）租赁和商务服务业。从业人员300人以下或资产总额120000万元以下的为中小微型企业。其中，从业人员100人及以上，且资产总额 8000万元及以上的为中型企业；从业人员10人及以上，且资产总额100万元及以上的为小型企业；从业人员10人以下或资产总额100万元以下的为微型企业。</w:t>
      </w:r>
    </w:p>
    <w:p w14:paraId="03F14664">
      <w:pPr>
        <w:widowControl w:val="0"/>
        <w:spacing w:line="480" w:lineRule="auto"/>
        <w:jc w:val="center"/>
        <w:rPr>
          <w:rFonts w:ascii="宋体" w:hAnsi="宋体" w:cs="宋体"/>
          <w:color w:val="000000"/>
          <w:sz w:val="18"/>
          <w:szCs w:val="18"/>
          <w:shd w:val="clear" w:color="auto" w:fill="FFFFFF"/>
        </w:rPr>
      </w:pPr>
      <w:r>
        <w:rPr>
          <w:rFonts w:hint="eastAsia" w:ascii="宋体" w:hAnsi="宋体" w:cs="宋体"/>
          <w:sz w:val="24"/>
          <w:szCs w:val="24"/>
          <w:shd w:val="clear" w:color="auto" w:fill="FFFFFF"/>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sz w:val="18"/>
          <w:szCs w:val="18"/>
          <w:shd w:val="clear" w:color="auto" w:fill="FFFFFF"/>
        </w:rPr>
        <w:br w:type="page"/>
      </w:r>
    </w:p>
    <w:p w14:paraId="0800F3E4">
      <w:pPr>
        <w:widowControl w:val="0"/>
        <w:spacing w:line="480" w:lineRule="auto"/>
        <w:jc w:val="both"/>
        <w:rPr>
          <w:rFonts w:ascii="宋体" w:hAnsi="宋体" w:cs="宋体"/>
          <w:color w:val="000000"/>
          <w:sz w:val="18"/>
          <w:szCs w:val="18"/>
          <w:shd w:val="clear" w:color="auto" w:fill="FFFFFF"/>
        </w:rPr>
      </w:pPr>
      <w:r>
        <w:rPr>
          <w:rFonts w:hint="eastAsia" w:ascii="宋体" w:hAnsi="宋体"/>
          <w:b/>
          <w:bCs/>
          <w:sz w:val="24"/>
          <w:szCs w:val="24"/>
        </w:rPr>
        <w:t>格式2：</w:t>
      </w:r>
    </w:p>
    <w:p w14:paraId="7D79255F">
      <w:pPr>
        <w:widowControl w:val="0"/>
        <w:spacing w:line="480" w:lineRule="auto"/>
        <w:jc w:val="center"/>
        <w:rPr>
          <w:rFonts w:ascii="宋体" w:hAnsi="宋体" w:cs="宋体"/>
          <w:sz w:val="24"/>
          <w:szCs w:val="24"/>
          <w:shd w:val="clear" w:color="auto" w:fill="FFFFFF"/>
        </w:rPr>
      </w:pPr>
      <w:r>
        <w:rPr>
          <w:rFonts w:hint="eastAsia" w:ascii="宋体" w:hAnsi="宋体" w:cs="宋体"/>
          <w:b/>
          <w:bCs/>
          <w:sz w:val="24"/>
          <w:szCs w:val="24"/>
          <w:shd w:val="clear" w:color="auto" w:fill="FFFFFF"/>
        </w:rPr>
        <w:t>残疾人福利性单位声明函</w:t>
      </w:r>
      <w:r>
        <w:rPr>
          <w:rFonts w:hint="eastAsia" w:ascii="宋体" w:hAnsi="宋体" w:cs="宋体"/>
          <w:b/>
          <w:color w:val="FF0000"/>
          <w:spacing w:val="6"/>
          <w:sz w:val="24"/>
          <w:szCs w:val="24"/>
        </w:rPr>
        <w:t>（不符合的无需提供）</w:t>
      </w:r>
    </w:p>
    <w:p w14:paraId="5E0F5EAB">
      <w:pPr>
        <w:widowControl w:val="0"/>
        <w:spacing w:line="48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本单位郑重声明，根据《财政部 民政部 中国残疾人联合会关于促进残疾人就业政府采购政策的通知》（财库</w:t>
      </w:r>
      <w:r>
        <w:rPr>
          <w:rFonts w:hint="eastAsia" w:ascii="宋体" w:hAnsi="宋体" w:cs="宋体"/>
          <w:sz w:val="24"/>
          <w:szCs w:val="24"/>
          <w:shd w:val="clear" w:color="auto" w:fill="FFFFFF"/>
          <w:lang w:eastAsia="zh-CN"/>
        </w:rPr>
        <w:t>〔2017〕141号</w:t>
      </w:r>
      <w:r>
        <w:rPr>
          <w:rFonts w:hint="eastAsia" w:ascii="宋体" w:hAnsi="宋体" w:cs="宋体"/>
          <w:sz w:val="24"/>
          <w:szCs w:val="24"/>
          <w:shd w:val="clear" w:color="auto" w:fill="FFFFFF"/>
        </w:rPr>
        <w:t>）的规定，本单位</w:t>
      </w:r>
      <w:r>
        <w:rPr>
          <w:rFonts w:hint="eastAsia" w:ascii="宋体" w:hAnsi="宋体" w:cs="宋体"/>
          <w:sz w:val="24"/>
          <w:szCs w:val="24"/>
          <w:shd w:val="clear" w:color="auto" w:fill="FFFFFF"/>
          <w:lang w:val="en-US" w:eastAsia="zh-CN"/>
        </w:rPr>
        <w:t>属于</w:t>
      </w:r>
      <w:r>
        <w:rPr>
          <w:rFonts w:hint="eastAsia" w:ascii="宋体" w:hAnsi="宋体" w:cs="宋体"/>
          <w:sz w:val="24"/>
          <w:szCs w:val="24"/>
          <w:shd w:val="clear" w:color="auto" w:fill="FFFFFF"/>
        </w:rPr>
        <w:t>符合条件的残疾人福利性单位，且本单位参加</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eastAsia="zh-CN"/>
        </w:rPr>
        <w:t>（</w:t>
      </w:r>
      <w:r>
        <w:rPr>
          <w:rFonts w:hint="eastAsia" w:ascii="宋体" w:hAnsi="宋体" w:cs="宋体"/>
          <w:sz w:val="24"/>
          <w:szCs w:val="24"/>
          <w:u w:val="single"/>
          <w:shd w:val="clear" w:color="auto" w:fill="FFFFFF"/>
        </w:rPr>
        <w:t>单位名称</w:t>
      </w:r>
      <w:r>
        <w:rPr>
          <w:rFonts w:hint="eastAsia" w:ascii="宋体" w:hAnsi="宋体" w:cs="宋体"/>
          <w:sz w:val="24"/>
          <w:szCs w:val="24"/>
          <w:u w:val="single"/>
          <w:shd w:val="clear" w:color="auto" w:fill="FFFFFF"/>
          <w:lang w:eastAsia="zh-CN"/>
        </w:rPr>
        <w:t>）</w:t>
      </w:r>
      <w:r>
        <w:rPr>
          <w:rFonts w:hint="eastAsia" w:ascii="宋体" w:hAnsi="宋体" w:cs="宋体"/>
          <w:sz w:val="24"/>
          <w:szCs w:val="24"/>
          <w:shd w:val="clear" w:color="auto" w:fill="FFFFFF"/>
        </w:rPr>
        <w:t>的</w:t>
      </w:r>
      <w:r>
        <w:rPr>
          <w:rFonts w:hint="eastAsia" w:ascii="宋体" w:hAnsi="宋体" w:cs="宋体"/>
          <w:sz w:val="24"/>
          <w:szCs w:val="24"/>
          <w:u w:val="single"/>
          <w:shd w:val="clear" w:color="auto" w:fill="FFFFFF"/>
        </w:rPr>
        <w:t xml:space="preserve">    </w:t>
      </w:r>
      <w:r>
        <w:rPr>
          <w:rFonts w:hint="eastAsia" w:ascii="宋体" w:hAnsi="宋体" w:cs="宋体"/>
          <w:sz w:val="24"/>
          <w:szCs w:val="24"/>
          <w:u w:val="single"/>
          <w:shd w:val="clear" w:color="auto" w:fill="FFFFFF"/>
          <w:lang w:eastAsia="zh-CN"/>
        </w:rPr>
        <w:t>（</w:t>
      </w:r>
      <w:r>
        <w:rPr>
          <w:rFonts w:hint="eastAsia" w:ascii="宋体" w:hAnsi="宋体" w:cs="宋体"/>
          <w:sz w:val="24"/>
          <w:szCs w:val="24"/>
          <w:u w:val="single"/>
          <w:shd w:val="clear" w:color="auto" w:fill="FFFFFF"/>
        </w:rPr>
        <w:t>项目名称</w:t>
      </w:r>
      <w:r>
        <w:rPr>
          <w:rFonts w:hint="eastAsia" w:ascii="宋体" w:hAnsi="宋体" w:cs="宋体"/>
          <w:sz w:val="24"/>
          <w:szCs w:val="24"/>
          <w:u w:val="single"/>
          <w:shd w:val="clear" w:color="auto" w:fill="FFFFFF"/>
          <w:lang w:eastAsia="zh-CN"/>
        </w:rPr>
        <w:t>）</w:t>
      </w:r>
      <w:r>
        <w:rPr>
          <w:rFonts w:hint="eastAsia" w:ascii="宋体" w:hAnsi="宋体" w:cs="宋体"/>
          <w:sz w:val="24"/>
          <w:szCs w:val="24"/>
          <w:shd w:val="clear" w:color="auto" w:fill="FFFFFF"/>
        </w:rPr>
        <w:t>项目采购活动提供本单位制造的货物，或者提供其他残疾人福利性单位制造的货物（不包括使用非残疾人福利性单位注册商标的货物）。</w:t>
      </w:r>
    </w:p>
    <w:p w14:paraId="653D8DE9">
      <w:pPr>
        <w:widowControl w:val="0"/>
        <w:spacing w:line="48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本单位对上述声明的真实性负责。如有虚假，将依法承担相应责任。</w:t>
      </w:r>
    </w:p>
    <w:p w14:paraId="7A167ACD">
      <w:pPr>
        <w:spacing w:line="480" w:lineRule="auto"/>
        <w:jc w:val="center"/>
        <w:rPr>
          <w:rFonts w:hint="eastAsia" w:ascii="宋体" w:hAnsi="宋体" w:cs="宋体"/>
          <w:sz w:val="24"/>
          <w:szCs w:val="24"/>
          <w:shd w:val="clear" w:color="auto" w:fill="FFFFFF"/>
        </w:rPr>
      </w:pPr>
    </w:p>
    <w:p w14:paraId="59F5F3D6">
      <w:pPr>
        <w:spacing w:line="480" w:lineRule="auto"/>
        <w:jc w:val="center"/>
        <w:rPr>
          <w:rFonts w:ascii="宋体" w:hAnsi="宋体" w:cs="宋体"/>
          <w:sz w:val="24"/>
          <w:szCs w:val="24"/>
          <w:shd w:val="clear" w:color="auto" w:fill="FFFFFF"/>
        </w:rPr>
      </w:pPr>
      <w:r>
        <w:rPr>
          <w:rFonts w:hint="eastAsia" w:ascii="宋体" w:hAnsi="宋体" w:cs="宋体"/>
          <w:sz w:val="24"/>
          <w:szCs w:val="24"/>
          <w:shd w:val="clear" w:color="auto" w:fill="FFFFFF"/>
        </w:rPr>
        <w:t xml:space="preserve"> 企业名称</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盖章</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w:t>
      </w:r>
    </w:p>
    <w:p w14:paraId="54788876">
      <w:pPr>
        <w:spacing w:line="480" w:lineRule="auto"/>
        <w:ind w:firstLine="4080" w:firstLineChars="1700"/>
        <w:jc w:val="both"/>
        <w:rPr>
          <w:rFonts w:ascii="宋体" w:hAnsi="宋体" w:cs="宋体"/>
          <w:sz w:val="24"/>
          <w:szCs w:val="24"/>
          <w:shd w:val="clear" w:color="auto" w:fill="FFFFFF"/>
        </w:rPr>
      </w:pPr>
      <w:r>
        <w:rPr>
          <w:rFonts w:hint="eastAsia" w:ascii="宋体" w:hAnsi="宋体" w:cs="宋体"/>
          <w:sz w:val="24"/>
          <w:szCs w:val="24"/>
          <w:shd w:val="clear" w:color="auto" w:fill="FFFFFF"/>
        </w:rPr>
        <w:t>日 期</w:t>
      </w:r>
      <w:r>
        <w:rPr>
          <w:rFonts w:hint="eastAsia" w:ascii="宋体" w:hAnsi="宋体" w:cs="宋体"/>
          <w:sz w:val="24"/>
          <w:szCs w:val="24"/>
          <w:shd w:val="clear" w:color="auto" w:fill="FFFFFF"/>
          <w:lang w:eastAsia="zh-CN"/>
        </w:rPr>
        <w:t>：</w:t>
      </w:r>
    </w:p>
    <w:p w14:paraId="6079FFAA">
      <w:pPr>
        <w:rPr>
          <w:rFonts w:ascii="宋体" w:hAnsi="宋体" w:cs="宋体"/>
          <w:sz w:val="24"/>
          <w:szCs w:val="24"/>
          <w:shd w:val="clear" w:color="auto" w:fill="FFFFFF"/>
        </w:rPr>
      </w:pPr>
      <w:r>
        <w:rPr>
          <w:rFonts w:hint="eastAsia" w:ascii="宋体" w:hAnsi="宋体" w:cs="宋体"/>
          <w:sz w:val="24"/>
          <w:szCs w:val="24"/>
          <w:shd w:val="clear" w:color="auto" w:fill="FFFFFF"/>
        </w:rPr>
        <w:br w:type="page"/>
      </w:r>
    </w:p>
    <w:p w14:paraId="07659BAF">
      <w:pPr>
        <w:spacing w:before="158" w:beforeLines="50" w:line="360" w:lineRule="auto"/>
        <w:rPr>
          <w:rFonts w:ascii="宋体" w:hAnsi="宋体"/>
          <w:b/>
          <w:bCs/>
          <w:sz w:val="24"/>
          <w:szCs w:val="24"/>
        </w:rPr>
      </w:pPr>
      <w:r>
        <w:rPr>
          <w:rFonts w:hint="eastAsia" w:ascii="宋体" w:hAnsi="宋体"/>
          <w:b/>
          <w:bCs/>
          <w:sz w:val="24"/>
          <w:szCs w:val="24"/>
        </w:rPr>
        <w:t>格式3：</w:t>
      </w:r>
    </w:p>
    <w:p w14:paraId="1A411CE6">
      <w:pPr>
        <w:spacing w:line="588" w:lineRule="exact"/>
        <w:jc w:val="center"/>
        <w:rPr>
          <w:rFonts w:ascii="宋体" w:hAnsi="宋体" w:cs="宋体"/>
          <w:b/>
          <w:spacing w:val="6"/>
          <w:sz w:val="24"/>
          <w:szCs w:val="24"/>
        </w:rPr>
      </w:pPr>
      <w:r>
        <w:rPr>
          <w:rFonts w:hint="eastAsia" w:ascii="宋体" w:hAnsi="宋体" w:cs="宋体"/>
          <w:b/>
          <w:spacing w:val="6"/>
          <w:sz w:val="24"/>
          <w:szCs w:val="24"/>
        </w:rPr>
        <w:t>监狱企业证明文件</w:t>
      </w:r>
      <w:r>
        <w:rPr>
          <w:rFonts w:hint="eastAsia" w:ascii="宋体" w:hAnsi="宋体" w:cs="宋体"/>
          <w:b/>
          <w:color w:val="FF0000"/>
          <w:spacing w:val="6"/>
          <w:sz w:val="24"/>
          <w:szCs w:val="24"/>
        </w:rPr>
        <w:t>（</w:t>
      </w:r>
      <w:r>
        <w:rPr>
          <w:rFonts w:hint="eastAsia" w:ascii="宋体" w:hAnsi="宋体" w:eastAsia="宋体" w:cs="宋体"/>
          <w:b/>
          <w:color w:val="FF0000"/>
          <w:spacing w:val="6"/>
          <w:sz w:val="24"/>
          <w:szCs w:val="24"/>
          <w:highlight w:val="none"/>
        </w:rPr>
        <w:t>不符合的无需提供</w:t>
      </w:r>
      <w:r>
        <w:rPr>
          <w:rFonts w:hint="eastAsia" w:ascii="宋体" w:hAnsi="宋体" w:cs="宋体"/>
          <w:b/>
          <w:color w:val="FF0000"/>
          <w:spacing w:val="6"/>
          <w:sz w:val="24"/>
          <w:szCs w:val="24"/>
        </w:rPr>
        <w:t>）</w:t>
      </w:r>
    </w:p>
    <w:p w14:paraId="00A3916D">
      <w:pPr>
        <w:pStyle w:val="9"/>
        <w:spacing w:line="588" w:lineRule="exact"/>
        <w:ind w:firstLine="504"/>
        <w:rPr>
          <w:rFonts w:ascii="宋体" w:hAnsi="宋体" w:cs="宋体"/>
          <w:spacing w:val="6"/>
          <w:sz w:val="24"/>
          <w:szCs w:val="24"/>
        </w:rPr>
      </w:pPr>
      <w:r>
        <w:rPr>
          <w:rFonts w:ascii="宋体" w:hAnsi="宋体" w:cs="宋体"/>
          <w:spacing w:val="6"/>
          <w:sz w:val="24"/>
          <w:szCs w:val="24"/>
        </w:rPr>
        <w:t>根据《财政部 司法部关于政府采购支持监狱企业发展有关问题的通知》</w:t>
      </w:r>
      <w:r>
        <w:rPr>
          <w:rFonts w:hint="eastAsia" w:ascii="宋体" w:hAnsi="宋体" w:cs="宋体"/>
          <w:spacing w:val="6"/>
          <w:sz w:val="24"/>
          <w:szCs w:val="24"/>
          <w:lang w:eastAsia="zh-CN"/>
        </w:rPr>
        <w:t>（</w:t>
      </w:r>
      <w:r>
        <w:rPr>
          <w:rFonts w:ascii="宋体" w:hAnsi="宋体" w:cs="宋体"/>
          <w:spacing w:val="6"/>
          <w:sz w:val="24"/>
          <w:szCs w:val="24"/>
        </w:rPr>
        <w:t>财库〔2014〕68 号</w:t>
      </w:r>
      <w:r>
        <w:rPr>
          <w:rFonts w:hint="eastAsia" w:ascii="宋体" w:hAnsi="宋体" w:cs="宋体"/>
          <w:spacing w:val="6"/>
          <w:sz w:val="24"/>
          <w:szCs w:val="24"/>
          <w:lang w:eastAsia="zh-CN"/>
        </w:rPr>
        <w:t>）</w:t>
      </w:r>
      <w:r>
        <w:rPr>
          <w:rFonts w:ascii="宋体" w:hAnsi="宋体" w:cs="宋体"/>
          <w:spacing w:val="6"/>
          <w:sz w:val="24"/>
          <w:szCs w:val="24"/>
        </w:rPr>
        <w:t>的规定：监狱企业是指由司法部认定的为罪犯、戒毒人员提供生产项目和劳动对象，且全部产权属于司法部监狱管理局、戒毒管理局、直属煤矿管理局，各省、自治区、直辖市监狱</w:t>
      </w:r>
      <w:r>
        <w:rPr>
          <w:rFonts w:hint="eastAsia" w:ascii="宋体" w:hAnsi="宋体" w:cs="宋体"/>
          <w:spacing w:val="6"/>
          <w:sz w:val="24"/>
          <w:szCs w:val="24"/>
          <w:lang w:eastAsia="zh-CN"/>
        </w:rPr>
        <w:t>管理局</w:t>
      </w:r>
      <w:r>
        <w:rPr>
          <w:rFonts w:ascii="宋体" w:hAnsi="宋体" w:cs="宋体"/>
          <w:spacing w:val="6"/>
          <w:sz w:val="24"/>
          <w:szCs w:val="24"/>
        </w:rPr>
        <w:t>、戒毒管理局，各地</w:t>
      </w:r>
      <w:r>
        <w:rPr>
          <w:rFonts w:hint="eastAsia" w:ascii="宋体" w:hAnsi="宋体" w:cs="宋体"/>
          <w:spacing w:val="6"/>
          <w:sz w:val="24"/>
          <w:szCs w:val="24"/>
          <w:lang w:eastAsia="zh-CN"/>
        </w:rPr>
        <w:t>（</w:t>
      </w:r>
      <w:r>
        <w:rPr>
          <w:rFonts w:ascii="宋体" w:hAnsi="宋体" w:cs="宋体"/>
          <w:spacing w:val="6"/>
          <w:sz w:val="24"/>
          <w:szCs w:val="24"/>
        </w:rPr>
        <w:t>设区的市</w:t>
      </w:r>
      <w:r>
        <w:rPr>
          <w:rFonts w:hint="eastAsia" w:ascii="宋体" w:hAnsi="宋体" w:cs="宋体"/>
          <w:spacing w:val="6"/>
          <w:sz w:val="24"/>
          <w:szCs w:val="24"/>
          <w:lang w:eastAsia="zh-CN"/>
        </w:rPr>
        <w:t>）</w:t>
      </w:r>
      <w:r>
        <w:rPr>
          <w:rFonts w:ascii="宋体" w:hAnsi="宋体" w:cs="宋体"/>
          <w:spacing w:val="6"/>
          <w:sz w:val="24"/>
          <w:szCs w:val="24"/>
        </w:rPr>
        <w:t>监狱、强制隔离戒毒所、戒毒康复所，以及</w:t>
      </w:r>
      <w:r>
        <w:rPr>
          <w:rFonts w:hint="eastAsia" w:ascii="宋体" w:hAnsi="宋体" w:cs="宋体"/>
          <w:spacing w:val="6"/>
          <w:sz w:val="24"/>
          <w:szCs w:val="24"/>
          <w:lang w:eastAsia="zh-CN"/>
        </w:rPr>
        <w:t>新疆生产建设兵团</w:t>
      </w:r>
      <w:r>
        <w:rPr>
          <w:rFonts w:ascii="宋体" w:hAnsi="宋体" w:cs="宋体"/>
          <w:spacing w:val="6"/>
          <w:sz w:val="24"/>
          <w:szCs w:val="24"/>
        </w:rPr>
        <w:t>监狱管理局、戒毒管理局的企业。</w:t>
      </w:r>
    </w:p>
    <w:p w14:paraId="0CDF5F17">
      <w:pPr>
        <w:pStyle w:val="9"/>
        <w:spacing w:line="588" w:lineRule="exact"/>
        <w:ind w:firstLine="504"/>
        <w:rPr>
          <w:rFonts w:ascii="宋体" w:hAnsi="宋体" w:cs="宋体"/>
          <w:spacing w:val="6"/>
          <w:sz w:val="24"/>
          <w:szCs w:val="24"/>
        </w:rPr>
      </w:pPr>
      <w:r>
        <w:rPr>
          <w:rFonts w:ascii="宋体" w:hAnsi="宋体" w:cs="宋体"/>
          <w:spacing w:val="6"/>
          <w:sz w:val="24"/>
          <w:szCs w:val="24"/>
        </w:rPr>
        <w:t>监狱企业参加政府采购活动时，应当提供由省级以上监狱管理局、戒毒管理局</w:t>
      </w:r>
      <w:r>
        <w:rPr>
          <w:rFonts w:hint="eastAsia" w:ascii="宋体" w:hAnsi="宋体" w:cs="宋体"/>
          <w:spacing w:val="6"/>
          <w:sz w:val="24"/>
          <w:szCs w:val="24"/>
          <w:lang w:eastAsia="zh-CN"/>
        </w:rPr>
        <w:t>（</w:t>
      </w:r>
      <w:r>
        <w:rPr>
          <w:rFonts w:ascii="宋体" w:hAnsi="宋体" w:cs="宋体"/>
          <w:spacing w:val="6"/>
          <w:sz w:val="24"/>
          <w:szCs w:val="24"/>
        </w:rPr>
        <w:t>含新疆生产建设兵团</w:t>
      </w:r>
      <w:r>
        <w:rPr>
          <w:rFonts w:hint="eastAsia" w:ascii="宋体" w:hAnsi="宋体" w:cs="宋体"/>
          <w:spacing w:val="6"/>
          <w:sz w:val="24"/>
          <w:szCs w:val="24"/>
          <w:lang w:eastAsia="zh-CN"/>
        </w:rPr>
        <w:t>）</w:t>
      </w:r>
      <w:r>
        <w:rPr>
          <w:rFonts w:ascii="宋体" w:hAnsi="宋体" w:cs="宋体"/>
          <w:spacing w:val="6"/>
          <w:sz w:val="24"/>
          <w:szCs w:val="24"/>
        </w:rPr>
        <w:t>出具的属于监狱企业的证明文件。</w:t>
      </w:r>
    </w:p>
    <w:p w14:paraId="2B6F92B0">
      <w:pPr>
        <w:rPr>
          <w:rFonts w:hint="eastAsia"/>
        </w:rPr>
      </w:pPr>
      <w:r>
        <w:rPr>
          <w:rFonts w:hint="eastAsia"/>
        </w:rPr>
        <w:br w:type="page"/>
      </w:r>
    </w:p>
    <w:p w14:paraId="3C48AE1F">
      <w:pPr>
        <w:numPr>
          <w:ilvl w:val="0"/>
          <w:numId w:val="0"/>
        </w:numPr>
        <w:spacing w:line="360" w:lineRule="auto"/>
        <w:rPr>
          <w:rFonts w:hint="default"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（七）其他</w:t>
      </w:r>
    </w:p>
    <w:p w14:paraId="2EF5D806">
      <w:pPr>
        <w:spacing w:line="360" w:lineRule="auto"/>
        <w:ind w:firstLine="480" w:firstLineChars="200"/>
        <w:jc w:val="both"/>
        <w:rPr>
          <w:rFonts w:hint="eastAsia" w:ascii="宋体" w:hAnsi="宋体"/>
          <w:sz w:val="24"/>
          <w:szCs w:val="24"/>
        </w:rPr>
      </w:pPr>
      <w:r>
        <w:rPr>
          <w:rFonts w:hint="eastAsia" w:ascii="宋体" w:hAnsi="宋体"/>
          <w:sz w:val="24"/>
          <w:szCs w:val="24"/>
        </w:rPr>
        <w:t>投标人认为需要提交的其他资格证明材料。</w:t>
      </w:r>
    </w:p>
    <w:p w14:paraId="0E68AB63">
      <w:pPr>
        <w:jc w:val="center"/>
        <w:rPr>
          <w:rFonts w:ascii="宋体" w:hAnsi="宋体" w:cs="宋体"/>
          <w:szCs w:val="28"/>
        </w:rPr>
      </w:pPr>
      <w:r>
        <w:rPr>
          <w:rFonts w:hint="eastAsia" w:ascii="宋体" w:hAnsi="宋体" w:cs="宋体"/>
          <w:b/>
          <w:bCs/>
          <w:sz w:val="44"/>
          <w:szCs w:val="44"/>
        </w:rPr>
        <w:br w:type="page"/>
      </w:r>
      <w:bookmarkStart w:id="217" w:name="_Toc14851_WPSOffice_Level1"/>
      <w:bookmarkStart w:id="218" w:name="_Toc14846_WPSOffice_Level1"/>
      <w:bookmarkStart w:id="219" w:name="_Toc29456"/>
    </w:p>
    <w:p w14:paraId="7E080A8B">
      <w:pPr>
        <w:jc w:val="center"/>
        <w:rPr>
          <w:rFonts w:ascii="宋体" w:hAnsi="宋体" w:cs="宋体"/>
          <w:szCs w:val="28"/>
        </w:rPr>
      </w:pPr>
    </w:p>
    <w:p w14:paraId="53476DB6">
      <w:pPr>
        <w:jc w:val="center"/>
        <w:rPr>
          <w:rFonts w:ascii="宋体" w:hAnsi="宋体" w:cs="宋体"/>
          <w:szCs w:val="28"/>
        </w:rPr>
      </w:pPr>
    </w:p>
    <w:p w14:paraId="479992F2">
      <w:pPr>
        <w:jc w:val="center"/>
        <w:rPr>
          <w:rFonts w:ascii="宋体" w:hAnsi="宋体" w:cs="宋体"/>
          <w:szCs w:val="28"/>
        </w:rPr>
      </w:pPr>
    </w:p>
    <w:p w14:paraId="4461B2C8">
      <w:pPr>
        <w:jc w:val="center"/>
        <w:rPr>
          <w:rFonts w:ascii="宋体" w:hAnsi="宋体" w:cs="宋体"/>
          <w:szCs w:val="28"/>
        </w:rPr>
      </w:pPr>
    </w:p>
    <w:p w14:paraId="480D609C">
      <w:pPr>
        <w:jc w:val="center"/>
        <w:rPr>
          <w:rFonts w:ascii="宋体" w:hAnsi="宋体" w:cs="宋体"/>
          <w:szCs w:val="28"/>
        </w:rPr>
      </w:pPr>
    </w:p>
    <w:p w14:paraId="11B81C26">
      <w:pPr>
        <w:jc w:val="center"/>
        <w:rPr>
          <w:rFonts w:ascii="宋体" w:hAnsi="宋体" w:cs="宋体"/>
          <w:szCs w:val="28"/>
        </w:rPr>
      </w:pPr>
    </w:p>
    <w:p w14:paraId="1B4AF356">
      <w:pPr>
        <w:jc w:val="center"/>
        <w:rPr>
          <w:rFonts w:ascii="宋体" w:hAnsi="宋体" w:cs="宋体"/>
          <w:szCs w:val="28"/>
        </w:rPr>
      </w:pPr>
    </w:p>
    <w:p w14:paraId="6642DC36">
      <w:pPr>
        <w:jc w:val="center"/>
        <w:rPr>
          <w:rFonts w:ascii="宋体" w:hAnsi="宋体" w:cs="宋体"/>
          <w:szCs w:val="28"/>
        </w:rPr>
      </w:pPr>
    </w:p>
    <w:p w14:paraId="404C4C84">
      <w:pPr>
        <w:jc w:val="center"/>
        <w:rPr>
          <w:rFonts w:ascii="宋体" w:hAnsi="宋体" w:cs="宋体"/>
          <w:szCs w:val="28"/>
        </w:rPr>
      </w:pPr>
    </w:p>
    <w:p w14:paraId="68C8732B">
      <w:pPr>
        <w:jc w:val="center"/>
        <w:rPr>
          <w:rFonts w:ascii="宋体" w:hAnsi="宋体" w:cs="宋体"/>
          <w:szCs w:val="28"/>
        </w:rPr>
      </w:pPr>
    </w:p>
    <w:p w14:paraId="0E7D8896">
      <w:pPr>
        <w:jc w:val="center"/>
        <w:rPr>
          <w:rFonts w:ascii="宋体" w:hAnsi="宋体" w:cs="宋体"/>
          <w:szCs w:val="28"/>
        </w:rPr>
      </w:pPr>
    </w:p>
    <w:p w14:paraId="0A928879">
      <w:pPr>
        <w:jc w:val="center"/>
        <w:rPr>
          <w:rFonts w:ascii="宋体" w:hAnsi="宋体" w:cs="宋体"/>
          <w:szCs w:val="28"/>
        </w:rPr>
      </w:pPr>
    </w:p>
    <w:p w14:paraId="1E7C485D">
      <w:pPr>
        <w:jc w:val="center"/>
        <w:rPr>
          <w:rFonts w:ascii="宋体" w:hAnsi="宋体" w:cs="宋体"/>
          <w:szCs w:val="28"/>
        </w:rPr>
      </w:pPr>
    </w:p>
    <w:p w14:paraId="66E43895">
      <w:pPr>
        <w:jc w:val="center"/>
        <w:rPr>
          <w:rFonts w:ascii="宋体" w:hAnsi="宋体" w:cs="宋体"/>
          <w:szCs w:val="28"/>
        </w:rPr>
      </w:pPr>
    </w:p>
    <w:p w14:paraId="12D89996">
      <w:pPr>
        <w:jc w:val="center"/>
        <w:rPr>
          <w:rFonts w:ascii="宋体" w:hAnsi="宋体" w:cs="宋体"/>
          <w:szCs w:val="28"/>
        </w:rPr>
      </w:pPr>
    </w:p>
    <w:p w14:paraId="5E37ED05">
      <w:pPr>
        <w:jc w:val="center"/>
        <w:rPr>
          <w:rFonts w:ascii="宋体" w:hAnsi="宋体" w:cs="宋体"/>
          <w:szCs w:val="28"/>
        </w:rPr>
      </w:pPr>
    </w:p>
    <w:p w14:paraId="28158D97">
      <w:pPr>
        <w:jc w:val="center"/>
        <w:rPr>
          <w:rFonts w:ascii="宋体" w:hAnsi="宋体" w:cs="宋体"/>
          <w:szCs w:val="28"/>
        </w:rPr>
      </w:pPr>
    </w:p>
    <w:p w14:paraId="56E4F47F">
      <w:pPr>
        <w:jc w:val="center"/>
        <w:rPr>
          <w:rFonts w:ascii="宋体" w:hAnsi="宋体" w:cs="宋体"/>
          <w:szCs w:val="28"/>
        </w:rPr>
      </w:pPr>
    </w:p>
    <w:p w14:paraId="0D0127EE">
      <w:pPr>
        <w:jc w:val="center"/>
        <w:rPr>
          <w:rFonts w:ascii="宋体" w:hAnsi="宋体" w:cs="宋体"/>
          <w:szCs w:val="28"/>
        </w:rPr>
      </w:pPr>
    </w:p>
    <w:p w14:paraId="0BBC654B">
      <w:pPr>
        <w:jc w:val="center"/>
        <w:rPr>
          <w:b/>
          <w:bCs/>
          <w:sz w:val="44"/>
          <w:szCs w:val="44"/>
        </w:rPr>
      </w:pPr>
      <w:r>
        <w:rPr>
          <w:rFonts w:hint="eastAsia"/>
          <w:b/>
          <w:bCs/>
          <w:sz w:val="44"/>
          <w:szCs w:val="44"/>
        </w:rPr>
        <w:t>商务技术部分</w:t>
      </w:r>
      <w:bookmarkEnd w:id="217"/>
      <w:bookmarkEnd w:id="218"/>
    </w:p>
    <w:p w14:paraId="06CA5D0B">
      <w:r>
        <w:rPr>
          <w:rFonts w:hint="eastAsia"/>
        </w:rPr>
        <w:br w:type="page"/>
      </w:r>
    </w:p>
    <w:bookmarkEnd w:id="219"/>
    <w:p w14:paraId="3A22EA14">
      <w:pPr>
        <w:pStyle w:val="5"/>
        <w:widowControl/>
        <w:autoSpaceDE w:val="0"/>
        <w:spacing w:before="0" w:after="0" w:line="240" w:lineRule="auto"/>
        <w:rPr>
          <w:rFonts w:ascii="宋体" w:hAnsi="宋体" w:cs="宋体"/>
          <w:szCs w:val="28"/>
        </w:rPr>
      </w:pPr>
      <w:bookmarkStart w:id="220" w:name="_Toc17435"/>
      <w:bookmarkEnd w:id="220"/>
      <w:bookmarkStart w:id="221" w:name="_Toc2521"/>
      <w:bookmarkStart w:id="222" w:name="_Toc7488"/>
      <w:r>
        <w:rPr>
          <w:rFonts w:hint="eastAsia" w:ascii="宋体" w:hAnsi="宋体" w:cs="宋体"/>
          <w:szCs w:val="28"/>
          <w:lang w:val="en-US" w:eastAsia="zh-CN"/>
        </w:rPr>
        <w:t>一</w:t>
      </w:r>
      <w:r>
        <w:rPr>
          <w:rFonts w:hint="eastAsia" w:ascii="宋体" w:hAnsi="宋体" w:cs="宋体"/>
          <w:szCs w:val="28"/>
        </w:rPr>
        <w:t>、投标函</w:t>
      </w:r>
      <w:bookmarkEnd w:id="221"/>
      <w:bookmarkEnd w:id="222"/>
    </w:p>
    <w:p w14:paraId="74D409C0">
      <w:pPr>
        <w:spacing w:line="360" w:lineRule="auto"/>
        <w:rPr>
          <w:rFonts w:ascii="宋体" w:hAnsi="宋体" w:cs="宋体"/>
          <w:sz w:val="24"/>
          <w:szCs w:val="24"/>
          <w:u w:val="single"/>
        </w:rPr>
      </w:pPr>
    </w:p>
    <w:p w14:paraId="06BCFAD2">
      <w:pPr>
        <w:spacing w:line="360" w:lineRule="auto"/>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采购人名称</w:t>
      </w:r>
      <w:r>
        <w:rPr>
          <w:rFonts w:hint="eastAsia" w:ascii="宋体" w:hAnsi="宋体" w:cs="宋体"/>
          <w:sz w:val="24"/>
          <w:szCs w:val="24"/>
          <w:lang w:eastAsia="zh-CN"/>
        </w:rPr>
        <w:t>）</w:t>
      </w:r>
      <w:r>
        <w:rPr>
          <w:rFonts w:hint="eastAsia" w:ascii="宋体" w:hAnsi="宋体" w:cs="宋体"/>
          <w:sz w:val="24"/>
          <w:szCs w:val="24"/>
        </w:rPr>
        <w:t>：</w:t>
      </w:r>
    </w:p>
    <w:p w14:paraId="795D4AFA">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招标</w:t>
      </w:r>
      <w:r>
        <w:rPr>
          <w:rFonts w:hint="eastAsia" w:ascii="宋体" w:hAnsi="宋体" w:cs="宋体"/>
          <w:sz w:val="24"/>
          <w:szCs w:val="24"/>
        </w:rPr>
        <w:t>文件的全部内容，</w:t>
      </w:r>
      <w:r>
        <w:rPr>
          <w:rFonts w:hint="eastAsia" w:ascii="宋体" w:hAnsi="宋体" w:cs="宋体"/>
          <w:sz w:val="24"/>
        </w:rPr>
        <w:t>且对招标文件无任何异议，并愿意以“开标一览表”所填写的投标总价，向你方提供招标文件要求的货物。</w:t>
      </w:r>
    </w:p>
    <w:p w14:paraId="3FCCFE3D">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1.我方承诺在投标有效期内不修改或撤销投标文件。</w:t>
      </w:r>
    </w:p>
    <w:p w14:paraId="4BB7F2FD">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2.本投标的投标有效期为自投标截止之日起</w:t>
      </w:r>
      <w:r>
        <w:rPr>
          <w:rFonts w:hint="eastAsia" w:ascii="宋体" w:hAnsi="宋体" w:cs="宋体"/>
          <w:sz w:val="24"/>
          <w:u w:val="single"/>
        </w:rPr>
        <w:t>90</w:t>
      </w:r>
      <w:r>
        <w:rPr>
          <w:rFonts w:hint="eastAsia" w:ascii="宋体" w:hAnsi="宋体" w:cs="宋体"/>
          <w:sz w:val="24"/>
        </w:rPr>
        <w:t>个日历天。</w:t>
      </w:r>
    </w:p>
    <w:p w14:paraId="0EA62AE7">
      <w:pPr>
        <w:pStyle w:val="2"/>
        <w:ind w:firstLine="480" w:firstLineChars="200"/>
        <w:rPr>
          <w:rFonts w:ascii="宋体" w:hAnsi="宋体" w:cs="宋体"/>
          <w:kern w:val="0"/>
          <w:sz w:val="24"/>
        </w:rPr>
      </w:pPr>
      <w:r>
        <w:rPr>
          <w:rFonts w:hint="eastAsia" w:ascii="宋体" w:hAnsi="宋体" w:cs="宋体"/>
          <w:kern w:val="0"/>
          <w:sz w:val="24"/>
        </w:rPr>
        <w:t>3.我方承诺所提交的投标文件及有关资料是完整的、真实的、准确的和有效的，否则，我方承担由此造成的任何损失及引起的任何后果。</w:t>
      </w:r>
    </w:p>
    <w:p w14:paraId="0AE43A74">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4．如我方中标：</w:t>
      </w:r>
    </w:p>
    <w:p w14:paraId="0D3A96B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（1）我方承诺在收到中标通知书后，在中标通知书规定的期限内与你方签订合同。</w:t>
      </w:r>
    </w:p>
    <w:p w14:paraId="28757155">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）我方承诺按合同约定的期限和地点，提供符合招标文件要求的全部货物及</w:t>
      </w:r>
      <w:r>
        <w:rPr>
          <w:rFonts w:hint="eastAsia" w:ascii="宋体" w:hAnsi="宋体" w:cs="宋体"/>
          <w:sz w:val="24"/>
          <w:lang w:val="en-US" w:eastAsia="zh-CN"/>
        </w:rPr>
        <w:t>售后</w:t>
      </w:r>
      <w:r>
        <w:rPr>
          <w:rFonts w:hint="eastAsia" w:ascii="宋体" w:hAnsi="宋体" w:cs="宋体"/>
          <w:sz w:val="24"/>
        </w:rPr>
        <w:t>服务。</w:t>
      </w:r>
    </w:p>
    <w:p w14:paraId="00BF4710">
      <w:pPr>
        <w:autoSpaceDE w:val="0"/>
        <w:autoSpaceDN w:val="0"/>
        <w:adjustRightInd w:val="0"/>
        <w:snapToGrid w:val="0"/>
        <w:spacing w:line="360" w:lineRule="auto"/>
        <w:ind w:firstLine="480" w:firstLineChars="200"/>
        <w:rPr>
          <w:rFonts w:ascii="宋体" w:hAnsi="宋体" w:cs="宋体"/>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）我方满足招标文件的全部要求。</w:t>
      </w:r>
    </w:p>
    <w:p w14:paraId="3B299CEA">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46C5B097">
      <w:pPr>
        <w:pStyle w:val="2"/>
        <w:ind w:firstLine="480" w:firstLineChars="200"/>
        <w:rPr>
          <w:rFonts w:ascii="宋体" w:hAnsi="宋体" w:cs="宋体"/>
          <w:kern w:val="0"/>
          <w:sz w:val="24"/>
        </w:rPr>
      </w:pPr>
    </w:p>
    <w:p w14:paraId="69A93E7A">
      <w:pPr>
        <w:spacing w:line="360" w:lineRule="auto"/>
        <w:rPr>
          <w:rFonts w:ascii="宋体" w:hAnsi="宋体" w:cs="宋体"/>
          <w:b/>
          <w:bCs/>
          <w:sz w:val="24"/>
          <w:szCs w:val="24"/>
        </w:rPr>
      </w:pPr>
      <w:r>
        <w:rPr>
          <w:rFonts w:hint="eastAsia" w:ascii="宋体" w:hAnsi="宋体" w:cs="宋体"/>
          <w:b/>
          <w:bCs/>
          <w:sz w:val="24"/>
          <w:szCs w:val="24"/>
        </w:rPr>
        <w:t>投标人：</w:t>
      </w:r>
      <w:r>
        <w:rPr>
          <w:rFonts w:hint="eastAsia" w:ascii="宋体" w:hAnsi="宋体" w:cs="宋体"/>
          <w:b/>
          <w:bCs/>
          <w:sz w:val="24"/>
          <w:szCs w:val="24"/>
          <w:u w:val="single"/>
        </w:rPr>
        <w:tab/>
      </w:r>
      <w:r>
        <w:rPr>
          <w:rFonts w:hint="eastAsia" w:ascii="宋体" w:hAnsi="宋体" w:cs="宋体"/>
          <w:b/>
          <w:bCs/>
          <w:sz w:val="24"/>
          <w:szCs w:val="24"/>
          <w:u w:val="single"/>
        </w:rPr>
        <w:t xml:space="preserve">                         </w:t>
      </w:r>
      <w:r>
        <w:rPr>
          <w:rFonts w:hint="eastAsia" w:ascii="宋体" w:hAnsi="宋体" w:cs="宋体"/>
          <w:b/>
          <w:bCs/>
          <w:sz w:val="24"/>
          <w:szCs w:val="24"/>
          <w:u w:val="single"/>
          <w:lang w:eastAsia="zh-CN"/>
        </w:rPr>
        <w:t>（</w:t>
      </w:r>
      <w:r>
        <w:rPr>
          <w:rFonts w:hint="eastAsia" w:ascii="宋体" w:hAnsi="宋体"/>
          <w:b/>
          <w:bCs/>
          <w:sz w:val="24"/>
          <w:szCs w:val="24"/>
        </w:rPr>
        <w:t>盖章或电子签章</w:t>
      </w:r>
      <w:r>
        <w:rPr>
          <w:rFonts w:hint="eastAsia" w:ascii="宋体" w:hAnsi="宋体"/>
          <w:b/>
          <w:bCs/>
          <w:sz w:val="24"/>
          <w:szCs w:val="24"/>
          <w:lang w:eastAsia="zh-CN"/>
        </w:rPr>
        <w:t>）</w:t>
      </w:r>
    </w:p>
    <w:p w14:paraId="55FA9B23">
      <w:pPr>
        <w:spacing w:line="360" w:lineRule="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rPr>
        <w:t>单位负责人</w:t>
      </w:r>
      <w:r>
        <w:rPr>
          <w:rFonts w:hint="eastAsia" w:ascii="宋体" w:hAnsi="宋体" w:cs="宋体"/>
          <w:b/>
          <w:bCs/>
          <w:sz w:val="24"/>
          <w:szCs w:val="24"/>
          <w:lang w:eastAsia="zh-CN"/>
        </w:rPr>
        <w:t>）</w:t>
      </w:r>
      <w:r>
        <w:rPr>
          <w:rFonts w:hint="eastAsia" w:ascii="宋体" w:hAnsi="宋体" w:cs="宋体"/>
          <w:b/>
          <w:bCs/>
          <w:sz w:val="24"/>
          <w:szCs w:val="24"/>
        </w:rPr>
        <w:t>或其委托代理人：</w:t>
      </w:r>
      <w:r>
        <w:rPr>
          <w:rFonts w:hint="eastAsia" w:ascii="宋体" w:hAnsi="宋体" w:cs="宋体"/>
          <w:b/>
          <w:bCs/>
          <w:sz w:val="24"/>
          <w:szCs w:val="24"/>
          <w:u w:val="single"/>
        </w:rPr>
        <w:tab/>
      </w:r>
      <w:r>
        <w:rPr>
          <w:rFonts w:hint="eastAsia" w:ascii="宋体" w:hAnsi="宋体" w:cs="宋体"/>
          <w:b/>
          <w:bCs/>
          <w:sz w:val="24"/>
          <w:szCs w:val="24"/>
          <w:u w:val="single"/>
        </w:rPr>
        <w:t xml:space="preserve">      </w:t>
      </w:r>
      <w:r>
        <w:rPr>
          <w:rFonts w:hint="eastAsia" w:ascii="宋体" w:hAnsi="宋体" w:cs="宋体"/>
          <w:b/>
          <w:bCs/>
          <w:sz w:val="24"/>
          <w:szCs w:val="24"/>
          <w:u w:val="single"/>
          <w:lang w:eastAsia="zh-CN"/>
        </w:rPr>
        <w:t>（</w:t>
      </w:r>
      <w:r>
        <w:rPr>
          <w:rFonts w:hint="eastAsia" w:ascii="宋体" w:hAnsi="宋体" w:cs="宋体"/>
          <w:b/>
          <w:bCs/>
          <w:sz w:val="24"/>
          <w:szCs w:val="24"/>
        </w:rPr>
        <w:t>签字或电子签章</w:t>
      </w:r>
      <w:r>
        <w:rPr>
          <w:rFonts w:hint="eastAsia" w:ascii="宋体" w:hAnsi="宋体" w:cs="宋体"/>
          <w:b/>
          <w:bCs/>
          <w:sz w:val="24"/>
          <w:szCs w:val="24"/>
          <w:lang w:eastAsia="zh-CN"/>
        </w:rPr>
        <w:t>）</w:t>
      </w:r>
    </w:p>
    <w:p w14:paraId="43675AAC">
      <w:pPr>
        <w:spacing w:line="360" w:lineRule="auto"/>
        <w:rPr>
          <w:rFonts w:ascii="宋体" w:hAnsi="宋体" w:cs="宋体"/>
          <w:b/>
          <w:bCs/>
          <w:sz w:val="24"/>
          <w:szCs w:val="24"/>
          <w:u w:val="single"/>
        </w:rPr>
      </w:pPr>
      <w:r>
        <w:rPr>
          <w:rFonts w:hint="eastAsia" w:ascii="宋体" w:hAnsi="宋体" w:cs="宋体"/>
          <w:b/>
          <w:bCs/>
          <w:sz w:val="24"/>
          <w:szCs w:val="24"/>
        </w:rPr>
        <w:t>地</w:t>
      </w:r>
      <w:r>
        <w:rPr>
          <w:rFonts w:hint="eastAsia" w:ascii="宋体" w:hAnsi="宋体" w:cs="宋体"/>
          <w:b/>
          <w:bCs/>
          <w:sz w:val="24"/>
          <w:szCs w:val="24"/>
        </w:rPr>
        <w:tab/>
      </w:r>
      <w:r>
        <w:rPr>
          <w:rFonts w:hint="eastAsia" w:ascii="宋体" w:hAnsi="宋体" w:cs="宋体"/>
          <w:b/>
          <w:bCs/>
          <w:sz w:val="24"/>
          <w:szCs w:val="24"/>
        </w:rPr>
        <w:t>址：</w:t>
      </w:r>
      <w:r>
        <w:rPr>
          <w:rFonts w:hint="eastAsia" w:ascii="宋体" w:hAnsi="宋体" w:cs="宋体"/>
          <w:b/>
          <w:bCs/>
          <w:sz w:val="24"/>
          <w:szCs w:val="24"/>
          <w:u w:val="single"/>
        </w:rPr>
        <w:t xml:space="preserve">                                           </w:t>
      </w:r>
    </w:p>
    <w:p w14:paraId="2E11A5AE">
      <w:pPr>
        <w:spacing w:line="360" w:lineRule="auto"/>
        <w:rPr>
          <w:rFonts w:ascii="宋体" w:hAnsi="宋体" w:cs="宋体"/>
          <w:b/>
          <w:bCs/>
          <w:sz w:val="24"/>
          <w:szCs w:val="24"/>
        </w:rPr>
      </w:pPr>
      <w:r>
        <w:rPr>
          <w:rFonts w:hint="eastAsia" w:ascii="宋体" w:hAnsi="宋体" w:cs="宋体"/>
          <w:b/>
          <w:bCs/>
          <w:sz w:val="24"/>
          <w:szCs w:val="24"/>
        </w:rPr>
        <w:t>电</w:t>
      </w:r>
      <w:r>
        <w:rPr>
          <w:rFonts w:hint="eastAsia" w:ascii="宋体" w:hAnsi="宋体" w:cs="宋体"/>
          <w:b/>
          <w:bCs/>
          <w:sz w:val="24"/>
          <w:szCs w:val="24"/>
        </w:rPr>
        <w:tab/>
      </w:r>
      <w:r>
        <w:rPr>
          <w:rFonts w:hint="eastAsia" w:ascii="宋体" w:hAnsi="宋体" w:cs="宋体"/>
          <w:b/>
          <w:bCs/>
          <w:sz w:val="24"/>
          <w:szCs w:val="24"/>
        </w:rPr>
        <w:t>话：</w:t>
      </w:r>
      <w:r>
        <w:rPr>
          <w:rFonts w:hint="eastAsia" w:ascii="宋体" w:hAnsi="宋体" w:cs="宋体"/>
          <w:b/>
          <w:bCs/>
          <w:sz w:val="24"/>
          <w:szCs w:val="24"/>
          <w:u w:val="single"/>
        </w:rPr>
        <w:t xml:space="preserve">                                           </w:t>
      </w:r>
    </w:p>
    <w:p w14:paraId="44AAA05E">
      <w:pPr>
        <w:spacing w:line="360" w:lineRule="auto"/>
        <w:rPr>
          <w:rFonts w:ascii="宋体" w:hAnsi="宋体" w:cs="宋体"/>
          <w:b/>
          <w:bCs/>
          <w:sz w:val="24"/>
          <w:szCs w:val="24"/>
        </w:rPr>
      </w:pPr>
      <w:r>
        <w:rPr>
          <w:rFonts w:hint="eastAsia" w:ascii="宋体" w:hAnsi="宋体" w:cs="宋体"/>
          <w:b/>
          <w:bCs/>
          <w:sz w:val="24"/>
          <w:szCs w:val="24"/>
        </w:rPr>
        <w:t>日  期：</w:t>
      </w: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p>
    <w:p w14:paraId="791168FF">
      <w:pPr>
        <w:spacing w:line="240" w:lineRule="exact"/>
        <w:rPr>
          <w:rFonts w:ascii="宋体" w:hAnsi="宋体" w:cs="宋体"/>
          <w:b/>
          <w:bCs/>
          <w:sz w:val="44"/>
          <w:szCs w:val="44"/>
        </w:rPr>
      </w:pPr>
    </w:p>
    <w:p w14:paraId="54348943">
      <w:pPr>
        <w:pStyle w:val="5"/>
        <w:widowControl/>
        <w:autoSpaceDE w:val="0"/>
        <w:spacing w:before="0" w:after="0" w:line="360" w:lineRule="auto"/>
        <w:ind w:firstLine="562" w:firstLineChars="200"/>
        <w:rPr>
          <w:rFonts w:ascii="宋体" w:hAnsi="宋体" w:cs="宋体"/>
          <w:szCs w:val="28"/>
        </w:rPr>
      </w:pPr>
      <w:bookmarkStart w:id="223" w:name="_Toc17119"/>
      <w:bookmarkEnd w:id="223"/>
      <w:bookmarkStart w:id="224" w:name="_Toc13197"/>
      <w:r>
        <w:rPr>
          <w:rFonts w:hint="eastAsia" w:ascii="宋体" w:hAnsi="宋体" w:cs="宋体"/>
          <w:szCs w:val="28"/>
        </w:rPr>
        <w:br w:type="page"/>
      </w:r>
      <w:bookmarkStart w:id="225" w:name="_Toc17181"/>
      <w:r>
        <w:rPr>
          <w:rFonts w:hint="eastAsia" w:ascii="宋体" w:hAnsi="宋体" w:cs="宋体"/>
          <w:szCs w:val="28"/>
          <w:lang w:val="en-US" w:eastAsia="zh-CN"/>
        </w:rPr>
        <w:t>二</w:t>
      </w:r>
      <w:r>
        <w:rPr>
          <w:rFonts w:hint="eastAsia" w:ascii="宋体" w:hAnsi="宋体" w:cs="宋体"/>
          <w:szCs w:val="28"/>
        </w:rPr>
        <w:t>、法定代表人</w:t>
      </w:r>
      <w:r>
        <w:rPr>
          <w:rFonts w:hint="eastAsia" w:ascii="宋体" w:hAnsi="宋体" w:cs="宋体"/>
          <w:szCs w:val="28"/>
          <w:lang w:eastAsia="zh-CN"/>
        </w:rPr>
        <w:t>（</w:t>
      </w:r>
      <w:r>
        <w:rPr>
          <w:rFonts w:hint="eastAsia" w:ascii="宋体" w:hAnsi="宋体" w:cs="宋体"/>
          <w:szCs w:val="28"/>
        </w:rPr>
        <w:t>单位负责人</w:t>
      </w:r>
      <w:r>
        <w:rPr>
          <w:rFonts w:hint="eastAsia" w:ascii="宋体" w:hAnsi="宋体" w:cs="宋体"/>
          <w:szCs w:val="28"/>
          <w:lang w:eastAsia="zh-CN"/>
        </w:rPr>
        <w:t>）</w:t>
      </w:r>
      <w:r>
        <w:rPr>
          <w:rFonts w:hint="eastAsia" w:ascii="宋体" w:hAnsi="宋体" w:cs="宋体"/>
          <w:szCs w:val="28"/>
        </w:rPr>
        <w:t>身份证明</w:t>
      </w:r>
      <w:bookmarkEnd w:id="224"/>
      <w:r>
        <w:rPr>
          <w:rFonts w:hint="eastAsia" w:ascii="宋体" w:hAnsi="宋体" w:cs="宋体"/>
          <w:szCs w:val="28"/>
        </w:rPr>
        <w:t>书</w:t>
      </w:r>
      <w:bookmarkEnd w:id="225"/>
    </w:p>
    <w:p w14:paraId="1D103EC5">
      <w:pPr>
        <w:spacing w:line="200" w:lineRule="exact"/>
        <w:rPr>
          <w:rFonts w:ascii="宋体" w:hAnsi="宋体" w:cs="宋体"/>
        </w:rPr>
      </w:pPr>
      <w:r>
        <w:rPr>
          <w:rFonts w:hint="eastAsia" w:ascii="宋体" w:hAnsi="宋体" w:cs="宋体"/>
        </w:rPr>
        <w:t xml:space="preserve"> </w:t>
      </w:r>
    </w:p>
    <w:p w14:paraId="068ECA6C">
      <w:pPr>
        <w:spacing w:line="200" w:lineRule="exact"/>
        <w:rPr>
          <w:rFonts w:ascii="宋体" w:hAnsi="宋体" w:cs="宋体"/>
        </w:rPr>
      </w:pPr>
      <w:r>
        <w:rPr>
          <w:rFonts w:hint="eastAsia" w:ascii="宋体" w:hAnsi="宋体" w:cs="宋体"/>
        </w:rPr>
        <w:t xml:space="preserve"> </w:t>
      </w:r>
    </w:p>
    <w:p w14:paraId="01943575">
      <w:pPr>
        <w:spacing w:line="200" w:lineRule="exact"/>
        <w:rPr>
          <w:rFonts w:ascii="宋体" w:hAnsi="宋体" w:cs="宋体"/>
        </w:rPr>
      </w:pPr>
      <w:r>
        <w:rPr>
          <w:rFonts w:hint="eastAsia" w:ascii="宋体" w:hAnsi="宋体" w:cs="宋体"/>
        </w:rPr>
        <w:t xml:space="preserve"> </w:t>
      </w:r>
    </w:p>
    <w:p w14:paraId="5A7FECBD">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14:paraId="44822517">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3C78CD9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AE77727">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E4FEA2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2AA82CB6">
      <w:pPr>
        <w:spacing w:line="360" w:lineRule="auto"/>
        <w:ind w:firstLine="480" w:firstLineChars="200"/>
        <w:rPr>
          <w:rFonts w:ascii="宋体" w:hAnsi="宋体" w:cs="宋体"/>
          <w:sz w:val="24"/>
          <w:szCs w:val="24"/>
        </w:rPr>
      </w:pPr>
    </w:p>
    <w:p w14:paraId="72B27D7A">
      <w:pPr>
        <w:spacing w:line="360" w:lineRule="auto"/>
        <w:ind w:firstLine="480" w:firstLineChars="20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36EB0B90">
      <w:pPr>
        <w:spacing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投标人名称</w:t>
      </w:r>
      <w:r>
        <w:rPr>
          <w:rFonts w:hint="eastAsia" w:ascii="宋体" w:hAnsi="宋体" w:cs="宋体"/>
          <w:sz w:val="24"/>
          <w:szCs w:val="24"/>
          <w:lang w:eastAsia="zh-CN"/>
        </w:rPr>
        <w:t>）</w:t>
      </w:r>
      <w:r>
        <w:rPr>
          <w:rFonts w:hint="eastAsia" w:ascii="宋体" w:hAnsi="宋体" w:cs="宋体"/>
          <w:sz w:val="24"/>
          <w:szCs w:val="24"/>
        </w:rPr>
        <w:t>的法定代表人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w:t>
      </w:r>
    </w:p>
    <w:p w14:paraId="62C29FC0">
      <w:pPr>
        <w:spacing w:line="360" w:lineRule="auto"/>
        <w:ind w:firstLine="480" w:firstLineChars="200"/>
        <w:rPr>
          <w:rFonts w:ascii="宋体" w:hAnsi="宋体" w:cs="宋体"/>
          <w:sz w:val="24"/>
          <w:szCs w:val="24"/>
        </w:rPr>
      </w:pPr>
      <w:r>
        <w:rPr>
          <w:rFonts w:hint="eastAsia" w:ascii="宋体" w:hAnsi="宋体" w:cs="宋体"/>
          <w:sz w:val="24"/>
          <w:szCs w:val="24"/>
        </w:rPr>
        <w:t>特此证明。</w:t>
      </w:r>
    </w:p>
    <w:p w14:paraId="379BD078">
      <w:pPr>
        <w:spacing w:line="480" w:lineRule="auto"/>
        <w:rPr>
          <w:rFonts w:ascii="宋体" w:hAnsi="宋体" w:cs="宋体"/>
          <w:sz w:val="24"/>
          <w:szCs w:val="24"/>
        </w:rPr>
      </w:pPr>
    </w:p>
    <w:p w14:paraId="2E4C5BD4">
      <w:pPr>
        <w:spacing w:line="360" w:lineRule="auto"/>
        <w:rPr>
          <w:rFonts w:ascii="宋体" w:hAnsi="宋体" w:cs="宋体"/>
          <w:b/>
          <w:sz w:val="24"/>
          <w:szCs w:val="24"/>
        </w:rPr>
      </w:pPr>
    </w:p>
    <w:p w14:paraId="3FECAC2C">
      <w:pPr>
        <w:spacing w:line="360" w:lineRule="auto"/>
        <w:ind w:left="4480"/>
        <w:jc w:val="both"/>
        <w:rPr>
          <w:rFonts w:ascii="宋体" w:hAnsi="宋体" w:cs="宋体"/>
          <w:b/>
          <w:sz w:val="24"/>
          <w:szCs w:val="24"/>
        </w:rPr>
      </w:pPr>
      <w:r>
        <w:rPr>
          <w:rFonts w:hint="eastAsia" w:ascii="宋体" w:hAnsi="宋体" w:cs="宋体"/>
          <w:b/>
          <w:sz w:val="24"/>
          <w:szCs w:val="24"/>
        </w:rPr>
        <w:t xml:space="preserve">  </w:t>
      </w:r>
    </w:p>
    <w:p w14:paraId="1A3320C0">
      <w:pPr>
        <w:spacing w:line="360" w:lineRule="auto"/>
        <w:ind w:firstLine="1205" w:firstLineChars="500"/>
        <w:rPr>
          <w:rFonts w:ascii="宋体" w:hAnsi="宋体" w:cs="宋体"/>
          <w:b/>
          <w:bCs/>
          <w:sz w:val="24"/>
          <w:szCs w:val="24"/>
        </w:rPr>
      </w:pPr>
      <w:r>
        <w:rPr>
          <w:rFonts w:hint="eastAsia" w:ascii="宋体" w:hAnsi="宋体" w:cs="宋体"/>
          <w:b/>
          <w:bCs/>
          <w:sz w:val="24"/>
          <w:szCs w:val="24"/>
        </w:rPr>
        <w:t>投标人：</w:t>
      </w:r>
      <w:r>
        <w:rPr>
          <w:rFonts w:hint="eastAsia" w:ascii="宋体" w:hAnsi="宋体" w:cs="宋体"/>
          <w:b/>
          <w:bCs/>
          <w:sz w:val="24"/>
          <w:szCs w:val="24"/>
          <w:u w:val="single"/>
        </w:rPr>
        <w:tab/>
      </w:r>
      <w:r>
        <w:rPr>
          <w:rFonts w:hint="eastAsia" w:ascii="宋体" w:hAnsi="宋体" w:cs="宋体"/>
          <w:b/>
          <w:bCs/>
          <w:sz w:val="24"/>
          <w:szCs w:val="24"/>
          <w:u w:val="single"/>
        </w:rPr>
        <w:t xml:space="preserve">                                    </w:t>
      </w:r>
      <w:r>
        <w:rPr>
          <w:rFonts w:hint="eastAsia" w:ascii="宋体" w:hAnsi="宋体" w:cs="宋体"/>
          <w:b/>
          <w:bCs/>
          <w:sz w:val="24"/>
          <w:szCs w:val="24"/>
        </w:rPr>
        <w:t>（</w:t>
      </w:r>
      <w:r>
        <w:rPr>
          <w:rFonts w:hint="eastAsia" w:ascii="宋体" w:hAnsi="宋体"/>
          <w:b/>
          <w:bCs/>
          <w:sz w:val="24"/>
          <w:szCs w:val="24"/>
        </w:rPr>
        <w:t>盖章或电子签章</w:t>
      </w:r>
      <w:r>
        <w:rPr>
          <w:rFonts w:hint="eastAsia" w:ascii="宋体" w:hAnsi="宋体" w:cs="宋体"/>
          <w:b/>
          <w:bCs/>
          <w:sz w:val="24"/>
          <w:szCs w:val="24"/>
        </w:rPr>
        <w:t>）</w:t>
      </w:r>
    </w:p>
    <w:p w14:paraId="6CF6DEFD">
      <w:pPr>
        <w:spacing w:line="360" w:lineRule="auto"/>
        <w:ind w:firstLine="1205" w:firstLineChars="500"/>
        <w:rPr>
          <w:rFonts w:ascii="宋体" w:hAnsi="宋体" w:cs="宋体"/>
          <w:b/>
          <w:bCs/>
          <w:sz w:val="24"/>
          <w:szCs w:val="24"/>
        </w:rPr>
      </w:pPr>
      <w:r>
        <w:rPr>
          <w:rFonts w:hint="eastAsia" w:ascii="宋体" w:hAnsi="宋体" w:cs="宋体"/>
          <w:b/>
          <w:bCs/>
          <w:sz w:val="24"/>
          <w:szCs w:val="24"/>
        </w:rPr>
        <w:t>日 期：</w:t>
      </w: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p>
    <w:p w14:paraId="07010E4D">
      <w:pPr>
        <w:spacing w:line="360" w:lineRule="auto"/>
        <w:jc w:val="both"/>
        <w:rPr>
          <w:rFonts w:ascii="宋体" w:hAnsi="宋体" w:cs="宋体"/>
          <w:sz w:val="24"/>
          <w:szCs w:val="24"/>
        </w:rPr>
      </w:pPr>
    </w:p>
    <w:p w14:paraId="3D1ADF25">
      <w:pPr>
        <w:rPr>
          <w:rFonts w:ascii="宋体" w:hAnsi="宋体" w:cs="宋体"/>
          <w:sz w:val="24"/>
          <w:szCs w:val="24"/>
        </w:rPr>
      </w:pPr>
    </w:p>
    <w:p w14:paraId="03C1B201">
      <w:pPr>
        <w:pStyle w:val="9"/>
        <w:ind w:firstLine="0" w:firstLineChars="0"/>
      </w:pPr>
    </w:p>
    <w:tbl>
      <w:tblPr>
        <w:tblStyle w:val="3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136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9639" w:type="dxa"/>
            <w:vAlign w:val="center"/>
          </w:tcPr>
          <w:p w14:paraId="6E6CAA0C">
            <w:pPr>
              <w:widowControl w:val="0"/>
              <w:spacing w:before="317" w:beforeLines="100" w:after="317" w:afterLines="100" w:line="600" w:lineRule="exact"/>
              <w:jc w:val="center"/>
              <w:rPr>
                <w:rFonts w:ascii="宋体" w:hAnsi="宋体" w:cs="宋体"/>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身份证正反面</w:t>
            </w:r>
          </w:p>
        </w:tc>
      </w:tr>
    </w:tbl>
    <w:p w14:paraId="2A8BAF0F">
      <w:pPr>
        <w:spacing w:line="20" w:lineRule="exact"/>
        <w:rPr>
          <w:rFonts w:ascii="宋体" w:hAnsi="宋体" w:cs="宋体"/>
          <w:b/>
          <w:bCs/>
          <w:sz w:val="44"/>
          <w:szCs w:val="44"/>
        </w:rPr>
      </w:pPr>
      <w:r>
        <w:rPr>
          <w:rFonts w:hint="eastAsia" w:ascii="宋体" w:hAnsi="宋体" w:cs="宋体"/>
        </w:rPr>
        <w:t xml:space="preserve"> </w:t>
      </w:r>
    </w:p>
    <w:p w14:paraId="4506876B">
      <w:bookmarkStart w:id="226" w:name="_Toc31847"/>
      <w:bookmarkEnd w:id="226"/>
      <w:bookmarkStart w:id="227" w:name="_Toc15398"/>
      <w:bookmarkEnd w:id="227"/>
      <w:bookmarkStart w:id="228" w:name="_Toc23744"/>
      <w:r>
        <w:rPr>
          <w:rFonts w:hint="eastAsia"/>
        </w:rPr>
        <w:br w:type="page"/>
      </w:r>
    </w:p>
    <w:p w14:paraId="5B557816">
      <w:pPr>
        <w:pStyle w:val="5"/>
        <w:widowControl/>
        <w:autoSpaceDE w:val="0"/>
        <w:spacing w:before="0" w:after="0" w:line="360" w:lineRule="auto"/>
        <w:ind w:firstLine="562" w:firstLineChars="200"/>
        <w:rPr>
          <w:rFonts w:ascii="宋体" w:hAnsi="宋体" w:cs="宋体"/>
          <w:szCs w:val="28"/>
        </w:rPr>
      </w:pPr>
      <w:bookmarkStart w:id="229" w:name="_Toc3146"/>
      <w:r>
        <w:rPr>
          <w:rFonts w:hint="eastAsia" w:ascii="宋体" w:hAnsi="宋体" w:cs="宋体"/>
          <w:szCs w:val="28"/>
          <w:lang w:val="en-US" w:eastAsia="zh-CN"/>
        </w:rPr>
        <w:t>三</w:t>
      </w:r>
      <w:r>
        <w:rPr>
          <w:rFonts w:hint="eastAsia" w:ascii="宋体" w:hAnsi="宋体" w:cs="宋体"/>
          <w:szCs w:val="28"/>
        </w:rPr>
        <w:t>、授权委托书</w:t>
      </w:r>
      <w:bookmarkEnd w:id="228"/>
      <w:bookmarkEnd w:id="229"/>
    </w:p>
    <w:p w14:paraId="5FEE9A2D">
      <w:pPr>
        <w:spacing w:line="200" w:lineRule="exact"/>
        <w:rPr>
          <w:rFonts w:ascii="宋体" w:hAnsi="宋体" w:cs="宋体"/>
        </w:rPr>
      </w:pPr>
      <w:r>
        <w:rPr>
          <w:rFonts w:hint="eastAsia" w:ascii="宋体" w:hAnsi="宋体" w:cs="宋体"/>
        </w:rPr>
        <w:t xml:space="preserve"> </w:t>
      </w:r>
    </w:p>
    <w:p w14:paraId="42621644">
      <w:pPr>
        <w:spacing w:line="200" w:lineRule="exact"/>
        <w:rPr>
          <w:rFonts w:ascii="宋体" w:hAnsi="宋体" w:cs="宋体"/>
        </w:rPr>
      </w:pPr>
      <w:r>
        <w:rPr>
          <w:rFonts w:hint="eastAsia" w:ascii="宋体" w:hAnsi="宋体" w:cs="宋体"/>
        </w:rPr>
        <w:t xml:space="preserve"> </w:t>
      </w:r>
    </w:p>
    <w:p w14:paraId="5F3C5E68">
      <w:pPr>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姓名</w:t>
      </w:r>
      <w:r>
        <w:rPr>
          <w:rFonts w:hint="eastAsia" w:ascii="宋体" w:hAnsi="宋体" w:cs="宋体"/>
          <w:sz w:val="24"/>
          <w:szCs w:val="24"/>
          <w:lang w:eastAsia="zh-CN"/>
        </w:rPr>
        <w:t>）</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投标人名称</w:t>
      </w:r>
      <w:r>
        <w:rPr>
          <w:rFonts w:hint="eastAsia" w:ascii="宋体" w:hAnsi="宋体" w:cs="宋体"/>
          <w:sz w:val="24"/>
          <w:szCs w:val="24"/>
          <w:lang w:eastAsia="zh-CN"/>
        </w:rPr>
        <w:t>）</w:t>
      </w:r>
      <w:r>
        <w:rPr>
          <w:rFonts w:hint="eastAsia" w:ascii="宋体" w:hAnsi="宋体" w:cs="宋体"/>
          <w:sz w:val="24"/>
          <w:szCs w:val="24"/>
        </w:rPr>
        <w:t>的法定代表人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姓名</w:t>
      </w:r>
      <w:r>
        <w:rPr>
          <w:rFonts w:hint="eastAsia" w:ascii="宋体" w:hAnsi="宋体" w:cs="宋体"/>
          <w:sz w:val="24"/>
          <w:szCs w:val="24"/>
          <w:lang w:eastAsia="zh-CN"/>
        </w:rPr>
        <w:t>）</w:t>
      </w:r>
      <w:r>
        <w:rPr>
          <w:rFonts w:hint="eastAsia" w:ascii="宋体" w:hAnsi="宋体" w:cs="宋体"/>
          <w:sz w:val="24"/>
          <w:szCs w:val="24"/>
        </w:rPr>
        <w:t>为我方代理人。代理人根据授权，以我方名义签署、澄清、说明、补正、提交、撤回、修改</w:t>
      </w:r>
      <w:r>
        <w:rPr>
          <w:rFonts w:hint="eastAsia" w:ascii="宋体" w:hAnsi="宋体" w:cs="宋体"/>
          <w:sz w:val="24"/>
          <w:szCs w:val="24"/>
          <w:u w:val="single"/>
        </w:rPr>
        <w:t xml:space="preserve">             </w:t>
      </w:r>
      <w:r>
        <w:rPr>
          <w:rFonts w:hint="eastAsia" w:ascii="宋体" w:hAnsi="宋体" w:cs="宋体"/>
          <w:color w:val="000000" w:themeColor="text1"/>
          <w:sz w:val="24"/>
          <w:szCs w:val="24"/>
          <w14:textFill>
            <w14:solidFill>
              <w14:schemeClr w14:val="tx1"/>
            </w14:solidFill>
          </w14:textFill>
        </w:rPr>
        <w:t>（项目名称）投</w:t>
      </w:r>
      <w:r>
        <w:rPr>
          <w:rFonts w:hint="eastAsia" w:ascii="宋体" w:hAnsi="宋体" w:cs="宋体"/>
          <w:sz w:val="24"/>
          <w:szCs w:val="24"/>
        </w:rPr>
        <w:t>标文件、签订合同和处理有关事宜，其法律后果由我方承担。</w:t>
      </w:r>
    </w:p>
    <w:p w14:paraId="3D32248A">
      <w:pPr>
        <w:spacing w:line="360" w:lineRule="auto"/>
        <w:ind w:firstLine="480" w:firstLineChars="200"/>
        <w:rPr>
          <w:rFonts w:ascii="宋体" w:hAnsi="宋体" w:cs="宋体"/>
          <w:sz w:val="24"/>
          <w:szCs w:val="24"/>
        </w:rPr>
      </w:pPr>
      <w:r>
        <w:rPr>
          <w:rFonts w:hint="eastAsia" w:ascii="宋体" w:hAnsi="宋体" w:cs="宋体"/>
          <w:sz w:val="24"/>
          <w:szCs w:val="24"/>
        </w:rPr>
        <w:t>代理人无转委托权。</w:t>
      </w:r>
    </w:p>
    <w:p w14:paraId="48BB4BEE">
      <w:pPr>
        <w:spacing w:line="360" w:lineRule="auto"/>
        <w:rPr>
          <w:rFonts w:ascii="宋体" w:hAnsi="宋体" w:cs="宋体"/>
          <w:sz w:val="24"/>
          <w:szCs w:val="24"/>
        </w:rPr>
      </w:pPr>
    </w:p>
    <w:p w14:paraId="727911FA">
      <w:pPr>
        <w:pStyle w:val="9"/>
        <w:ind w:firstLine="0" w:firstLineChars="0"/>
      </w:pPr>
    </w:p>
    <w:p w14:paraId="6FF5A3B6">
      <w:pPr>
        <w:spacing w:before="468" w:line="360" w:lineRule="auto"/>
        <w:ind w:firstLine="3373" w:firstLineChars="1400"/>
        <w:rPr>
          <w:rFonts w:ascii="宋体" w:hAnsi="宋体" w:cs="宋体"/>
          <w:b/>
          <w:sz w:val="24"/>
          <w:szCs w:val="24"/>
        </w:rPr>
      </w:pPr>
      <w:r>
        <w:rPr>
          <w:rFonts w:hint="eastAsia" w:ascii="宋体" w:hAnsi="宋体" w:cs="宋体"/>
          <w:b/>
          <w:sz w:val="24"/>
          <w:szCs w:val="24"/>
        </w:rPr>
        <w:t>投 标 人：</w:t>
      </w:r>
      <w:r>
        <w:rPr>
          <w:rFonts w:hint="eastAsia" w:ascii="宋体" w:hAnsi="宋体" w:cs="宋体"/>
          <w:b/>
          <w:sz w:val="24"/>
          <w:szCs w:val="24"/>
          <w:u w:val="single"/>
        </w:rPr>
        <w:t xml:space="preserve">                        </w:t>
      </w:r>
      <w:r>
        <w:rPr>
          <w:rFonts w:hint="eastAsia" w:ascii="宋体" w:hAnsi="宋体" w:cs="宋体"/>
          <w:b/>
          <w:sz w:val="24"/>
          <w:szCs w:val="24"/>
          <w:u w:val="single"/>
          <w:lang w:eastAsia="zh-CN"/>
        </w:rPr>
        <w:t>（</w:t>
      </w:r>
      <w:r>
        <w:rPr>
          <w:rFonts w:hint="eastAsia" w:ascii="宋体" w:hAnsi="宋体"/>
          <w:b/>
          <w:bCs/>
          <w:sz w:val="24"/>
          <w:szCs w:val="24"/>
        </w:rPr>
        <w:t>盖章或电子签章</w:t>
      </w:r>
      <w:r>
        <w:rPr>
          <w:rFonts w:hint="eastAsia" w:ascii="宋体" w:hAnsi="宋体"/>
          <w:b/>
          <w:bCs/>
          <w:sz w:val="24"/>
          <w:szCs w:val="24"/>
          <w:lang w:eastAsia="zh-CN"/>
        </w:rPr>
        <w:t>）</w:t>
      </w:r>
    </w:p>
    <w:p w14:paraId="7F948933">
      <w:pPr>
        <w:spacing w:before="468" w:line="360" w:lineRule="auto"/>
        <w:ind w:firstLine="3373" w:firstLineChars="1400"/>
        <w:rPr>
          <w:rFonts w:ascii="宋体" w:hAnsi="宋体" w:cs="宋体"/>
          <w:b/>
          <w:sz w:val="24"/>
          <w:szCs w:val="24"/>
        </w:rPr>
      </w:pPr>
      <w:r>
        <w:rPr>
          <w:rFonts w:hint="eastAsia" w:ascii="宋体" w:hAnsi="宋体" w:cs="宋体"/>
          <w:b/>
          <w:sz w:val="24"/>
          <w:szCs w:val="24"/>
        </w:rPr>
        <w:t>法定代表人</w:t>
      </w:r>
      <w:r>
        <w:rPr>
          <w:rFonts w:hint="eastAsia" w:ascii="宋体" w:hAnsi="宋体" w:cs="宋体"/>
          <w:b/>
          <w:sz w:val="24"/>
          <w:szCs w:val="24"/>
          <w:lang w:eastAsia="zh-CN"/>
        </w:rPr>
        <w:t>（</w:t>
      </w:r>
      <w:r>
        <w:rPr>
          <w:rFonts w:hint="eastAsia" w:ascii="宋体" w:hAnsi="宋体" w:cs="宋体"/>
          <w:b/>
          <w:sz w:val="24"/>
          <w:szCs w:val="24"/>
        </w:rPr>
        <w:t>单位负责人</w:t>
      </w:r>
      <w:r>
        <w:rPr>
          <w:rFonts w:hint="eastAsia" w:ascii="宋体" w:hAnsi="宋体" w:cs="宋体"/>
          <w:b/>
          <w:sz w:val="24"/>
          <w:szCs w:val="24"/>
          <w:lang w:eastAsia="zh-CN"/>
        </w:rPr>
        <w:t>）</w:t>
      </w:r>
      <w:r>
        <w:rPr>
          <w:rFonts w:hint="eastAsia" w:ascii="宋体" w:hAnsi="宋体" w:cs="宋体"/>
          <w:b/>
          <w:sz w:val="24"/>
          <w:szCs w:val="24"/>
        </w:rPr>
        <w:t>：</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b/>
          <w:bCs/>
          <w:sz w:val="24"/>
          <w:szCs w:val="24"/>
        </w:rPr>
        <w:t>签字或电子签章</w:t>
      </w:r>
      <w:r>
        <w:rPr>
          <w:rFonts w:hint="eastAsia" w:ascii="宋体" w:hAnsi="宋体" w:cs="宋体"/>
          <w:b/>
          <w:sz w:val="24"/>
          <w:szCs w:val="24"/>
        </w:rPr>
        <w:t>）</w:t>
      </w:r>
    </w:p>
    <w:p w14:paraId="3D028F4E">
      <w:pPr>
        <w:autoSpaceDE w:val="0"/>
        <w:autoSpaceDN w:val="0"/>
        <w:adjustRightInd w:val="0"/>
        <w:spacing w:line="360" w:lineRule="auto"/>
        <w:ind w:firstLine="3373" w:firstLineChars="1400"/>
        <w:rPr>
          <w:rFonts w:ascii="宋体" w:hAnsi="宋体" w:cs="宋体"/>
          <w:b/>
          <w:bCs/>
          <w:sz w:val="24"/>
          <w:szCs w:val="24"/>
          <w:u w:val="single"/>
        </w:rPr>
      </w:pPr>
      <w:r>
        <w:rPr>
          <w:rFonts w:hint="eastAsia" w:ascii="宋体" w:hAnsi="宋体" w:cs="宋体"/>
          <w:b/>
          <w:bCs/>
          <w:sz w:val="24"/>
          <w:szCs w:val="24"/>
        </w:rPr>
        <w:t>身份证号码：</w:t>
      </w:r>
      <w:r>
        <w:rPr>
          <w:rFonts w:hint="eastAsia" w:ascii="宋体" w:hAnsi="宋体" w:cs="宋体"/>
          <w:b/>
          <w:bCs/>
          <w:sz w:val="24"/>
          <w:szCs w:val="24"/>
          <w:u w:val="single"/>
        </w:rPr>
        <w:t xml:space="preserve">                            </w:t>
      </w:r>
    </w:p>
    <w:p w14:paraId="65E6912E">
      <w:pPr>
        <w:spacing w:before="468" w:line="360" w:lineRule="auto"/>
        <w:ind w:firstLine="3373" w:firstLineChars="1400"/>
        <w:rPr>
          <w:rFonts w:ascii="宋体" w:hAnsi="宋体" w:cs="宋体"/>
          <w:b/>
          <w:sz w:val="24"/>
          <w:szCs w:val="24"/>
        </w:rPr>
      </w:pPr>
      <w:r>
        <w:rPr>
          <w:rFonts w:hint="eastAsia" w:ascii="宋体" w:hAnsi="宋体" w:cs="宋体"/>
          <w:b/>
          <w:sz w:val="24"/>
          <w:szCs w:val="24"/>
        </w:rPr>
        <w:t>委托代理人：</w:t>
      </w:r>
      <w:r>
        <w:rPr>
          <w:rFonts w:hint="eastAsia" w:ascii="宋体" w:hAnsi="宋体" w:cs="宋体"/>
          <w:b/>
          <w:sz w:val="24"/>
          <w:szCs w:val="24"/>
          <w:u w:val="single"/>
        </w:rPr>
        <w:t xml:space="preserve">                       </w:t>
      </w:r>
    </w:p>
    <w:p w14:paraId="771537A3">
      <w:pPr>
        <w:autoSpaceDE w:val="0"/>
        <w:autoSpaceDN w:val="0"/>
        <w:adjustRightInd w:val="0"/>
        <w:spacing w:line="360" w:lineRule="auto"/>
        <w:ind w:firstLine="3373" w:firstLineChars="1400"/>
        <w:rPr>
          <w:rFonts w:ascii="宋体" w:hAnsi="宋体" w:cs="宋体"/>
        </w:rPr>
      </w:pPr>
      <w:r>
        <w:rPr>
          <w:rFonts w:hint="eastAsia" w:ascii="宋体" w:hAnsi="宋体" w:cs="宋体"/>
          <w:b/>
          <w:bCs/>
          <w:sz w:val="24"/>
        </w:rPr>
        <w:t>身份证号码：</w:t>
      </w:r>
      <w:r>
        <w:rPr>
          <w:rFonts w:hint="eastAsia" w:ascii="宋体" w:hAnsi="宋体" w:cs="宋体"/>
          <w:b/>
          <w:bCs/>
          <w:sz w:val="24"/>
          <w:u w:val="single"/>
        </w:rPr>
        <w:t xml:space="preserve">                            </w:t>
      </w:r>
    </w:p>
    <w:p w14:paraId="731B7C6C">
      <w:pPr>
        <w:spacing w:before="468" w:line="360" w:lineRule="auto"/>
        <w:ind w:firstLine="3373" w:firstLineChars="1400"/>
        <w:rPr>
          <w:rFonts w:ascii="宋体" w:hAnsi="宋体" w:cs="宋体"/>
          <w:b/>
          <w:sz w:val="24"/>
          <w:szCs w:val="24"/>
        </w:rPr>
      </w:pPr>
      <w:r>
        <w:rPr>
          <w:rFonts w:hint="eastAsia" w:ascii="宋体" w:hAnsi="宋体" w:cs="宋体"/>
          <w:b/>
          <w:sz w:val="24"/>
          <w:szCs w:val="24"/>
        </w:rPr>
        <w:t>日期：</w:t>
      </w:r>
      <w:r>
        <w:rPr>
          <w:rFonts w:hint="eastAsia" w:ascii="宋体" w:hAnsi="宋体" w:cs="宋体"/>
          <w:b/>
          <w:sz w:val="24"/>
          <w:szCs w:val="24"/>
          <w:u w:val="single"/>
        </w:rPr>
        <w:t xml:space="preserve">       </w:t>
      </w:r>
      <w:r>
        <w:rPr>
          <w:rFonts w:hint="eastAsia" w:ascii="宋体" w:hAnsi="宋体" w:cs="宋体"/>
          <w:b/>
          <w:sz w:val="24"/>
          <w:szCs w:val="24"/>
        </w:rPr>
        <w:t>年</w:t>
      </w:r>
      <w:r>
        <w:rPr>
          <w:rFonts w:hint="eastAsia" w:ascii="宋体" w:hAnsi="宋体" w:cs="宋体"/>
          <w:b/>
          <w:sz w:val="24"/>
          <w:szCs w:val="24"/>
          <w:u w:val="single"/>
        </w:rPr>
        <w:t xml:space="preserve">    </w:t>
      </w:r>
      <w:r>
        <w:rPr>
          <w:rFonts w:hint="eastAsia" w:ascii="宋体" w:hAnsi="宋体" w:cs="宋体"/>
          <w:b/>
          <w:sz w:val="24"/>
          <w:szCs w:val="24"/>
        </w:rPr>
        <w:t>月</w:t>
      </w:r>
      <w:r>
        <w:rPr>
          <w:rFonts w:hint="eastAsia" w:ascii="宋体" w:hAnsi="宋体" w:cs="宋体"/>
          <w:b/>
          <w:sz w:val="24"/>
          <w:szCs w:val="24"/>
          <w:u w:val="single"/>
        </w:rPr>
        <w:t xml:space="preserve">    </w:t>
      </w:r>
      <w:r>
        <w:rPr>
          <w:rFonts w:hint="eastAsia" w:ascii="宋体" w:hAnsi="宋体" w:cs="宋体"/>
          <w:b/>
          <w:sz w:val="24"/>
          <w:szCs w:val="24"/>
        </w:rPr>
        <w:t>日</w:t>
      </w:r>
    </w:p>
    <w:p w14:paraId="1F7CFDCE">
      <w:pPr>
        <w:ind w:right="480"/>
        <w:rPr>
          <w:rFonts w:ascii="宋体" w:hAnsi="宋体" w:cs="宋体"/>
          <w:sz w:val="24"/>
          <w:szCs w:val="24"/>
        </w:rPr>
      </w:pPr>
    </w:p>
    <w:tbl>
      <w:tblPr>
        <w:tblStyle w:val="3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1DF3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9627" w:type="dxa"/>
            <w:vAlign w:val="center"/>
          </w:tcPr>
          <w:p w14:paraId="4DE364C5">
            <w:pPr>
              <w:widowControl w:val="0"/>
              <w:spacing w:before="317" w:beforeLines="100" w:after="317" w:afterLines="100" w:line="600" w:lineRule="exact"/>
              <w:jc w:val="center"/>
              <w:rPr>
                <w:rFonts w:ascii="宋体" w:hAnsi="宋体" w:cs="宋体"/>
              </w:rPr>
            </w:pPr>
            <w:r>
              <w:rPr>
                <w:rFonts w:hint="eastAsia" w:ascii="宋体" w:hAnsi="宋体" w:cs="宋体"/>
                <w:sz w:val="24"/>
                <w:szCs w:val="24"/>
              </w:rPr>
              <w:t>委托代理人身份证正反面</w:t>
            </w:r>
          </w:p>
        </w:tc>
      </w:tr>
    </w:tbl>
    <w:p w14:paraId="24E8CA46">
      <w:pPr>
        <w:rPr>
          <w:rFonts w:ascii="宋体" w:hAnsi="宋体" w:cs="宋体"/>
          <w:b/>
          <w:bCs/>
          <w:sz w:val="44"/>
          <w:szCs w:val="44"/>
        </w:rPr>
      </w:pPr>
      <w:r>
        <w:rPr>
          <w:rFonts w:hint="eastAsia" w:ascii="宋体" w:hAnsi="宋体" w:cs="宋体"/>
          <w:b/>
          <w:bCs/>
          <w:sz w:val="44"/>
          <w:szCs w:val="44"/>
        </w:rPr>
        <w:br w:type="page"/>
      </w:r>
    </w:p>
    <w:p w14:paraId="0634B49B">
      <w:pPr>
        <w:pStyle w:val="5"/>
        <w:widowControl/>
        <w:autoSpaceDE w:val="0"/>
        <w:spacing w:before="0" w:after="0" w:line="360" w:lineRule="auto"/>
        <w:rPr>
          <w:rFonts w:ascii="宋体" w:hAnsi="宋体" w:cs="宋体"/>
          <w:szCs w:val="28"/>
        </w:rPr>
      </w:pPr>
      <w:bookmarkStart w:id="230" w:name="_Toc26620"/>
      <w:bookmarkEnd w:id="230"/>
      <w:bookmarkStart w:id="231" w:name="_Toc19510"/>
      <w:bookmarkStart w:id="232" w:name="_Toc3558"/>
      <w:r>
        <w:rPr>
          <w:rFonts w:hint="eastAsia" w:ascii="宋体" w:hAnsi="宋体" w:cs="宋体"/>
          <w:szCs w:val="28"/>
          <w:lang w:val="en-US" w:eastAsia="zh-CN"/>
        </w:rPr>
        <w:t>四</w:t>
      </w:r>
      <w:r>
        <w:rPr>
          <w:rFonts w:hint="eastAsia" w:ascii="宋体" w:hAnsi="宋体" w:cs="宋体"/>
          <w:szCs w:val="28"/>
        </w:rPr>
        <w:t>、投标人基本情况表</w:t>
      </w:r>
      <w:bookmarkEnd w:id="231"/>
      <w:bookmarkEnd w:id="232"/>
    </w:p>
    <w:tbl>
      <w:tblPr>
        <w:tblStyle w:val="30"/>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350"/>
        <w:gridCol w:w="2721"/>
        <w:gridCol w:w="1404"/>
        <w:gridCol w:w="1982"/>
      </w:tblGrid>
      <w:tr w14:paraId="4C2B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56F5B845">
            <w:pPr>
              <w:spacing w:line="440" w:lineRule="exact"/>
              <w:jc w:val="center"/>
              <w:rPr>
                <w:rFonts w:ascii="宋体" w:hAnsi="宋体" w:cs="宋体"/>
                <w:sz w:val="24"/>
                <w:szCs w:val="24"/>
              </w:rPr>
            </w:pPr>
            <w:r>
              <w:rPr>
                <w:rFonts w:hint="eastAsia" w:ascii="宋体" w:hAnsi="宋体" w:cs="宋体"/>
                <w:sz w:val="24"/>
                <w:szCs w:val="24"/>
              </w:rPr>
              <w:t>投标人名称</w:t>
            </w:r>
          </w:p>
        </w:tc>
        <w:tc>
          <w:tcPr>
            <w:tcW w:w="7457" w:type="dxa"/>
            <w:gridSpan w:val="4"/>
            <w:tcBorders>
              <w:top w:val="single" w:color="auto" w:sz="4" w:space="0"/>
              <w:left w:val="nil"/>
              <w:bottom w:val="single" w:color="auto" w:sz="4" w:space="0"/>
              <w:right w:val="single" w:color="auto" w:sz="4" w:space="0"/>
            </w:tcBorders>
            <w:vAlign w:val="center"/>
          </w:tcPr>
          <w:p w14:paraId="499B97B8">
            <w:pPr>
              <w:spacing w:line="440" w:lineRule="exact"/>
              <w:jc w:val="center"/>
              <w:rPr>
                <w:rFonts w:ascii="宋体" w:hAnsi="宋体" w:cs="宋体"/>
                <w:sz w:val="24"/>
                <w:szCs w:val="24"/>
              </w:rPr>
            </w:pPr>
          </w:p>
        </w:tc>
      </w:tr>
      <w:tr w14:paraId="58E4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29D2258">
            <w:pPr>
              <w:spacing w:line="440" w:lineRule="exact"/>
              <w:jc w:val="center"/>
              <w:rPr>
                <w:rFonts w:ascii="宋体" w:hAnsi="宋体" w:cs="宋体"/>
                <w:sz w:val="24"/>
                <w:szCs w:val="24"/>
              </w:rPr>
            </w:pPr>
            <w:r>
              <w:rPr>
                <w:rFonts w:hint="eastAsia" w:ascii="宋体" w:hAnsi="宋体" w:cs="宋体"/>
                <w:sz w:val="24"/>
                <w:szCs w:val="24"/>
              </w:rPr>
              <w:t>法定代表人</w:t>
            </w:r>
          </w:p>
          <w:p w14:paraId="55028A76">
            <w:pPr>
              <w:spacing w:line="440" w:lineRule="exact"/>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p>
        </w:tc>
        <w:tc>
          <w:tcPr>
            <w:tcW w:w="7457" w:type="dxa"/>
            <w:gridSpan w:val="4"/>
            <w:tcBorders>
              <w:top w:val="single" w:color="auto" w:sz="4" w:space="0"/>
              <w:left w:val="nil"/>
              <w:bottom w:val="single" w:color="auto" w:sz="4" w:space="0"/>
              <w:right w:val="single" w:color="auto" w:sz="4" w:space="0"/>
            </w:tcBorders>
            <w:vAlign w:val="center"/>
          </w:tcPr>
          <w:p w14:paraId="55088FA4">
            <w:pPr>
              <w:spacing w:line="440" w:lineRule="exact"/>
              <w:jc w:val="center"/>
              <w:rPr>
                <w:rFonts w:ascii="宋体" w:hAnsi="宋体" w:cs="宋体"/>
                <w:sz w:val="24"/>
                <w:szCs w:val="24"/>
              </w:rPr>
            </w:pPr>
          </w:p>
        </w:tc>
      </w:tr>
      <w:tr w14:paraId="18B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E1A7F06">
            <w:pPr>
              <w:spacing w:line="440" w:lineRule="exact"/>
              <w:jc w:val="center"/>
              <w:rPr>
                <w:rFonts w:ascii="宋体" w:hAnsi="宋体" w:cs="宋体"/>
                <w:sz w:val="24"/>
                <w:szCs w:val="24"/>
              </w:rPr>
            </w:pPr>
            <w:r>
              <w:rPr>
                <w:rFonts w:hint="eastAsia" w:ascii="宋体" w:hAnsi="宋体" w:cs="宋体"/>
                <w:sz w:val="24"/>
                <w:szCs w:val="24"/>
              </w:rPr>
              <w:t>税号</w:t>
            </w:r>
          </w:p>
        </w:tc>
        <w:tc>
          <w:tcPr>
            <w:tcW w:w="7457" w:type="dxa"/>
            <w:gridSpan w:val="4"/>
            <w:tcBorders>
              <w:top w:val="single" w:color="auto" w:sz="4" w:space="0"/>
              <w:left w:val="nil"/>
              <w:bottom w:val="single" w:color="auto" w:sz="4" w:space="0"/>
              <w:right w:val="single" w:color="auto" w:sz="4" w:space="0"/>
            </w:tcBorders>
            <w:vAlign w:val="center"/>
          </w:tcPr>
          <w:p w14:paraId="1ACBB3E6">
            <w:pPr>
              <w:spacing w:line="440" w:lineRule="exact"/>
              <w:jc w:val="center"/>
              <w:rPr>
                <w:rFonts w:ascii="宋体" w:hAnsi="宋体" w:cs="宋体"/>
                <w:sz w:val="24"/>
                <w:szCs w:val="24"/>
              </w:rPr>
            </w:pPr>
          </w:p>
        </w:tc>
      </w:tr>
      <w:tr w14:paraId="7A9B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0FB53E85">
            <w:pPr>
              <w:spacing w:line="440" w:lineRule="exact"/>
              <w:jc w:val="center"/>
              <w:rPr>
                <w:rFonts w:ascii="宋体" w:hAnsi="宋体" w:cs="宋体"/>
                <w:sz w:val="24"/>
                <w:szCs w:val="24"/>
              </w:rPr>
            </w:pPr>
            <w:r>
              <w:rPr>
                <w:rFonts w:hint="eastAsia" w:ascii="宋体" w:hAnsi="宋体" w:cs="宋体"/>
                <w:sz w:val="24"/>
                <w:szCs w:val="24"/>
              </w:rPr>
              <w:t>注册资金</w:t>
            </w:r>
          </w:p>
        </w:tc>
        <w:tc>
          <w:tcPr>
            <w:tcW w:w="4071" w:type="dxa"/>
            <w:gridSpan w:val="2"/>
            <w:tcBorders>
              <w:top w:val="single" w:color="auto" w:sz="4" w:space="0"/>
              <w:left w:val="nil"/>
              <w:bottom w:val="single" w:color="auto" w:sz="4" w:space="0"/>
              <w:right w:val="single" w:color="auto" w:sz="4" w:space="0"/>
            </w:tcBorders>
            <w:vAlign w:val="center"/>
          </w:tcPr>
          <w:p w14:paraId="67D557F8">
            <w:pPr>
              <w:spacing w:line="440" w:lineRule="exact"/>
              <w:jc w:val="center"/>
              <w:rPr>
                <w:rFonts w:ascii="宋体" w:hAnsi="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2C76A429">
            <w:pPr>
              <w:spacing w:line="440" w:lineRule="exact"/>
              <w:jc w:val="center"/>
              <w:rPr>
                <w:rFonts w:ascii="宋体" w:hAnsi="宋体" w:cs="宋体"/>
                <w:sz w:val="24"/>
                <w:szCs w:val="24"/>
              </w:rPr>
            </w:pPr>
            <w:r>
              <w:rPr>
                <w:rFonts w:hint="eastAsia" w:ascii="宋体" w:hAnsi="宋体" w:cs="宋体"/>
                <w:sz w:val="24"/>
                <w:szCs w:val="24"/>
              </w:rPr>
              <w:t>成立时间</w:t>
            </w:r>
          </w:p>
        </w:tc>
        <w:tc>
          <w:tcPr>
            <w:tcW w:w="1982" w:type="dxa"/>
            <w:tcBorders>
              <w:top w:val="single" w:color="auto" w:sz="4" w:space="0"/>
              <w:left w:val="nil"/>
              <w:bottom w:val="single" w:color="auto" w:sz="4" w:space="0"/>
              <w:right w:val="single" w:color="auto" w:sz="4" w:space="0"/>
            </w:tcBorders>
            <w:vAlign w:val="center"/>
          </w:tcPr>
          <w:p w14:paraId="05892E23">
            <w:pPr>
              <w:spacing w:line="440" w:lineRule="exact"/>
              <w:jc w:val="center"/>
              <w:rPr>
                <w:rFonts w:ascii="宋体" w:hAnsi="宋体" w:cs="宋体"/>
                <w:sz w:val="24"/>
                <w:szCs w:val="24"/>
              </w:rPr>
            </w:pPr>
          </w:p>
        </w:tc>
      </w:tr>
      <w:tr w14:paraId="668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ECC7069">
            <w:pPr>
              <w:spacing w:line="440" w:lineRule="exact"/>
              <w:jc w:val="center"/>
              <w:rPr>
                <w:rFonts w:ascii="宋体" w:hAnsi="宋体" w:cs="宋体"/>
                <w:sz w:val="24"/>
                <w:szCs w:val="24"/>
              </w:rPr>
            </w:pPr>
            <w:r>
              <w:rPr>
                <w:rFonts w:hint="eastAsia" w:ascii="宋体" w:hAnsi="宋体" w:cs="宋体"/>
                <w:sz w:val="24"/>
                <w:szCs w:val="24"/>
              </w:rPr>
              <w:t>注册地址</w:t>
            </w:r>
          </w:p>
        </w:tc>
        <w:tc>
          <w:tcPr>
            <w:tcW w:w="7457" w:type="dxa"/>
            <w:gridSpan w:val="4"/>
            <w:tcBorders>
              <w:top w:val="single" w:color="auto" w:sz="4" w:space="0"/>
              <w:left w:val="nil"/>
              <w:bottom w:val="single" w:color="auto" w:sz="4" w:space="0"/>
              <w:right w:val="single" w:color="auto" w:sz="4" w:space="0"/>
            </w:tcBorders>
            <w:vAlign w:val="center"/>
          </w:tcPr>
          <w:p w14:paraId="4D49A39D">
            <w:pPr>
              <w:spacing w:line="440" w:lineRule="exact"/>
              <w:jc w:val="center"/>
              <w:rPr>
                <w:rFonts w:ascii="宋体" w:hAnsi="宋体" w:cs="宋体"/>
                <w:sz w:val="24"/>
                <w:szCs w:val="24"/>
              </w:rPr>
            </w:pPr>
          </w:p>
        </w:tc>
      </w:tr>
      <w:tr w14:paraId="554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FE952E8">
            <w:pPr>
              <w:spacing w:line="440" w:lineRule="exact"/>
              <w:jc w:val="center"/>
              <w:rPr>
                <w:rFonts w:ascii="宋体" w:hAnsi="宋体" w:cs="宋体"/>
                <w:sz w:val="24"/>
                <w:szCs w:val="24"/>
              </w:rPr>
            </w:pPr>
            <w:r>
              <w:rPr>
                <w:rFonts w:hint="eastAsia" w:ascii="宋体" w:hAnsi="宋体" w:cs="宋体"/>
                <w:sz w:val="24"/>
                <w:szCs w:val="24"/>
              </w:rPr>
              <w:t>邮政编码</w:t>
            </w:r>
          </w:p>
        </w:tc>
        <w:tc>
          <w:tcPr>
            <w:tcW w:w="4071" w:type="dxa"/>
            <w:gridSpan w:val="2"/>
            <w:tcBorders>
              <w:top w:val="single" w:color="auto" w:sz="4" w:space="0"/>
              <w:left w:val="nil"/>
              <w:bottom w:val="single" w:color="auto" w:sz="4" w:space="0"/>
              <w:right w:val="single" w:color="auto" w:sz="4" w:space="0"/>
            </w:tcBorders>
            <w:vAlign w:val="center"/>
          </w:tcPr>
          <w:p w14:paraId="05910A2F">
            <w:pPr>
              <w:spacing w:line="440" w:lineRule="exact"/>
              <w:jc w:val="center"/>
              <w:rPr>
                <w:rFonts w:ascii="宋体" w:hAnsi="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5A0E235D">
            <w:pPr>
              <w:spacing w:line="440" w:lineRule="exact"/>
              <w:jc w:val="center"/>
              <w:rPr>
                <w:rFonts w:ascii="宋体" w:hAnsi="宋体" w:cs="宋体"/>
                <w:sz w:val="24"/>
                <w:szCs w:val="24"/>
              </w:rPr>
            </w:pPr>
            <w:r>
              <w:rPr>
                <w:rFonts w:hint="eastAsia" w:ascii="宋体" w:hAnsi="宋体" w:cs="宋体"/>
                <w:sz w:val="24"/>
                <w:szCs w:val="24"/>
              </w:rPr>
              <w:t>员工总数</w:t>
            </w:r>
          </w:p>
        </w:tc>
        <w:tc>
          <w:tcPr>
            <w:tcW w:w="1982" w:type="dxa"/>
            <w:tcBorders>
              <w:top w:val="single" w:color="auto" w:sz="4" w:space="0"/>
              <w:left w:val="nil"/>
              <w:bottom w:val="single" w:color="auto" w:sz="4" w:space="0"/>
              <w:right w:val="single" w:color="auto" w:sz="4" w:space="0"/>
            </w:tcBorders>
            <w:vAlign w:val="center"/>
          </w:tcPr>
          <w:p w14:paraId="4197B829">
            <w:pPr>
              <w:spacing w:line="440" w:lineRule="exact"/>
              <w:jc w:val="center"/>
              <w:rPr>
                <w:rFonts w:ascii="宋体" w:hAnsi="宋体" w:cs="宋体"/>
                <w:sz w:val="24"/>
                <w:szCs w:val="24"/>
              </w:rPr>
            </w:pPr>
          </w:p>
        </w:tc>
      </w:tr>
      <w:tr w14:paraId="4EF4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49" w:type="dxa"/>
            <w:tcBorders>
              <w:top w:val="nil"/>
              <w:left w:val="single" w:color="auto" w:sz="4" w:space="0"/>
              <w:bottom w:val="single" w:color="auto" w:sz="4" w:space="0"/>
              <w:right w:val="single" w:color="auto" w:sz="4" w:space="0"/>
            </w:tcBorders>
            <w:vAlign w:val="center"/>
          </w:tcPr>
          <w:p w14:paraId="61C44318">
            <w:pPr>
              <w:spacing w:line="440" w:lineRule="exact"/>
              <w:jc w:val="center"/>
              <w:rPr>
                <w:rFonts w:ascii="宋体" w:hAnsi="宋体" w:cs="宋体"/>
                <w:sz w:val="24"/>
                <w:szCs w:val="24"/>
              </w:rPr>
            </w:pPr>
            <w:r>
              <w:rPr>
                <w:rFonts w:hint="eastAsia" w:ascii="宋体" w:hAnsi="宋体" w:cs="宋体"/>
                <w:sz w:val="24"/>
                <w:szCs w:val="24"/>
              </w:rPr>
              <w:t>联系方式</w:t>
            </w:r>
          </w:p>
        </w:tc>
        <w:tc>
          <w:tcPr>
            <w:tcW w:w="1350" w:type="dxa"/>
            <w:tcBorders>
              <w:top w:val="single" w:color="auto" w:sz="4" w:space="0"/>
              <w:left w:val="nil"/>
              <w:right w:val="single" w:color="auto" w:sz="4" w:space="0"/>
            </w:tcBorders>
            <w:vAlign w:val="center"/>
          </w:tcPr>
          <w:p w14:paraId="0341864B">
            <w:pPr>
              <w:spacing w:line="440" w:lineRule="exact"/>
              <w:jc w:val="center"/>
              <w:rPr>
                <w:rFonts w:ascii="宋体" w:hAnsi="宋体" w:cs="宋体"/>
                <w:sz w:val="24"/>
                <w:szCs w:val="24"/>
              </w:rPr>
            </w:pPr>
            <w:r>
              <w:rPr>
                <w:rFonts w:hint="eastAsia" w:ascii="宋体" w:hAnsi="宋体" w:cs="宋体"/>
                <w:sz w:val="24"/>
                <w:szCs w:val="24"/>
              </w:rPr>
              <w:t>联系人</w:t>
            </w:r>
          </w:p>
        </w:tc>
        <w:tc>
          <w:tcPr>
            <w:tcW w:w="2721" w:type="dxa"/>
            <w:tcBorders>
              <w:top w:val="single" w:color="auto" w:sz="4" w:space="0"/>
              <w:left w:val="nil"/>
              <w:right w:val="single" w:color="auto" w:sz="4" w:space="0"/>
            </w:tcBorders>
            <w:vAlign w:val="center"/>
          </w:tcPr>
          <w:p w14:paraId="4757428F">
            <w:pPr>
              <w:spacing w:line="440" w:lineRule="exact"/>
              <w:jc w:val="center"/>
              <w:rPr>
                <w:rFonts w:ascii="宋体" w:hAnsi="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208B00F0">
            <w:pPr>
              <w:spacing w:line="440" w:lineRule="exact"/>
              <w:jc w:val="center"/>
              <w:rPr>
                <w:rFonts w:ascii="宋体" w:hAnsi="宋体" w:cs="宋体"/>
                <w:sz w:val="24"/>
                <w:szCs w:val="24"/>
              </w:rPr>
            </w:pPr>
            <w:r>
              <w:rPr>
                <w:rFonts w:hint="eastAsia" w:ascii="宋体" w:hAnsi="宋体" w:cs="宋体"/>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560E73E0">
            <w:pPr>
              <w:spacing w:line="440" w:lineRule="exact"/>
              <w:jc w:val="both"/>
              <w:rPr>
                <w:rFonts w:ascii="宋体" w:hAnsi="宋体" w:cs="宋体"/>
                <w:sz w:val="24"/>
                <w:szCs w:val="24"/>
              </w:rPr>
            </w:pPr>
          </w:p>
        </w:tc>
      </w:tr>
      <w:tr w14:paraId="443F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88C0718">
            <w:pPr>
              <w:spacing w:line="440" w:lineRule="exact"/>
              <w:jc w:val="center"/>
              <w:rPr>
                <w:rFonts w:ascii="宋体" w:hAnsi="宋体" w:cs="宋体"/>
                <w:sz w:val="24"/>
                <w:szCs w:val="24"/>
              </w:rPr>
            </w:pPr>
            <w:r>
              <w:rPr>
                <w:rFonts w:hint="eastAsia" w:ascii="宋体" w:hAnsi="宋体" w:cs="宋体"/>
                <w:sz w:val="24"/>
                <w:szCs w:val="24"/>
              </w:rPr>
              <w:t>投标人须知要求投标人需具有的各类资质证书</w:t>
            </w:r>
            <w:r>
              <w:rPr>
                <w:rFonts w:hint="eastAsia" w:ascii="宋体" w:hAnsi="宋体" w:cs="宋体"/>
                <w:sz w:val="24"/>
                <w:szCs w:val="24"/>
                <w:lang w:eastAsia="zh-CN"/>
              </w:rPr>
              <w:t>（</w:t>
            </w:r>
            <w:r>
              <w:rPr>
                <w:rFonts w:hint="eastAsia" w:ascii="宋体" w:hAnsi="宋体" w:cs="宋体"/>
                <w:sz w:val="24"/>
                <w:szCs w:val="24"/>
              </w:rPr>
              <w:t>若有</w:t>
            </w:r>
            <w:r>
              <w:rPr>
                <w:rFonts w:hint="eastAsia" w:ascii="宋体" w:hAnsi="宋体" w:cs="宋体"/>
                <w:sz w:val="24"/>
                <w:szCs w:val="24"/>
                <w:lang w:eastAsia="zh-CN"/>
              </w:rPr>
              <w:t>）</w:t>
            </w:r>
          </w:p>
        </w:tc>
        <w:tc>
          <w:tcPr>
            <w:tcW w:w="7457" w:type="dxa"/>
            <w:gridSpan w:val="4"/>
            <w:tcBorders>
              <w:top w:val="single" w:color="auto" w:sz="4" w:space="0"/>
              <w:left w:val="nil"/>
              <w:bottom w:val="single" w:color="auto" w:sz="4" w:space="0"/>
              <w:right w:val="single" w:color="auto" w:sz="4" w:space="0"/>
            </w:tcBorders>
            <w:vAlign w:val="center"/>
          </w:tcPr>
          <w:p w14:paraId="1086532F">
            <w:pPr>
              <w:spacing w:line="440" w:lineRule="exact"/>
              <w:rPr>
                <w:rFonts w:ascii="宋体" w:hAnsi="宋体" w:cs="宋体"/>
                <w:sz w:val="24"/>
                <w:szCs w:val="24"/>
              </w:rPr>
            </w:pPr>
            <w:r>
              <w:rPr>
                <w:rFonts w:hint="eastAsia" w:ascii="宋体" w:hAnsi="宋体" w:cs="宋体"/>
                <w:sz w:val="24"/>
                <w:szCs w:val="24"/>
              </w:rPr>
              <w:t>类型：                等级：                 证书号：</w:t>
            </w:r>
          </w:p>
        </w:tc>
      </w:tr>
      <w:tr w14:paraId="4F6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68150F04">
            <w:pPr>
              <w:spacing w:line="440" w:lineRule="exact"/>
              <w:jc w:val="center"/>
              <w:rPr>
                <w:rFonts w:ascii="宋体" w:hAnsi="宋体" w:cs="宋体"/>
                <w:sz w:val="24"/>
                <w:szCs w:val="24"/>
              </w:rPr>
            </w:pPr>
            <w:r>
              <w:rPr>
                <w:rFonts w:hint="eastAsia" w:ascii="宋体" w:hAnsi="宋体" w:cs="宋体"/>
                <w:sz w:val="24"/>
                <w:szCs w:val="24"/>
              </w:rPr>
              <w:t>基本账户开户银行</w:t>
            </w:r>
          </w:p>
        </w:tc>
        <w:tc>
          <w:tcPr>
            <w:tcW w:w="7457" w:type="dxa"/>
            <w:gridSpan w:val="4"/>
            <w:tcBorders>
              <w:top w:val="single" w:color="auto" w:sz="4" w:space="0"/>
              <w:left w:val="nil"/>
              <w:bottom w:val="single" w:color="auto" w:sz="4" w:space="0"/>
              <w:right w:val="single" w:color="auto" w:sz="4" w:space="0"/>
            </w:tcBorders>
            <w:vAlign w:val="center"/>
          </w:tcPr>
          <w:p w14:paraId="3A23548E">
            <w:pPr>
              <w:spacing w:line="440" w:lineRule="exact"/>
              <w:jc w:val="center"/>
              <w:rPr>
                <w:rFonts w:ascii="宋体" w:hAnsi="宋体" w:cs="宋体"/>
                <w:sz w:val="24"/>
                <w:szCs w:val="24"/>
              </w:rPr>
            </w:pPr>
          </w:p>
        </w:tc>
      </w:tr>
      <w:tr w14:paraId="488E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5877E7F">
            <w:pPr>
              <w:spacing w:line="440" w:lineRule="exact"/>
              <w:jc w:val="center"/>
              <w:rPr>
                <w:rFonts w:ascii="宋体" w:hAnsi="宋体" w:cs="宋体"/>
                <w:sz w:val="24"/>
                <w:szCs w:val="24"/>
              </w:rPr>
            </w:pPr>
            <w:r>
              <w:rPr>
                <w:rFonts w:hint="eastAsia" w:ascii="宋体" w:hAnsi="宋体" w:cs="宋体"/>
                <w:sz w:val="24"/>
                <w:szCs w:val="24"/>
              </w:rPr>
              <w:t>基本账户银行账号</w:t>
            </w:r>
          </w:p>
        </w:tc>
        <w:tc>
          <w:tcPr>
            <w:tcW w:w="7457" w:type="dxa"/>
            <w:gridSpan w:val="4"/>
            <w:tcBorders>
              <w:top w:val="single" w:color="auto" w:sz="4" w:space="0"/>
              <w:left w:val="nil"/>
              <w:bottom w:val="single" w:color="auto" w:sz="4" w:space="0"/>
              <w:right w:val="single" w:color="auto" w:sz="4" w:space="0"/>
            </w:tcBorders>
            <w:vAlign w:val="center"/>
          </w:tcPr>
          <w:p w14:paraId="4246326E">
            <w:pPr>
              <w:spacing w:line="440" w:lineRule="exact"/>
              <w:jc w:val="center"/>
              <w:rPr>
                <w:rFonts w:ascii="宋体" w:hAnsi="宋体" w:cs="宋体"/>
                <w:sz w:val="24"/>
                <w:szCs w:val="24"/>
              </w:rPr>
            </w:pPr>
          </w:p>
        </w:tc>
      </w:tr>
      <w:tr w14:paraId="1261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F1E65CE">
            <w:pPr>
              <w:spacing w:line="440" w:lineRule="exact"/>
              <w:jc w:val="center"/>
              <w:rPr>
                <w:rFonts w:ascii="宋体" w:hAnsi="宋体" w:cs="宋体"/>
                <w:sz w:val="24"/>
                <w:szCs w:val="24"/>
              </w:rPr>
            </w:pPr>
            <w:r>
              <w:rPr>
                <w:rFonts w:hint="eastAsia" w:ascii="宋体" w:hAnsi="宋体" w:cs="宋体"/>
                <w:sz w:val="24"/>
                <w:szCs w:val="24"/>
              </w:rPr>
              <w:t>投标人关联企业情况【包括但不限于与投标人法定代表人</w:t>
            </w:r>
            <w:r>
              <w:rPr>
                <w:rFonts w:hint="eastAsia" w:ascii="宋体" w:hAnsi="宋体" w:cs="宋体"/>
                <w:sz w:val="24"/>
                <w:szCs w:val="24"/>
                <w:lang w:eastAsia="zh-CN"/>
              </w:rPr>
              <w:t>（</w:t>
            </w:r>
            <w:r>
              <w:rPr>
                <w:rFonts w:hint="eastAsia" w:ascii="宋体" w:hAnsi="宋体" w:cs="宋体"/>
                <w:sz w:val="24"/>
                <w:szCs w:val="24"/>
              </w:rPr>
              <w:t>单位负责人</w:t>
            </w:r>
            <w:r>
              <w:rPr>
                <w:rFonts w:hint="eastAsia" w:ascii="宋体" w:hAnsi="宋体" w:cs="宋体"/>
                <w:sz w:val="24"/>
                <w:szCs w:val="24"/>
                <w:lang w:eastAsia="zh-CN"/>
              </w:rPr>
              <w:t>）</w:t>
            </w:r>
            <w:r>
              <w:rPr>
                <w:rFonts w:hint="eastAsia" w:ascii="宋体" w:hAnsi="宋体" w:cs="宋体"/>
                <w:sz w:val="24"/>
                <w:szCs w:val="24"/>
              </w:rPr>
              <w:t>为同一人或者存在控股、管理关系的不同单位】</w:t>
            </w:r>
          </w:p>
        </w:tc>
        <w:tc>
          <w:tcPr>
            <w:tcW w:w="7457" w:type="dxa"/>
            <w:gridSpan w:val="4"/>
            <w:tcBorders>
              <w:top w:val="single" w:color="auto" w:sz="4" w:space="0"/>
              <w:left w:val="nil"/>
              <w:bottom w:val="single" w:color="auto" w:sz="4" w:space="0"/>
              <w:right w:val="single" w:color="auto" w:sz="4" w:space="0"/>
            </w:tcBorders>
            <w:vAlign w:val="center"/>
          </w:tcPr>
          <w:p w14:paraId="64034E5A">
            <w:pPr>
              <w:spacing w:line="440" w:lineRule="exact"/>
              <w:jc w:val="center"/>
              <w:rPr>
                <w:rFonts w:ascii="宋体" w:hAnsi="宋体" w:cs="宋体"/>
                <w:sz w:val="24"/>
                <w:szCs w:val="24"/>
              </w:rPr>
            </w:pPr>
          </w:p>
        </w:tc>
      </w:tr>
      <w:tr w14:paraId="068C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FCB1A02">
            <w:pPr>
              <w:spacing w:line="440" w:lineRule="exact"/>
              <w:jc w:val="center"/>
              <w:rPr>
                <w:rFonts w:ascii="宋体" w:hAnsi="宋体" w:cs="宋体"/>
                <w:sz w:val="24"/>
                <w:szCs w:val="24"/>
              </w:rPr>
            </w:pPr>
            <w:r>
              <w:rPr>
                <w:rFonts w:hint="eastAsia" w:ascii="宋体" w:hAnsi="宋体" w:cs="宋体"/>
                <w:sz w:val="24"/>
                <w:szCs w:val="24"/>
              </w:rPr>
              <w:t>备注</w:t>
            </w:r>
          </w:p>
        </w:tc>
        <w:tc>
          <w:tcPr>
            <w:tcW w:w="7457" w:type="dxa"/>
            <w:gridSpan w:val="4"/>
            <w:tcBorders>
              <w:top w:val="single" w:color="auto" w:sz="4" w:space="0"/>
              <w:left w:val="nil"/>
              <w:bottom w:val="single" w:color="auto" w:sz="4" w:space="0"/>
              <w:right w:val="single" w:color="auto" w:sz="4" w:space="0"/>
            </w:tcBorders>
            <w:vAlign w:val="center"/>
          </w:tcPr>
          <w:p w14:paraId="509976B5">
            <w:pPr>
              <w:spacing w:line="440" w:lineRule="exact"/>
              <w:jc w:val="center"/>
              <w:rPr>
                <w:rFonts w:ascii="宋体" w:hAnsi="宋体" w:cs="宋体"/>
                <w:sz w:val="24"/>
                <w:szCs w:val="24"/>
              </w:rPr>
            </w:pPr>
          </w:p>
        </w:tc>
      </w:tr>
    </w:tbl>
    <w:p w14:paraId="05BE7434">
      <w:pPr>
        <w:spacing w:line="240" w:lineRule="exact"/>
        <w:rPr>
          <w:rFonts w:ascii="宋体" w:hAnsi="宋体" w:cs="宋体"/>
          <w:sz w:val="24"/>
          <w:szCs w:val="24"/>
        </w:rPr>
      </w:pPr>
    </w:p>
    <w:p w14:paraId="1B6466D9">
      <w:pPr>
        <w:spacing w:line="400" w:lineRule="exact"/>
        <w:rPr>
          <w:rFonts w:ascii="宋体" w:hAnsi="宋体" w:cs="宋体"/>
          <w:sz w:val="24"/>
          <w:szCs w:val="24"/>
        </w:rPr>
      </w:pPr>
      <w:r>
        <w:rPr>
          <w:rFonts w:hint="eastAsia" w:ascii="宋体" w:hAnsi="宋体" w:cs="宋体"/>
          <w:sz w:val="24"/>
          <w:szCs w:val="24"/>
        </w:rPr>
        <w:t>注：投标人应根据招标文件要求在本表后附相关证明材料，如营业执照、资质证书</w:t>
      </w:r>
      <w:r>
        <w:rPr>
          <w:rFonts w:hint="eastAsia" w:ascii="宋体" w:hAnsi="宋体" w:cs="宋体"/>
          <w:sz w:val="24"/>
          <w:szCs w:val="24"/>
          <w:lang w:eastAsia="zh-CN"/>
        </w:rPr>
        <w:t>（</w:t>
      </w:r>
      <w:r>
        <w:rPr>
          <w:rFonts w:hint="eastAsia" w:ascii="宋体" w:hAnsi="宋体" w:cs="宋体"/>
          <w:sz w:val="24"/>
          <w:szCs w:val="24"/>
        </w:rPr>
        <w:t>若有</w:t>
      </w:r>
      <w:r>
        <w:rPr>
          <w:rFonts w:hint="eastAsia" w:ascii="宋体" w:hAnsi="宋体" w:cs="宋体"/>
          <w:sz w:val="24"/>
          <w:szCs w:val="24"/>
          <w:lang w:eastAsia="zh-CN"/>
        </w:rPr>
        <w:t>）</w:t>
      </w:r>
      <w:r>
        <w:rPr>
          <w:rFonts w:hint="eastAsia" w:ascii="宋体" w:hAnsi="宋体" w:cs="宋体"/>
          <w:sz w:val="24"/>
          <w:szCs w:val="24"/>
        </w:rPr>
        <w:t>等。</w:t>
      </w:r>
    </w:p>
    <w:p w14:paraId="4508B1FD">
      <w:bookmarkStart w:id="233" w:name="_Toc25271"/>
      <w:bookmarkEnd w:id="233"/>
      <w:bookmarkStart w:id="234" w:name="_Toc28613"/>
      <w:r>
        <w:rPr>
          <w:rFonts w:hint="eastAsia" w:ascii="宋体" w:hAnsi="宋体" w:cs="宋体"/>
          <w:szCs w:val="28"/>
        </w:rPr>
        <w:br w:type="page"/>
      </w:r>
      <w:bookmarkEnd w:id="234"/>
      <w:bookmarkStart w:id="235" w:name="_Toc25087"/>
    </w:p>
    <w:bookmarkEnd w:id="235"/>
    <w:p w14:paraId="3F4DAA09">
      <w:pPr>
        <w:pStyle w:val="5"/>
        <w:widowControl/>
        <w:autoSpaceDE w:val="0"/>
        <w:spacing w:before="0" w:after="0" w:line="240" w:lineRule="auto"/>
        <w:rPr>
          <w:rFonts w:ascii="宋体" w:hAnsi="宋体" w:cs="宋体"/>
          <w:szCs w:val="28"/>
        </w:rPr>
      </w:pPr>
      <w:bookmarkStart w:id="236" w:name="_Toc2395"/>
      <w:r>
        <w:rPr>
          <w:rFonts w:hint="eastAsia" w:ascii="宋体" w:hAnsi="宋体" w:cs="宋体"/>
          <w:szCs w:val="28"/>
          <w:lang w:val="en-US" w:eastAsia="zh-CN"/>
        </w:rPr>
        <w:t>五</w:t>
      </w:r>
      <w:r>
        <w:rPr>
          <w:rFonts w:hint="eastAsia" w:ascii="宋体" w:hAnsi="宋体" w:cs="宋体"/>
          <w:szCs w:val="28"/>
        </w:rPr>
        <w:t>、商务技术偏离表</w:t>
      </w:r>
      <w:bookmarkEnd w:id="236"/>
    </w:p>
    <w:p w14:paraId="03432EFD">
      <w:r>
        <w:rPr>
          <w:rFonts w:hint="eastAsia" w:ascii="宋体" w:hAnsi="宋体"/>
          <w:b/>
          <w:bCs/>
          <w:color w:val="000000"/>
          <w:sz w:val="24"/>
          <w:szCs w:val="24"/>
          <w:lang w:eastAsia="zh-CN"/>
        </w:rPr>
        <w:t>（</w:t>
      </w:r>
      <w:r>
        <w:rPr>
          <w:rFonts w:hint="eastAsia" w:ascii="宋体" w:hAnsi="宋体"/>
          <w:b/>
          <w:bCs/>
          <w:color w:val="000000"/>
          <w:sz w:val="24"/>
          <w:szCs w:val="24"/>
        </w:rPr>
        <w:t>一</w:t>
      </w:r>
      <w:r>
        <w:rPr>
          <w:rFonts w:hint="eastAsia" w:ascii="宋体" w:hAnsi="宋体"/>
          <w:b/>
          <w:bCs/>
          <w:color w:val="000000"/>
          <w:sz w:val="24"/>
          <w:szCs w:val="24"/>
          <w:lang w:eastAsia="zh-CN"/>
        </w:rPr>
        <w:t>）</w:t>
      </w:r>
      <w:r>
        <w:rPr>
          <w:rFonts w:hint="eastAsia" w:ascii="宋体" w:hAnsi="宋体"/>
          <w:b/>
          <w:bCs/>
          <w:color w:val="000000"/>
          <w:sz w:val="24"/>
          <w:szCs w:val="24"/>
        </w:rPr>
        <w:t>商务条款偏离表</w:t>
      </w:r>
    </w:p>
    <w:tbl>
      <w:tblPr>
        <w:tblStyle w:val="30"/>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460"/>
        <w:gridCol w:w="2316"/>
        <w:gridCol w:w="2612"/>
        <w:gridCol w:w="889"/>
        <w:gridCol w:w="889"/>
      </w:tblGrid>
      <w:tr w14:paraId="4819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2EFFE96">
            <w:pPr>
              <w:jc w:val="center"/>
              <w:rPr>
                <w:rFonts w:ascii="宋体" w:hAnsi="宋体" w:cs="宋体"/>
                <w:b/>
                <w:bCs/>
                <w:sz w:val="24"/>
                <w:szCs w:val="24"/>
              </w:rPr>
            </w:pPr>
            <w:r>
              <w:rPr>
                <w:rFonts w:hint="eastAsia" w:ascii="宋体" w:hAnsi="宋体" w:cs="宋体"/>
                <w:b/>
                <w:bCs/>
                <w:sz w:val="24"/>
                <w:szCs w:val="24"/>
              </w:rPr>
              <w:t>序号</w:t>
            </w:r>
          </w:p>
        </w:tc>
        <w:tc>
          <w:tcPr>
            <w:tcW w:w="2460" w:type="dxa"/>
            <w:tcBorders>
              <w:top w:val="single" w:color="auto" w:sz="4" w:space="0"/>
              <w:left w:val="nil"/>
              <w:bottom w:val="single" w:color="auto" w:sz="4" w:space="0"/>
              <w:right w:val="single" w:color="auto" w:sz="4" w:space="0"/>
            </w:tcBorders>
            <w:vAlign w:val="center"/>
          </w:tcPr>
          <w:p w14:paraId="3A1E84CF">
            <w:pPr>
              <w:jc w:val="center"/>
              <w:rPr>
                <w:rFonts w:ascii="宋体" w:hAnsi="宋体" w:cs="宋体"/>
                <w:b/>
                <w:bCs/>
                <w:sz w:val="24"/>
                <w:szCs w:val="24"/>
              </w:rPr>
            </w:pPr>
            <w:r>
              <w:rPr>
                <w:rFonts w:hint="eastAsia" w:ascii="宋体" w:hAnsi="宋体" w:cs="宋体"/>
                <w:b/>
                <w:bCs/>
                <w:sz w:val="24"/>
                <w:szCs w:val="24"/>
              </w:rPr>
              <w:t>招标文件条款号</w:t>
            </w:r>
          </w:p>
        </w:tc>
        <w:tc>
          <w:tcPr>
            <w:tcW w:w="2316" w:type="dxa"/>
            <w:tcBorders>
              <w:top w:val="single" w:color="auto" w:sz="4" w:space="0"/>
              <w:left w:val="nil"/>
              <w:bottom w:val="single" w:color="auto" w:sz="4" w:space="0"/>
              <w:right w:val="single" w:color="auto" w:sz="4" w:space="0"/>
            </w:tcBorders>
            <w:vAlign w:val="center"/>
          </w:tcPr>
          <w:p w14:paraId="224A7F55">
            <w:pPr>
              <w:jc w:val="center"/>
              <w:rPr>
                <w:rFonts w:ascii="宋体" w:hAnsi="宋体" w:cs="宋体"/>
                <w:b/>
                <w:bCs/>
                <w:sz w:val="24"/>
                <w:szCs w:val="24"/>
              </w:rPr>
            </w:pPr>
            <w:r>
              <w:rPr>
                <w:rFonts w:hint="eastAsia" w:ascii="宋体" w:hAnsi="宋体" w:cs="宋体"/>
                <w:b/>
                <w:bCs/>
                <w:sz w:val="24"/>
                <w:szCs w:val="24"/>
              </w:rPr>
              <w:t>招标文件的商务条款内容</w:t>
            </w:r>
          </w:p>
        </w:tc>
        <w:tc>
          <w:tcPr>
            <w:tcW w:w="2612" w:type="dxa"/>
            <w:tcBorders>
              <w:top w:val="single" w:color="auto" w:sz="4" w:space="0"/>
              <w:left w:val="nil"/>
              <w:bottom w:val="single" w:color="auto" w:sz="4" w:space="0"/>
              <w:right w:val="single" w:color="auto" w:sz="4" w:space="0"/>
            </w:tcBorders>
            <w:vAlign w:val="center"/>
          </w:tcPr>
          <w:p w14:paraId="4448DEBC">
            <w:pPr>
              <w:jc w:val="center"/>
              <w:rPr>
                <w:rFonts w:ascii="宋体" w:hAnsi="宋体" w:cs="宋体"/>
                <w:b/>
                <w:bCs/>
                <w:sz w:val="24"/>
                <w:szCs w:val="24"/>
              </w:rPr>
            </w:pPr>
            <w:r>
              <w:rPr>
                <w:rFonts w:hint="eastAsia" w:ascii="宋体" w:hAnsi="宋体" w:cs="宋体"/>
                <w:b/>
                <w:bCs/>
                <w:sz w:val="24"/>
                <w:szCs w:val="24"/>
              </w:rPr>
              <w:t>投标文件的商务条款响应情况</w:t>
            </w:r>
          </w:p>
        </w:tc>
        <w:tc>
          <w:tcPr>
            <w:tcW w:w="889" w:type="dxa"/>
            <w:tcBorders>
              <w:top w:val="single" w:color="auto" w:sz="4" w:space="0"/>
              <w:left w:val="nil"/>
              <w:bottom w:val="single" w:color="auto" w:sz="4" w:space="0"/>
              <w:right w:val="single" w:color="auto" w:sz="4" w:space="0"/>
            </w:tcBorders>
            <w:vAlign w:val="center"/>
          </w:tcPr>
          <w:p w14:paraId="1DF87620">
            <w:pPr>
              <w:jc w:val="center"/>
              <w:rPr>
                <w:rFonts w:ascii="宋体" w:hAnsi="宋体" w:cs="宋体"/>
                <w:b/>
                <w:bCs/>
                <w:sz w:val="24"/>
                <w:szCs w:val="24"/>
              </w:rPr>
            </w:pPr>
            <w:r>
              <w:rPr>
                <w:rFonts w:hint="eastAsia" w:ascii="宋体" w:hAnsi="宋体" w:cs="宋体"/>
                <w:b/>
                <w:bCs/>
                <w:sz w:val="24"/>
                <w:szCs w:val="24"/>
              </w:rPr>
              <w:t>偏离情况</w:t>
            </w:r>
          </w:p>
        </w:tc>
        <w:tc>
          <w:tcPr>
            <w:tcW w:w="889" w:type="dxa"/>
            <w:tcBorders>
              <w:top w:val="single" w:color="auto" w:sz="4" w:space="0"/>
              <w:left w:val="nil"/>
              <w:bottom w:val="single" w:color="auto" w:sz="4" w:space="0"/>
              <w:right w:val="single" w:color="auto" w:sz="4" w:space="0"/>
            </w:tcBorders>
            <w:vAlign w:val="center"/>
          </w:tcPr>
          <w:p w14:paraId="273AD500">
            <w:pPr>
              <w:jc w:val="center"/>
              <w:rPr>
                <w:rFonts w:ascii="宋体" w:hAnsi="宋体" w:cs="宋体"/>
                <w:b/>
                <w:bCs/>
                <w:sz w:val="24"/>
                <w:szCs w:val="24"/>
              </w:rPr>
            </w:pPr>
            <w:r>
              <w:rPr>
                <w:rFonts w:hint="eastAsia" w:ascii="宋体" w:hAnsi="宋体" w:cs="宋体"/>
                <w:b/>
                <w:bCs/>
                <w:sz w:val="24"/>
                <w:szCs w:val="24"/>
              </w:rPr>
              <w:t>说明</w:t>
            </w:r>
          </w:p>
        </w:tc>
      </w:tr>
      <w:tr w14:paraId="6FF5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3A3832B">
            <w:pPr>
              <w:jc w:val="center"/>
              <w:rPr>
                <w:rFonts w:ascii="宋体" w:hAnsi="宋体" w:cs="宋体"/>
                <w:sz w:val="24"/>
                <w:szCs w:val="24"/>
              </w:rPr>
            </w:pPr>
            <w:r>
              <w:rPr>
                <w:rFonts w:hint="eastAsia" w:ascii="宋体" w:hAnsi="宋体" w:cs="宋体"/>
                <w:sz w:val="24"/>
                <w:szCs w:val="24"/>
              </w:rPr>
              <w:t>1</w:t>
            </w:r>
          </w:p>
        </w:tc>
        <w:tc>
          <w:tcPr>
            <w:tcW w:w="2460" w:type="dxa"/>
            <w:tcBorders>
              <w:top w:val="single" w:color="auto" w:sz="4" w:space="0"/>
              <w:left w:val="nil"/>
              <w:bottom w:val="single" w:color="auto" w:sz="4" w:space="0"/>
              <w:right w:val="single" w:color="auto" w:sz="4" w:space="0"/>
            </w:tcBorders>
            <w:vAlign w:val="center"/>
          </w:tcPr>
          <w:p w14:paraId="788D118C">
            <w:pPr>
              <w:jc w:val="center"/>
              <w:rPr>
                <w:rFonts w:ascii="宋体" w:hAnsi="宋体" w:cs="宋体"/>
                <w:sz w:val="24"/>
                <w:szCs w:val="24"/>
              </w:rPr>
            </w:pPr>
            <w:r>
              <w:rPr>
                <w:rFonts w:hint="eastAsia" w:ascii="宋体" w:hAnsi="宋体" w:cs="宋体"/>
                <w:sz w:val="24"/>
                <w:szCs w:val="24"/>
              </w:rPr>
              <w:t>“投标人须知前附表”第1.3.2款</w:t>
            </w:r>
          </w:p>
        </w:tc>
        <w:tc>
          <w:tcPr>
            <w:tcW w:w="2316" w:type="dxa"/>
            <w:tcBorders>
              <w:top w:val="single" w:color="auto" w:sz="4" w:space="0"/>
              <w:left w:val="nil"/>
              <w:bottom w:val="single" w:color="auto" w:sz="4" w:space="0"/>
              <w:right w:val="single" w:color="auto" w:sz="4" w:space="0"/>
            </w:tcBorders>
            <w:vAlign w:val="center"/>
          </w:tcPr>
          <w:p w14:paraId="56E05515">
            <w:pPr>
              <w:jc w:val="center"/>
              <w:rPr>
                <w:rFonts w:hint="eastAsia" w:ascii="宋体" w:hAnsi="宋体" w:eastAsia="宋体" w:cs="宋体"/>
                <w:sz w:val="24"/>
                <w:szCs w:val="24"/>
                <w:lang w:eastAsia="zh-CN"/>
              </w:rPr>
            </w:pPr>
            <w:r>
              <w:rPr>
                <w:rFonts w:hint="eastAsia" w:ascii="宋体" w:hAnsi="宋体" w:cs="宋体"/>
                <w:kern w:val="2"/>
                <w:sz w:val="24"/>
                <w:szCs w:val="24"/>
                <w:lang w:eastAsia="zh-CN"/>
              </w:rPr>
              <w:t>交付时间</w:t>
            </w:r>
          </w:p>
        </w:tc>
        <w:tc>
          <w:tcPr>
            <w:tcW w:w="2612" w:type="dxa"/>
            <w:tcBorders>
              <w:top w:val="single" w:color="auto" w:sz="4" w:space="0"/>
              <w:left w:val="nil"/>
              <w:bottom w:val="single" w:color="auto" w:sz="4" w:space="0"/>
              <w:right w:val="single" w:color="auto" w:sz="4" w:space="0"/>
            </w:tcBorders>
            <w:vAlign w:val="center"/>
          </w:tcPr>
          <w:p w14:paraId="3DB298A4">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3D66D411">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5B0EF34E">
            <w:pPr>
              <w:jc w:val="center"/>
              <w:rPr>
                <w:rFonts w:ascii="宋体" w:hAnsi="宋体" w:cs="宋体"/>
                <w:sz w:val="24"/>
                <w:szCs w:val="24"/>
              </w:rPr>
            </w:pPr>
          </w:p>
        </w:tc>
      </w:tr>
      <w:tr w14:paraId="08B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5BA2874">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2460" w:type="dxa"/>
            <w:tcBorders>
              <w:top w:val="single" w:color="auto" w:sz="4" w:space="0"/>
              <w:left w:val="nil"/>
              <w:bottom w:val="single" w:color="auto" w:sz="4" w:space="0"/>
              <w:right w:val="single" w:color="auto" w:sz="4" w:space="0"/>
            </w:tcBorders>
            <w:vAlign w:val="center"/>
          </w:tcPr>
          <w:p w14:paraId="4B35DF9E">
            <w:pPr>
              <w:jc w:val="center"/>
              <w:rPr>
                <w:rFonts w:ascii="宋体" w:hAnsi="宋体" w:cs="宋体"/>
                <w:sz w:val="24"/>
                <w:szCs w:val="24"/>
              </w:rPr>
            </w:pPr>
            <w:r>
              <w:rPr>
                <w:rFonts w:hint="eastAsia" w:ascii="宋体" w:hAnsi="宋体" w:cs="宋体"/>
                <w:sz w:val="24"/>
                <w:szCs w:val="24"/>
              </w:rPr>
              <w:t>“投标人须知前附表”第1.3.3款</w:t>
            </w:r>
          </w:p>
        </w:tc>
        <w:tc>
          <w:tcPr>
            <w:tcW w:w="2316" w:type="dxa"/>
            <w:tcBorders>
              <w:top w:val="single" w:color="auto" w:sz="4" w:space="0"/>
              <w:left w:val="nil"/>
              <w:bottom w:val="single" w:color="auto" w:sz="4" w:space="0"/>
              <w:right w:val="single" w:color="auto" w:sz="4" w:space="0"/>
            </w:tcBorders>
            <w:vAlign w:val="center"/>
          </w:tcPr>
          <w:p w14:paraId="7E170741">
            <w:pPr>
              <w:jc w:val="center"/>
              <w:rPr>
                <w:rFonts w:hint="eastAsia" w:ascii="宋体" w:hAnsi="宋体" w:eastAsia="宋体" w:cs="宋体"/>
                <w:sz w:val="24"/>
                <w:szCs w:val="24"/>
                <w:lang w:eastAsia="zh-CN"/>
              </w:rPr>
            </w:pPr>
            <w:r>
              <w:rPr>
                <w:rFonts w:hint="eastAsia" w:ascii="宋体" w:hAnsi="宋体" w:cs="宋体"/>
                <w:sz w:val="24"/>
                <w:szCs w:val="24"/>
                <w:lang w:eastAsia="zh-CN"/>
              </w:rPr>
              <w:t>交付地点</w:t>
            </w:r>
          </w:p>
        </w:tc>
        <w:tc>
          <w:tcPr>
            <w:tcW w:w="2612" w:type="dxa"/>
            <w:tcBorders>
              <w:top w:val="single" w:color="auto" w:sz="4" w:space="0"/>
              <w:left w:val="nil"/>
              <w:bottom w:val="single" w:color="auto" w:sz="4" w:space="0"/>
              <w:right w:val="single" w:color="auto" w:sz="4" w:space="0"/>
            </w:tcBorders>
            <w:vAlign w:val="center"/>
          </w:tcPr>
          <w:p w14:paraId="76F37B1F">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4E362A1E">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6FE4BE5A">
            <w:pPr>
              <w:jc w:val="center"/>
              <w:rPr>
                <w:rFonts w:ascii="宋体" w:hAnsi="宋体" w:cs="宋体"/>
                <w:sz w:val="24"/>
                <w:szCs w:val="24"/>
              </w:rPr>
            </w:pPr>
          </w:p>
        </w:tc>
      </w:tr>
      <w:tr w14:paraId="2C1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98577AC">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460" w:type="dxa"/>
            <w:tcBorders>
              <w:top w:val="single" w:color="auto" w:sz="4" w:space="0"/>
              <w:left w:val="nil"/>
              <w:bottom w:val="single" w:color="auto" w:sz="4" w:space="0"/>
              <w:right w:val="single" w:color="auto" w:sz="4" w:space="0"/>
            </w:tcBorders>
            <w:vAlign w:val="center"/>
          </w:tcPr>
          <w:p w14:paraId="744DFCB8">
            <w:pPr>
              <w:jc w:val="center"/>
              <w:rPr>
                <w:rFonts w:ascii="宋体" w:hAnsi="宋体" w:cs="宋体"/>
                <w:sz w:val="24"/>
                <w:szCs w:val="24"/>
              </w:rPr>
            </w:pPr>
            <w:r>
              <w:rPr>
                <w:rFonts w:hint="eastAsia" w:ascii="宋体" w:hAnsi="宋体" w:cs="宋体"/>
                <w:sz w:val="24"/>
                <w:szCs w:val="24"/>
              </w:rPr>
              <w:t>“投标人须知前附表”第1.3.</w:t>
            </w:r>
            <w:r>
              <w:rPr>
                <w:rFonts w:hint="eastAsia" w:ascii="宋体" w:hAnsi="宋体" w:cs="宋体"/>
                <w:sz w:val="24"/>
                <w:szCs w:val="24"/>
                <w:lang w:val="en-US" w:eastAsia="zh-CN"/>
              </w:rPr>
              <w:t>4</w:t>
            </w:r>
            <w:r>
              <w:rPr>
                <w:rFonts w:hint="eastAsia" w:ascii="宋体" w:hAnsi="宋体" w:cs="宋体"/>
                <w:sz w:val="24"/>
                <w:szCs w:val="24"/>
              </w:rPr>
              <w:t>款</w:t>
            </w:r>
          </w:p>
        </w:tc>
        <w:tc>
          <w:tcPr>
            <w:tcW w:w="2316" w:type="dxa"/>
            <w:tcBorders>
              <w:top w:val="single" w:color="auto" w:sz="4" w:space="0"/>
              <w:left w:val="nil"/>
              <w:bottom w:val="single" w:color="auto" w:sz="4" w:space="0"/>
              <w:right w:val="single" w:color="auto" w:sz="4" w:space="0"/>
            </w:tcBorders>
            <w:vAlign w:val="center"/>
          </w:tcPr>
          <w:p w14:paraId="07D7A6CE">
            <w:pPr>
              <w:jc w:val="center"/>
              <w:rPr>
                <w:rFonts w:ascii="宋体" w:hAnsi="宋体" w:cs="宋体"/>
                <w:sz w:val="24"/>
                <w:szCs w:val="24"/>
              </w:rPr>
            </w:pPr>
            <w:r>
              <w:rPr>
                <w:rFonts w:hint="eastAsia" w:ascii="宋体" w:hAnsi="宋体" w:cs="宋体"/>
                <w:sz w:val="24"/>
                <w:szCs w:val="24"/>
              </w:rPr>
              <w:t>质量标准</w:t>
            </w:r>
          </w:p>
        </w:tc>
        <w:tc>
          <w:tcPr>
            <w:tcW w:w="2612" w:type="dxa"/>
            <w:tcBorders>
              <w:top w:val="single" w:color="auto" w:sz="4" w:space="0"/>
              <w:left w:val="nil"/>
              <w:bottom w:val="single" w:color="auto" w:sz="4" w:space="0"/>
              <w:right w:val="single" w:color="auto" w:sz="4" w:space="0"/>
            </w:tcBorders>
            <w:vAlign w:val="center"/>
          </w:tcPr>
          <w:p w14:paraId="23942FC2">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6651D503">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469F3B75">
            <w:pPr>
              <w:jc w:val="center"/>
              <w:rPr>
                <w:rFonts w:ascii="宋体" w:hAnsi="宋体" w:cs="宋体"/>
                <w:sz w:val="24"/>
                <w:szCs w:val="24"/>
              </w:rPr>
            </w:pPr>
          </w:p>
        </w:tc>
      </w:tr>
      <w:tr w14:paraId="688B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AED491B">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460" w:type="dxa"/>
            <w:tcBorders>
              <w:top w:val="single" w:color="auto" w:sz="4" w:space="0"/>
              <w:left w:val="nil"/>
              <w:bottom w:val="single" w:color="auto" w:sz="4" w:space="0"/>
              <w:right w:val="single" w:color="auto" w:sz="4" w:space="0"/>
            </w:tcBorders>
            <w:vAlign w:val="center"/>
          </w:tcPr>
          <w:p w14:paraId="164D93EA">
            <w:pPr>
              <w:jc w:val="center"/>
              <w:rPr>
                <w:rFonts w:ascii="宋体" w:hAnsi="宋体" w:cs="宋体"/>
                <w:sz w:val="24"/>
                <w:szCs w:val="24"/>
              </w:rPr>
            </w:pPr>
            <w:r>
              <w:rPr>
                <w:rFonts w:hint="eastAsia" w:ascii="宋体" w:hAnsi="宋体" w:cs="宋体"/>
                <w:sz w:val="24"/>
                <w:szCs w:val="24"/>
              </w:rPr>
              <w:t>“投标人须知前附表”第3.3.1款</w:t>
            </w:r>
          </w:p>
        </w:tc>
        <w:tc>
          <w:tcPr>
            <w:tcW w:w="2316" w:type="dxa"/>
            <w:tcBorders>
              <w:top w:val="single" w:color="auto" w:sz="4" w:space="0"/>
              <w:left w:val="nil"/>
              <w:bottom w:val="single" w:color="auto" w:sz="4" w:space="0"/>
              <w:right w:val="single" w:color="auto" w:sz="4" w:space="0"/>
            </w:tcBorders>
            <w:vAlign w:val="center"/>
          </w:tcPr>
          <w:p w14:paraId="547D9587">
            <w:pPr>
              <w:jc w:val="center"/>
              <w:rPr>
                <w:rFonts w:ascii="宋体" w:hAnsi="宋体" w:cs="宋体"/>
                <w:sz w:val="24"/>
                <w:szCs w:val="24"/>
              </w:rPr>
            </w:pPr>
            <w:r>
              <w:rPr>
                <w:rFonts w:hint="eastAsia" w:ascii="宋体" w:hAnsi="宋体" w:cs="宋体"/>
                <w:sz w:val="24"/>
                <w:szCs w:val="24"/>
              </w:rPr>
              <w:t>投标有效期</w:t>
            </w:r>
          </w:p>
        </w:tc>
        <w:tc>
          <w:tcPr>
            <w:tcW w:w="2612" w:type="dxa"/>
            <w:tcBorders>
              <w:top w:val="single" w:color="auto" w:sz="4" w:space="0"/>
              <w:left w:val="nil"/>
              <w:bottom w:val="single" w:color="auto" w:sz="4" w:space="0"/>
              <w:right w:val="single" w:color="auto" w:sz="4" w:space="0"/>
            </w:tcBorders>
            <w:vAlign w:val="center"/>
          </w:tcPr>
          <w:p w14:paraId="6CA66E0A">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10F4D1B1">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216BA36A">
            <w:pPr>
              <w:jc w:val="center"/>
              <w:rPr>
                <w:rFonts w:ascii="宋体" w:hAnsi="宋体" w:cs="宋体"/>
                <w:sz w:val="24"/>
                <w:szCs w:val="24"/>
              </w:rPr>
            </w:pPr>
          </w:p>
        </w:tc>
      </w:tr>
      <w:tr w14:paraId="5CE9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CC46ACD">
            <w:pPr>
              <w:jc w:val="center"/>
              <w:rPr>
                <w:rFonts w:ascii="宋体" w:hAnsi="宋体" w:cs="宋体"/>
                <w:sz w:val="24"/>
                <w:szCs w:val="24"/>
              </w:rPr>
            </w:pPr>
            <w:r>
              <w:rPr>
                <w:rFonts w:hint="eastAsia" w:ascii="宋体" w:hAnsi="宋体" w:cs="宋体"/>
                <w:sz w:val="24"/>
                <w:szCs w:val="24"/>
              </w:rPr>
              <w:t>……</w:t>
            </w:r>
          </w:p>
        </w:tc>
        <w:tc>
          <w:tcPr>
            <w:tcW w:w="2460" w:type="dxa"/>
            <w:tcBorders>
              <w:top w:val="single" w:color="auto" w:sz="4" w:space="0"/>
              <w:left w:val="nil"/>
              <w:bottom w:val="single" w:color="auto" w:sz="4" w:space="0"/>
              <w:right w:val="single" w:color="auto" w:sz="4" w:space="0"/>
            </w:tcBorders>
            <w:vAlign w:val="center"/>
          </w:tcPr>
          <w:p w14:paraId="7F920F34">
            <w:pPr>
              <w:jc w:val="center"/>
              <w:rPr>
                <w:rFonts w:ascii="宋体" w:hAnsi="宋体" w:cs="宋体"/>
                <w:sz w:val="24"/>
                <w:szCs w:val="24"/>
              </w:rPr>
            </w:pPr>
          </w:p>
        </w:tc>
        <w:tc>
          <w:tcPr>
            <w:tcW w:w="2316" w:type="dxa"/>
            <w:tcBorders>
              <w:top w:val="single" w:color="auto" w:sz="4" w:space="0"/>
              <w:left w:val="nil"/>
              <w:bottom w:val="single" w:color="auto" w:sz="4" w:space="0"/>
              <w:right w:val="single" w:color="auto" w:sz="4" w:space="0"/>
            </w:tcBorders>
            <w:vAlign w:val="center"/>
          </w:tcPr>
          <w:p w14:paraId="59493F63">
            <w:pPr>
              <w:jc w:val="center"/>
              <w:rPr>
                <w:rFonts w:ascii="宋体" w:hAnsi="宋体" w:cs="宋体"/>
                <w:sz w:val="24"/>
                <w:szCs w:val="24"/>
              </w:rPr>
            </w:pPr>
            <w:r>
              <w:rPr>
                <w:rFonts w:hint="eastAsia" w:ascii="宋体" w:hAnsi="宋体" w:cs="宋体"/>
                <w:sz w:val="24"/>
                <w:szCs w:val="24"/>
              </w:rPr>
              <w:t>……</w:t>
            </w:r>
          </w:p>
        </w:tc>
        <w:tc>
          <w:tcPr>
            <w:tcW w:w="2612" w:type="dxa"/>
            <w:tcBorders>
              <w:top w:val="single" w:color="auto" w:sz="4" w:space="0"/>
              <w:left w:val="nil"/>
              <w:bottom w:val="single" w:color="auto" w:sz="4" w:space="0"/>
              <w:right w:val="single" w:color="auto" w:sz="4" w:space="0"/>
            </w:tcBorders>
            <w:vAlign w:val="center"/>
          </w:tcPr>
          <w:p w14:paraId="0F0E3634">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369FB565">
            <w:pPr>
              <w:jc w:val="center"/>
              <w:rPr>
                <w:rFonts w:ascii="宋体" w:hAnsi="宋体" w:cs="宋体"/>
                <w:sz w:val="24"/>
                <w:szCs w:val="24"/>
              </w:rPr>
            </w:pPr>
          </w:p>
        </w:tc>
        <w:tc>
          <w:tcPr>
            <w:tcW w:w="889" w:type="dxa"/>
            <w:tcBorders>
              <w:top w:val="single" w:color="auto" w:sz="4" w:space="0"/>
              <w:left w:val="nil"/>
              <w:bottom w:val="single" w:color="auto" w:sz="4" w:space="0"/>
              <w:right w:val="single" w:color="auto" w:sz="4" w:space="0"/>
            </w:tcBorders>
            <w:vAlign w:val="center"/>
          </w:tcPr>
          <w:p w14:paraId="27663F69">
            <w:pPr>
              <w:jc w:val="center"/>
              <w:rPr>
                <w:rFonts w:ascii="宋体" w:hAnsi="宋体" w:cs="宋体"/>
                <w:sz w:val="24"/>
                <w:szCs w:val="24"/>
              </w:rPr>
            </w:pPr>
          </w:p>
        </w:tc>
      </w:tr>
    </w:tbl>
    <w:p w14:paraId="20D5B42A">
      <w:pPr>
        <w:pStyle w:val="2"/>
        <w:rPr>
          <w:rFonts w:ascii="宋体" w:hAnsi="宋体" w:cs="宋体"/>
          <w:sz w:val="24"/>
        </w:rPr>
      </w:pPr>
    </w:p>
    <w:p w14:paraId="5FCE8D00">
      <w:pPr>
        <w:pStyle w:val="16"/>
        <w:ind w:left="0"/>
        <w:rPr>
          <w:rFonts w:ascii="宋体" w:hAnsi="宋体" w:cs="宋体"/>
          <w:sz w:val="24"/>
        </w:rPr>
      </w:pPr>
    </w:p>
    <w:p w14:paraId="1A4B14DD">
      <w:pPr>
        <w:pStyle w:val="2"/>
      </w:pPr>
    </w:p>
    <w:p w14:paraId="5B76840D">
      <w:pPr>
        <w:rPr>
          <w:rFonts w:ascii="宋体" w:hAnsi="宋体"/>
          <w:b/>
          <w:bCs/>
          <w:sz w:val="24"/>
          <w:szCs w:val="24"/>
        </w:rPr>
      </w:pPr>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0D2B4CD1">
      <w:pPr>
        <w:rPr>
          <w:rFonts w:ascii="宋体" w:hAnsi="宋体"/>
          <w:b/>
          <w:bCs/>
          <w:sz w:val="24"/>
          <w:szCs w:val="24"/>
        </w:rPr>
      </w:pPr>
      <w:r>
        <w:rPr>
          <w:rFonts w:hint="eastAsia" w:ascii="宋体" w:hAnsi="宋体"/>
          <w:b/>
          <w:bCs/>
          <w:sz w:val="24"/>
          <w:szCs w:val="24"/>
        </w:rPr>
        <w:t xml:space="preserve"> </w:t>
      </w:r>
    </w:p>
    <w:p w14:paraId="211E8292">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5AA4C966">
      <w:pPr>
        <w:rPr>
          <w:rFonts w:ascii="宋体" w:hAnsi="宋体"/>
          <w:b/>
          <w:bCs/>
          <w:sz w:val="24"/>
          <w:szCs w:val="24"/>
        </w:rPr>
      </w:pPr>
      <w:r>
        <w:rPr>
          <w:rFonts w:hint="eastAsia" w:ascii="宋体" w:hAnsi="宋体"/>
          <w:b/>
          <w:bCs/>
          <w:sz w:val="24"/>
          <w:szCs w:val="24"/>
        </w:rPr>
        <w:t xml:space="preserve"> </w:t>
      </w:r>
    </w:p>
    <w:p w14:paraId="1CC86F13">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12390864">
      <w:pPr>
        <w:rPr>
          <w:rFonts w:ascii="宋体" w:hAnsi="宋体" w:cs="宋体"/>
          <w:b/>
          <w:bCs/>
          <w:sz w:val="24"/>
          <w:szCs w:val="24"/>
        </w:rPr>
      </w:pPr>
      <w:r>
        <w:rPr>
          <w:rFonts w:hint="eastAsia" w:ascii="宋体" w:hAnsi="宋体" w:cs="宋体"/>
          <w:b/>
          <w:bCs/>
          <w:sz w:val="24"/>
          <w:szCs w:val="24"/>
        </w:rPr>
        <w:br w:type="page"/>
      </w:r>
    </w:p>
    <w:p w14:paraId="0B0358BD">
      <w:pPr>
        <w:spacing w:before="158" w:beforeLines="50" w:line="360" w:lineRule="auto"/>
        <w:ind w:firstLine="241" w:firstLineChars="100"/>
        <w:rPr>
          <w:rFonts w:ascii="宋体" w:hAnsi="宋体"/>
          <w:b/>
          <w:bCs/>
          <w:color w:val="000000"/>
          <w:sz w:val="24"/>
          <w:szCs w:val="24"/>
        </w:rPr>
      </w:pPr>
      <w:r>
        <w:rPr>
          <w:rFonts w:hint="eastAsia" w:ascii="宋体" w:hAnsi="宋体"/>
          <w:b/>
          <w:bCs/>
          <w:color w:val="000000"/>
          <w:sz w:val="24"/>
          <w:szCs w:val="24"/>
          <w:lang w:eastAsia="zh-CN"/>
        </w:rPr>
        <w:t>（</w:t>
      </w:r>
      <w:r>
        <w:rPr>
          <w:rFonts w:hint="eastAsia" w:ascii="宋体" w:hAnsi="宋体"/>
          <w:b/>
          <w:bCs/>
          <w:color w:val="000000"/>
          <w:sz w:val="24"/>
          <w:szCs w:val="24"/>
        </w:rPr>
        <w:t>二</w:t>
      </w:r>
      <w:r>
        <w:rPr>
          <w:rFonts w:hint="eastAsia" w:ascii="宋体" w:hAnsi="宋体"/>
          <w:b/>
          <w:bCs/>
          <w:color w:val="000000"/>
          <w:sz w:val="24"/>
          <w:szCs w:val="24"/>
          <w:lang w:eastAsia="zh-CN"/>
        </w:rPr>
        <w:t>）</w:t>
      </w:r>
      <w:r>
        <w:rPr>
          <w:rFonts w:hint="eastAsia" w:ascii="宋体" w:hAnsi="宋体"/>
          <w:b/>
          <w:bCs/>
          <w:color w:val="000000"/>
          <w:sz w:val="24"/>
          <w:szCs w:val="24"/>
        </w:rPr>
        <w:t>技术规范偏离表</w:t>
      </w:r>
    </w:p>
    <w:tbl>
      <w:tblPr>
        <w:tblStyle w:val="3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772"/>
        <w:gridCol w:w="2966"/>
        <w:gridCol w:w="2190"/>
        <w:gridCol w:w="956"/>
        <w:gridCol w:w="1101"/>
      </w:tblGrid>
      <w:tr w14:paraId="584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3" w:type="dxa"/>
            <w:vAlign w:val="center"/>
          </w:tcPr>
          <w:p w14:paraId="3CB83901">
            <w:pPr>
              <w:spacing w:line="400" w:lineRule="exact"/>
              <w:jc w:val="center"/>
              <w:rPr>
                <w:rFonts w:ascii="宋体" w:hAnsi="宋体" w:cs="宋体"/>
                <w:b/>
                <w:sz w:val="24"/>
                <w:szCs w:val="24"/>
              </w:rPr>
            </w:pPr>
            <w:r>
              <w:rPr>
                <w:rFonts w:hint="eastAsia" w:ascii="宋体" w:hAnsi="宋体" w:cs="宋体"/>
                <w:b/>
                <w:sz w:val="24"/>
                <w:szCs w:val="24"/>
              </w:rPr>
              <w:t>序号</w:t>
            </w:r>
          </w:p>
        </w:tc>
        <w:tc>
          <w:tcPr>
            <w:tcW w:w="1772" w:type="dxa"/>
            <w:vAlign w:val="center"/>
          </w:tcPr>
          <w:p w14:paraId="52A68C23">
            <w:pPr>
              <w:spacing w:line="400" w:lineRule="exact"/>
              <w:jc w:val="center"/>
              <w:rPr>
                <w:rFonts w:ascii="宋体" w:hAnsi="宋体" w:cs="宋体"/>
                <w:b/>
                <w:sz w:val="24"/>
                <w:szCs w:val="24"/>
              </w:rPr>
            </w:pPr>
            <w:r>
              <w:rPr>
                <w:rFonts w:hint="eastAsia" w:ascii="宋体" w:hAnsi="宋体" w:cs="宋体"/>
                <w:b/>
                <w:sz w:val="24"/>
                <w:szCs w:val="24"/>
              </w:rPr>
              <w:t>分项名称</w:t>
            </w:r>
          </w:p>
        </w:tc>
        <w:tc>
          <w:tcPr>
            <w:tcW w:w="2966" w:type="dxa"/>
            <w:vAlign w:val="center"/>
          </w:tcPr>
          <w:p w14:paraId="64E861D9">
            <w:pPr>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rPr>
              <w:t>招标文件</w:t>
            </w:r>
            <w:r>
              <w:rPr>
                <w:rFonts w:hint="eastAsia" w:ascii="宋体" w:hAnsi="宋体" w:cs="宋体"/>
                <w:b/>
                <w:sz w:val="24"/>
                <w:szCs w:val="24"/>
                <w:lang w:val="en-US" w:eastAsia="zh-CN"/>
              </w:rPr>
              <w:t>要求的技术规范</w:t>
            </w:r>
          </w:p>
        </w:tc>
        <w:tc>
          <w:tcPr>
            <w:tcW w:w="2190" w:type="dxa"/>
            <w:vAlign w:val="center"/>
          </w:tcPr>
          <w:p w14:paraId="3E7EFD7F">
            <w:pPr>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rPr>
              <w:t>投标文件</w:t>
            </w:r>
            <w:r>
              <w:rPr>
                <w:rFonts w:hint="eastAsia" w:ascii="宋体" w:hAnsi="宋体" w:cs="宋体"/>
                <w:b/>
                <w:sz w:val="24"/>
                <w:szCs w:val="24"/>
                <w:lang w:val="en-US" w:eastAsia="zh-CN"/>
              </w:rPr>
              <w:t>响应的技术规范</w:t>
            </w:r>
          </w:p>
        </w:tc>
        <w:tc>
          <w:tcPr>
            <w:tcW w:w="956" w:type="dxa"/>
            <w:vAlign w:val="center"/>
          </w:tcPr>
          <w:p w14:paraId="0A8D3FA2">
            <w:pPr>
              <w:spacing w:line="400" w:lineRule="exact"/>
              <w:jc w:val="center"/>
              <w:rPr>
                <w:rFonts w:ascii="宋体" w:hAnsi="宋体" w:cs="宋体"/>
                <w:b/>
                <w:sz w:val="24"/>
                <w:szCs w:val="24"/>
              </w:rPr>
            </w:pPr>
            <w:r>
              <w:rPr>
                <w:rFonts w:hint="eastAsia" w:ascii="宋体" w:hAnsi="宋体" w:cs="宋体"/>
                <w:b/>
                <w:sz w:val="24"/>
                <w:szCs w:val="24"/>
              </w:rPr>
              <w:t>偏离情况</w:t>
            </w:r>
          </w:p>
        </w:tc>
        <w:tc>
          <w:tcPr>
            <w:tcW w:w="1101" w:type="dxa"/>
            <w:vAlign w:val="center"/>
          </w:tcPr>
          <w:p w14:paraId="26781DEF">
            <w:pPr>
              <w:spacing w:line="400" w:lineRule="exact"/>
              <w:jc w:val="center"/>
              <w:rPr>
                <w:rFonts w:ascii="宋体" w:hAnsi="宋体" w:cs="宋体"/>
                <w:b/>
                <w:sz w:val="24"/>
                <w:szCs w:val="24"/>
              </w:rPr>
            </w:pPr>
            <w:r>
              <w:rPr>
                <w:rFonts w:hint="eastAsia" w:ascii="宋体" w:hAnsi="宋体" w:cs="宋体"/>
                <w:b/>
                <w:sz w:val="24"/>
                <w:szCs w:val="24"/>
              </w:rPr>
              <w:t>说明</w:t>
            </w:r>
          </w:p>
        </w:tc>
      </w:tr>
      <w:tr w14:paraId="1FD3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63" w:type="dxa"/>
            <w:vAlign w:val="center"/>
          </w:tcPr>
          <w:p w14:paraId="4DE538BB">
            <w:pPr>
              <w:spacing w:line="480" w:lineRule="exact"/>
              <w:jc w:val="center"/>
              <w:rPr>
                <w:rFonts w:ascii="宋体" w:hAnsi="宋体" w:cs="宋体"/>
                <w:sz w:val="24"/>
                <w:szCs w:val="24"/>
              </w:rPr>
            </w:pPr>
          </w:p>
        </w:tc>
        <w:tc>
          <w:tcPr>
            <w:tcW w:w="1772" w:type="dxa"/>
          </w:tcPr>
          <w:p w14:paraId="5745FCD8">
            <w:pPr>
              <w:spacing w:line="480" w:lineRule="exact"/>
              <w:rPr>
                <w:rFonts w:ascii="宋体" w:hAnsi="宋体" w:cs="宋体"/>
                <w:sz w:val="24"/>
                <w:szCs w:val="24"/>
              </w:rPr>
            </w:pPr>
          </w:p>
        </w:tc>
        <w:tc>
          <w:tcPr>
            <w:tcW w:w="2966" w:type="dxa"/>
          </w:tcPr>
          <w:p w14:paraId="60A03581">
            <w:pPr>
              <w:spacing w:line="480" w:lineRule="exact"/>
              <w:rPr>
                <w:rFonts w:ascii="宋体" w:hAnsi="宋体" w:cs="宋体"/>
                <w:sz w:val="24"/>
                <w:szCs w:val="24"/>
              </w:rPr>
            </w:pPr>
          </w:p>
        </w:tc>
        <w:tc>
          <w:tcPr>
            <w:tcW w:w="2190" w:type="dxa"/>
          </w:tcPr>
          <w:p w14:paraId="2748C9A8">
            <w:pPr>
              <w:spacing w:line="480" w:lineRule="exact"/>
              <w:rPr>
                <w:rFonts w:ascii="宋体" w:hAnsi="宋体" w:cs="宋体"/>
                <w:sz w:val="24"/>
                <w:szCs w:val="24"/>
              </w:rPr>
            </w:pPr>
          </w:p>
        </w:tc>
        <w:tc>
          <w:tcPr>
            <w:tcW w:w="956" w:type="dxa"/>
          </w:tcPr>
          <w:p w14:paraId="776B0561">
            <w:pPr>
              <w:spacing w:line="480" w:lineRule="exact"/>
              <w:rPr>
                <w:rFonts w:ascii="宋体" w:hAnsi="宋体" w:cs="宋体"/>
                <w:sz w:val="24"/>
                <w:szCs w:val="24"/>
              </w:rPr>
            </w:pPr>
          </w:p>
        </w:tc>
        <w:tc>
          <w:tcPr>
            <w:tcW w:w="1101" w:type="dxa"/>
          </w:tcPr>
          <w:p w14:paraId="03899391">
            <w:pPr>
              <w:spacing w:line="480" w:lineRule="exact"/>
              <w:rPr>
                <w:rFonts w:ascii="宋体" w:hAnsi="宋体" w:cs="宋体"/>
                <w:sz w:val="24"/>
                <w:szCs w:val="24"/>
              </w:rPr>
            </w:pPr>
          </w:p>
        </w:tc>
      </w:tr>
      <w:tr w14:paraId="0545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63" w:type="dxa"/>
            <w:vAlign w:val="center"/>
          </w:tcPr>
          <w:p w14:paraId="3A73D226">
            <w:pPr>
              <w:spacing w:line="480" w:lineRule="exact"/>
              <w:jc w:val="center"/>
              <w:rPr>
                <w:rFonts w:ascii="宋体" w:hAnsi="宋体" w:cs="宋体"/>
                <w:sz w:val="24"/>
                <w:szCs w:val="24"/>
              </w:rPr>
            </w:pPr>
          </w:p>
        </w:tc>
        <w:tc>
          <w:tcPr>
            <w:tcW w:w="1772" w:type="dxa"/>
          </w:tcPr>
          <w:p w14:paraId="32E4DD0B">
            <w:pPr>
              <w:spacing w:line="480" w:lineRule="exact"/>
              <w:rPr>
                <w:rFonts w:ascii="宋体" w:hAnsi="宋体" w:cs="宋体"/>
                <w:sz w:val="24"/>
                <w:szCs w:val="24"/>
              </w:rPr>
            </w:pPr>
          </w:p>
        </w:tc>
        <w:tc>
          <w:tcPr>
            <w:tcW w:w="2966" w:type="dxa"/>
          </w:tcPr>
          <w:p w14:paraId="125CC0E2">
            <w:pPr>
              <w:spacing w:line="480" w:lineRule="exact"/>
              <w:rPr>
                <w:rFonts w:ascii="宋体" w:hAnsi="宋体" w:cs="宋体"/>
                <w:sz w:val="24"/>
                <w:szCs w:val="24"/>
              </w:rPr>
            </w:pPr>
          </w:p>
        </w:tc>
        <w:tc>
          <w:tcPr>
            <w:tcW w:w="2190" w:type="dxa"/>
          </w:tcPr>
          <w:p w14:paraId="48834A0D">
            <w:pPr>
              <w:spacing w:line="480" w:lineRule="exact"/>
              <w:rPr>
                <w:rFonts w:ascii="宋体" w:hAnsi="宋体" w:cs="宋体"/>
                <w:sz w:val="24"/>
                <w:szCs w:val="24"/>
              </w:rPr>
            </w:pPr>
          </w:p>
        </w:tc>
        <w:tc>
          <w:tcPr>
            <w:tcW w:w="956" w:type="dxa"/>
          </w:tcPr>
          <w:p w14:paraId="492139FA">
            <w:pPr>
              <w:spacing w:line="480" w:lineRule="exact"/>
              <w:rPr>
                <w:rFonts w:ascii="宋体" w:hAnsi="宋体" w:cs="宋体"/>
                <w:sz w:val="24"/>
                <w:szCs w:val="24"/>
              </w:rPr>
            </w:pPr>
          </w:p>
        </w:tc>
        <w:tc>
          <w:tcPr>
            <w:tcW w:w="1101" w:type="dxa"/>
          </w:tcPr>
          <w:p w14:paraId="04DA9994">
            <w:pPr>
              <w:spacing w:line="480" w:lineRule="exact"/>
              <w:rPr>
                <w:rFonts w:ascii="宋体" w:hAnsi="宋体" w:cs="宋体"/>
                <w:sz w:val="24"/>
                <w:szCs w:val="24"/>
              </w:rPr>
            </w:pPr>
          </w:p>
        </w:tc>
      </w:tr>
      <w:tr w14:paraId="6FE4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3" w:type="dxa"/>
            <w:vAlign w:val="center"/>
          </w:tcPr>
          <w:p w14:paraId="434726A8">
            <w:pPr>
              <w:spacing w:line="480" w:lineRule="exact"/>
              <w:jc w:val="center"/>
              <w:rPr>
                <w:rFonts w:ascii="宋体" w:hAnsi="宋体" w:cs="宋体"/>
                <w:sz w:val="24"/>
                <w:szCs w:val="24"/>
              </w:rPr>
            </w:pPr>
          </w:p>
        </w:tc>
        <w:tc>
          <w:tcPr>
            <w:tcW w:w="1772" w:type="dxa"/>
          </w:tcPr>
          <w:p w14:paraId="12606769">
            <w:pPr>
              <w:spacing w:line="480" w:lineRule="exact"/>
              <w:rPr>
                <w:rFonts w:ascii="宋体" w:hAnsi="宋体" w:cs="宋体"/>
                <w:sz w:val="24"/>
                <w:szCs w:val="24"/>
              </w:rPr>
            </w:pPr>
          </w:p>
        </w:tc>
        <w:tc>
          <w:tcPr>
            <w:tcW w:w="2966" w:type="dxa"/>
          </w:tcPr>
          <w:p w14:paraId="6277EBD0">
            <w:pPr>
              <w:spacing w:line="480" w:lineRule="exact"/>
              <w:rPr>
                <w:rFonts w:ascii="宋体" w:hAnsi="宋体" w:cs="宋体"/>
                <w:sz w:val="24"/>
                <w:szCs w:val="24"/>
              </w:rPr>
            </w:pPr>
          </w:p>
        </w:tc>
        <w:tc>
          <w:tcPr>
            <w:tcW w:w="2190" w:type="dxa"/>
          </w:tcPr>
          <w:p w14:paraId="0F5613AC">
            <w:pPr>
              <w:spacing w:line="480" w:lineRule="exact"/>
              <w:rPr>
                <w:rFonts w:ascii="宋体" w:hAnsi="宋体" w:cs="宋体"/>
                <w:sz w:val="24"/>
                <w:szCs w:val="24"/>
              </w:rPr>
            </w:pPr>
          </w:p>
        </w:tc>
        <w:tc>
          <w:tcPr>
            <w:tcW w:w="956" w:type="dxa"/>
          </w:tcPr>
          <w:p w14:paraId="6A64B359">
            <w:pPr>
              <w:spacing w:line="480" w:lineRule="exact"/>
              <w:rPr>
                <w:rFonts w:ascii="宋体" w:hAnsi="宋体" w:cs="宋体"/>
                <w:sz w:val="24"/>
                <w:szCs w:val="24"/>
              </w:rPr>
            </w:pPr>
          </w:p>
        </w:tc>
        <w:tc>
          <w:tcPr>
            <w:tcW w:w="1101" w:type="dxa"/>
          </w:tcPr>
          <w:p w14:paraId="7B7199F4">
            <w:pPr>
              <w:spacing w:line="480" w:lineRule="exact"/>
              <w:rPr>
                <w:rFonts w:ascii="宋体" w:hAnsi="宋体" w:cs="宋体"/>
                <w:sz w:val="24"/>
                <w:szCs w:val="24"/>
              </w:rPr>
            </w:pPr>
          </w:p>
        </w:tc>
      </w:tr>
      <w:tr w14:paraId="643A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63" w:type="dxa"/>
            <w:vAlign w:val="center"/>
          </w:tcPr>
          <w:p w14:paraId="5D8D472D">
            <w:pPr>
              <w:spacing w:line="480" w:lineRule="exact"/>
              <w:jc w:val="center"/>
              <w:rPr>
                <w:rFonts w:ascii="宋体" w:hAnsi="宋体" w:cs="宋体"/>
                <w:sz w:val="24"/>
                <w:szCs w:val="24"/>
              </w:rPr>
            </w:pPr>
          </w:p>
        </w:tc>
        <w:tc>
          <w:tcPr>
            <w:tcW w:w="1772" w:type="dxa"/>
          </w:tcPr>
          <w:p w14:paraId="080FB674">
            <w:pPr>
              <w:spacing w:line="480" w:lineRule="exact"/>
              <w:rPr>
                <w:rFonts w:ascii="宋体" w:hAnsi="宋体" w:cs="宋体"/>
                <w:sz w:val="24"/>
                <w:szCs w:val="24"/>
              </w:rPr>
            </w:pPr>
          </w:p>
        </w:tc>
        <w:tc>
          <w:tcPr>
            <w:tcW w:w="2966" w:type="dxa"/>
          </w:tcPr>
          <w:p w14:paraId="75B7C5D0">
            <w:pPr>
              <w:spacing w:line="480" w:lineRule="exact"/>
              <w:rPr>
                <w:rFonts w:ascii="宋体" w:hAnsi="宋体" w:cs="宋体"/>
                <w:sz w:val="24"/>
                <w:szCs w:val="24"/>
              </w:rPr>
            </w:pPr>
          </w:p>
        </w:tc>
        <w:tc>
          <w:tcPr>
            <w:tcW w:w="2190" w:type="dxa"/>
          </w:tcPr>
          <w:p w14:paraId="193F9A74">
            <w:pPr>
              <w:spacing w:line="480" w:lineRule="exact"/>
              <w:rPr>
                <w:rFonts w:ascii="宋体" w:hAnsi="宋体" w:cs="宋体"/>
                <w:sz w:val="24"/>
                <w:szCs w:val="24"/>
              </w:rPr>
            </w:pPr>
          </w:p>
        </w:tc>
        <w:tc>
          <w:tcPr>
            <w:tcW w:w="956" w:type="dxa"/>
          </w:tcPr>
          <w:p w14:paraId="207605D9">
            <w:pPr>
              <w:spacing w:line="480" w:lineRule="exact"/>
              <w:rPr>
                <w:rFonts w:ascii="宋体" w:hAnsi="宋体" w:cs="宋体"/>
                <w:sz w:val="24"/>
                <w:szCs w:val="24"/>
              </w:rPr>
            </w:pPr>
          </w:p>
        </w:tc>
        <w:tc>
          <w:tcPr>
            <w:tcW w:w="1101" w:type="dxa"/>
          </w:tcPr>
          <w:p w14:paraId="6BC5FD8B">
            <w:pPr>
              <w:spacing w:line="480" w:lineRule="exact"/>
              <w:rPr>
                <w:rFonts w:ascii="宋体" w:hAnsi="宋体" w:cs="宋体"/>
                <w:sz w:val="24"/>
                <w:szCs w:val="24"/>
              </w:rPr>
            </w:pPr>
          </w:p>
        </w:tc>
      </w:tr>
      <w:tr w14:paraId="261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3" w:type="dxa"/>
            <w:vAlign w:val="center"/>
          </w:tcPr>
          <w:p w14:paraId="71891657">
            <w:pPr>
              <w:spacing w:line="480" w:lineRule="exact"/>
              <w:jc w:val="center"/>
              <w:rPr>
                <w:rFonts w:ascii="宋体" w:hAnsi="宋体" w:cs="宋体"/>
                <w:sz w:val="24"/>
                <w:szCs w:val="24"/>
              </w:rPr>
            </w:pPr>
          </w:p>
        </w:tc>
        <w:tc>
          <w:tcPr>
            <w:tcW w:w="1772" w:type="dxa"/>
          </w:tcPr>
          <w:p w14:paraId="4EFFC90B">
            <w:pPr>
              <w:spacing w:line="480" w:lineRule="exact"/>
              <w:rPr>
                <w:rFonts w:ascii="宋体" w:hAnsi="宋体" w:cs="宋体"/>
                <w:sz w:val="24"/>
                <w:szCs w:val="24"/>
              </w:rPr>
            </w:pPr>
          </w:p>
        </w:tc>
        <w:tc>
          <w:tcPr>
            <w:tcW w:w="2966" w:type="dxa"/>
          </w:tcPr>
          <w:p w14:paraId="306F25B6">
            <w:pPr>
              <w:spacing w:line="480" w:lineRule="exact"/>
              <w:rPr>
                <w:rFonts w:ascii="宋体" w:hAnsi="宋体" w:cs="宋体"/>
                <w:sz w:val="24"/>
                <w:szCs w:val="24"/>
              </w:rPr>
            </w:pPr>
          </w:p>
        </w:tc>
        <w:tc>
          <w:tcPr>
            <w:tcW w:w="2190" w:type="dxa"/>
          </w:tcPr>
          <w:p w14:paraId="21DAA3A0">
            <w:pPr>
              <w:spacing w:line="480" w:lineRule="exact"/>
              <w:rPr>
                <w:rFonts w:ascii="宋体" w:hAnsi="宋体" w:cs="宋体"/>
                <w:sz w:val="24"/>
                <w:szCs w:val="24"/>
              </w:rPr>
            </w:pPr>
          </w:p>
        </w:tc>
        <w:tc>
          <w:tcPr>
            <w:tcW w:w="956" w:type="dxa"/>
          </w:tcPr>
          <w:p w14:paraId="50D46760">
            <w:pPr>
              <w:spacing w:line="480" w:lineRule="exact"/>
              <w:rPr>
                <w:rFonts w:ascii="宋体" w:hAnsi="宋体" w:cs="宋体"/>
                <w:sz w:val="24"/>
                <w:szCs w:val="24"/>
              </w:rPr>
            </w:pPr>
          </w:p>
        </w:tc>
        <w:tc>
          <w:tcPr>
            <w:tcW w:w="1101" w:type="dxa"/>
          </w:tcPr>
          <w:p w14:paraId="4CBB2EAC">
            <w:pPr>
              <w:spacing w:line="480" w:lineRule="exact"/>
              <w:rPr>
                <w:rFonts w:ascii="宋体" w:hAnsi="宋体" w:cs="宋体"/>
                <w:sz w:val="24"/>
                <w:szCs w:val="24"/>
              </w:rPr>
            </w:pPr>
          </w:p>
        </w:tc>
      </w:tr>
    </w:tbl>
    <w:p w14:paraId="066740DB">
      <w:pPr>
        <w:autoSpaceDE w:val="0"/>
        <w:spacing w:line="360" w:lineRule="auto"/>
        <w:rPr>
          <w:rFonts w:ascii="宋体" w:hAnsi="宋体"/>
          <w:sz w:val="24"/>
          <w:szCs w:val="24"/>
        </w:rPr>
      </w:pPr>
      <w:r>
        <w:rPr>
          <w:rFonts w:hint="eastAsia" w:ascii="宋体" w:hAnsi="宋体"/>
          <w:sz w:val="24"/>
          <w:szCs w:val="24"/>
        </w:rPr>
        <w:t>注：表格中“偏离情况”一列，投标人只能如实填写“正偏离</w:t>
      </w:r>
      <w:r>
        <w:rPr>
          <w:rFonts w:hint="eastAsia" w:ascii="宋体" w:hAnsi="宋体"/>
          <w:sz w:val="24"/>
          <w:szCs w:val="24"/>
          <w:lang w:eastAsia="zh-CN"/>
        </w:rPr>
        <w:t>”“</w:t>
      </w:r>
      <w:r>
        <w:rPr>
          <w:rFonts w:hint="eastAsia" w:ascii="宋体" w:hAnsi="宋体"/>
          <w:sz w:val="24"/>
          <w:szCs w:val="24"/>
        </w:rPr>
        <w:t>负偏离”或“无偏离”。凡投标内容高于招标文件要求的，按“正偏离”填写；低于招标文件要求的，按“负偏离”填写；满足招标文件要求的，按“无偏离”填写。表格中“说明”部分，若有偏离，则填写偏离指标。若无偏离，则不填写内容。投标人须如实填写，如发现提供不实情况的，造成的一切后果由投标人承担。</w:t>
      </w:r>
    </w:p>
    <w:p w14:paraId="5C9FA8CB"/>
    <w:p w14:paraId="25D01A28">
      <w:pPr>
        <w:pStyle w:val="15"/>
        <w:ind w:firstLine="0" w:firstLineChars="0"/>
      </w:pPr>
    </w:p>
    <w:p w14:paraId="0BF7A11A">
      <w:pPr>
        <w:pStyle w:val="15"/>
        <w:ind w:firstLine="0" w:firstLineChars="0"/>
      </w:pPr>
    </w:p>
    <w:p w14:paraId="090E108E">
      <w:pPr>
        <w:rPr>
          <w:rFonts w:ascii="宋体" w:hAnsi="宋体"/>
          <w:b/>
          <w:bCs/>
          <w:sz w:val="24"/>
          <w:szCs w:val="24"/>
        </w:rPr>
      </w:pPr>
      <w:bookmarkStart w:id="237" w:name="_Toc14236"/>
      <w:bookmarkEnd w:id="237"/>
      <w:bookmarkStart w:id="238" w:name="_Toc29437"/>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48056DEA">
      <w:pPr>
        <w:rPr>
          <w:rFonts w:ascii="宋体" w:hAnsi="宋体"/>
          <w:b/>
          <w:bCs/>
          <w:sz w:val="24"/>
          <w:szCs w:val="24"/>
        </w:rPr>
      </w:pPr>
      <w:r>
        <w:rPr>
          <w:rFonts w:hint="eastAsia" w:ascii="宋体" w:hAnsi="宋体"/>
          <w:b/>
          <w:bCs/>
          <w:sz w:val="24"/>
          <w:szCs w:val="24"/>
        </w:rPr>
        <w:t xml:space="preserve"> </w:t>
      </w:r>
    </w:p>
    <w:p w14:paraId="05BF3395">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78713B63">
      <w:pPr>
        <w:rPr>
          <w:rFonts w:ascii="宋体" w:hAnsi="宋体"/>
          <w:b/>
          <w:bCs/>
          <w:sz w:val="24"/>
          <w:szCs w:val="24"/>
        </w:rPr>
      </w:pPr>
      <w:r>
        <w:rPr>
          <w:rFonts w:hint="eastAsia" w:ascii="宋体" w:hAnsi="宋体"/>
          <w:b/>
          <w:bCs/>
          <w:sz w:val="24"/>
          <w:szCs w:val="24"/>
        </w:rPr>
        <w:t xml:space="preserve"> </w:t>
      </w:r>
    </w:p>
    <w:p w14:paraId="3B52079E">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602F0BE">
      <w:pPr>
        <w:rPr>
          <w:rFonts w:ascii="宋体" w:hAnsi="宋体" w:cs="宋体"/>
          <w:sz w:val="24"/>
          <w:szCs w:val="24"/>
        </w:rPr>
      </w:pPr>
    </w:p>
    <w:bookmarkEnd w:id="238"/>
    <w:p w14:paraId="2E552526">
      <w:pPr>
        <w:pStyle w:val="5"/>
        <w:widowControl/>
        <w:autoSpaceDE w:val="0"/>
        <w:spacing w:before="0" w:after="0" w:line="240" w:lineRule="auto"/>
        <w:rPr>
          <w:rFonts w:ascii="宋体" w:hAnsi="宋体" w:cs="宋体"/>
        </w:rPr>
      </w:pPr>
      <w:r>
        <w:rPr>
          <w:rFonts w:hint="eastAsia" w:ascii="宋体" w:hAnsi="宋体" w:cs="宋体"/>
          <w:sz w:val="24"/>
          <w:szCs w:val="24"/>
        </w:rPr>
        <w:br w:type="page"/>
      </w:r>
      <w:bookmarkStart w:id="239" w:name="_Toc22370"/>
      <w:bookmarkStart w:id="240" w:name="_Toc3856"/>
      <w:r>
        <w:rPr>
          <w:rFonts w:hint="eastAsia" w:ascii="宋体" w:hAnsi="宋体" w:cs="宋体"/>
          <w:szCs w:val="28"/>
          <w:lang w:val="en-US" w:eastAsia="zh-CN"/>
        </w:rPr>
        <w:t>六</w:t>
      </w:r>
      <w:r>
        <w:rPr>
          <w:rFonts w:hint="eastAsia" w:ascii="宋体" w:hAnsi="宋体" w:cs="宋体"/>
          <w:szCs w:val="28"/>
        </w:rPr>
        <w:t>、</w:t>
      </w:r>
      <w:bookmarkEnd w:id="239"/>
      <w:r>
        <w:rPr>
          <w:rFonts w:hint="eastAsia" w:ascii="宋体" w:hAnsi="宋体" w:cs="宋体"/>
          <w:szCs w:val="28"/>
        </w:rPr>
        <w:t>货物的质量及售后服务承诺</w:t>
      </w:r>
      <w:bookmarkEnd w:id="240"/>
    </w:p>
    <w:p w14:paraId="2C0458AB">
      <w:pPr>
        <w:pStyle w:val="18"/>
        <w:spacing w:line="240" w:lineRule="atLeast"/>
        <w:jc w:val="center"/>
        <w:rPr>
          <w:rFonts w:hAnsi="宋体" w:cs="宋体"/>
          <w:sz w:val="24"/>
          <w:szCs w:val="24"/>
        </w:rPr>
      </w:pPr>
      <w:r>
        <w:rPr>
          <w:rFonts w:hint="eastAsia" w:hAnsi="宋体" w:cs="宋体"/>
          <w:sz w:val="24"/>
          <w:szCs w:val="24"/>
        </w:rPr>
        <w:t>（根据项目实际情况格式自拟）</w:t>
      </w:r>
    </w:p>
    <w:p w14:paraId="39D8FD9C">
      <w:r>
        <w:br w:type="page"/>
      </w:r>
    </w:p>
    <w:p w14:paraId="011A6588">
      <w:pPr>
        <w:pStyle w:val="5"/>
        <w:widowControl/>
        <w:autoSpaceDE w:val="0"/>
        <w:spacing w:before="0" w:after="0" w:line="600" w:lineRule="exact"/>
        <w:rPr>
          <w:rFonts w:ascii="宋体" w:hAnsi="宋体" w:cs="宋体"/>
          <w:szCs w:val="28"/>
        </w:rPr>
      </w:pPr>
      <w:bookmarkStart w:id="241" w:name="_Toc15277"/>
      <w:bookmarkEnd w:id="241"/>
      <w:bookmarkStart w:id="242" w:name="_Toc10610"/>
      <w:bookmarkEnd w:id="242"/>
      <w:bookmarkStart w:id="243" w:name="_Toc27367"/>
      <w:bookmarkStart w:id="244" w:name="_Toc5488"/>
      <w:r>
        <w:rPr>
          <w:rFonts w:hint="eastAsia" w:ascii="宋体" w:hAnsi="宋体" w:cs="宋体"/>
          <w:szCs w:val="28"/>
          <w:lang w:val="en-US" w:eastAsia="zh-CN"/>
        </w:rPr>
        <w:t>七</w:t>
      </w:r>
      <w:r>
        <w:rPr>
          <w:rFonts w:hint="eastAsia" w:ascii="宋体" w:hAnsi="宋体" w:cs="宋体"/>
          <w:szCs w:val="28"/>
        </w:rPr>
        <w:t>、承诺书（投标人）</w:t>
      </w:r>
      <w:bookmarkEnd w:id="243"/>
    </w:p>
    <w:p w14:paraId="53E3415D">
      <w:pPr>
        <w:tabs>
          <w:tab w:val="left" w:pos="5580"/>
        </w:tabs>
        <w:spacing w:before="120" w:line="360" w:lineRule="auto"/>
        <w:jc w:val="center"/>
        <w:rPr>
          <w:rFonts w:hint="eastAsia" w:ascii="宋体" w:hAnsi="宋体" w:cs="宋体"/>
          <w:sz w:val="24"/>
        </w:rPr>
      </w:pPr>
    </w:p>
    <w:p w14:paraId="31C04616">
      <w:pPr>
        <w:tabs>
          <w:tab w:val="left" w:pos="5580"/>
        </w:tabs>
        <w:spacing w:before="120"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p>
    <w:p w14:paraId="307D0879">
      <w:pPr>
        <w:pStyle w:val="10"/>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cs="宋体"/>
          <w:sz w:val="24"/>
          <w:szCs w:val="24"/>
        </w:rPr>
      </w:pPr>
    </w:p>
    <w:p w14:paraId="06D1778B">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本企业参与</w:t>
      </w:r>
      <w:r>
        <w:rPr>
          <w:rFonts w:hint="eastAsia" w:ascii="宋体" w:hAnsi="宋体" w:cs="宋体"/>
          <w:sz w:val="24"/>
          <w:szCs w:val="24"/>
          <w:u w:val="single"/>
        </w:rPr>
        <w:t xml:space="preserve">                       </w:t>
      </w:r>
      <w:r>
        <w:rPr>
          <w:rFonts w:hint="eastAsia" w:ascii="宋体" w:hAnsi="宋体" w:cs="宋体"/>
          <w:sz w:val="24"/>
          <w:szCs w:val="24"/>
        </w:rPr>
        <w:t>（项目名称）项目的投标人，现</w:t>
      </w:r>
      <w:r>
        <w:rPr>
          <w:rFonts w:hint="eastAsia" w:hAnsi="宋体" w:cs="宋体"/>
          <w:sz w:val="24"/>
          <w:szCs w:val="24"/>
          <w:lang w:eastAsia="zh-CN"/>
        </w:rPr>
        <w:t>作</w:t>
      </w:r>
      <w:r>
        <w:rPr>
          <w:rFonts w:hint="eastAsia" w:ascii="宋体" w:hAnsi="宋体" w:cs="宋体"/>
          <w:sz w:val="24"/>
          <w:szCs w:val="24"/>
        </w:rPr>
        <w:t>如下承诺：</w:t>
      </w:r>
    </w:p>
    <w:p w14:paraId="0A9B3BE5">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1、所提供的一切材料都是真实、有效、合法的。</w:t>
      </w:r>
    </w:p>
    <w:p w14:paraId="20CE017B">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2、不与其他投标人串通投标，不损害采购人或其他投标人的合法权益。</w:t>
      </w:r>
    </w:p>
    <w:p w14:paraId="40DB4DCF">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3、不转让、出租、出借资质证书、人员岗位证书或以其他方式允许他人以本单位名义投标。</w:t>
      </w:r>
    </w:p>
    <w:p w14:paraId="536665E0">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4、不与采购人或采购代理机构串通投标，损害国家利益、社会公共利益或者他人的合法权益。</w:t>
      </w:r>
    </w:p>
    <w:p w14:paraId="52288F0C">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5、不向采购人、评标委员会成员、监督人员行贿。</w:t>
      </w:r>
    </w:p>
    <w:p w14:paraId="6CC9352A">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6、不扰乱招标投标活动正常秩序。</w:t>
      </w:r>
    </w:p>
    <w:p w14:paraId="639B1C6C">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7、不进行虚假恶意投诉。</w:t>
      </w:r>
    </w:p>
    <w:p w14:paraId="144CF180">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8、因违反法律、法规、规章被查处的，不干预案件查处。</w:t>
      </w:r>
    </w:p>
    <w:p w14:paraId="0DC2CC7B">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9、接受本招标文件的所有内容。</w:t>
      </w:r>
    </w:p>
    <w:p w14:paraId="6507332D">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如出现上述行为，本投标人自愿承担相关责任，接受招标投标监督管理部门、纪检监察部门或司法机关调查处理。给采购人造成损失的，依法承担赔偿责任。</w:t>
      </w:r>
    </w:p>
    <w:p w14:paraId="2D9DE067">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p>
    <w:p w14:paraId="00A2A991">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p>
    <w:p w14:paraId="4BD293C0">
      <w:pPr>
        <w:rPr>
          <w:rFonts w:ascii="宋体" w:hAnsi="宋体"/>
          <w:b/>
          <w:bCs/>
          <w:sz w:val="24"/>
          <w:szCs w:val="24"/>
        </w:rPr>
      </w:pPr>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232DF825">
      <w:pPr>
        <w:rPr>
          <w:rFonts w:ascii="宋体" w:hAnsi="宋体"/>
          <w:b/>
          <w:bCs/>
          <w:sz w:val="24"/>
          <w:szCs w:val="24"/>
        </w:rPr>
      </w:pPr>
      <w:r>
        <w:rPr>
          <w:rFonts w:hint="eastAsia" w:ascii="宋体" w:hAnsi="宋体"/>
          <w:b/>
          <w:bCs/>
          <w:sz w:val="24"/>
          <w:szCs w:val="24"/>
        </w:rPr>
        <w:t xml:space="preserve"> </w:t>
      </w:r>
    </w:p>
    <w:p w14:paraId="0EDB86A6">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12AA37D3">
      <w:pPr>
        <w:rPr>
          <w:rFonts w:ascii="宋体" w:hAnsi="宋体"/>
          <w:b/>
          <w:bCs/>
          <w:sz w:val="24"/>
          <w:szCs w:val="24"/>
        </w:rPr>
      </w:pPr>
    </w:p>
    <w:p w14:paraId="0DFDF9D0">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6431CC57">
      <w:pPr>
        <w:rPr>
          <w:rFonts w:hint="eastAsia" w:ascii="宋体" w:hAnsi="宋体" w:cs="宋体"/>
          <w:sz w:val="24"/>
          <w:szCs w:val="24"/>
        </w:rPr>
      </w:pPr>
      <w:r>
        <w:rPr>
          <w:rFonts w:hint="eastAsia" w:ascii="宋体" w:hAnsi="宋体" w:cs="宋体"/>
          <w:sz w:val="24"/>
          <w:szCs w:val="24"/>
        </w:rPr>
        <w:br w:type="page"/>
      </w:r>
    </w:p>
    <w:p w14:paraId="3A8BD261">
      <w:pPr>
        <w:pStyle w:val="5"/>
        <w:widowControl/>
        <w:autoSpaceDE w:val="0"/>
        <w:spacing w:before="0" w:after="0" w:line="600" w:lineRule="exact"/>
        <w:rPr>
          <w:rFonts w:ascii="宋体" w:hAnsi="宋体" w:cs="宋体"/>
          <w:szCs w:val="28"/>
        </w:rPr>
      </w:pPr>
      <w:bookmarkStart w:id="245" w:name="_Toc20721"/>
      <w:r>
        <w:rPr>
          <w:rFonts w:hint="eastAsia" w:ascii="宋体" w:hAnsi="宋体" w:cs="宋体"/>
          <w:szCs w:val="28"/>
          <w:lang w:val="en-US" w:eastAsia="zh-CN"/>
        </w:rPr>
        <w:t>八</w:t>
      </w:r>
      <w:r>
        <w:rPr>
          <w:rFonts w:hint="eastAsia" w:ascii="宋体" w:hAnsi="宋体" w:cs="宋体"/>
          <w:szCs w:val="28"/>
        </w:rPr>
        <w:t>、投标质量保证书</w:t>
      </w:r>
      <w:bookmarkEnd w:id="245"/>
    </w:p>
    <w:p w14:paraId="59F9988D">
      <w:pPr>
        <w:tabs>
          <w:tab w:val="left" w:pos="5580"/>
        </w:tabs>
        <w:spacing w:before="120" w:line="360" w:lineRule="auto"/>
        <w:rPr>
          <w:rFonts w:hint="eastAsia" w:ascii="宋体" w:hAnsi="宋体" w:cs="宋体"/>
          <w:sz w:val="24"/>
        </w:rPr>
      </w:pPr>
    </w:p>
    <w:p w14:paraId="5A275DDD">
      <w:pPr>
        <w:tabs>
          <w:tab w:val="left" w:pos="5580"/>
        </w:tabs>
        <w:spacing w:before="120"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p>
    <w:p w14:paraId="1124A1BA">
      <w:pPr>
        <w:pStyle w:val="9"/>
        <w:ind w:firstLine="0" w:firstLineChars="0"/>
      </w:pPr>
    </w:p>
    <w:p w14:paraId="7A2270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本书作为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（项目名称）提供质量保证的证明。</w:t>
      </w:r>
    </w:p>
    <w:p w14:paraId="709002C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我方承诺提供以下质量保证并承担相应的法律责任：</w:t>
      </w:r>
    </w:p>
    <w:p w14:paraId="278ED13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1、提供的货物是全新的、满足国家相关质保标准；</w:t>
      </w:r>
    </w:p>
    <w:p w14:paraId="4AF613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2、保证甲方在合同产品使用期间不受第三方提出侵犯其专利权、商标</w:t>
      </w:r>
      <w:r>
        <w:rPr>
          <w:rFonts w:hint="eastAsia" w:ascii="宋体" w:hAnsi="宋体" w:eastAsia="宋体" w:cs="宋体"/>
          <w:sz w:val="24"/>
          <w:szCs w:val="24"/>
          <w:lang w:eastAsia="zh-CN"/>
        </w:rPr>
        <w:t>，</w:t>
      </w:r>
      <w:r>
        <w:rPr>
          <w:rFonts w:hint="eastAsia" w:ascii="宋体" w:hAnsi="宋体" w:eastAsia="宋体" w:cs="宋体"/>
          <w:sz w:val="24"/>
          <w:szCs w:val="24"/>
        </w:rPr>
        <w:t>提供的货物符合投标文件承诺和所签合同规定的技术要求；</w:t>
      </w:r>
    </w:p>
    <w:p w14:paraId="4B83AA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3、提供的货物包装完整无明显破损；</w:t>
      </w:r>
    </w:p>
    <w:p w14:paraId="04F2EA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本保证书自开标日起90日内有效，如我方最终</w:t>
      </w:r>
      <w:r>
        <w:rPr>
          <w:rFonts w:hint="eastAsia" w:ascii="宋体" w:hAnsi="宋体" w:cs="宋体"/>
          <w:sz w:val="24"/>
          <w:szCs w:val="24"/>
          <w:lang w:val="en-US" w:eastAsia="zh-CN"/>
        </w:rPr>
        <w:t>中标</w:t>
      </w:r>
      <w:r>
        <w:rPr>
          <w:rFonts w:hint="eastAsia" w:ascii="宋体" w:hAnsi="宋体" w:eastAsia="宋体" w:cs="宋体"/>
          <w:sz w:val="24"/>
          <w:szCs w:val="24"/>
        </w:rPr>
        <w:t>则至货物保质期满为止有效。</w:t>
      </w:r>
    </w:p>
    <w:p w14:paraId="74488DF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p>
    <w:p w14:paraId="632348C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可在与投标质量保证书条款不产生冲突的基础上自行添加承诺。</w:t>
      </w:r>
    </w:p>
    <w:p w14:paraId="36557AB0">
      <w:pPr>
        <w:pStyle w:val="2"/>
        <w:rPr>
          <w:rFonts w:hint="eastAsia" w:ascii="宋体" w:hAnsi="宋体" w:eastAsia="宋体" w:cs="宋体"/>
          <w:b/>
          <w:bCs/>
          <w:sz w:val="24"/>
          <w:szCs w:val="24"/>
        </w:rPr>
      </w:pPr>
    </w:p>
    <w:p w14:paraId="07E01FAD">
      <w:pPr>
        <w:pStyle w:val="2"/>
        <w:rPr>
          <w:rFonts w:hint="eastAsia" w:ascii="宋体" w:hAnsi="宋体" w:eastAsia="宋体" w:cs="宋体"/>
          <w:b/>
          <w:bCs/>
          <w:sz w:val="24"/>
          <w:szCs w:val="24"/>
        </w:rPr>
      </w:pPr>
    </w:p>
    <w:p w14:paraId="069DE7BD">
      <w:pPr>
        <w:rPr>
          <w:rFonts w:ascii="宋体" w:hAnsi="宋体"/>
          <w:b/>
          <w:bCs/>
          <w:sz w:val="24"/>
          <w:szCs w:val="24"/>
        </w:rPr>
      </w:pPr>
      <w:r>
        <w:rPr>
          <w:rFonts w:hint="eastAsia" w:ascii="宋体" w:hAnsi="宋体"/>
          <w:b/>
          <w:bCs/>
          <w:sz w:val="24"/>
          <w:szCs w:val="24"/>
        </w:rPr>
        <w:t>投标人：</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（盖章或电子签章）</w:t>
      </w:r>
    </w:p>
    <w:p w14:paraId="65EF3AC4">
      <w:pPr>
        <w:rPr>
          <w:rFonts w:ascii="宋体" w:hAnsi="宋体"/>
          <w:b/>
          <w:bCs/>
          <w:sz w:val="24"/>
          <w:szCs w:val="24"/>
        </w:rPr>
      </w:pPr>
      <w:r>
        <w:rPr>
          <w:rFonts w:hint="eastAsia" w:ascii="宋体" w:hAnsi="宋体"/>
          <w:b/>
          <w:bCs/>
          <w:sz w:val="24"/>
          <w:szCs w:val="24"/>
        </w:rPr>
        <w:t xml:space="preserve"> </w:t>
      </w:r>
    </w:p>
    <w:p w14:paraId="37F85047">
      <w:pPr>
        <w:rPr>
          <w:rFonts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cs="宋体"/>
          <w:b/>
          <w:bCs/>
          <w:sz w:val="24"/>
          <w:szCs w:val="24"/>
        </w:rPr>
        <w:t>签字或电子签章</w:t>
      </w:r>
      <w:r>
        <w:rPr>
          <w:rFonts w:hint="eastAsia" w:ascii="宋体" w:hAnsi="宋体"/>
          <w:b/>
          <w:bCs/>
          <w:sz w:val="24"/>
          <w:szCs w:val="24"/>
        </w:rPr>
        <w:t>）</w:t>
      </w:r>
    </w:p>
    <w:p w14:paraId="649DB8A7">
      <w:pPr>
        <w:rPr>
          <w:rFonts w:ascii="宋体" w:hAnsi="宋体"/>
          <w:b/>
          <w:bCs/>
          <w:sz w:val="24"/>
          <w:szCs w:val="24"/>
        </w:rPr>
      </w:pPr>
    </w:p>
    <w:p w14:paraId="71CED0D9">
      <w:pPr>
        <w:rPr>
          <w:rStyle w:val="39"/>
        </w:rPr>
      </w:pPr>
      <w:r>
        <w:rPr>
          <w:rFonts w:hint="eastAsia" w:ascii="宋体" w:hAnsi="宋体"/>
          <w:b/>
          <w:bCs/>
          <w:sz w:val="24"/>
          <w:szCs w:val="24"/>
        </w:rPr>
        <w:t>日期：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797916E2">
      <w:pPr>
        <w:pStyle w:val="62"/>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rPr>
      </w:pPr>
      <w:r>
        <w:rPr>
          <w:rFonts w:hint="eastAsia"/>
        </w:rPr>
        <w:br w:type="page"/>
      </w:r>
      <w:bookmarkStart w:id="246" w:name="_Toc30242"/>
      <w:bookmarkStart w:id="247" w:name="_Toc10431"/>
      <w:bookmarkStart w:id="248" w:name="_Toc17529"/>
    </w:p>
    <w:bookmarkEnd w:id="244"/>
    <w:bookmarkEnd w:id="246"/>
    <w:bookmarkEnd w:id="247"/>
    <w:bookmarkEnd w:id="248"/>
    <w:p w14:paraId="39636F13">
      <w:pPr>
        <w:pStyle w:val="5"/>
        <w:widowControl/>
        <w:autoSpaceDE w:val="0"/>
        <w:spacing w:before="0" w:after="0" w:line="240" w:lineRule="auto"/>
        <w:rPr>
          <w:rFonts w:ascii="宋体" w:hAnsi="宋体" w:cs="宋体"/>
          <w:sz w:val="24"/>
          <w:szCs w:val="24"/>
        </w:rPr>
      </w:pPr>
      <w:bookmarkStart w:id="249" w:name="_Toc12500"/>
      <w:r>
        <w:rPr>
          <w:rFonts w:hint="eastAsia" w:ascii="宋体" w:hAnsi="宋体" w:cs="宋体"/>
          <w:szCs w:val="28"/>
          <w:lang w:val="en-US" w:eastAsia="zh-CN"/>
        </w:rPr>
        <w:t>九</w:t>
      </w:r>
      <w:r>
        <w:rPr>
          <w:rFonts w:hint="eastAsia" w:ascii="宋体" w:hAnsi="宋体" w:cs="宋体"/>
          <w:szCs w:val="28"/>
        </w:rPr>
        <w:t>、其他资料</w:t>
      </w:r>
      <w:bookmarkEnd w:id="249"/>
    </w:p>
    <w:p w14:paraId="0EC1A121">
      <w:pPr>
        <w:spacing w:before="158" w:beforeLines="50" w:line="360" w:lineRule="auto"/>
        <w:ind w:firstLine="720" w:firstLineChars="300"/>
        <w:jc w:val="center"/>
        <w:rPr>
          <w:rFonts w:ascii="宋体" w:hAnsi="宋体" w:cs="宋体"/>
        </w:rPr>
      </w:pPr>
      <w:r>
        <w:rPr>
          <w:rFonts w:hint="eastAsia" w:ascii="宋体" w:hAnsi="宋体"/>
          <w:sz w:val="24"/>
          <w:szCs w:val="24"/>
        </w:rPr>
        <w:t>投标人认为需要提交的其他资料</w:t>
      </w:r>
    </w:p>
    <w:p w14:paraId="15C493BC">
      <w:pPr>
        <w:spacing w:line="480" w:lineRule="auto"/>
        <w:jc w:val="both"/>
        <w:rPr>
          <w:rFonts w:ascii="宋体" w:hAnsi="宋体" w:cs="宋体"/>
          <w:sz w:val="24"/>
          <w:szCs w:val="24"/>
        </w:rPr>
      </w:pPr>
    </w:p>
    <w:sectPr>
      <w:headerReference r:id="rId8" w:type="default"/>
      <w:footerReference r:id="rId9" w:type="default"/>
      <w:pgSz w:w="11906" w:h="16838"/>
      <w:pgMar w:top="1440" w:right="1083" w:bottom="1440" w:left="1083" w:header="720" w:footer="720"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41AE">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CE99">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004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9D2A5">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VGsMBAACP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4Bzd9zixM8/f5x//Tn//k5e&#10;v80C9QFqzLsNmJmG937A5NkP6My8BxVt/iIjgnGU93SRVw6JiPxotVytKgwJjM0XxGf3z0OE9EF6&#10;S7LR0IjzK7Ly4ydIY+qckqs5f6ONKTM07j8HYmYPy72PPWYrDbthIrTz7Qn59Dj6hjrcdErMR4fK&#10;5i2ZjTgbu8nINSC8OyQsXPrJqCPUVAznVBhNO5UX4d97ybr/j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5MJUawwEAAI8DAAAOAAAAAAAAAAEAIAAAAB4BAABkcnMvZTJvRG9jLnhtbFBL&#10;BQYAAAAABgAGAFkBAABTBQAAAAA=&#10;">
              <v:fill on="f" focussize="0,0"/>
              <v:stroke on="f"/>
              <v:imagedata o:title=""/>
              <o:lock v:ext="edit" aspectratio="f"/>
              <v:textbox inset="0mm,0mm,0mm,0mm" style="mso-fit-shape-to-text:t;">
                <w:txbxContent>
                  <w:p w14:paraId="25F9D2A5">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BFA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ED22C">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vert="horz" wrap="none" lIns="0" tIns="0" rIns="0" bIns="0" anchor="t" anchorCtr="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5VfJtgBAACz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rT2J2wNPDz92/nH7/OP7+y&#10;6+vUn97HitLuPCXi8BoG2prZH8mZZA9tsOlPghjFqbunS3fVgEymS6vlalVSSFJsPhB+8XDdh4hv&#10;FViWjJoHGl/uqji+jzimzimpmoNbbUweoXF/OQgzeYrEfeSYLBx2wyRoB82J9NA7oDodhC+c9bQF&#10;NXe09JyZd46anBZmNsJs7GZDOEkXa46cjeYbzIuViET/6oDELpNOpcd6EyOaZZY97V1alj/POevh&#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7lV8m2AEAALMDAAAOAAAAAAAAAAEAIAAA&#10;AB4BAABkcnMvZTJvRG9jLnhtbFBLBQYAAAAABgAGAFkBAABoBQAAAAA=&#10;">
              <v:fill on="f" focussize="0,0"/>
              <v:stroke on="f"/>
              <v:imagedata o:title=""/>
              <o:lock v:ext="edit" aspectratio="f"/>
              <v:textbox inset="0mm,0mm,0mm,0mm" style="mso-fit-shape-to-text:t;">
                <w:txbxContent>
                  <w:p w14:paraId="5A6ED22C">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ED5DD">
    <w:pPr>
      <w:pStyle w:val="22"/>
      <w:pBdr>
        <w:bottom w:val="single" w:color="auto" w:sz="4" w:space="1"/>
      </w:pBdr>
      <w:jc w:val="both"/>
    </w:pPr>
    <w:r>
      <w:drawing>
        <wp:inline distT="0" distB="0" distL="114300" distR="114300">
          <wp:extent cx="256540" cy="217170"/>
          <wp:effectExtent l="0" t="0" r="10160" b="1143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
                  <a:stretch>
                    <a:fillRect/>
                  </a:stretch>
                </pic:blipFill>
                <pic:spPr>
                  <a:xfrm flipH="1">
                    <a:off x="0" y="0"/>
                    <a:ext cx="256540" cy="217170"/>
                  </a:xfrm>
                  <a:prstGeom prst="rect">
                    <a:avLst/>
                  </a:prstGeom>
                  <a:noFill/>
                  <a:ln>
                    <a:noFill/>
                  </a:ln>
                </pic:spPr>
              </pic:pic>
            </a:graphicData>
          </a:graphic>
        </wp:inline>
      </w:drawing>
    </w:r>
    <w:r>
      <w:rPr>
        <w:rFonts w:hint="eastAsia" w:ascii="宋体" w:hAnsi="宋体"/>
        <w:b/>
        <w:bCs/>
        <w:sz w:val="21"/>
        <w:szCs w:val="21"/>
      </w:rPr>
      <w:t>云南力宏建设工程咨询有限公司</w:t>
    </w:r>
    <w:r>
      <w:rPr>
        <w:rFonts w:hint="eastAsia"/>
        <w:b/>
        <w:bCs/>
        <w:sz w:val="21"/>
        <w:szCs w:val="21"/>
      </w:rPr>
      <w:t xml:space="preserve">                                                    </w:t>
    </w:r>
    <w:r>
      <w:rPr>
        <w:rFonts w:hint="eastAsia" w:ascii="宋体" w:hAnsi="宋体"/>
        <w:b/>
        <w:bCs/>
        <w:color w:val="00000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BFD6">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8B10">
    <w:pPr>
      <w:pStyle w:val="22"/>
      <w:pBdr>
        <w:bottom w:val="single" w:color="auto" w:sz="4" w:space="1"/>
      </w:pBdr>
      <w:jc w:val="both"/>
      <w:rPr>
        <w:rFonts w:ascii="宋体" w:hAnsi="宋体"/>
        <w:sz w:val="44"/>
        <w:szCs w:val="44"/>
      </w:rPr>
    </w:pPr>
    <w:r>
      <w:drawing>
        <wp:inline distT="0" distB="0" distL="114300" distR="114300">
          <wp:extent cx="256540" cy="217170"/>
          <wp:effectExtent l="0" t="0" r="10160" b="1143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
                  <a:stretch>
                    <a:fillRect/>
                  </a:stretch>
                </pic:blipFill>
                <pic:spPr>
                  <a:xfrm flipH="1">
                    <a:off x="0" y="0"/>
                    <a:ext cx="256540" cy="217170"/>
                  </a:xfrm>
                  <a:prstGeom prst="rect">
                    <a:avLst/>
                  </a:prstGeom>
                  <a:noFill/>
                  <a:ln>
                    <a:noFill/>
                  </a:ln>
                </pic:spPr>
              </pic:pic>
            </a:graphicData>
          </a:graphic>
        </wp:inline>
      </w:drawing>
    </w:r>
    <w:r>
      <w:rPr>
        <w:rFonts w:hint="eastAsia" w:ascii="宋体" w:hAnsi="宋体"/>
        <w:b/>
        <w:bCs/>
        <w:sz w:val="21"/>
        <w:szCs w:val="21"/>
      </w:rPr>
      <w:t>云南力宏建设工程咨询有限公司</w:t>
    </w:r>
    <w:r>
      <w:rPr>
        <w:rFonts w:hint="eastAsia"/>
        <w:b/>
        <w:bCs/>
        <w:sz w:val="21"/>
        <w:szCs w:val="21"/>
      </w:rPr>
      <w:t xml:space="preserve">                                                    </w:t>
    </w:r>
    <w:r>
      <w:rPr>
        <w:rFonts w:hint="eastAsia" w:ascii="宋体" w:hAnsi="宋体"/>
        <w:b/>
        <w:bCs/>
        <w:color w:val="00000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DQwZWRmNzE4NGE1MWUyNzE3Yjc0MTE0MzQwYzQifQ=="/>
  </w:docVars>
  <w:rsids>
    <w:rsidRoot w:val="00172A27"/>
    <w:rsid w:val="00030F55"/>
    <w:rsid w:val="00047E90"/>
    <w:rsid w:val="000636B3"/>
    <w:rsid w:val="000815F4"/>
    <w:rsid w:val="0009057F"/>
    <w:rsid w:val="000A3744"/>
    <w:rsid w:val="000B3244"/>
    <w:rsid w:val="000B608D"/>
    <w:rsid w:val="000B736F"/>
    <w:rsid w:val="000D0527"/>
    <w:rsid w:val="000F4007"/>
    <w:rsid w:val="00146907"/>
    <w:rsid w:val="0016301C"/>
    <w:rsid w:val="00172A27"/>
    <w:rsid w:val="00180065"/>
    <w:rsid w:val="00182CB0"/>
    <w:rsid w:val="001A07FD"/>
    <w:rsid w:val="001B4B37"/>
    <w:rsid w:val="001B7434"/>
    <w:rsid w:val="001C081C"/>
    <w:rsid w:val="00204378"/>
    <w:rsid w:val="002235B9"/>
    <w:rsid w:val="002932BF"/>
    <w:rsid w:val="002C4B13"/>
    <w:rsid w:val="002C54EF"/>
    <w:rsid w:val="003037B0"/>
    <w:rsid w:val="0030759A"/>
    <w:rsid w:val="00324338"/>
    <w:rsid w:val="003347CA"/>
    <w:rsid w:val="00346AC4"/>
    <w:rsid w:val="0036146A"/>
    <w:rsid w:val="0036350B"/>
    <w:rsid w:val="003728E3"/>
    <w:rsid w:val="003815C9"/>
    <w:rsid w:val="00381BBB"/>
    <w:rsid w:val="00390E93"/>
    <w:rsid w:val="00396222"/>
    <w:rsid w:val="003A249C"/>
    <w:rsid w:val="003A5746"/>
    <w:rsid w:val="003B4871"/>
    <w:rsid w:val="003C360A"/>
    <w:rsid w:val="003C4CCE"/>
    <w:rsid w:val="003D2ED1"/>
    <w:rsid w:val="003E46C2"/>
    <w:rsid w:val="00403F20"/>
    <w:rsid w:val="0040799E"/>
    <w:rsid w:val="00410DB4"/>
    <w:rsid w:val="00481D6F"/>
    <w:rsid w:val="00483E43"/>
    <w:rsid w:val="004A08E4"/>
    <w:rsid w:val="004A1EB8"/>
    <w:rsid w:val="005045E6"/>
    <w:rsid w:val="005065F5"/>
    <w:rsid w:val="005451A9"/>
    <w:rsid w:val="00572B7B"/>
    <w:rsid w:val="00573201"/>
    <w:rsid w:val="00583614"/>
    <w:rsid w:val="00583D45"/>
    <w:rsid w:val="00585E76"/>
    <w:rsid w:val="005872F4"/>
    <w:rsid w:val="005B328F"/>
    <w:rsid w:val="00603E36"/>
    <w:rsid w:val="00604685"/>
    <w:rsid w:val="0061332D"/>
    <w:rsid w:val="00621A45"/>
    <w:rsid w:val="00670B46"/>
    <w:rsid w:val="00680175"/>
    <w:rsid w:val="00687647"/>
    <w:rsid w:val="006A5253"/>
    <w:rsid w:val="006A6C89"/>
    <w:rsid w:val="006C1FEC"/>
    <w:rsid w:val="006D45D9"/>
    <w:rsid w:val="007115E2"/>
    <w:rsid w:val="00724AAB"/>
    <w:rsid w:val="00754D31"/>
    <w:rsid w:val="00761E55"/>
    <w:rsid w:val="00777DDD"/>
    <w:rsid w:val="007A2448"/>
    <w:rsid w:val="007C49FC"/>
    <w:rsid w:val="00802276"/>
    <w:rsid w:val="00816F9A"/>
    <w:rsid w:val="0086374E"/>
    <w:rsid w:val="00905380"/>
    <w:rsid w:val="00914286"/>
    <w:rsid w:val="00916252"/>
    <w:rsid w:val="00916870"/>
    <w:rsid w:val="00940EB2"/>
    <w:rsid w:val="00955A1A"/>
    <w:rsid w:val="009657FA"/>
    <w:rsid w:val="00997E5D"/>
    <w:rsid w:val="009B3FC3"/>
    <w:rsid w:val="009C1CE3"/>
    <w:rsid w:val="009C6BDD"/>
    <w:rsid w:val="009F7715"/>
    <w:rsid w:val="00A066DE"/>
    <w:rsid w:val="00A12ACE"/>
    <w:rsid w:val="00A341B2"/>
    <w:rsid w:val="00A36387"/>
    <w:rsid w:val="00A43E2C"/>
    <w:rsid w:val="00A73EA0"/>
    <w:rsid w:val="00A73F14"/>
    <w:rsid w:val="00B06C3B"/>
    <w:rsid w:val="00B34228"/>
    <w:rsid w:val="00B603D4"/>
    <w:rsid w:val="00B7266A"/>
    <w:rsid w:val="00BB67C4"/>
    <w:rsid w:val="00BD79AC"/>
    <w:rsid w:val="00C065C9"/>
    <w:rsid w:val="00C13FE8"/>
    <w:rsid w:val="00C22632"/>
    <w:rsid w:val="00C32331"/>
    <w:rsid w:val="00C57E14"/>
    <w:rsid w:val="00C61887"/>
    <w:rsid w:val="00CA573F"/>
    <w:rsid w:val="00CB2995"/>
    <w:rsid w:val="00CD57D9"/>
    <w:rsid w:val="00CE112A"/>
    <w:rsid w:val="00D0774B"/>
    <w:rsid w:val="00D14B99"/>
    <w:rsid w:val="00D4070C"/>
    <w:rsid w:val="00D54DF3"/>
    <w:rsid w:val="00D71F18"/>
    <w:rsid w:val="00D8741D"/>
    <w:rsid w:val="00D90051"/>
    <w:rsid w:val="00D9745C"/>
    <w:rsid w:val="00DE0969"/>
    <w:rsid w:val="00DE4940"/>
    <w:rsid w:val="00DF5B6C"/>
    <w:rsid w:val="00E04CED"/>
    <w:rsid w:val="00E12568"/>
    <w:rsid w:val="00E44912"/>
    <w:rsid w:val="00E6646C"/>
    <w:rsid w:val="00E664C0"/>
    <w:rsid w:val="00E72790"/>
    <w:rsid w:val="00E825D0"/>
    <w:rsid w:val="00E85AA0"/>
    <w:rsid w:val="00E93FBB"/>
    <w:rsid w:val="00E964D4"/>
    <w:rsid w:val="00EA04F9"/>
    <w:rsid w:val="00EF1E98"/>
    <w:rsid w:val="00F04FBF"/>
    <w:rsid w:val="00F251F0"/>
    <w:rsid w:val="00F65597"/>
    <w:rsid w:val="00F655E1"/>
    <w:rsid w:val="00F774D7"/>
    <w:rsid w:val="00F775C7"/>
    <w:rsid w:val="00FB007A"/>
    <w:rsid w:val="00FB3D44"/>
    <w:rsid w:val="00FC4483"/>
    <w:rsid w:val="010974DF"/>
    <w:rsid w:val="010F4B69"/>
    <w:rsid w:val="01107ACA"/>
    <w:rsid w:val="012029C2"/>
    <w:rsid w:val="0130676A"/>
    <w:rsid w:val="01375E41"/>
    <w:rsid w:val="013B7A72"/>
    <w:rsid w:val="013E24BF"/>
    <w:rsid w:val="01416D8C"/>
    <w:rsid w:val="01542E3B"/>
    <w:rsid w:val="01585BB8"/>
    <w:rsid w:val="015A204F"/>
    <w:rsid w:val="01666F1F"/>
    <w:rsid w:val="016A0CC6"/>
    <w:rsid w:val="016D7475"/>
    <w:rsid w:val="01735F4B"/>
    <w:rsid w:val="017D3325"/>
    <w:rsid w:val="018569B4"/>
    <w:rsid w:val="018C6445"/>
    <w:rsid w:val="01A10ACD"/>
    <w:rsid w:val="01A84E79"/>
    <w:rsid w:val="01B871C0"/>
    <w:rsid w:val="01CC4933"/>
    <w:rsid w:val="01CC654C"/>
    <w:rsid w:val="01DC58DF"/>
    <w:rsid w:val="01E26AB1"/>
    <w:rsid w:val="01E71F06"/>
    <w:rsid w:val="01EF5D98"/>
    <w:rsid w:val="01F46458"/>
    <w:rsid w:val="01FE0A2C"/>
    <w:rsid w:val="0201658D"/>
    <w:rsid w:val="02072DF4"/>
    <w:rsid w:val="021F4076"/>
    <w:rsid w:val="02215E17"/>
    <w:rsid w:val="02247C30"/>
    <w:rsid w:val="02261066"/>
    <w:rsid w:val="02281103"/>
    <w:rsid w:val="02345DAF"/>
    <w:rsid w:val="02483A5D"/>
    <w:rsid w:val="025E3B16"/>
    <w:rsid w:val="02693BD4"/>
    <w:rsid w:val="02793C5B"/>
    <w:rsid w:val="027B63D7"/>
    <w:rsid w:val="02836DE2"/>
    <w:rsid w:val="029A042C"/>
    <w:rsid w:val="029B6E90"/>
    <w:rsid w:val="02A26030"/>
    <w:rsid w:val="02A3377A"/>
    <w:rsid w:val="02AA6756"/>
    <w:rsid w:val="02AD3D3A"/>
    <w:rsid w:val="02AD3D85"/>
    <w:rsid w:val="02AE6FF2"/>
    <w:rsid w:val="02B05949"/>
    <w:rsid w:val="02B07F0A"/>
    <w:rsid w:val="02B40E10"/>
    <w:rsid w:val="02B67502"/>
    <w:rsid w:val="02B964A5"/>
    <w:rsid w:val="02C37979"/>
    <w:rsid w:val="02C52D11"/>
    <w:rsid w:val="02CA6F70"/>
    <w:rsid w:val="02D15CAB"/>
    <w:rsid w:val="02D57887"/>
    <w:rsid w:val="02DC556E"/>
    <w:rsid w:val="02E37041"/>
    <w:rsid w:val="02EE68FF"/>
    <w:rsid w:val="02F46B94"/>
    <w:rsid w:val="03016A60"/>
    <w:rsid w:val="03093A07"/>
    <w:rsid w:val="03120381"/>
    <w:rsid w:val="03153165"/>
    <w:rsid w:val="031846AA"/>
    <w:rsid w:val="03257081"/>
    <w:rsid w:val="03305546"/>
    <w:rsid w:val="03337D3C"/>
    <w:rsid w:val="03347BA5"/>
    <w:rsid w:val="03465DA8"/>
    <w:rsid w:val="034F0A40"/>
    <w:rsid w:val="035241DD"/>
    <w:rsid w:val="03575C81"/>
    <w:rsid w:val="035962AC"/>
    <w:rsid w:val="0360752C"/>
    <w:rsid w:val="03630548"/>
    <w:rsid w:val="0366170B"/>
    <w:rsid w:val="036E4DF2"/>
    <w:rsid w:val="036F73CC"/>
    <w:rsid w:val="0375678B"/>
    <w:rsid w:val="037B422A"/>
    <w:rsid w:val="038D0696"/>
    <w:rsid w:val="038E5359"/>
    <w:rsid w:val="03930F87"/>
    <w:rsid w:val="039D36DA"/>
    <w:rsid w:val="03A861F3"/>
    <w:rsid w:val="03AC50CD"/>
    <w:rsid w:val="03B20756"/>
    <w:rsid w:val="03B23C58"/>
    <w:rsid w:val="03B35A38"/>
    <w:rsid w:val="03B45169"/>
    <w:rsid w:val="03C15054"/>
    <w:rsid w:val="03CE2BFD"/>
    <w:rsid w:val="03CF7C42"/>
    <w:rsid w:val="03D97465"/>
    <w:rsid w:val="040445FD"/>
    <w:rsid w:val="040719FE"/>
    <w:rsid w:val="04073203"/>
    <w:rsid w:val="04090A66"/>
    <w:rsid w:val="040E4806"/>
    <w:rsid w:val="041812F0"/>
    <w:rsid w:val="041B68E1"/>
    <w:rsid w:val="04254EF7"/>
    <w:rsid w:val="04255BC3"/>
    <w:rsid w:val="04316766"/>
    <w:rsid w:val="04332B08"/>
    <w:rsid w:val="043707EE"/>
    <w:rsid w:val="04474A49"/>
    <w:rsid w:val="04560624"/>
    <w:rsid w:val="045E5D63"/>
    <w:rsid w:val="04634D8F"/>
    <w:rsid w:val="046D155D"/>
    <w:rsid w:val="04742E94"/>
    <w:rsid w:val="047F15EC"/>
    <w:rsid w:val="04874F74"/>
    <w:rsid w:val="04A313BF"/>
    <w:rsid w:val="04A51EC4"/>
    <w:rsid w:val="04B11C19"/>
    <w:rsid w:val="04BB3CBA"/>
    <w:rsid w:val="04BF2CB8"/>
    <w:rsid w:val="04C7198E"/>
    <w:rsid w:val="04D94F44"/>
    <w:rsid w:val="04DB4128"/>
    <w:rsid w:val="04DC1BC8"/>
    <w:rsid w:val="04DF3800"/>
    <w:rsid w:val="04E24BE1"/>
    <w:rsid w:val="04F90CBC"/>
    <w:rsid w:val="04F95927"/>
    <w:rsid w:val="04FA3462"/>
    <w:rsid w:val="050354D7"/>
    <w:rsid w:val="050B287F"/>
    <w:rsid w:val="051162FA"/>
    <w:rsid w:val="05321753"/>
    <w:rsid w:val="05391F80"/>
    <w:rsid w:val="053E3845"/>
    <w:rsid w:val="054779AD"/>
    <w:rsid w:val="054E74F8"/>
    <w:rsid w:val="0556011D"/>
    <w:rsid w:val="05584F57"/>
    <w:rsid w:val="055C2EC6"/>
    <w:rsid w:val="056A2976"/>
    <w:rsid w:val="056F38EF"/>
    <w:rsid w:val="057768BF"/>
    <w:rsid w:val="058B1B02"/>
    <w:rsid w:val="058F0E70"/>
    <w:rsid w:val="058F67EC"/>
    <w:rsid w:val="05927E36"/>
    <w:rsid w:val="05AA7E70"/>
    <w:rsid w:val="05B21DE2"/>
    <w:rsid w:val="05B872DF"/>
    <w:rsid w:val="05BB5A50"/>
    <w:rsid w:val="05C94E2E"/>
    <w:rsid w:val="05C96854"/>
    <w:rsid w:val="05CB2D33"/>
    <w:rsid w:val="05EA3BDD"/>
    <w:rsid w:val="05EC0BBF"/>
    <w:rsid w:val="05F159E2"/>
    <w:rsid w:val="05F921F6"/>
    <w:rsid w:val="05FF3C1A"/>
    <w:rsid w:val="06062A3D"/>
    <w:rsid w:val="06075FEC"/>
    <w:rsid w:val="060D49F6"/>
    <w:rsid w:val="06112B3C"/>
    <w:rsid w:val="06215539"/>
    <w:rsid w:val="0638780A"/>
    <w:rsid w:val="063E0DE6"/>
    <w:rsid w:val="064176D8"/>
    <w:rsid w:val="06454C97"/>
    <w:rsid w:val="06491398"/>
    <w:rsid w:val="065710C2"/>
    <w:rsid w:val="06584D4D"/>
    <w:rsid w:val="066E0171"/>
    <w:rsid w:val="067641B4"/>
    <w:rsid w:val="067C1522"/>
    <w:rsid w:val="068122F5"/>
    <w:rsid w:val="06837E4F"/>
    <w:rsid w:val="06843D48"/>
    <w:rsid w:val="06927983"/>
    <w:rsid w:val="06975731"/>
    <w:rsid w:val="069B626B"/>
    <w:rsid w:val="069C25C5"/>
    <w:rsid w:val="069C5DA9"/>
    <w:rsid w:val="069F5975"/>
    <w:rsid w:val="06B95C2A"/>
    <w:rsid w:val="06C3703E"/>
    <w:rsid w:val="06C614AC"/>
    <w:rsid w:val="06D2524A"/>
    <w:rsid w:val="06D43DFA"/>
    <w:rsid w:val="06E51995"/>
    <w:rsid w:val="06EA3E03"/>
    <w:rsid w:val="06F2460C"/>
    <w:rsid w:val="06F42009"/>
    <w:rsid w:val="06F85DFF"/>
    <w:rsid w:val="070121E3"/>
    <w:rsid w:val="070B081D"/>
    <w:rsid w:val="07165BB5"/>
    <w:rsid w:val="071664CB"/>
    <w:rsid w:val="07195698"/>
    <w:rsid w:val="0728171E"/>
    <w:rsid w:val="0728594B"/>
    <w:rsid w:val="0730654F"/>
    <w:rsid w:val="073D207A"/>
    <w:rsid w:val="074A1497"/>
    <w:rsid w:val="074A49E1"/>
    <w:rsid w:val="074E2E85"/>
    <w:rsid w:val="07515BF5"/>
    <w:rsid w:val="07523000"/>
    <w:rsid w:val="07536DAE"/>
    <w:rsid w:val="075850A0"/>
    <w:rsid w:val="076003DE"/>
    <w:rsid w:val="0760628E"/>
    <w:rsid w:val="07630658"/>
    <w:rsid w:val="076B3425"/>
    <w:rsid w:val="076D5A34"/>
    <w:rsid w:val="077049C9"/>
    <w:rsid w:val="07722CC5"/>
    <w:rsid w:val="0776142E"/>
    <w:rsid w:val="07764244"/>
    <w:rsid w:val="07811AEA"/>
    <w:rsid w:val="0783049C"/>
    <w:rsid w:val="07870AFB"/>
    <w:rsid w:val="078748AB"/>
    <w:rsid w:val="078B665C"/>
    <w:rsid w:val="07AC3018"/>
    <w:rsid w:val="07BA0B8A"/>
    <w:rsid w:val="07BE249F"/>
    <w:rsid w:val="07BF409F"/>
    <w:rsid w:val="07C82CA9"/>
    <w:rsid w:val="07CF3C47"/>
    <w:rsid w:val="07D76651"/>
    <w:rsid w:val="07DA2045"/>
    <w:rsid w:val="07DC0946"/>
    <w:rsid w:val="07DD06DB"/>
    <w:rsid w:val="07DD5905"/>
    <w:rsid w:val="07DF26DB"/>
    <w:rsid w:val="07E04A78"/>
    <w:rsid w:val="07E239CC"/>
    <w:rsid w:val="07E248B7"/>
    <w:rsid w:val="07E53475"/>
    <w:rsid w:val="07FC2E74"/>
    <w:rsid w:val="07FD00E9"/>
    <w:rsid w:val="07FE79CD"/>
    <w:rsid w:val="08015504"/>
    <w:rsid w:val="080E7859"/>
    <w:rsid w:val="080F1AFD"/>
    <w:rsid w:val="08275E9F"/>
    <w:rsid w:val="083927E4"/>
    <w:rsid w:val="083C4608"/>
    <w:rsid w:val="08436517"/>
    <w:rsid w:val="08453BE7"/>
    <w:rsid w:val="084C154B"/>
    <w:rsid w:val="084F0A17"/>
    <w:rsid w:val="085A3CC5"/>
    <w:rsid w:val="08627391"/>
    <w:rsid w:val="086907E3"/>
    <w:rsid w:val="08696337"/>
    <w:rsid w:val="086A114C"/>
    <w:rsid w:val="086E4FBF"/>
    <w:rsid w:val="08711291"/>
    <w:rsid w:val="087466EA"/>
    <w:rsid w:val="08824DDE"/>
    <w:rsid w:val="089A6A2E"/>
    <w:rsid w:val="089F5F89"/>
    <w:rsid w:val="08A676CB"/>
    <w:rsid w:val="08AA0C7F"/>
    <w:rsid w:val="08B35527"/>
    <w:rsid w:val="08C62846"/>
    <w:rsid w:val="08C95534"/>
    <w:rsid w:val="08CE1601"/>
    <w:rsid w:val="08DE3382"/>
    <w:rsid w:val="08F6361B"/>
    <w:rsid w:val="08F655F4"/>
    <w:rsid w:val="08F77308"/>
    <w:rsid w:val="08FF6095"/>
    <w:rsid w:val="09045AED"/>
    <w:rsid w:val="09060B75"/>
    <w:rsid w:val="090653B1"/>
    <w:rsid w:val="09132149"/>
    <w:rsid w:val="09207898"/>
    <w:rsid w:val="09246B7F"/>
    <w:rsid w:val="0926197A"/>
    <w:rsid w:val="092D395B"/>
    <w:rsid w:val="092F19E3"/>
    <w:rsid w:val="09344E19"/>
    <w:rsid w:val="09370A52"/>
    <w:rsid w:val="093A3733"/>
    <w:rsid w:val="093D51B4"/>
    <w:rsid w:val="095504DD"/>
    <w:rsid w:val="09647EC4"/>
    <w:rsid w:val="09766ACB"/>
    <w:rsid w:val="0980626C"/>
    <w:rsid w:val="098D628F"/>
    <w:rsid w:val="098E7098"/>
    <w:rsid w:val="098F50FF"/>
    <w:rsid w:val="09924AB2"/>
    <w:rsid w:val="0998486F"/>
    <w:rsid w:val="09996199"/>
    <w:rsid w:val="09B25C8F"/>
    <w:rsid w:val="09B37AEC"/>
    <w:rsid w:val="09B50186"/>
    <w:rsid w:val="09BE25B6"/>
    <w:rsid w:val="09C51231"/>
    <w:rsid w:val="09C72651"/>
    <w:rsid w:val="09CB1584"/>
    <w:rsid w:val="09CB4CD3"/>
    <w:rsid w:val="09CC05C4"/>
    <w:rsid w:val="09D23279"/>
    <w:rsid w:val="09E23085"/>
    <w:rsid w:val="09E83DF6"/>
    <w:rsid w:val="09EF5595"/>
    <w:rsid w:val="09F1006B"/>
    <w:rsid w:val="09FE7367"/>
    <w:rsid w:val="0A07135F"/>
    <w:rsid w:val="0A116CF4"/>
    <w:rsid w:val="0A1B5351"/>
    <w:rsid w:val="0A1C7EC9"/>
    <w:rsid w:val="0A2363B0"/>
    <w:rsid w:val="0A26442A"/>
    <w:rsid w:val="0A287FA0"/>
    <w:rsid w:val="0A2A0524"/>
    <w:rsid w:val="0A2C0D3B"/>
    <w:rsid w:val="0A2E5E53"/>
    <w:rsid w:val="0A310F18"/>
    <w:rsid w:val="0A340E0D"/>
    <w:rsid w:val="0A341682"/>
    <w:rsid w:val="0A3838AE"/>
    <w:rsid w:val="0A3F14EC"/>
    <w:rsid w:val="0A522D71"/>
    <w:rsid w:val="0A5E482E"/>
    <w:rsid w:val="0A6B6E10"/>
    <w:rsid w:val="0A7B0C26"/>
    <w:rsid w:val="0A810269"/>
    <w:rsid w:val="0A8C6A20"/>
    <w:rsid w:val="0A9713FA"/>
    <w:rsid w:val="0A9A72F3"/>
    <w:rsid w:val="0A9F3C9B"/>
    <w:rsid w:val="0AA87CA0"/>
    <w:rsid w:val="0AB441B1"/>
    <w:rsid w:val="0ABA39F1"/>
    <w:rsid w:val="0ABB708E"/>
    <w:rsid w:val="0AC77E15"/>
    <w:rsid w:val="0ACD1AA9"/>
    <w:rsid w:val="0ACF2C4B"/>
    <w:rsid w:val="0AE94F91"/>
    <w:rsid w:val="0AF50251"/>
    <w:rsid w:val="0AF53DB6"/>
    <w:rsid w:val="0AFC4CD1"/>
    <w:rsid w:val="0AFC55BB"/>
    <w:rsid w:val="0B0005A1"/>
    <w:rsid w:val="0B0A6807"/>
    <w:rsid w:val="0B194C41"/>
    <w:rsid w:val="0B2427D9"/>
    <w:rsid w:val="0B38329D"/>
    <w:rsid w:val="0B396B39"/>
    <w:rsid w:val="0B410063"/>
    <w:rsid w:val="0B586D3B"/>
    <w:rsid w:val="0B5948DD"/>
    <w:rsid w:val="0B5F1DC7"/>
    <w:rsid w:val="0B605F4D"/>
    <w:rsid w:val="0B7B2078"/>
    <w:rsid w:val="0B8B19A4"/>
    <w:rsid w:val="0BA340B9"/>
    <w:rsid w:val="0BA8074F"/>
    <w:rsid w:val="0BAA2594"/>
    <w:rsid w:val="0BAF509A"/>
    <w:rsid w:val="0BB645A8"/>
    <w:rsid w:val="0BBC0DC9"/>
    <w:rsid w:val="0BBC72FE"/>
    <w:rsid w:val="0BC154BD"/>
    <w:rsid w:val="0BC26AAB"/>
    <w:rsid w:val="0BC8196A"/>
    <w:rsid w:val="0BC93196"/>
    <w:rsid w:val="0BDC33FE"/>
    <w:rsid w:val="0BDC743A"/>
    <w:rsid w:val="0BE2426F"/>
    <w:rsid w:val="0BE71A31"/>
    <w:rsid w:val="0BE85DDD"/>
    <w:rsid w:val="0BF66F00"/>
    <w:rsid w:val="0BF84DC8"/>
    <w:rsid w:val="0BF977FE"/>
    <w:rsid w:val="0BFC6861"/>
    <w:rsid w:val="0C003A87"/>
    <w:rsid w:val="0C004624"/>
    <w:rsid w:val="0C0B2060"/>
    <w:rsid w:val="0C0C03C9"/>
    <w:rsid w:val="0C123F38"/>
    <w:rsid w:val="0C127856"/>
    <w:rsid w:val="0C190A0A"/>
    <w:rsid w:val="0C1F3477"/>
    <w:rsid w:val="0C215BD8"/>
    <w:rsid w:val="0C2462E1"/>
    <w:rsid w:val="0C27273B"/>
    <w:rsid w:val="0C2D7534"/>
    <w:rsid w:val="0C316782"/>
    <w:rsid w:val="0C3C3CA0"/>
    <w:rsid w:val="0C3F3A46"/>
    <w:rsid w:val="0C3F7BB0"/>
    <w:rsid w:val="0C4018D0"/>
    <w:rsid w:val="0C405E13"/>
    <w:rsid w:val="0C460638"/>
    <w:rsid w:val="0C4D1731"/>
    <w:rsid w:val="0C524FEC"/>
    <w:rsid w:val="0C556C9B"/>
    <w:rsid w:val="0C572BD3"/>
    <w:rsid w:val="0C5730C1"/>
    <w:rsid w:val="0C5C6E95"/>
    <w:rsid w:val="0C64251E"/>
    <w:rsid w:val="0C691AB4"/>
    <w:rsid w:val="0C6C4136"/>
    <w:rsid w:val="0C7120BA"/>
    <w:rsid w:val="0C743DEB"/>
    <w:rsid w:val="0C7567F0"/>
    <w:rsid w:val="0C7D57C5"/>
    <w:rsid w:val="0C801498"/>
    <w:rsid w:val="0C82275E"/>
    <w:rsid w:val="0C836D6B"/>
    <w:rsid w:val="0C890893"/>
    <w:rsid w:val="0C8D251A"/>
    <w:rsid w:val="0C90777F"/>
    <w:rsid w:val="0C916659"/>
    <w:rsid w:val="0C9B1C08"/>
    <w:rsid w:val="0CBD341E"/>
    <w:rsid w:val="0CC32094"/>
    <w:rsid w:val="0CD61C5E"/>
    <w:rsid w:val="0CDA2B45"/>
    <w:rsid w:val="0CE005BA"/>
    <w:rsid w:val="0CE92E2F"/>
    <w:rsid w:val="0CF238D9"/>
    <w:rsid w:val="0CF3265F"/>
    <w:rsid w:val="0CF54C18"/>
    <w:rsid w:val="0CFB7D5D"/>
    <w:rsid w:val="0D0105C4"/>
    <w:rsid w:val="0D020CCB"/>
    <w:rsid w:val="0D0676A4"/>
    <w:rsid w:val="0D071872"/>
    <w:rsid w:val="0D190F81"/>
    <w:rsid w:val="0D1D58C9"/>
    <w:rsid w:val="0D262447"/>
    <w:rsid w:val="0D2B3F36"/>
    <w:rsid w:val="0D3333F8"/>
    <w:rsid w:val="0D361020"/>
    <w:rsid w:val="0D423EAE"/>
    <w:rsid w:val="0D5261BF"/>
    <w:rsid w:val="0D57246E"/>
    <w:rsid w:val="0D6734E3"/>
    <w:rsid w:val="0D6E4804"/>
    <w:rsid w:val="0D7D2A79"/>
    <w:rsid w:val="0D7D3E0F"/>
    <w:rsid w:val="0D8200F5"/>
    <w:rsid w:val="0D86133A"/>
    <w:rsid w:val="0D893804"/>
    <w:rsid w:val="0D8D3537"/>
    <w:rsid w:val="0D9A5C54"/>
    <w:rsid w:val="0DA44C4F"/>
    <w:rsid w:val="0DA63D3D"/>
    <w:rsid w:val="0DAC0338"/>
    <w:rsid w:val="0DAC7CEF"/>
    <w:rsid w:val="0DAD62D1"/>
    <w:rsid w:val="0DBB4523"/>
    <w:rsid w:val="0DC44BEA"/>
    <w:rsid w:val="0DC906B2"/>
    <w:rsid w:val="0DD265EC"/>
    <w:rsid w:val="0DD43F77"/>
    <w:rsid w:val="0DDF4F23"/>
    <w:rsid w:val="0DE805D5"/>
    <w:rsid w:val="0DEB62B9"/>
    <w:rsid w:val="0DFE3130"/>
    <w:rsid w:val="0E052416"/>
    <w:rsid w:val="0E20647A"/>
    <w:rsid w:val="0E2B77B0"/>
    <w:rsid w:val="0E304F48"/>
    <w:rsid w:val="0E33779F"/>
    <w:rsid w:val="0E3E07E5"/>
    <w:rsid w:val="0E44758C"/>
    <w:rsid w:val="0E4504CC"/>
    <w:rsid w:val="0E4D0FC1"/>
    <w:rsid w:val="0E511DEE"/>
    <w:rsid w:val="0E5753B1"/>
    <w:rsid w:val="0E6370CE"/>
    <w:rsid w:val="0E701343"/>
    <w:rsid w:val="0E7C4A82"/>
    <w:rsid w:val="0E7F5823"/>
    <w:rsid w:val="0E8E520D"/>
    <w:rsid w:val="0E8F336A"/>
    <w:rsid w:val="0E8F359F"/>
    <w:rsid w:val="0E917529"/>
    <w:rsid w:val="0EAE39A8"/>
    <w:rsid w:val="0EB75DD5"/>
    <w:rsid w:val="0EC25A79"/>
    <w:rsid w:val="0EC345DF"/>
    <w:rsid w:val="0ECA7B73"/>
    <w:rsid w:val="0ECD648E"/>
    <w:rsid w:val="0EDA7ABD"/>
    <w:rsid w:val="0EE16478"/>
    <w:rsid w:val="0EE9317A"/>
    <w:rsid w:val="0EED4852"/>
    <w:rsid w:val="0F000C96"/>
    <w:rsid w:val="0F030982"/>
    <w:rsid w:val="0F0F50B1"/>
    <w:rsid w:val="0F1E055B"/>
    <w:rsid w:val="0F266F83"/>
    <w:rsid w:val="0F292A93"/>
    <w:rsid w:val="0F2B39D9"/>
    <w:rsid w:val="0F332828"/>
    <w:rsid w:val="0F383593"/>
    <w:rsid w:val="0F3C7A41"/>
    <w:rsid w:val="0F5346EB"/>
    <w:rsid w:val="0F565E8D"/>
    <w:rsid w:val="0F5E2F7D"/>
    <w:rsid w:val="0F637AD6"/>
    <w:rsid w:val="0F6B43C5"/>
    <w:rsid w:val="0F7113C1"/>
    <w:rsid w:val="0F76462C"/>
    <w:rsid w:val="0F767D88"/>
    <w:rsid w:val="0F7958FE"/>
    <w:rsid w:val="0F895627"/>
    <w:rsid w:val="0F8B0C31"/>
    <w:rsid w:val="0F927664"/>
    <w:rsid w:val="0FA04150"/>
    <w:rsid w:val="0FA40C23"/>
    <w:rsid w:val="0FB7141D"/>
    <w:rsid w:val="0FB72367"/>
    <w:rsid w:val="0FB73E77"/>
    <w:rsid w:val="0FB9413C"/>
    <w:rsid w:val="0FC47664"/>
    <w:rsid w:val="0FDC1D36"/>
    <w:rsid w:val="0FED0854"/>
    <w:rsid w:val="0FED3576"/>
    <w:rsid w:val="0FF63E22"/>
    <w:rsid w:val="0FFC297E"/>
    <w:rsid w:val="0FFD41BD"/>
    <w:rsid w:val="0FFD5200"/>
    <w:rsid w:val="10092592"/>
    <w:rsid w:val="10211950"/>
    <w:rsid w:val="10213F6E"/>
    <w:rsid w:val="102E62B2"/>
    <w:rsid w:val="103247B3"/>
    <w:rsid w:val="104071D9"/>
    <w:rsid w:val="1042731E"/>
    <w:rsid w:val="104273D7"/>
    <w:rsid w:val="10445B9A"/>
    <w:rsid w:val="10494F32"/>
    <w:rsid w:val="10560D06"/>
    <w:rsid w:val="1057615D"/>
    <w:rsid w:val="10576B5F"/>
    <w:rsid w:val="10605372"/>
    <w:rsid w:val="10640B9B"/>
    <w:rsid w:val="10651D23"/>
    <w:rsid w:val="10655C5D"/>
    <w:rsid w:val="10673933"/>
    <w:rsid w:val="108F2222"/>
    <w:rsid w:val="109E5FEF"/>
    <w:rsid w:val="10A21976"/>
    <w:rsid w:val="10AC2DC7"/>
    <w:rsid w:val="10B21590"/>
    <w:rsid w:val="10B95885"/>
    <w:rsid w:val="10BA0DCE"/>
    <w:rsid w:val="10C20B10"/>
    <w:rsid w:val="10C3101B"/>
    <w:rsid w:val="10C876B1"/>
    <w:rsid w:val="10CA34E1"/>
    <w:rsid w:val="10CE5C82"/>
    <w:rsid w:val="10D25FC1"/>
    <w:rsid w:val="10D26878"/>
    <w:rsid w:val="10DA4B72"/>
    <w:rsid w:val="10DD09CE"/>
    <w:rsid w:val="10ED1D0E"/>
    <w:rsid w:val="10EE684F"/>
    <w:rsid w:val="10F535D3"/>
    <w:rsid w:val="11082CF7"/>
    <w:rsid w:val="11153FC3"/>
    <w:rsid w:val="111D7E38"/>
    <w:rsid w:val="1123195D"/>
    <w:rsid w:val="11254CC9"/>
    <w:rsid w:val="11347C94"/>
    <w:rsid w:val="113F126E"/>
    <w:rsid w:val="115600D4"/>
    <w:rsid w:val="115920CE"/>
    <w:rsid w:val="11647B2C"/>
    <w:rsid w:val="1174468E"/>
    <w:rsid w:val="117C32EA"/>
    <w:rsid w:val="118834E8"/>
    <w:rsid w:val="119908C2"/>
    <w:rsid w:val="119E09B8"/>
    <w:rsid w:val="11AE354C"/>
    <w:rsid w:val="11B1006A"/>
    <w:rsid w:val="11B62D7E"/>
    <w:rsid w:val="11C02D2E"/>
    <w:rsid w:val="11C605E7"/>
    <w:rsid w:val="11D37EA7"/>
    <w:rsid w:val="11D46390"/>
    <w:rsid w:val="11D72CBF"/>
    <w:rsid w:val="11E90B6B"/>
    <w:rsid w:val="11ED3D2F"/>
    <w:rsid w:val="11F1222B"/>
    <w:rsid w:val="11F400C8"/>
    <w:rsid w:val="11F538AA"/>
    <w:rsid w:val="11F67003"/>
    <w:rsid w:val="11F81593"/>
    <w:rsid w:val="1203277A"/>
    <w:rsid w:val="12035209"/>
    <w:rsid w:val="1206792D"/>
    <w:rsid w:val="12241686"/>
    <w:rsid w:val="1228182C"/>
    <w:rsid w:val="12312169"/>
    <w:rsid w:val="124368EB"/>
    <w:rsid w:val="12455342"/>
    <w:rsid w:val="124A4346"/>
    <w:rsid w:val="12566960"/>
    <w:rsid w:val="1259358F"/>
    <w:rsid w:val="12594D28"/>
    <w:rsid w:val="125C0F94"/>
    <w:rsid w:val="12665399"/>
    <w:rsid w:val="127220C8"/>
    <w:rsid w:val="12735809"/>
    <w:rsid w:val="127C1D9A"/>
    <w:rsid w:val="12823F18"/>
    <w:rsid w:val="12861640"/>
    <w:rsid w:val="128A1CAF"/>
    <w:rsid w:val="129530C6"/>
    <w:rsid w:val="129659CF"/>
    <w:rsid w:val="129F3C34"/>
    <w:rsid w:val="12A1706C"/>
    <w:rsid w:val="12A27DC3"/>
    <w:rsid w:val="12A56C60"/>
    <w:rsid w:val="12AC1D5A"/>
    <w:rsid w:val="12AF17AA"/>
    <w:rsid w:val="12B508B1"/>
    <w:rsid w:val="12B65B63"/>
    <w:rsid w:val="12B7019C"/>
    <w:rsid w:val="12B843BB"/>
    <w:rsid w:val="12CB4575"/>
    <w:rsid w:val="12CF5487"/>
    <w:rsid w:val="12D4727E"/>
    <w:rsid w:val="12D71F2E"/>
    <w:rsid w:val="12E31BDE"/>
    <w:rsid w:val="12E83881"/>
    <w:rsid w:val="12EC7AE9"/>
    <w:rsid w:val="13017E87"/>
    <w:rsid w:val="13063F06"/>
    <w:rsid w:val="13071595"/>
    <w:rsid w:val="130E780C"/>
    <w:rsid w:val="13117D70"/>
    <w:rsid w:val="131A335A"/>
    <w:rsid w:val="13313BF8"/>
    <w:rsid w:val="13425FE7"/>
    <w:rsid w:val="135720BE"/>
    <w:rsid w:val="13646528"/>
    <w:rsid w:val="137131BB"/>
    <w:rsid w:val="137A683C"/>
    <w:rsid w:val="137D4F77"/>
    <w:rsid w:val="1384637C"/>
    <w:rsid w:val="138B328C"/>
    <w:rsid w:val="138C5731"/>
    <w:rsid w:val="13903825"/>
    <w:rsid w:val="139C5FF5"/>
    <w:rsid w:val="139D1015"/>
    <w:rsid w:val="13A37472"/>
    <w:rsid w:val="13A9686B"/>
    <w:rsid w:val="13B04A88"/>
    <w:rsid w:val="13B84F5A"/>
    <w:rsid w:val="13BB1CF9"/>
    <w:rsid w:val="13C46C25"/>
    <w:rsid w:val="13C54FC2"/>
    <w:rsid w:val="13C83C17"/>
    <w:rsid w:val="13CD3FA3"/>
    <w:rsid w:val="13D645AE"/>
    <w:rsid w:val="13DD3F4F"/>
    <w:rsid w:val="13DE2A6A"/>
    <w:rsid w:val="13E143D8"/>
    <w:rsid w:val="140D6D71"/>
    <w:rsid w:val="141E0717"/>
    <w:rsid w:val="14297453"/>
    <w:rsid w:val="1430282F"/>
    <w:rsid w:val="143907F8"/>
    <w:rsid w:val="143E5B17"/>
    <w:rsid w:val="1445537A"/>
    <w:rsid w:val="144B12F1"/>
    <w:rsid w:val="14540C19"/>
    <w:rsid w:val="145D40F9"/>
    <w:rsid w:val="146429B0"/>
    <w:rsid w:val="146733DC"/>
    <w:rsid w:val="146F51D9"/>
    <w:rsid w:val="148963AA"/>
    <w:rsid w:val="14B25F3D"/>
    <w:rsid w:val="14B47C73"/>
    <w:rsid w:val="14B74712"/>
    <w:rsid w:val="14B90157"/>
    <w:rsid w:val="14BD517C"/>
    <w:rsid w:val="14CF2F4A"/>
    <w:rsid w:val="14DF0BA2"/>
    <w:rsid w:val="14E13ABE"/>
    <w:rsid w:val="14EC111C"/>
    <w:rsid w:val="14EC516F"/>
    <w:rsid w:val="14F2438D"/>
    <w:rsid w:val="14FD260F"/>
    <w:rsid w:val="15060D13"/>
    <w:rsid w:val="1508059A"/>
    <w:rsid w:val="150A0F40"/>
    <w:rsid w:val="150A1CAF"/>
    <w:rsid w:val="15115FBE"/>
    <w:rsid w:val="151E58BF"/>
    <w:rsid w:val="152864F1"/>
    <w:rsid w:val="152A4D86"/>
    <w:rsid w:val="152D0EAD"/>
    <w:rsid w:val="153426C4"/>
    <w:rsid w:val="153B0505"/>
    <w:rsid w:val="15412E70"/>
    <w:rsid w:val="15457C9B"/>
    <w:rsid w:val="15474C21"/>
    <w:rsid w:val="154B3B30"/>
    <w:rsid w:val="154C5769"/>
    <w:rsid w:val="155B51EC"/>
    <w:rsid w:val="155D63FE"/>
    <w:rsid w:val="1566616E"/>
    <w:rsid w:val="158A0510"/>
    <w:rsid w:val="15A24385"/>
    <w:rsid w:val="15A31535"/>
    <w:rsid w:val="15A4548C"/>
    <w:rsid w:val="15A75661"/>
    <w:rsid w:val="15A91D18"/>
    <w:rsid w:val="15BB6C7B"/>
    <w:rsid w:val="15C87753"/>
    <w:rsid w:val="15D41C79"/>
    <w:rsid w:val="15D84B69"/>
    <w:rsid w:val="15DB3018"/>
    <w:rsid w:val="15DC282D"/>
    <w:rsid w:val="15DD706A"/>
    <w:rsid w:val="15E85EA3"/>
    <w:rsid w:val="15EA06AA"/>
    <w:rsid w:val="15F335E7"/>
    <w:rsid w:val="15FD4136"/>
    <w:rsid w:val="1608552B"/>
    <w:rsid w:val="160F1A18"/>
    <w:rsid w:val="16105D65"/>
    <w:rsid w:val="161B6D47"/>
    <w:rsid w:val="162A45AF"/>
    <w:rsid w:val="162F21A5"/>
    <w:rsid w:val="163663F7"/>
    <w:rsid w:val="163F32EB"/>
    <w:rsid w:val="165364C3"/>
    <w:rsid w:val="165A2BDE"/>
    <w:rsid w:val="165B2699"/>
    <w:rsid w:val="165D4E76"/>
    <w:rsid w:val="16636CE1"/>
    <w:rsid w:val="166E0A8A"/>
    <w:rsid w:val="166F1D3D"/>
    <w:rsid w:val="16706B4D"/>
    <w:rsid w:val="16710DF6"/>
    <w:rsid w:val="1673768F"/>
    <w:rsid w:val="16752821"/>
    <w:rsid w:val="16792576"/>
    <w:rsid w:val="16806552"/>
    <w:rsid w:val="16826733"/>
    <w:rsid w:val="168523D3"/>
    <w:rsid w:val="168B3820"/>
    <w:rsid w:val="168B4CC3"/>
    <w:rsid w:val="1692495E"/>
    <w:rsid w:val="169A1CB5"/>
    <w:rsid w:val="16A100CA"/>
    <w:rsid w:val="16AA4DAF"/>
    <w:rsid w:val="16AD1756"/>
    <w:rsid w:val="16AE01A6"/>
    <w:rsid w:val="16B23F2C"/>
    <w:rsid w:val="16B943F6"/>
    <w:rsid w:val="16D04FC6"/>
    <w:rsid w:val="16D15FD8"/>
    <w:rsid w:val="16D33E72"/>
    <w:rsid w:val="16D7709E"/>
    <w:rsid w:val="16D91158"/>
    <w:rsid w:val="16DA7D18"/>
    <w:rsid w:val="16E97EF9"/>
    <w:rsid w:val="16F10E05"/>
    <w:rsid w:val="16F5440C"/>
    <w:rsid w:val="17006251"/>
    <w:rsid w:val="170B17C5"/>
    <w:rsid w:val="17103BEE"/>
    <w:rsid w:val="17137909"/>
    <w:rsid w:val="171A0E17"/>
    <w:rsid w:val="171B65B0"/>
    <w:rsid w:val="171E24D6"/>
    <w:rsid w:val="171E475F"/>
    <w:rsid w:val="172E4346"/>
    <w:rsid w:val="17384267"/>
    <w:rsid w:val="173F2DB2"/>
    <w:rsid w:val="17477185"/>
    <w:rsid w:val="1748044E"/>
    <w:rsid w:val="174D23F4"/>
    <w:rsid w:val="17532E5E"/>
    <w:rsid w:val="175937E0"/>
    <w:rsid w:val="176A54AD"/>
    <w:rsid w:val="176F1347"/>
    <w:rsid w:val="1780603B"/>
    <w:rsid w:val="17874D8D"/>
    <w:rsid w:val="179727A7"/>
    <w:rsid w:val="17A245DC"/>
    <w:rsid w:val="17A61C6F"/>
    <w:rsid w:val="17B0594D"/>
    <w:rsid w:val="17B27A9B"/>
    <w:rsid w:val="17B926ED"/>
    <w:rsid w:val="17BA79E2"/>
    <w:rsid w:val="17BC4772"/>
    <w:rsid w:val="17D12728"/>
    <w:rsid w:val="17D24DD8"/>
    <w:rsid w:val="17E60A7A"/>
    <w:rsid w:val="17EE5C10"/>
    <w:rsid w:val="17EF54C7"/>
    <w:rsid w:val="17F07560"/>
    <w:rsid w:val="17F84D97"/>
    <w:rsid w:val="17FB38A2"/>
    <w:rsid w:val="18030739"/>
    <w:rsid w:val="18090844"/>
    <w:rsid w:val="180B7A5E"/>
    <w:rsid w:val="180C0AFD"/>
    <w:rsid w:val="18117B13"/>
    <w:rsid w:val="181870D4"/>
    <w:rsid w:val="181A62D9"/>
    <w:rsid w:val="182251D3"/>
    <w:rsid w:val="182E5E4C"/>
    <w:rsid w:val="1833144C"/>
    <w:rsid w:val="183E096C"/>
    <w:rsid w:val="184F2CDA"/>
    <w:rsid w:val="18685DE7"/>
    <w:rsid w:val="186A2283"/>
    <w:rsid w:val="1876019B"/>
    <w:rsid w:val="187C0DEA"/>
    <w:rsid w:val="188365CF"/>
    <w:rsid w:val="189F6C54"/>
    <w:rsid w:val="18A73433"/>
    <w:rsid w:val="18A763D9"/>
    <w:rsid w:val="18AB19DB"/>
    <w:rsid w:val="18AD51D7"/>
    <w:rsid w:val="18D11090"/>
    <w:rsid w:val="18D25C5F"/>
    <w:rsid w:val="18DB65A0"/>
    <w:rsid w:val="18E03DC5"/>
    <w:rsid w:val="18E57B20"/>
    <w:rsid w:val="18EA00FB"/>
    <w:rsid w:val="18F2614B"/>
    <w:rsid w:val="18F46A0A"/>
    <w:rsid w:val="18FA3995"/>
    <w:rsid w:val="18FB18A2"/>
    <w:rsid w:val="18FB50F2"/>
    <w:rsid w:val="190800BC"/>
    <w:rsid w:val="190A14A1"/>
    <w:rsid w:val="19161AC1"/>
    <w:rsid w:val="19234C01"/>
    <w:rsid w:val="19273717"/>
    <w:rsid w:val="192D0E31"/>
    <w:rsid w:val="192E2A29"/>
    <w:rsid w:val="192E7999"/>
    <w:rsid w:val="1933023C"/>
    <w:rsid w:val="19354C84"/>
    <w:rsid w:val="19584C54"/>
    <w:rsid w:val="195949B2"/>
    <w:rsid w:val="1967305E"/>
    <w:rsid w:val="19677EDB"/>
    <w:rsid w:val="19681C0E"/>
    <w:rsid w:val="198A612F"/>
    <w:rsid w:val="19903A06"/>
    <w:rsid w:val="199E7A91"/>
    <w:rsid w:val="19BC3BD8"/>
    <w:rsid w:val="19CA2ECA"/>
    <w:rsid w:val="19CB2EF4"/>
    <w:rsid w:val="19D87405"/>
    <w:rsid w:val="19E055A8"/>
    <w:rsid w:val="19E0599C"/>
    <w:rsid w:val="19F11A9A"/>
    <w:rsid w:val="1A036BA3"/>
    <w:rsid w:val="1A0B43D6"/>
    <w:rsid w:val="1A241336"/>
    <w:rsid w:val="1A2A63F9"/>
    <w:rsid w:val="1A31116E"/>
    <w:rsid w:val="1A311711"/>
    <w:rsid w:val="1A312118"/>
    <w:rsid w:val="1A3E158C"/>
    <w:rsid w:val="1A401B3F"/>
    <w:rsid w:val="1A4101E8"/>
    <w:rsid w:val="1A4F3D41"/>
    <w:rsid w:val="1A5E03C2"/>
    <w:rsid w:val="1A5E2B30"/>
    <w:rsid w:val="1A67697A"/>
    <w:rsid w:val="1A6B29D9"/>
    <w:rsid w:val="1A6E5D76"/>
    <w:rsid w:val="1A716BEE"/>
    <w:rsid w:val="1A7421CF"/>
    <w:rsid w:val="1A7936B8"/>
    <w:rsid w:val="1A8A0F34"/>
    <w:rsid w:val="1A9E0C15"/>
    <w:rsid w:val="1A9F4369"/>
    <w:rsid w:val="1AA743DD"/>
    <w:rsid w:val="1AA96E85"/>
    <w:rsid w:val="1AAA519D"/>
    <w:rsid w:val="1AAE3F81"/>
    <w:rsid w:val="1AB50EE5"/>
    <w:rsid w:val="1AB6087E"/>
    <w:rsid w:val="1AC31C19"/>
    <w:rsid w:val="1AD054F8"/>
    <w:rsid w:val="1AD4046B"/>
    <w:rsid w:val="1AE56801"/>
    <w:rsid w:val="1AE678CE"/>
    <w:rsid w:val="1AE946EE"/>
    <w:rsid w:val="1AEE5D74"/>
    <w:rsid w:val="1AF62694"/>
    <w:rsid w:val="1AFA67BD"/>
    <w:rsid w:val="1AFD680B"/>
    <w:rsid w:val="1AFD7373"/>
    <w:rsid w:val="1B090710"/>
    <w:rsid w:val="1B0A5DC1"/>
    <w:rsid w:val="1B0D0F4D"/>
    <w:rsid w:val="1B0E73B3"/>
    <w:rsid w:val="1B11251A"/>
    <w:rsid w:val="1B1D3DDF"/>
    <w:rsid w:val="1B1F0B65"/>
    <w:rsid w:val="1B2916E5"/>
    <w:rsid w:val="1B40507B"/>
    <w:rsid w:val="1B405D43"/>
    <w:rsid w:val="1B4548E5"/>
    <w:rsid w:val="1B4E5DFC"/>
    <w:rsid w:val="1B506076"/>
    <w:rsid w:val="1B5A5883"/>
    <w:rsid w:val="1B5F7FA7"/>
    <w:rsid w:val="1B610FF3"/>
    <w:rsid w:val="1B63668C"/>
    <w:rsid w:val="1B75252A"/>
    <w:rsid w:val="1B773D4F"/>
    <w:rsid w:val="1B7C14A1"/>
    <w:rsid w:val="1B821D08"/>
    <w:rsid w:val="1B862833"/>
    <w:rsid w:val="1B8F4135"/>
    <w:rsid w:val="1B8F46A0"/>
    <w:rsid w:val="1B96294F"/>
    <w:rsid w:val="1BA0432B"/>
    <w:rsid w:val="1BB77278"/>
    <w:rsid w:val="1BBA7D60"/>
    <w:rsid w:val="1BBE4EC6"/>
    <w:rsid w:val="1BC83389"/>
    <w:rsid w:val="1BCA08C8"/>
    <w:rsid w:val="1BCF63B0"/>
    <w:rsid w:val="1BD029B6"/>
    <w:rsid w:val="1BD46CB0"/>
    <w:rsid w:val="1BD5178C"/>
    <w:rsid w:val="1BD97A80"/>
    <w:rsid w:val="1BDB5678"/>
    <w:rsid w:val="1BE71058"/>
    <w:rsid w:val="1BE77DFC"/>
    <w:rsid w:val="1BEB4C2C"/>
    <w:rsid w:val="1BEB7AB6"/>
    <w:rsid w:val="1BF15A07"/>
    <w:rsid w:val="1BF27CCF"/>
    <w:rsid w:val="1BFA2FF9"/>
    <w:rsid w:val="1BFA3269"/>
    <w:rsid w:val="1C0434B2"/>
    <w:rsid w:val="1C056ECA"/>
    <w:rsid w:val="1C157D90"/>
    <w:rsid w:val="1C1F6CF4"/>
    <w:rsid w:val="1C216234"/>
    <w:rsid w:val="1C2557CC"/>
    <w:rsid w:val="1C2B7889"/>
    <w:rsid w:val="1C387981"/>
    <w:rsid w:val="1C3B7046"/>
    <w:rsid w:val="1C3D13EB"/>
    <w:rsid w:val="1C4C143F"/>
    <w:rsid w:val="1C4F1FFA"/>
    <w:rsid w:val="1C617A22"/>
    <w:rsid w:val="1C65129F"/>
    <w:rsid w:val="1C6D3C01"/>
    <w:rsid w:val="1C6E2DCC"/>
    <w:rsid w:val="1C7437E0"/>
    <w:rsid w:val="1C7D08AC"/>
    <w:rsid w:val="1C7F13F7"/>
    <w:rsid w:val="1C803DBA"/>
    <w:rsid w:val="1C843076"/>
    <w:rsid w:val="1C8B02A0"/>
    <w:rsid w:val="1C8F2CAC"/>
    <w:rsid w:val="1C945E62"/>
    <w:rsid w:val="1C95113D"/>
    <w:rsid w:val="1C9B54DF"/>
    <w:rsid w:val="1C9F66C8"/>
    <w:rsid w:val="1CAB6E93"/>
    <w:rsid w:val="1CB75B94"/>
    <w:rsid w:val="1CB772D9"/>
    <w:rsid w:val="1CBB5035"/>
    <w:rsid w:val="1CBE5564"/>
    <w:rsid w:val="1CC0422B"/>
    <w:rsid w:val="1CCA246C"/>
    <w:rsid w:val="1CCC703D"/>
    <w:rsid w:val="1CD63CAB"/>
    <w:rsid w:val="1CD840AA"/>
    <w:rsid w:val="1CE20E79"/>
    <w:rsid w:val="1CE767B2"/>
    <w:rsid w:val="1CF10230"/>
    <w:rsid w:val="1CFA1714"/>
    <w:rsid w:val="1CFC7D16"/>
    <w:rsid w:val="1D040938"/>
    <w:rsid w:val="1D065F12"/>
    <w:rsid w:val="1D0E580F"/>
    <w:rsid w:val="1D0F4A6C"/>
    <w:rsid w:val="1D1518E9"/>
    <w:rsid w:val="1D201BEC"/>
    <w:rsid w:val="1D2A5313"/>
    <w:rsid w:val="1D405181"/>
    <w:rsid w:val="1D4403D9"/>
    <w:rsid w:val="1D504FA4"/>
    <w:rsid w:val="1D5507B0"/>
    <w:rsid w:val="1D5C1E36"/>
    <w:rsid w:val="1D5E0613"/>
    <w:rsid w:val="1D846372"/>
    <w:rsid w:val="1D975171"/>
    <w:rsid w:val="1D9D356A"/>
    <w:rsid w:val="1D9E440E"/>
    <w:rsid w:val="1DAC3AA0"/>
    <w:rsid w:val="1DB37CFA"/>
    <w:rsid w:val="1DBD5182"/>
    <w:rsid w:val="1DC82412"/>
    <w:rsid w:val="1DEA0685"/>
    <w:rsid w:val="1DEC327A"/>
    <w:rsid w:val="1DEF076F"/>
    <w:rsid w:val="1DF1509D"/>
    <w:rsid w:val="1DF92447"/>
    <w:rsid w:val="1E036FCE"/>
    <w:rsid w:val="1E0C2701"/>
    <w:rsid w:val="1E0E6AFA"/>
    <w:rsid w:val="1E0F7022"/>
    <w:rsid w:val="1E1C3098"/>
    <w:rsid w:val="1E1D398A"/>
    <w:rsid w:val="1E37321D"/>
    <w:rsid w:val="1E3A3838"/>
    <w:rsid w:val="1E3B306D"/>
    <w:rsid w:val="1E3D2979"/>
    <w:rsid w:val="1E4104FD"/>
    <w:rsid w:val="1E4163FC"/>
    <w:rsid w:val="1E4241EF"/>
    <w:rsid w:val="1E4419FE"/>
    <w:rsid w:val="1E4E1A57"/>
    <w:rsid w:val="1E4E34C7"/>
    <w:rsid w:val="1E4E4A3D"/>
    <w:rsid w:val="1E581686"/>
    <w:rsid w:val="1E5B4AA6"/>
    <w:rsid w:val="1E6500BF"/>
    <w:rsid w:val="1E690A57"/>
    <w:rsid w:val="1E6E0489"/>
    <w:rsid w:val="1E6F7DA5"/>
    <w:rsid w:val="1E74426A"/>
    <w:rsid w:val="1E82066D"/>
    <w:rsid w:val="1E850848"/>
    <w:rsid w:val="1E943E4C"/>
    <w:rsid w:val="1E987366"/>
    <w:rsid w:val="1EB82435"/>
    <w:rsid w:val="1EBA2573"/>
    <w:rsid w:val="1EC25CD2"/>
    <w:rsid w:val="1EC66190"/>
    <w:rsid w:val="1ECA4FED"/>
    <w:rsid w:val="1ED36602"/>
    <w:rsid w:val="1ED3667D"/>
    <w:rsid w:val="1ED460BE"/>
    <w:rsid w:val="1ED918F0"/>
    <w:rsid w:val="1EDF6C2C"/>
    <w:rsid w:val="1EE06C8F"/>
    <w:rsid w:val="1EEB5D4D"/>
    <w:rsid w:val="1EED77D2"/>
    <w:rsid w:val="1EF24653"/>
    <w:rsid w:val="1EF24C05"/>
    <w:rsid w:val="1EF97345"/>
    <w:rsid w:val="1EFA6C70"/>
    <w:rsid w:val="1F0034E9"/>
    <w:rsid w:val="1F0C0694"/>
    <w:rsid w:val="1F103080"/>
    <w:rsid w:val="1F1478EC"/>
    <w:rsid w:val="1F147ED5"/>
    <w:rsid w:val="1F181798"/>
    <w:rsid w:val="1F1D0099"/>
    <w:rsid w:val="1F233E4E"/>
    <w:rsid w:val="1F247CB0"/>
    <w:rsid w:val="1F2A6433"/>
    <w:rsid w:val="1F3472CB"/>
    <w:rsid w:val="1F393C2D"/>
    <w:rsid w:val="1F3B0C11"/>
    <w:rsid w:val="1F3F7B73"/>
    <w:rsid w:val="1F44301F"/>
    <w:rsid w:val="1F467EB2"/>
    <w:rsid w:val="1F4B15BC"/>
    <w:rsid w:val="1F506314"/>
    <w:rsid w:val="1F5533D5"/>
    <w:rsid w:val="1F5B0028"/>
    <w:rsid w:val="1F702405"/>
    <w:rsid w:val="1F8E4A92"/>
    <w:rsid w:val="1F903753"/>
    <w:rsid w:val="1F9610B3"/>
    <w:rsid w:val="1F9772EB"/>
    <w:rsid w:val="1F9B1D74"/>
    <w:rsid w:val="1FA318D5"/>
    <w:rsid w:val="1FA7646C"/>
    <w:rsid w:val="1FB13D6B"/>
    <w:rsid w:val="1FB47A2F"/>
    <w:rsid w:val="1FB7103A"/>
    <w:rsid w:val="1FBA2CF7"/>
    <w:rsid w:val="1FE52321"/>
    <w:rsid w:val="1FE70D17"/>
    <w:rsid w:val="1FF5147F"/>
    <w:rsid w:val="20014E73"/>
    <w:rsid w:val="20036D5E"/>
    <w:rsid w:val="20076AE7"/>
    <w:rsid w:val="20197940"/>
    <w:rsid w:val="20410870"/>
    <w:rsid w:val="204B16C3"/>
    <w:rsid w:val="20677BEA"/>
    <w:rsid w:val="206C2809"/>
    <w:rsid w:val="206E7D70"/>
    <w:rsid w:val="206F43D6"/>
    <w:rsid w:val="20791826"/>
    <w:rsid w:val="207E424C"/>
    <w:rsid w:val="207F53D7"/>
    <w:rsid w:val="208828C6"/>
    <w:rsid w:val="20945EC6"/>
    <w:rsid w:val="20A929C8"/>
    <w:rsid w:val="20B36E9E"/>
    <w:rsid w:val="20B53B26"/>
    <w:rsid w:val="20C841BD"/>
    <w:rsid w:val="20D2281D"/>
    <w:rsid w:val="20D95B86"/>
    <w:rsid w:val="20EB0D84"/>
    <w:rsid w:val="20ED6CE8"/>
    <w:rsid w:val="20F30FEF"/>
    <w:rsid w:val="20FE3FDE"/>
    <w:rsid w:val="21192317"/>
    <w:rsid w:val="211965D1"/>
    <w:rsid w:val="21321A13"/>
    <w:rsid w:val="21382D96"/>
    <w:rsid w:val="21390795"/>
    <w:rsid w:val="213B3616"/>
    <w:rsid w:val="214404C9"/>
    <w:rsid w:val="2147236C"/>
    <w:rsid w:val="21490C41"/>
    <w:rsid w:val="214E496B"/>
    <w:rsid w:val="215C3726"/>
    <w:rsid w:val="215C78D1"/>
    <w:rsid w:val="217C473C"/>
    <w:rsid w:val="21813113"/>
    <w:rsid w:val="218615EC"/>
    <w:rsid w:val="21883C8D"/>
    <w:rsid w:val="218C2F9C"/>
    <w:rsid w:val="219A43F9"/>
    <w:rsid w:val="21A56AF5"/>
    <w:rsid w:val="21B86CA6"/>
    <w:rsid w:val="21BC46D7"/>
    <w:rsid w:val="21C67E02"/>
    <w:rsid w:val="21E13C58"/>
    <w:rsid w:val="21E5308A"/>
    <w:rsid w:val="21E761D0"/>
    <w:rsid w:val="21E8421C"/>
    <w:rsid w:val="220138FF"/>
    <w:rsid w:val="22020F9C"/>
    <w:rsid w:val="22033DA0"/>
    <w:rsid w:val="220F5C44"/>
    <w:rsid w:val="22153CEF"/>
    <w:rsid w:val="222A0F2D"/>
    <w:rsid w:val="222B0537"/>
    <w:rsid w:val="22311C10"/>
    <w:rsid w:val="224A108D"/>
    <w:rsid w:val="224A76E8"/>
    <w:rsid w:val="224C3665"/>
    <w:rsid w:val="224E530E"/>
    <w:rsid w:val="227118C4"/>
    <w:rsid w:val="227A2634"/>
    <w:rsid w:val="228D2F50"/>
    <w:rsid w:val="2294211F"/>
    <w:rsid w:val="229A7EDD"/>
    <w:rsid w:val="22A0444E"/>
    <w:rsid w:val="22AE0860"/>
    <w:rsid w:val="22BC0F4A"/>
    <w:rsid w:val="22C14C18"/>
    <w:rsid w:val="22C2698E"/>
    <w:rsid w:val="22C348E5"/>
    <w:rsid w:val="22CD43A7"/>
    <w:rsid w:val="22CF2FA9"/>
    <w:rsid w:val="22D32D50"/>
    <w:rsid w:val="22D410CC"/>
    <w:rsid w:val="22D72F6C"/>
    <w:rsid w:val="22E267F9"/>
    <w:rsid w:val="22E448F2"/>
    <w:rsid w:val="22EB7249"/>
    <w:rsid w:val="22F9367A"/>
    <w:rsid w:val="230A382B"/>
    <w:rsid w:val="230D3B9D"/>
    <w:rsid w:val="23163498"/>
    <w:rsid w:val="232240F6"/>
    <w:rsid w:val="23333CA1"/>
    <w:rsid w:val="23390503"/>
    <w:rsid w:val="233B27C1"/>
    <w:rsid w:val="23505039"/>
    <w:rsid w:val="235A22BF"/>
    <w:rsid w:val="235F5429"/>
    <w:rsid w:val="23632BB8"/>
    <w:rsid w:val="23640FB0"/>
    <w:rsid w:val="23642049"/>
    <w:rsid w:val="2368268D"/>
    <w:rsid w:val="2371139D"/>
    <w:rsid w:val="23797F46"/>
    <w:rsid w:val="23836902"/>
    <w:rsid w:val="23872CE5"/>
    <w:rsid w:val="238C3EED"/>
    <w:rsid w:val="23932D62"/>
    <w:rsid w:val="23995E62"/>
    <w:rsid w:val="239E5DAB"/>
    <w:rsid w:val="23A27DE9"/>
    <w:rsid w:val="23B52D71"/>
    <w:rsid w:val="23BF14A7"/>
    <w:rsid w:val="23C24044"/>
    <w:rsid w:val="23CD3C1F"/>
    <w:rsid w:val="23D06E28"/>
    <w:rsid w:val="23D108F4"/>
    <w:rsid w:val="23D2373C"/>
    <w:rsid w:val="23D30F57"/>
    <w:rsid w:val="23D427EC"/>
    <w:rsid w:val="23D52455"/>
    <w:rsid w:val="23E30FB9"/>
    <w:rsid w:val="23E55BB7"/>
    <w:rsid w:val="23E86947"/>
    <w:rsid w:val="23EB0E0A"/>
    <w:rsid w:val="23F93412"/>
    <w:rsid w:val="24003E36"/>
    <w:rsid w:val="24025F67"/>
    <w:rsid w:val="24026973"/>
    <w:rsid w:val="24082FFD"/>
    <w:rsid w:val="241729C7"/>
    <w:rsid w:val="242C4A12"/>
    <w:rsid w:val="24322172"/>
    <w:rsid w:val="24360D1A"/>
    <w:rsid w:val="243E2796"/>
    <w:rsid w:val="243F33CD"/>
    <w:rsid w:val="24473F3B"/>
    <w:rsid w:val="24540554"/>
    <w:rsid w:val="245A2573"/>
    <w:rsid w:val="245C6C30"/>
    <w:rsid w:val="24626C85"/>
    <w:rsid w:val="24691C87"/>
    <w:rsid w:val="246B71DD"/>
    <w:rsid w:val="24804C37"/>
    <w:rsid w:val="248165DC"/>
    <w:rsid w:val="249D0F40"/>
    <w:rsid w:val="24AE0576"/>
    <w:rsid w:val="24B67523"/>
    <w:rsid w:val="24B842AD"/>
    <w:rsid w:val="24BD6B45"/>
    <w:rsid w:val="24CC50D0"/>
    <w:rsid w:val="24CD4D69"/>
    <w:rsid w:val="24DB4FFF"/>
    <w:rsid w:val="24F87B69"/>
    <w:rsid w:val="24FC4ED2"/>
    <w:rsid w:val="25023CB2"/>
    <w:rsid w:val="250A6D88"/>
    <w:rsid w:val="251A608E"/>
    <w:rsid w:val="251D24AE"/>
    <w:rsid w:val="252129F0"/>
    <w:rsid w:val="25223DB4"/>
    <w:rsid w:val="252416AF"/>
    <w:rsid w:val="25244912"/>
    <w:rsid w:val="252657F0"/>
    <w:rsid w:val="252C75B8"/>
    <w:rsid w:val="253359F2"/>
    <w:rsid w:val="25384E31"/>
    <w:rsid w:val="253F67E1"/>
    <w:rsid w:val="254B4B18"/>
    <w:rsid w:val="254C6617"/>
    <w:rsid w:val="25514417"/>
    <w:rsid w:val="25567657"/>
    <w:rsid w:val="25622A5F"/>
    <w:rsid w:val="2572244F"/>
    <w:rsid w:val="257738AF"/>
    <w:rsid w:val="257F4A05"/>
    <w:rsid w:val="259E71CD"/>
    <w:rsid w:val="25A662D7"/>
    <w:rsid w:val="25A86E75"/>
    <w:rsid w:val="25AE2938"/>
    <w:rsid w:val="25B31D75"/>
    <w:rsid w:val="25B62DE4"/>
    <w:rsid w:val="25BB0385"/>
    <w:rsid w:val="25BC2871"/>
    <w:rsid w:val="25CA0921"/>
    <w:rsid w:val="25CB0C18"/>
    <w:rsid w:val="25D13AEB"/>
    <w:rsid w:val="25E2769B"/>
    <w:rsid w:val="25EB34F5"/>
    <w:rsid w:val="260439C2"/>
    <w:rsid w:val="2614654A"/>
    <w:rsid w:val="261D13BC"/>
    <w:rsid w:val="262327EE"/>
    <w:rsid w:val="262B6CE7"/>
    <w:rsid w:val="26355224"/>
    <w:rsid w:val="26455B3C"/>
    <w:rsid w:val="26481395"/>
    <w:rsid w:val="26491D5B"/>
    <w:rsid w:val="26564D95"/>
    <w:rsid w:val="265854DC"/>
    <w:rsid w:val="26635755"/>
    <w:rsid w:val="26663282"/>
    <w:rsid w:val="266C407E"/>
    <w:rsid w:val="266D5DB7"/>
    <w:rsid w:val="266F1818"/>
    <w:rsid w:val="26776AED"/>
    <w:rsid w:val="26784417"/>
    <w:rsid w:val="267E6519"/>
    <w:rsid w:val="26831E62"/>
    <w:rsid w:val="26873A39"/>
    <w:rsid w:val="26886FB3"/>
    <w:rsid w:val="268C4B6E"/>
    <w:rsid w:val="268F769A"/>
    <w:rsid w:val="26907D50"/>
    <w:rsid w:val="269C2A2E"/>
    <w:rsid w:val="269F0E4A"/>
    <w:rsid w:val="26A96406"/>
    <w:rsid w:val="26AE3074"/>
    <w:rsid w:val="26B038E9"/>
    <w:rsid w:val="26C61FE4"/>
    <w:rsid w:val="26CA7121"/>
    <w:rsid w:val="26D1358C"/>
    <w:rsid w:val="26D54139"/>
    <w:rsid w:val="26DE480D"/>
    <w:rsid w:val="26E42734"/>
    <w:rsid w:val="26E44D57"/>
    <w:rsid w:val="26E524AA"/>
    <w:rsid w:val="26EE1993"/>
    <w:rsid w:val="26EE3EA9"/>
    <w:rsid w:val="270D2469"/>
    <w:rsid w:val="270E5029"/>
    <w:rsid w:val="271725DF"/>
    <w:rsid w:val="271B7370"/>
    <w:rsid w:val="271C25AF"/>
    <w:rsid w:val="271D191F"/>
    <w:rsid w:val="272969A2"/>
    <w:rsid w:val="27316337"/>
    <w:rsid w:val="27494C9F"/>
    <w:rsid w:val="2756711B"/>
    <w:rsid w:val="27571033"/>
    <w:rsid w:val="275C3ED9"/>
    <w:rsid w:val="275D10E9"/>
    <w:rsid w:val="27602319"/>
    <w:rsid w:val="27627383"/>
    <w:rsid w:val="276655F9"/>
    <w:rsid w:val="2774770C"/>
    <w:rsid w:val="277664C2"/>
    <w:rsid w:val="277E6196"/>
    <w:rsid w:val="27902370"/>
    <w:rsid w:val="279132F5"/>
    <w:rsid w:val="279273E5"/>
    <w:rsid w:val="279957D8"/>
    <w:rsid w:val="279A5F86"/>
    <w:rsid w:val="27A512B4"/>
    <w:rsid w:val="27AC3F4C"/>
    <w:rsid w:val="27B11BCE"/>
    <w:rsid w:val="27B22C99"/>
    <w:rsid w:val="27B37CFF"/>
    <w:rsid w:val="27B51E82"/>
    <w:rsid w:val="27C83884"/>
    <w:rsid w:val="27D75754"/>
    <w:rsid w:val="27DD44BD"/>
    <w:rsid w:val="27DE44F3"/>
    <w:rsid w:val="27E00E49"/>
    <w:rsid w:val="27E025E3"/>
    <w:rsid w:val="27E31C81"/>
    <w:rsid w:val="27E87EB2"/>
    <w:rsid w:val="27F16052"/>
    <w:rsid w:val="27F843F9"/>
    <w:rsid w:val="27FC037A"/>
    <w:rsid w:val="27FC77A0"/>
    <w:rsid w:val="280011EB"/>
    <w:rsid w:val="28077C52"/>
    <w:rsid w:val="280A77E0"/>
    <w:rsid w:val="28165B2E"/>
    <w:rsid w:val="28273885"/>
    <w:rsid w:val="2832361F"/>
    <w:rsid w:val="283D65AE"/>
    <w:rsid w:val="2847022F"/>
    <w:rsid w:val="284C53A3"/>
    <w:rsid w:val="28537D18"/>
    <w:rsid w:val="285904B0"/>
    <w:rsid w:val="2859784A"/>
    <w:rsid w:val="28633F56"/>
    <w:rsid w:val="28673C43"/>
    <w:rsid w:val="286C5825"/>
    <w:rsid w:val="28800D94"/>
    <w:rsid w:val="2884790D"/>
    <w:rsid w:val="288904C9"/>
    <w:rsid w:val="28902969"/>
    <w:rsid w:val="28923C54"/>
    <w:rsid w:val="28974527"/>
    <w:rsid w:val="289926DD"/>
    <w:rsid w:val="289B7222"/>
    <w:rsid w:val="28A048D2"/>
    <w:rsid w:val="28A33108"/>
    <w:rsid w:val="28A42A77"/>
    <w:rsid w:val="28A51801"/>
    <w:rsid w:val="28AA34FB"/>
    <w:rsid w:val="28AF349F"/>
    <w:rsid w:val="28B9156D"/>
    <w:rsid w:val="28BA5168"/>
    <w:rsid w:val="28BB4BB3"/>
    <w:rsid w:val="28C6693F"/>
    <w:rsid w:val="28C72AD9"/>
    <w:rsid w:val="28C85178"/>
    <w:rsid w:val="28DC6197"/>
    <w:rsid w:val="28F20CD2"/>
    <w:rsid w:val="28F32944"/>
    <w:rsid w:val="28FD64D7"/>
    <w:rsid w:val="290D35E1"/>
    <w:rsid w:val="29121205"/>
    <w:rsid w:val="29153DEE"/>
    <w:rsid w:val="2927562A"/>
    <w:rsid w:val="292909F1"/>
    <w:rsid w:val="293107D2"/>
    <w:rsid w:val="29423EF2"/>
    <w:rsid w:val="29464ACE"/>
    <w:rsid w:val="29587DFA"/>
    <w:rsid w:val="29592BB1"/>
    <w:rsid w:val="295E36CF"/>
    <w:rsid w:val="296177A4"/>
    <w:rsid w:val="29626662"/>
    <w:rsid w:val="2965703F"/>
    <w:rsid w:val="296A3063"/>
    <w:rsid w:val="296E3DDF"/>
    <w:rsid w:val="29703302"/>
    <w:rsid w:val="297154B3"/>
    <w:rsid w:val="29796E93"/>
    <w:rsid w:val="297A56A8"/>
    <w:rsid w:val="298C5D80"/>
    <w:rsid w:val="2990451B"/>
    <w:rsid w:val="29A053DC"/>
    <w:rsid w:val="29A205DE"/>
    <w:rsid w:val="29A25ACD"/>
    <w:rsid w:val="29AA5B4C"/>
    <w:rsid w:val="29AB5343"/>
    <w:rsid w:val="29AE6870"/>
    <w:rsid w:val="29B26810"/>
    <w:rsid w:val="29BA5809"/>
    <w:rsid w:val="29C64E2E"/>
    <w:rsid w:val="29D1351A"/>
    <w:rsid w:val="29D22306"/>
    <w:rsid w:val="29D23DD9"/>
    <w:rsid w:val="29D73B83"/>
    <w:rsid w:val="29EA7835"/>
    <w:rsid w:val="29EC402F"/>
    <w:rsid w:val="29EE6E5C"/>
    <w:rsid w:val="29F642BA"/>
    <w:rsid w:val="29F925DD"/>
    <w:rsid w:val="29F950BF"/>
    <w:rsid w:val="29FF2DE0"/>
    <w:rsid w:val="2A025CA4"/>
    <w:rsid w:val="2A120A71"/>
    <w:rsid w:val="2A131E21"/>
    <w:rsid w:val="2A1375A7"/>
    <w:rsid w:val="2A17684F"/>
    <w:rsid w:val="2A192D9F"/>
    <w:rsid w:val="2A1A0CA3"/>
    <w:rsid w:val="2A1E360D"/>
    <w:rsid w:val="2A1F2105"/>
    <w:rsid w:val="2A1F7557"/>
    <w:rsid w:val="2A272C3F"/>
    <w:rsid w:val="2A3215FA"/>
    <w:rsid w:val="2A3D1040"/>
    <w:rsid w:val="2A3D200C"/>
    <w:rsid w:val="2A407BE7"/>
    <w:rsid w:val="2A462E4E"/>
    <w:rsid w:val="2A4717DC"/>
    <w:rsid w:val="2A5B1EFD"/>
    <w:rsid w:val="2A6A463C"/>
    <w:rsid w:val="2A6B4CF3"/>
    <w:rsid w:val="2A7409D2"/>
    <w:rsid w:val="2A742098"/>
    <w:rsid w:val="2A7F4D44"/>
    <w:rsid w:val="2A7F65E1"/>
    <w:rsid w:val="2A8A6BFC"/>
    <w:rsid w:val="2A8B7A34"/>
    <w:rsid w:val="2A94182E"/>
    <w:rsid w:val="2A967FBC"/>
    <w:rsid w:val="2A996835"/>
    <w:rsid w:val="2A9C0585"/>
    <w:rsid w:val="2A9C66BF"/>
    <w:rsid w:val="2A9C76F4"/>
    <w:rsid w:val="2AA5589B"/>
    <w:rsid w:val="2AC22ABA"/>
    <w:rsid w:val="2AD20567"/>
    <w:rsid w:val="2AD40439"/>
    <w:rsid w:val="2AD405B4"/>
    <w:rsid w:val="2AD636E3"/>
    <w:rsid w:val="2ADE501D"/>
    <w:rsid w:val="2AE046A9"/>
    <w:rsid w:val="2AE5634E"/>
    <w:rsid w:val="2AF03F94"/>
    <w:rsid w:val="2AF1578A"/>
    <w:rsid w:val="2AF54800"/>
    <w:rsid w:val="2AFB0C93"/>
    <w:rsid w:val="2B124AAA"/>
    <w:rsid w:val="2B217AF7"/>
    <w:rsid w:val="2B237F61"/>
    <w:rsid w:val="2B256729"/>
    <w:rsid w:val="2B2C7381"/>
    <w:rsid w:val="2B356B66"/>
    <w:rsid w:val="2B3C296C"/>
    <w:rsid w:val="2B4749DA"/>
    <w:rsid w:val="2B485E04"/>
    <w:rsid w:val="2B4A732D"/>
    <w:rsid w:val="2B604AAA"/>
    <w:rsid w:val="2B614186"/>
    <w:rsid w:val="2B6233E8"/>
    <w:rsid w:val="2B7645A4"/>
    <w:rsid w:val="2B78024E"/>
    <w:rsid w:val="2B80401C"/>
    <w:rsid w:val="2B823A00"/>
    <w:rsid w:val="2B8D7F90"/>
    <w:rsid w:val="2B9569B0"/>
    <w:rsid w:val="2B9B022E"/>
    <w:rsid w:val="2B9D0D74"/>
    <w:rsid w:val="2BA2070E"/>
    <w:rsid w:val="2BAA5FAA"/>
    <w:rsid w:val="2BB052E8"/>
    <w:rsid w:val="2BB86AF1"/>
    <w:rsid w:val="2BBD1B76"/>
    <w:rsid w:val="2BC03CBC"/>
    <w:rsid w:val="2BC0427F"/>
    <w:rsid w:val="2BC94187"/>
    <w:rsid w:val="2BCD636C"/>
    <w:rsid w:val="2BD01B21"/>
    <w:rsid w:val="2BDA1365"/>
    <w:rsid w:val="2BDC196B"/>
    <w:rsid w:val="2BE934F0"/>
    <w:rsid w:val="2BE95597"/>
    <w:rsid w:val="2BEC3CA3"/>
    <w:rsid w:val="2BFB7E49"/>
    <w:rsid w:val="2C011E18"/>
    <w:rsid w:val="2C030F60"/>
    <w:rsid w:val="2C082A04"/>
    <w:rsid w:val="2C0B3D13"/>
    <w:rsid w:val="2C1048F5"/>
    <w:rsid w:val="2C1051E7"/>
    <w:rsid w:val="2C162F47"/>
    <w:rsid w:val="2C1B2283"/>
    <w:rsid w:val="2C1E7C3A"/>
    <w:rsid w:val="2C1F3ECC"/>
    <w:rsid w:val="2C24291A"/>
    <w:rsid w:val="2C336E27"/>
    <w:rsid w:val="2C3C1309"/>
    <w:rsid w:val="2C4042ED"/>
    <w:rsid w:val="2C42026C"/>
    <w:rsid w:val="2C464EB8"/>
    <w:rsid w:val="2C49519C"/>
    <w:rsid w:val="2C5A286A"/>
    <w:rsid w:val="2C5B065F"/>
    <w:rsid w:val="2C5C6C9B"/>
    <w:rsid w:val="2C5D5807"/>
    <w:rsid w:val="2C633786"/>
    <w:rsid w:val="2C654010"/>
    <w:rsid w:val="2C691C5B"/>
    <w:rsid w:val="2C6E3EE3"/>
    <w:rsid w:val="2C740550"/>
    <w:rsid w:val="2C743F88"/>
    <w:rsid w:val="2C7953B4"/>
    <w:rsid w:val="2C7C1F8A"/>
    <w:rsid w:val="2C8433C2"/>
    <w:rsid w:val="2C8525C3"/>
    <w:rsid w:val="2C8B7151"/>
    <w:rsid w:val="2C960C7D"/>
    <w:rsid w:val="2C970CA7"/>
    <w:rsid w:val="2CA27F24"/>
    <w:rsid w:val="2CA6175D"/>
    <w:rsid w:val="2CA707FF"/>
    <w:rsid w:val="2CAD2974"/>
    <w:rsid w:val="2CB15D8C"/>
    <w:rsid w:val="2CC04B44"/>
    <w:rsid w:val="2CCC3A8A"/>
    <w:rsid w:val="2CD25FF6"/>
    <w:rsid w:val="2CD6501A"/>
    <w:rsid w:val="2CE8284E"/>
    <w:rsid w:val="2CEA2372"/>
    <w:rsid w:val="2CEB4EE3"/>
    <w:rsid w:val="2CF85B39"/>
    <w:rsid w:val="2D0923AB"/>
    <w:rsid w:val="2D1234FB"/>
    <w:rsid w:val="2D184CBE"/>
    <w:rsid w:val="2D225E32"/>
    <w:rsid w:val="2D2816D8"/>
    <w:rsid w:val="2D2A5CD1"/>
    <w:rsid w:val="2D31317D"/>
    <w:rsid w:val="2D3270DB"/>
    <w:rsid w:val="2D4459A4"/>
    <w:rsid w:val="2D55067F"/>
    <w:rsid w:val="2D656C20"/>
    <w:rsid w:val="2D6575EC"/>
    <w:rsid w:val="2D6B5FF8"/>
    <w:rsid w:val="2D6F0E85"/>
    <w:rsid w:val="2D7153BC"/>
    <w:rsid w:val="2D733CC5"/>
    <w:rsid w:val="2D7C6E5F"/>
    <w:rsid w:val="2D8337D1"/>
    <w:rsid w:val="2DA21756"/>
    <w:rsid w:val="2DA87B5B"/>
    <w:rsid w:val="2DAA3BFC"/>
    <w:rsid w:val="2DAA6907"/>
    <w:rsid w:val="2DB14E11"/>
    <w:rsid w:val="2DB23579"/>
    <w:rsid w:val="2DB63D6A"/>
    <w:rsid w:val="2DD33A33"/>
    <w:rsid w:val="2DD5339A"/>
    <w:rsid w:val="2DD862A4"/>
    <w:rsid w:val="2DD970F1"/>
    <w:rsid w:val="2DDC3D01"/>
    <w:rsid w:val="2DE079CF"/>
    <w:rsid w:val="2DE2461C"/>
    <w:rsid w:val="2DE2701D"/>
    <w:rsid w:val="2DE34026"/>
    <w:rsid w:val="2DED7DFA"/>
    <w:rsid w:val="2DF939FD"/>
    <w:rsid w:val="2E010F22"/>
    <w:rsid w:val="2E014A7A"/>
    <w:rsid w:val="2E0507F6"/>
    <w:rsid w:val="2E0A760D"/>
    <w:rsid w:val="2E0D76F4"/>
    <w:rsid w:val="2E430E39"/>
    <w:rsid w:val="2E432091"/>
    <w:rsid w:val="2E48750F"/>
    <w:rsid w:val="2E4B5A0E"/>
    <w:rsid w:val="2E4E2BC8"/>
    <w:rsid w:val="2E534CCE"/>
    <w:rsid w:val="2E5C008E"/>
    <w:rsid w:val="2E5E5D0F"/>
    <w:rsid w:val="2E6C3ADF"/>
    <w:rsid w:val="2E7F46DA"/>
    <w:rsid w:val="2E813902"/>
    <w:rsid w:val="2E861E29"/>
    <w:rsid w:val="2E872E3D"/>
    <w:rsid w:val="2E8F38D6"/>
    <w:rsid w:val="2E9345AB"/>
    <w:rsid w:val="2E9921C7"/>
    <w:rsid w:val="2E996742"/>
    <w:rsid w:val="2E9A1BE0"/>
    <w:rsid w:val="2EA11458"/>
    <w:rsid w:val="2EA40F80"/>
    <w:rsid w:val="2EAE1185"/>
    <w:rsid w:val="2EB406CC"/>
    <w:rsid w:val="2EB51BB6"/>
    <w:rsid w:val="2EC50D4B"/>
    <w:rsid w:val="2EDA3E8E"/>
    <w:rsid w:val="2EDA55A5"/>
    <w:rsid w:val="2EDF5EFC"/>
    <w:rsid w:val="2EE40C4C"/>
    <w:rsid w:val="2EF56EE3"/>
    <w:rsid w:val="2EFA4801"/>
    <w:rsid w:val="2F01313C"/>
    <w:rsid w:val="2F03725B"/>
    <w:rsid w:val="2F042284"/>
    <w:rsid w:val="2F066438"/>
    <w:rsid w:val="2F103761"/>
    <w:rsid w:val="2F251F8C"/>
    <w:rsid w:val="2F2D5882"/>
    <w:rsid w:val="2F320664"/>
    <w:rsid w:val="2F344610"/>
    <w:rsid w:val="2F3762E5"/>
    <w:rsid w:val="2F395B2B"/>
    <w:rsid w:val="2F3D3B9C"/>
    <w:rsid w:val="2F405C8F"/>
    <w:rsid w:val="2F4525F6"/>
    <w:rsid w:val="2F5644FF"/>
    <w:rsid w:val="2F566BAD"/>
    <w:rsid w:val="2F737526"/>
    <w:rsid w:val="2F924CF6"/>
    <w:rsid w:val="2F9C312F"/>
    <w:rsid w:val="2F9C6B51"/>
    <w:rsid w:val="2FA14E9F"/>
    <w:rsid w:val="2FA855E5"/>
    <w:rsid w:val="2FBC45F2"/>
    <w:rsid w:val="2FC34275"/>
    <w:rsid w:val="2FD37679"/>
    <w:rsid w:val="2FDB3AD2"/>
    <w:rsid w:val="2FDC2BFB"/>
    <w:rsid w:val="2FDD3AA9"/>
    <w:rsid w:val="2FDE3265"/>
    <w:rsid w:val="2FF331BD"/>
    <w:rsid w:val="2FF93D83"/>
    <w:rsid w:val="2FFA2F0A"/>
    <w:rsid w:val="3018672B"/>
    <w:rsid w:val="301D1CA0"/>
    <w:rsid w:val="302C3041"/>
    <w:rsid w:val="30344AD4"/>
    <w:rsid w:val="3038167C"/>
    <w:rsid w:val="303C2806"/>
    <w:rsid w:val="30402A75"/>
    <w:rsid w:val="304324F2"/>
    <w:rsid w:val="30467B28"/>
    <w:rsid w:val="30481219"/>
    <w:rsid w:val="305129F5"/>
    <w:rsid w:val="30593A52"/>
    <w:rsid w:val="305940FD"/>
    <w:rsid w:val="305C5377"/>
    <w:rsid w:val="30621DD7"/>
    <w:rsid w:val="306B7AE0"/>
    <w:rsid w:val="3071032F"/>
    <w:rsid w:val="30711C90"/>
    <w:rsid w:val="307556CD"/>
    <w:rsid w:val="307B5C11"/>
    <w:rsid w:val="30884C0A"/>
    <w:rsid w:val="30957205"/>
    <w:rsid w:val="30972B8C"/>
    <w:rsid w:val="30981DAD"/>
    <w:rsid w:val="3098246A"/>
    <w:rsid w:val="309C445C"/>
    <w:rsid w:val="30A317BF"/>
    <w:rsid w:val="30A5310E"/>
    <w:rsid w:val="30BD2FFD"/>
    <w:rsid w:val="30C97165"/>
    <w:rsid w:val="30E51454"/>
    <w:rsid w:val="30E608E3"/>
    <w:rsid w:val="30F77FF5"/>
    <w:rsid w:val="30FE3126"/>
    <w:rsid w:val="3101110A"/>
    <w:rsid w:val="31045835"/>
    <w:rsid w:val="31081F14"/>
    <w:rsid w:val="311606E0"/>
    <w:rsid w:val="3116221C"/>
    <w:rsid w:val="312A0FB5"/>
    <w:rsid w:val="313C13B3"/>
    <w:rsid w:val="31435E7E"/>
    <w:rsid w:val="31454093"/>
    <w:rsid w:val="314F3F2F"/>
    <w:rsid w:val="31540BBC"/>
    <w:rsid w:val="315E1885"/>
    <w:rsid w:val="315E509F"/>
    <w:rsid w:val="31600CAE"/>
    <w:rsid w:val="316767CD"/>
    <w:rsid w:val="316F553D"/>
    <w:rsid w:val="317C6EC4"/>
    <w:rsid w:val="317E0F6C"/>
    <w:rsid w:val="318329F8"/>
    <w:rsid w:val="318C0616"/>
    <w:rsid w:val="319606F5"/>
    <w:rsid w:val="319C5DFB"/>
    <w:rsid w:val="319D7433"/>
    <w:rsid w:val="31A23CFA"/>
    <w:rsid w:val="31A81FEB"/>
    <w:rsid w:val="31AC549E"/>
    <w:rsid w:val="31B457D3"/>
    <w:rsid w:val="31B804D9"/>
    <w:rsid w:val="31C40A54"/>
    <w:rsid w:val="31D2079F"/>
    <w:rsid w:val="31E22F4B"/>
    <w:rsid w:val="31E51A73"/>
    <w:rsid w:val="31E57895"/>
    <w:rsid w:val="31E6099A"/>
    <w:rsid w:val="31E92DD9"/>
    <w:rsid w:val="31EC0661"/>
    <w:rsid w:val="31F434B3"/>
    <w:rsid w:val="31FA3E15"/>
    <w:rsid w:val="31FD61A8"/>
    <w:rsid w:val="320A693D"/>
    <w:rsid w:val="320F5741"/>
    <w:rsid w:val="3213790C"/>
    <w:rsid w:val="321E1787"/>
    <w:rsid w:val="32261397"/>
    <w:rsid w:val="322D5174"/>
    <w:rsid w:val="32323931"/>
    <w:rsid w:val="32356386"/>
    <w:rsid w:val="32356C79"/>
    <w:rsid w:val="323738DD"/>
    <w:rsid w:val="323C4918"/>
    <w:rsid w:val="323D419D"/>
    <w:rsid w:val="32441C30"/>
    <w:rsid w:val="32474783"/>
    <w:rsid w:val="32531849"/>
    <w:rsid w:val="32557F43"/>
    <w:rsid w:val="32660595"/>
    <w:rsid w:val="32671C48"/>
    <w:rsid w:val="326A20D3"/>
    <w:rsid w:val="32701994"/>
    <w:rsid w:val="32781D39"/>
    <w:rsid w:val="327A531D"/>
    <w:rsid w:val="32806122"/>
    <w:rsid w:val="328B290A"/>
    <w:rsid w:val="328D5E52"/>
    <w:rsid w:val="32901F1E"/>
    <w:rsid w:val="32A13F64"/>
    <w:rsid w:val="32A74F77"/>
    <w:rsid w:val="32AF7663"/>
    <w:rsid w:val="32B0079C"/>
    <w:rsid w:val="32B73498"/>
    <w:rsid w:val="32B80FE0"/>
    <w:rsid w:val="32BC6F66"/>
    <w:rsid w:val="32C616AF"/>
    <w:rsid w:val="32CD20E1"/>
    <w:rsid w:val="32EF4CA4"/>
    <w:rsid w:val="33012173"/>
    <w:rsid w:val="33096BA1"/>
    <w:rsid w:val="33121D46"/>
    <w:rsid w:val="33121DB1"/>
    <w:rsid w:val="33170AD4"/>
    <w:rsid w:val="331C7249"/>
    <w:rsid w:val="331E6519"/>
    <w:rsid w:val="331F1BF8"/>
    <w:rsid w:val="33223891"/>
    <w:rsid w:val="332A16B7"/>
    <w:rsid w:val="334663AB"/>
    <w:rsid w:val="334E278D"/>
    <w:rsid w:val="33501410"/>
    <w:rsid w:val="337656C6"/>
    <w:rsid w:val="33857B1D"/>
    <w:rsid w:val="338874CA"/>
    <w:rsid w:val="339047DC"/>
    <w:rsid w:val="339174E4"/>
    <w:rsid w:val="33922BA4"/>
    <w:rsid w:val="3395257E"/>
    <w:rsid w:val="33962013"/>
    <w:rsid w:val="33977CCF"/>
    <w:rsid w:val="339877B9"/>
    <w:rsid w:val="339C1778"/>
    <w:rsid w:val="339D721B"/>
    <w:rsid w:val="33BA1F47"/>
    <w:rsid w:val="33BB3369"/>
    <w:rsid w:val="33BC3DD1"/>
    <w:rsid w:val="33BD487F"/>
    <w:rsid w:val="33BE22DC"/>
    <w:rsid w:val="33BE5883"/>
    <w:rsid w:val="33C1244A"/>
    <w:rsid w:val="33D1753A"/>
    <w:rsid w:val="33D564A5"/>
    <w:rsid w:val="33DE5F67"/>
    <w:rsid w:val="33DF67D8"/>
    <w:rsid w:val="33E63520"/>
    <w:rsid w:val="33EC331A"/>
    <w:rsid w:val="33EC6FB6"/>
    <w:rsid w:val="33FB5FA1"/>
    <w:rsid w:val="3408241F"/>
    <w:rsid w:val="340A74A4"/>
    <w:rsid w:val="340D6A5E"/>
    <w:rsid w:val="340F15AA"/>
    <w:rsid w:val="342B004A"/>
    <w:rsid w:val="343A2C67"/>
    <w:rsid w:val="343F7D2D"/>
    <w:rsid w:val="345901E2"/>
    <w:rsid w:val="345B0C87"/>
    <w:rsid w:val="345B612A"/>
    <w:rsid w:val="34610E0E"/>
    <w:rsid w:val="346C65E7"/>
    <w:rsid w:val="34776B38"/>
    <w:rsid w:val="347D0F19"/>
    <w:rsid w:val="347F27BE"/>
    <w:rsid w:val="3486767F"/>
    <w:rsid w:val="348A53AC"/>
    <w:rsid w:val="348A615B"/>
    <w:rsid w:val="348D5440"/>
    <w:rsid w:val="34960CBE"/>
    <w:rsid w:val="34996154"/>
    <w:rsid w:val="349A69EF"/>
    <w:rsid w:val="34AA4679"/>
    <w:rsid w:val="34AE1165"/>
    <w:rsid w:val="34C3798A"/>
    <w:rsid w:val="34C41DDC"/>
    <w:rsid w:val="34C52EA2"/>
    <w:rsid w:val="34C60D9C"/>
    <w:rsid w:val="34DB32BB"/>
    <w:rsid w:val="34F35D01"/>
    <w:rsid w:val="34F87CB0"/>
    <w:rsid w:val="35002A15"/>
    <w:rsid w:val="35102070"/>
    <w:rsid w:val="35124A0D"/>
    <w:rsid w:val="351B2D65"/>
    <w:rsid w:val="351B43C7"/>
    <w:rsid w:val="354658AF"/>
    <w:rsid w:val="35497AB7"/>
    <w:rsid w:val="355D6155"/>
    <w:rsid w:val="355E0625"/>
    <w:rsid w:val="355F0732"/>
    <w:rsid w:val="356C3F81"/>
    <w:rsid w:val="356D3631"/>
    <w:rsid w:val="356E1072"/>
    <w:rsid w:val="356F6271"/>
    <w:rsid w:val="35703816"/>
    <w:rsid w:val="35764F4A"/>
    <w:rsid w:val="357D172C"/>
    <w:rsid w:val="35812D9B"/>
    <w:rsid w:val="358304AB"/>
    <w:rsid w:val="358E337A"/>
    <w:rsid w:val="359F7869"/>
    <w:rsid w:val="35A160DC"/>
    <w:rsid w:val="35A20420"/>
    <w:rsid w:val="35A5058B"/>
    <w:rsid w:val="35B218A0"/>
    <w:rsid w:val="35B36EFA"/>
    <w:rsid w:val="35BC4B27"/>
    <w:rsid w:val="35BD2792"/>
    <w:rsid w:val="35C94AEF"/>
    <w:rsid w:val="35E37515"/>
    <w:rsid w:val="35E40A76"/>
    <w:rsid w:val="35E65FA8"/>
    <w:rsid w:val="35E677B6"/>
    <w:rsid w:val="35F60392"/>
    <w:rsid w:val="35F85F71"/>
    <w:rsid w:val="35FA51A5"/>
    <w:rsid w:val="35FB502F"/>
    <w:rsid w:val="35FD3490"/>
    <w:rsid w:val="360E16AE"/>
    <w:rsid w:val="36176647"/>
    <w:rsid w:val="363357CB"/>
    <w:rsid w:val="363E58CF"/>
    <w:rsid w:val="364066FB"/>
    <w:rsid w:val="36495C0A"/>
    <w:rsid w:val="364F5A2A"/>
    <w:rsid w:val="365519F4"/>
    <w:rsid w:val="36595DF6"/>
    <w:rsid w:val="36614384"/>
    <w:rsid w:val="366204B8"/>
    <w:rsid w:val="36631CA0"/>
    <w:rsid w:val="366A6054"/>
    <w:rsid w:val="36717C5A"/>
    <w:rsid w:val="36774942"/>
    <w:rsid w:val="36881634"/>
    <w:rsid w:val="368C76FA"/>
    <w:rsid w:val="368F76FA"/>
    <w:rsid w:val="36923F9D"/>
    <w:rsid w:val="36B12624"/>
    <w:rsid w:val="36B660E9"/>
    <w:rsid w:val="36B71B89"/>
    <w:rsid w:val="36D925A0"/>
    <w:rsid w:val="36DA62AB"/>
    <w:rsid w:val="36E53AF8"/>
    <w:rsid w:val="36E75E4F"/>
    <w:rsid w:val="36F101A1"/>
    <w:rsid w:val="37060463"/>
    <w:rsid w:val="370A5E5F"/>
    <w:rsid w:val="370D0235"/>
    <w:rsid w:val="37143AAA"/>
    <w:rsid w:val="373B1EBD"/>
    <w:rsid w:val="373C7263"/>
    <w:rsid w:val="374B2493"/>
    <w:rsid w:val="374E59E2"/>
    <w:rsid w:val="37520F54"/>
    <w:rsid w:val="37570BCB"/>
    <w:rsid w:val="375B67B8"/>
    <w:rsid w:val="37661CB3"/>
    <w:rsid w:val="376C22F6"/>
    <w:rsid w:val="376D21A7"/>
    <w:rsid w:val="377071F8"/>
    <w:rsid w:val="37707FE0"/>
    <w:rsid w:val="37717766"/>
    <w:rsid w:val="37727E4D"/>
    <w:rsid w:val="3773519C"/>
    <w:rsid w:val="377452B8"/>
    <w:rsid w:val="37773CD2"/>
    <w:rsid w:val="37894E57"/>
    <w:rsid w:val="378F792B"/>
    <w:rsid w:val="37921EAB"/>
    <w:rsid w:val="37A21FE2"/>
    <w:rsid w:val="37AF3A9B"/>
    <w:rsid w:val="37C61413"/>
    <w:rsid w:val="37D02E06"/>
    <w:rsid w:val="37D71B9E"/>
    <w:rsid w:val="37D774B9"/>
    <w:rsid w:val="37D95BC3"/>
    <w:rsid w:val="37DB1B4A"/>
    <w:rsid w:val="37EA3D1D"/>
    <w:rsid w:val="38032ADD"/>
    <w:rsid w:val="380745FD"/>
    <w:rsid w:val="380F70A0"/>
    <w:rsid w:val="38181651"/>
    <w:rsid w:val="381A129D"/>
    <w:rsid w:val="381B3AE1"/>
    <w:rsid w:val="382E7771"/>
    <w:rsid w:val="382F62A9"/>
    <w:rsid w:val="383E473E"/>
    <w:rsid w:val="384445D2"/>
    <w:rsid w:val="38466BC9"/>
    <w:rsid w:val="384F307B"/>
    <w:rsid w:val="38583554"/>
    <w:rsid w:val="385979C8"/>
    <w:rsid w:val="38621032"/>
    <w:rsid w:val="386341A5"/>
    <w:rsid w:val="386C17FE"/>
    <w:rsid w:val="386F71C2"/>
    <w:rsid w:val="38864EE1"/>
    <w:rsid w:val="388D26FF"/>
    <w:rsid w:val="389007B4"/>
    <w:rsid w:val="38901DEA"/>
    <w:rsid w:val="389525C6"/>
    <w:rsid w:val="389C3F60"/>
    <w:rsid w:val="389E28DB"/>
    <w:rsid w:val="38A256ED"/>
    <w:rsid w:val="38B0624E"/>
    <w:rsid w:val="38B4706D"/>
    <w:rsid w:val="38B60D7F"/>
    <w:rsid w:val="38B6531C"/>
    <w:rsid w:val="38BA0EE3"/>
    <w:rsid w:val="38BA4416"/>
    <w:rsid w:val="38C10BE9"/>
    <w:rsid w:val="38C4603C"/>
    <w:rsid w:val="38D45CEE"/>
    <w:rsid w:val="38E1369C"/>
    <w:rsid w:val="38F02352"/>
    <w:rsid w:val="38F60C3D"/>
    <w:rsid w:val="390078F4"/>
    <w:rsid w:val="391060DB"/>
    <w:rsid w:val="391754AA"/>
    <w:rsid w:val="391F00CC"/>
    <w:rsid w:val="391F67F6"/>
    <w:rsid w:val="39236CE5"/>
    <w:rsid w:val="39251316"/>
    <w:rsid w:val="39273592"/>
    <w:rsid w:val="392B6496"/>
    <w:rsid w:val="39312A65"/>
    <w:rsid w:val="393A76A2"/>
    <w:rsid w:val="393B2A2C"/>
    <w:rsid w:val="39404B30"/>
    <w:rsid w:val="3943543F"/>
    <w:rsid w:val="394F4956"/>
    <w:rsid w:val="39585980"/>
    <w:rsid w:val="3959664D"/>
    <w:rsid w:val="395B4F36"/>
    <w:rsid w:val="39614E4F"/>
    <w:rsid w:val="39652C73"/>
    <w:rsid w:val="39730397"/>
    <w:rsid w:val="39800ACE"/>
    <w:rsid w:val="39924F98"/>
    <w:rsid w:val="39980CE2"/>
    <w:rsid w:val="39AA339F"/>
    <w:rsid w:val="39AB53AE"/>
    <w:rsid w:val="39B83678"/>
    <w:rsid w:val="39D0636E"/>
    <w:rsid w:val="39D17CDD"/>
    <w:rsid w:val="39F44362"/>
    <w:rsid w:val="39F62389"/>
    <w:rsid w:val="39F63B7B"/>
    <w:rsid w:val="3A035D99"/>
    <w:rsid w:val="3A0E4679"/>
    <w:rsid w:val="3A185146"/>
    <w:rsid w:val="3A1B7A36"/>
    <w:rsid w:val="3A1F2B4F"/>
    <w:rsid w:val="3A220E5F"/>
    <w:rsid w:val="3A222B60"/>
    <w:rsid w:val="3A2644AB"/>
    <w:rsid w:val="3A30298D"/>
    <w:rsid w:val="3A345DF9"/>
    <w:rsid w:val="3A3C1A7E"/>
    <w:rsid w:val="3A3C7D6C"/>
    <w:rsid w:val="3A3D6E67"/>
    <w:rsid w:val="3A4936E3"/>
    <w:rsid w:val="3A4F7A71"/>
    <w:rsid w:val="3A58374B"/>
    <w:rsid w:val="3A5941F6"/>
    <w:rsid w:val="3A596DA8"/>
    <w:rsid w:val="3A5A1D9E"/>
    <w:rsid w:val="3A5A6C2B"/>
    <w:rsid w:val="3A5B22E9"/>
    <w:rsid w:val="3A5E32F8"/>
    <w:rsid w:val="3A611DF3"/>
    <w:rsid w:val="3A624674"/>
    <w:rsid w:val="3A6D58D7"/>
    <w:rsid w:val="3A714BF8"/>
    <w:rsid w:val="3A7572A8"/>
    <w:rsid w:val="3A7F656F"/>
    <w:rsid w:val="3A83464D"/>
    <w:rsid w:val="3A841F02"/>
    <w:rsid w:val="3A9155E6"/>
    <w:rsid w:val="3A954B7A"/>
    <w:rsid w:val="3A9B50DC"/>
    <w:rsid w:val="3A9C4E84"/>
    <w:rsid w:val="3AA11C63"/>
    <w:rsid w:val="3AA35C36"/>
    <w:rsid w:val="3AA9087F"/>
    <w:rsid w:val="3AAA4AD8"/>
    <w:rsid w:val="3AB37C0B"/>
    <w:rsid w:val="3AC07099"/>
    <w:rsid w:val="3AC90541"/>
    <w:rsid w:val="3AD0154B"/>
    <w:rsid w:val="3AD26502"/>
    <w:rsid w:val="3AD32BE2"/>
    <w:rsid w:val="3AD735A4"/>
    <w:rsid w:val="3ADB5B92"/>
    <w:rsid w:val="3AE335C6"/>
    <w:rsid w:val="3AED053C"/>
    <w:rsid w:val="3AF56227"/>
    <w:rsid w:val="3AF657E1"/>
    <w:rsid w:val="3AF97E01"/>
    <w:rsid w:val="3B0032A7"/>
    <w:rsid w:val="3B03752F"/>
    <w:rsid w:val="3B0F2390"/>
    <w:rsid w:val="3B1220C7"/>
    <w:rsid w:val="3B360092"/>
    <w:rsid w:val="3B3E7FD4"/>
    <w:rsid w:val="3B4278FE"/>
    <w:rsid w:val="3B44637B"/>
    <w:rsid w:val="3B4B0135"/>
    <w:rsid w:val="3B504E40"/>
    <w:rsid w:val="3B5F7815"/>
    <w:rsid w:val="3B6413E7"/>
    <w:rsid w:val="3B652E26"/>
    <w:rsid w:val="3B8D6917"/>
    <w:rsid w:val="3B98772E"/>
    <w:rsid w:val="3BA40788"/>
    <w:rsid w:val="3BB02276"/>
    <w:rsid w:val="3BB3643D"/>
    <w:rsid w:val="3BB41E71"/>
    <w:rsid w:val="3BBC1A25"/>
    <w:rsid w:val="3BC56E05"/>
    <w:rsid w:val="3BCB15AE"/>
    <w:rsid w:val="3BD938AF"/>
    <w:rsid w:val="3BDF0887"/>
    <w:rsid w:val="3BE12208"/>
    <w:rsid w:val="3BE45065"/>
    <w:rsid w:val="3BF847AA"/>
    <w:rsid w:val="3BF85963"/>
    <w:rsid w:val="3BFA0259"/>
    <w:rsid w:val="3C0309FF"/>
    <w:rsid w:val="3C042E3E"/>
    <w:rsid w:val="3C072663"/>
    <w:rsid w:val="3C0B2E45"/>
    <w:rsid w:val="3C1A4E8D"/>
    <w:rsid w:val="3C1F76F3"/>
    <w:rsid w:val="3C2841B0"/>
    <w:rsid w:val="3C3C186F"/>
    <w:rsid w:val="3C3D7E2F"/>
    <w:rsid w:val="3C450BC5"/>
    <w:rsid w:val="3C47574F"/>
    <w:rsid w:val="3C5110CE"/>
    <w:rsid w:val="3C6015C1"/>
    <w:rsid w:val="3C6242D8"/>
    <w:rsid w:val="3C6A3D54"/>
    <w:rsid w:val="3C784DBC"/>
    <w:rsid w:val="3C7923FD"/>
    <w:rsid w:val="3C7E21FC"/>
    <w:rsid w:val="3C835139"/>
    <w:rsid w:val="3C8E55CD"/>
    <w:rsid w:val="3C8E5872"/>
    <w:rsid w:val="3C913F59"/>
    <w:rsid w:val="3C943C7F"/>
    <w:rsid w:val="3C9D3203"/>
    <w:rsid w:val="3C9E76A6"/>
    <w:rsid w:val="3C9E7D39"/>
    <w:rsid w:val="3C9F5433"/>
    <w:rsid w:val="3CA05E3F"/>
    <w:rsid w:val="3CA60FF0"/>
    <w:rsid w:val="3CAF5049"/>
    <w:rsid w:val="3CC037D9"/>
    <w:rsid w:val="3CCC3FAB"/>
    <w:rsid w:val="3CCF0DEC"/>
    <w:rsid w:val="3CD20233"/>
    <w:rsid w:val="3CD23409"/>
    <w:rsid w:val="3CDA5E44"/>
    <w:rsid w:val="3CDF248B"/>
    <w:rsid w:val="3CF80F5E"/>
    <w:rsid w:val="3CFA11B8"/>
    <w:rsid w:val="3D061853"/>
    <w:rsid w:val="3D083D85"/>
    <w:rsid w:val="3D094A3E"/>
    <w:rsid w:val="3D107860"/>
    <w:rsid w:val="3D183C46"/>
    <w:rsid w:val="3D21078D"/>
    <w:rsid w:val="3D2346F2"/>
    <w:rsid w:val="3D2B7651"/>
    <w:rsid w:val="3D2C6DEC"/>
    <w:rsid w:val="3D3F7B7E"/>
    <w:rsid w:val="3D415BFE"/>
    <w:rsid w:val="3D464AD9"/>
    <w:rsid w:val="3D466470"/>
    <w:rsid w:val="3D4C3935"/>
    <w:rsid w:val="3D521128"/>
    <w:rsid w:val="3D531698"/>
    <w:rsid w:val="3D5F59D0"/>
    <w:rsid w:val="3D631F45"/>
    <w:rsid w:val="3D63405C"/>
    <w:rsid w:val="3D9745C5"/>
    <w:rsid w:val="3D980D16"/>
    <w:rsid w:val="3D9831E5"/>
    <w:rsid w:val="3D9B1367"/>
    <w:rsid w:val="3DA1651F"/>
    <w:rsid w:val="3DA638E7"/>
    <w:rsid w:val="3DA71209"/>
    <w:rsid w:val="3DBA2BDB"/>
    <w:rsid w:val="3DC945C0"/>
    <w:rsid w:val="3DCE0347"/>
    <w:rsid w:val="3DCF044A"/>
    <w:rsid w:val="3DED7C84"/>
    <w:rsid w:val="3E012F06"/>
    <w:rsid w:val="3E0516F6"/>
    <w:rsid w:val="3E062C93"/>
    <w:rsid w:val="3E1667F0"/>
    <w:rsid w:val="3E1A07C5"/>
    <w:rsid w:val="3E1C3D68"/>
    <w:rsid w:val="3E225D40"/>
    <w:rsid w:val="3E25375E"/>
    <w:rsid w:val="3E2557E9"/>
    <w:rsid w:val="3E257108"/>
    <w:rsid w:val="3E297DA1"/>
    <w:rsid w:val="3E2A2C0A"/>
    <w:rsid w:val="3E2E03FF"/>
    <w:rsid w:val="3E37784B"/>
    <w:rsid w:val="3E381EA5"/>
    <w:rsid w:val="3E3846AB"/>
    <w:rsid w:val="3E4A4CB2"/>
    <w:rsid w:val="3E4B6578"/>
    <w:rsid w:val="3E4E7D71"/>
    <w:rsid w:val="3E4F147F"/>
    <w:rsid w:val="3E5A3610"/>
    <w:rsid w:val="3E616240"/>
    <w:rsid w:val="3E63157B"/>
    <w:rsid w:val="3E672C02"/>
    <w:rsid w:val="3E702BB8"/>
    <w:rsid w:val="3E7E1471"/>
    <w:rsid w:val="3E807C4C"/>
    <w:rsid w:val="3E810402"/>
    <w:rsid w:val="3E8310AF"/>
    <w:rsid w:val="3EB761D7"/>
    <w:rsid w:val="3EC40C65"/>
    <w:rsid w:val="3ECB1717"/>
    <w:rsid w:val="3ED92DDA"/>
    <w:rsid w:val="3EE7761A"/>
    <w:rsid w:val="3EF17DA4"/>
    <w:rsid w:val="3EF2332E"/>
    <w:rsid w:val="3EF56437"/>
    <w:rsid w:val="3EFB607B"/>
    <w:rsid w:val="3EFF7197"/>
    <w:rsid w:val="3F035498"/>
    <w:rsid w:val="3F055C54"/>
    <w:rsid w:val="3F0C5BCE"/>
    <w:rsid w:val="3F114F57"/>
    <w:rsid w:val="3F117156"/>
    <w:rsid w:val="3F1D2AEF"/>
    <w:rsid w:val="3F201122"/>
    <w:rsid w:val="3F22062E"/>
    <w:rsid w:val="3F2B0046"/>
    <w:rsid w:val="3F2F40D7"/>
    <w:rsid w:val="3F303FAB"/>
    <w:rsid w:val="3F3222E3"/>
    <w:rsid w:val="3F352F72"/>
    <w:rsid w:val="3F3774CD"/>
    <w:rsid w:val="3F416176"/>
    <w:rsid w:val="3F532102"/>
    <w:rsid w:val="3F576FA1"/>
    <w:rsid w:val="3F580906"/>
    <w:rsid w:val="3F5A3EFB"/>
    <w:rsid w:val="3F7006D6"/>
    <w:rsid w:val="3F79679A"/>
    <w:rsid w:val="3F9908B0"/>
    <w:rsid w:val="3FA367A0"/>
    <w:rsid w:val="3FA84EB2"/>
    <w:rsid w:val="3FA85DB5"/>
    <w:rsid w:val="3FAA7193"/>
    <w:rsid w:val="3FAD4B3B"/>
    <w:rsid w:val="3FAF77A1"/>
    <w:rsid w:val="3FB34E43"/>
    <w:rsid w:val="3FC0345D"/>
    <w:rsid w:val="3FC0576C"/>
    <w:rsid w:val="3FC12135"/>
    <w:rsid w:val="3FC24499"/>
    <w:rsid w:val="3FC96CE0"/>
    <w:rsid w:val="3FD4498A"/>
    <w:rsid w:val="3FD64800"/>
    <w:rsid w:val="3FDA5EAF"/>
    <w:rsid w:val="3FDC60E1"/>
    <w:rsid w:val="3FDC701A"/>
    <w:rsid w:val="3FE0553B"/>
    <w:rsid w:val="3FE11A0A"/>
    <w:rsid w:val="3FE135FB"/>
    <w:rsid w:val="3FE221D2"/>
    <w:rsid w:val="3FE50568"/>
    <w:rsid w:val="3FE87D28"/>
    <w:rsid w:val="3FEA089A"/>
    <w:rsid w:val="3FEE60A4"/>
    <w:rsid w:val="3FEF6D26"/>
    <w:rsid w:val="3FF54F69"/>
    <w:rsid w:val="3FFA44C9"/>
    <w:rsid w:val="400969C4"/>
    <w:rsid w:val="400A5241"/>
    <w:rsid w:val="401A368E"/>
    <w:rsid w:val="40200EC2"/>
    <w:rsid w:val="402923DA"/>
    <w:rsid w:val="40376069"/>
    <w:rsid w:val="40387BC5"/>
    <w:rsid w:val="403D4406"/>
    <w:rsid w:val="403E6AA8"/>
    <w:rsid w:val="40400879"/>
    <w:rsid w:val="40402847"/>
    <w:rsid w:val="404C0609"/>
    <w:rsid w:val="40502545"/>
    <w:rsid w:val="40531A36"/>
    <w:rsid w:val="405D53FA"/>
    <w:rsid w:val="40612A0F"/>
    <w:rsid w:val="406435E5"/>
    <w:rsid w:val="40657EEF"/>
    <w:rsid w:val="407D753B"/>
    <w:rsid w:val="40806E1B"/>
    <w:rsid w:val="40906E9B"/>
    <w:rsid w:val="409207A7"/>
    <w:rsid w:val="40940958"/>
    <w:rsid w:val="40A56E0D"/>
    <w:rsid w:val="40AF5A59"/>
    <w:rsid w:val="40BA51BE"/>
    <w:rsid w:val="40BD00BB"/>
    <w:rsid w:val="40CA057A"/>
    <w:rsid w:val="40CB18D5"/>
    <w:rsid w:val="40E90A23"/>
    <w:rsid w:val="40EA1AD5"/>
    <w:rsid w:val="40EE51A8"/>
    <w:rsid w:val="40F20B1F"/>
    <w:rsid w:val="40F86916"/>
    <w:rsid w:val="40FA321B"/>
    <w:rsid w:val="40FF0DBB"/>
    <w:rsid w:val="4101607F"/>
    <w:rsid w:val="41022D94"/>
    <w:rsid w:val="41082DC3"/>
    <w:rsid w:val="412170B1"/>
    <w:rsid w:val="412344D1"/>
    <w:rsid w:val="412F070A"/>
    <w:rsid w:val="41301C9A"/>
    <w:rsid w:val="41341E40"/>
    <w:rsid w:val="413A53EA"/>
    <w:rsid w:val="413E270C"/>
    <w:rsid w:val="414214F9"/>
    <w:rsid w:val="4149251B"/>
    <w:rsid w:val="415037DD"/>
    <w:rsid w:val="41526D4A"/>
    <w:rsid w:val="415F730C"/>
    <w:rsid w:val="41621B71"/>
    <w:rsid w:val="41811A80"/>
    <w:rsid w:val="418C5377"/>
    <w:rsid w:val="418D7C08"/>
    <w:rsid w:val="41902E3F"/>
    <w:rsid w:val="41913B31"/>
    <w:rsid w:val="419165DA"/>
    <w:rsid w:val="41AA0EFE"/>
    <w:rsid w:val="41B3723D"/>
    <w:rsid w:val="41C65E0E"/>
    <w:rsid w:val="41C954F1"/>
    <w:rsid w:val="41EE1F6D"/>
    <w:rsid w:val="41FC7345"/>
    <w:rsid w:val="41FF7A7E"/>
    <w:rsid w:val="42055BCF"/>
    <w:rsid w:val="42062C90"/>
    <w:rsid w:val="420D35D1"/>
    <w:rsid w:val="42124FEB"/>
    <w:rsid w:val="421E19DD"/>
    <w:rsid w:val="42201ADB"/>
    <w:rsid w:val="42243ADD"/>
    <w:rsid w:val="4226140E"/>
    <w:rsid w:val="42262641"/>
    <w:rsid w:val="42277DFB"/>
    <w:rsid w:val="422D7D03"/>
    <w:rsid w:val="422E137F"/>
    <w:rsid w:val="42387360"/>
    <w:rsid w:val="42393DBF"/>
    <w:rsid w:val="424E09DB"/>
    <w:rsid w:val="424F14CB"/>
    <w:rsid w:val="425830C6"/>
    <w:rsid w:val="425C6098"/>
    <w:rsid w:val="42646511"/>
    <w:rsid w:val="4265214F"/>
    <w:rsid w:val="426703CA"/>
    <w:rsid w:val="426724A2"/>
    <w:rsid w:val="427575B5"/>
    <w:rsid w:val="428D023C"/>
    <w:rsid w:val="429007CB"/>
    <w:rsid w:val="42910921"/>
    <w:rsid w:val="429953F0"/>
    <w:rsid w:val="42A826E7"/>
    <w:rsid w:val="42AE6807"/>
    <w:rsid w:val="42B41FCD"/>
    <w:rsid w:val="42BA3D55"/>
    <w:rsid w:val="42C30985"/>
    <w:rsid w:val="42C64B99"/>
    <w:rsid w:val="42CE5721"/>
    <w:rsid w:val="42D83185"/>
    <w:rsid w:val="42DA1044"/>
    <w:rsid w:val="42E04F76"/>
    <w:rsid w:val="42E27E52"/>
    <w:rsid w:val="42F867E3"/>
    <w:rsid w:val="42F96836"/>
    <w:rsid w:val="42FC1238"/>
    <w:rsid w:val="4304768A"/>
    <w:rsid w:val="43081AD9"/>
    <w:rsid w:val="43271B07"/>
    <w:rsid w:val="43280811"/>
    <w:rsid w:val="43284A6A"/>
    <w:rsid w:val="432F2506"/>
    <w:rsid w:val="43340E51"/>
    <w:rsid w:val="43381992"/>
    <w:rsid w:val="433E5E41"/>
    <w:rsid w:val="433F23BF"/>
    <w:rsid w:val="43501147"/>
    <w:rsid w:val="43621575"/>
    <w:rsid w:val="436624A8"/>
    <w:rsid w:val="43666F3B"/>
    <w:rsid w:val="436C0A55"/>
    <w:rsid w:val="436D064B"/>
    <w:rsid w:val="43726256"/>
    <w:rsid w:val="437460FA"/>
    <w:rsid w:val="43766223"/>
    <w:rsid w:val="437D5D97"/>
    <w:rsid w:val="43837506"/>
    <w:rsid w:val="438B5FFE"/>
    <w:rsid w:val="438C0C23"/>
    <w:rsid w:val="43AF03C9"/>
    <w:rsid w:val="43B12337"/>
    <w:rsid w:val="43B14470"/>
    <w:rsid w:val="43B43EDE"/>
    <w:rsid w:val="43B47D4C"/>
    <w:rsid w:val="43B72AD2"/>
    <w:rsid w:val="43BD6E5F"/>
    <w:rsid w:val="43C471BD"/>
    <w:rsid w:val="43CB16B2"/>
    <w:rsid w:val="43DF6E90"/>
    <w:rsid w:val="43DF7E96"/>
    <w:rsid w:val="43E04F09"/>
    <w:rsid w:val="43E17880"/>
    <w:rsid w:val="43E30165"/>
    <w:rsid w:val="43E4084E"/>
    <w:rsid w:val="43E800C6"/>
    <w:rsid w:val="43F52C05"/>
    <w:rsid w:val="43FB7DF3"/>
    <w:rsid w:val="43FC346C"/>
    <w:rsid w:val="440E5844"/>
    <w:rsid w:val="44117846"/>
    <w:rsid w:val="44257D8E"/>
    <w:rsid w:val="442A5D06"/>
    <w:rsid w:val="442E5908"/>
    <w:rsid w:val="44324FE1"/>
    <w:rsid w:val="44512364"/>
    <w:rsid w:val="445552E9"/>
    <w:rsid w:val="44560305"/>
    <w:rsid w:val="446636C5"/>
    <w:rsid w:val="447D1640"/>
    <w:rsid w:val="4480296D"/>
    <w:rsid w:val="448166E9"/>
    <w:rsid w:val="448678B2"/>
    <w:rsid w:val="448E51CC"/>
    <w:rsid w:val="449848C7"/>
    <w:rsid w:val="44AF4BA1"/>
    <w:rsid w:val="44B253BE"/>
    <w:rsid w:val="44B2632E"/>
    <w:rsid w:val="44B2697E"/>
    <w:rsid w:val="44B55895"/>
    <w:rsid w:val="44BC1818"/>
    <w:rsid w:val="44BC1ADC"/>
    <w:rsid w:val="44BC6084"/>
    <w:rsid w:val="44C33C1C"/>
    <w:rsid w:val="44C77FE4"/>
    <w:rsid w:val="44CE7E45"/>
    <w:rsid w:val="44D11736"/>
    <w:rsid w:val="44D556A7"/>
    <w:rsid w:val="44D55756"/>
    <w:rsid w:val="44E00E0F"/>
    <w:rsid w:val="44E132FE"/>
    <w:rsid w:val="44F70F49"/>
    <w:rsid w:val="44FA649B"/>
    <w:rsid w:val="44FB7CD7"/>
    <w:rsid w:val="44FE7B0F"/>
    <w:rsid w:val="450939CD"/>
    <w:rsid w:val="450B3CA0"/>
    <w:rsid w:val="4510454F"/>
    <w:rsid w:val="45185AF4"/>
    <w:rsid w:val="45206383"/>
    <w:rsid w:val="45234637"/>
    <w:rsid w:val="452D38D3"/>
    <w:rsid w:val="453E4193"/>
    <w:rsid w:val="454255CA"/>
    <w:rsid w:val="45577395"/>
    <w:rsid w:val="4561316A"/>
    <w:rsid w:val="45633AE3"/>
    <w:rsid w:val="45644225"/>
    <w:rsid w:val="4584775C"/>
    <w:rsid w:val="45916EEF"/>
    <w:rsid w:val="45A20CE2"/>
    <w:rsid w:val="45A81950"/>
    <w:rsid w:val="45AB2840"/>
    <w:rsid w:val="45AB71DA"/>
    <w:rsid w:val="45B92244"/>
    <w:rsid w:val="45BE4FDB"/>
    <w:rsid w:val="45BE62C2"/>
    <w:rsid w:val="45C0705E"/>
    <w:rsid w:val="45DE5081"/>
    <w:rsid w:val="45E42F61"/>
    <w:rsid w:val="45F01DCD"/>
    <w:rsid w:val="45F62E65"/>
    <w:rsid w:val="45FD74ED"/>
    <w:rsid w:val="46050349"/>
    <w:rsid w:val="460B16A1"/>
    <w:rsid w:val="46206E94"/>
    <w:rsid w:val="46221289"/>
    <w:rsid w:val="462C06C7"/>
    <w:rsid w:val="46324558"/>
    <w:rsid w:val="46365564"/>
    <w:rsid w:val="46382CF3"/>
    <w:rsid w:val="463E4B6F"/>
    <w:rsid w:val="46444394"/>
    <w:rsid w:val="464448E6"/>
    <w:rsid w:val="464B1905"/>
    <w:rsid w:val="4658217D"/>
    <w:rsid w:val="466C778C"/>
    <w:rsid w:val="4670530F"/>
    <w:rsid w:val="46831700"/>
    <w:rsid w:val="46A12F48"/>
    <w:rsid w:val="46AB4DBE"/>
    <w:rsid w:val="46AF5FB8"/>
    <w:rsid w:val="46B35B9F"/>
    <w:rsid w:val="46BF115D"/>
    <w:rsid w:val="46C44CB7"/>
    <w:rsid w:val="46C5380C"/>
    <w:rsid w:val="46C96A6C"/>
    <w:rsid w:val="46CB603F"/>
    <w:rsid w:val="46D21F34"/>
    <w:rsid w:val="46F100B8"/>
    <w:rsid w:val="46FA7FB8"/>
    <w:rsid w:val="47002DEF"/>
    <w:rsid w:val="47037841"/>
    <w:rsid w:val="470B0531"/>
    <w:rsid w:val="470F42EB"/>
    <w:rsid w:val="471F3210"/>
    <w:rsid w:val="47336C6F"/>
    <w:rsid w:val="47402DAA"/>
    <w:rsid w:val="474750DC"/>
    <w:rsid w:val="474C419A"/>
    <w:rsid w:val="474E6907"/>
    <w:rsid w:val="474E7A5D"/>
    <w:rsid w:val="47567017"/>
    <w:rsid w:val="475E0087"/>
    <w:rsid w:val="476140B1"/>
    <w:rsid w:val="476269FC"/>
    <w:rsid w:val="47666D38"/>
    <w:rsid w:val="47763FFA"/>
    <w:rsid w:val="4780263C"/>
    <w:rsid w:val="478104EB"/>
    <w:rsid w:val="478839AE"/>
    <w:rsid w:val="47896D4F"/>
    <w:rsid w:val="47982A36"/>
    <w:rsid w:val="47A21D03"/>
    <w:rsid w:val="47AC4635"/>
    <w:rsid w:val="47AD79A7"/>
    <w:rsid w:val="47B45F77"/>
    <w:rsid w:val="47B601F9"/>
    <w:rsid w:val="47BE2659"/>
    <w:rsid w:val="47C65B11"/>
    <w:rsid w:val="47C80021"/>
    <w:rsid w:val="47CC159F"/>
    <w:rsid w:val="47D31B17"/>
    <w:rsid w:val="47D64E19"/>
    <w:rsid w:val="47DD2D70"/>
    <w:rsid w:val="47E335C5"/>
    <w:rsid w:val="47F00544"/>
    <w:rsid w:val="47FA38B9"/>
    <w:rsid w:val="480712F5"/>
    <w:rsid w:val="482149DA"/>
    <w:rsid w:val="4826335E"/>
    <w:rsid w:val="482A6A56"/>
    <w:rsid w:val="482B534E"/>
    <w:rsid w:val="483639D2"/>
    <w:rsid w:val="483C2771"/>
    <w:rsid w:val="48492230"/>
    <w:rsid w:val="484D4424"/>
    <w:rsid w:val="48554C2D"/>
    <w:rsid w:val="485C4105"/>
    <w:rsid w:val="48652AF4"/>
    <w:rsid w:val="48725180"/>
    <w:rsid w:val="487E153D"/>
    <w:rsid w:val="48802857"/>
    <w:rsid w:val="48817770"/>
    <w:rsid w:val="48881A83"/>
    <w:rsid w:val="488D31C1"/>
    <w:rsid w:val="48971C07"/>
    <w:rsid w:val="489A5DAA"/>
    <w:rsid w:val="48A27CAA"/>
    <w:rsid w:val="48A31B88"/>
    <w:rsid w:val="48BE2CF0"/>
    <w:rsid w:val="48C15D8D"/>
    <w:rsid w:val="48C25955"/>
    <w:rsid w:val="48C955E5"/>
    <w:rsid w:val="48CA6810"/>
    <w:rsid w:val="48CF6206"/>
    <w:rsid w:val="48D13B36"/>
    <w:rsid w:val="48DA439B"/>
    <w:rsid w:val="48E44E43"/>
    <w:rsid w:val="48E4724D"/>
    <w:rsid w:val="48E53924"/>
    <w:rsid w:val="48E63F8B"/>
    <w:rsid w:val="48EF0F23"/>
    <w:rsid w:val="48FB4BC3"/>
    <w:rsid w:val="48FB5804"/>
    <w:rsid w:val="49004030"/>
    <w:rsid w:val="49086D1B"/>
    <w:rsid w:val="4915791B"/>
    <w:rsid w:val="491C3076"/>
    <w:rsid w:val="49324DD3"/>
    <w:rsid w:val="4939707B"/>
    <w:rsid w:val="493E5E9C"/>
    <w:rsid w:val="49414B4F"/>
    <w:rsid w:val="494A552B"/>
    <w:rsid w:val="495077AD"/>
    <w:rsid w:val="49532CF3"/>
    <w:rsid w:val="49581E86"/>
    <w:rsid w:val="495D7302"/>
    <w:rsid w:val="496607B9"/>
    <w:rsid w:val="496C36CB"/>
    <w:rsid w:val="496D2BF3"/>
    <w:rsid w:val="49825EA3"/>
    <w:rsid w:val="498A0E42"/>
    <w:rsid w:val="499402FE"/>
    <w:rsid w:val="499B6E75"/>
    <w:rsid w:val="49A13026"/>
    <w:rsid w:val="49A81F15"/>
    <w:rsid w:val="49B07C49"/>
    <w:rsid w:val="49B24B36"/>
    <w:rsid w:val="49BA3A93"/>
    <w:rsid w:val="49BC5080"/>
    <w:rsid w:val="49BD004C"/>
    <w:rsid w:val="49BE7C01"/>
    <w:rsid w:val="49BF6B4D"/>
    <w:rsid w:val="49C97028"/>
    <w:rsid w:val="49CA5515"/>
    <w:rsid w:val="49DA5740"/>
    <w:rsid w:val="49DB093F"/>
    <w:rsid w:val="49DC0B0E"/>
    <w:rsid w:val="49DC7F32"/>
    <w:rsid w:val="49DE64CC"/>
    <w:rsid w:val="49E13015"/>
    <w:rsid w:val="49F00F52"/>
    <w:rsid w:val="49FD72CF"/>
    <w:rsid w:val="4A122E59"/>
    <w:rsid w:val="4A1D59CE"/>
    <w:rsid w:val="4A235C8A"/>
    <w:rsid w:val="4A292935"/>
    <w:rsid w:val="4A33120A"/>
    <w:rsid w:val="4A35109E"/>
    <w:rsid w:val="4A360ACF"/>
    <w:rsid w:val="4A377A65"/>
    <w:rsid w:val="4A385EDB"/>
    <w:rsid w:val="4A397CF0"/>
    <w:rsid w:val="4A3E5075"/>
    <w:rsid w:val="4A3E5F17"/>
    <w:rsid w:val="4A471EB8"/>
    <w:rsid w:val="4A49367A"/>
    <w:rsid w:val="4A4A7180"/>
    <w:rsid w:val="4A4D16C6"/>
    <w:rsid w:val="4A8C7C76"/>
    <w:rsid w:val="4AAB34BB"/>
    <w:rsid w:val="4AAF54B1"/>
    <w:rsid w:val="4AB00AB1"/>
    <w:rsid w:val="4AB26985"/>
    <w:rsid w:val="4AB838E8"/>
    <w:rsid w:val="4ABE4768"/>
    <w:rsid w:val="4AC34B56"/>
    <w:rsid w:val="4ACA4D33"/>
    <w:rsid w:val="4AD31BF7"/>
    <w:rsid w:val="4AD35CBE"/>
    <w:rsid w:val="4AD85CF3"/>
    <w:rsid w:val="4AE12695"/>
    <w:rsid w:val="4AE5063F"/>
    <w:rsid w:val="4AEB4287"/>
    <w:rsid w:val="4AF201D5"/>
    <w:rsid w:val="4AF87CD0"/>
    <w:rsid w:val="4AFB026D"/>
    <w:rsid w:val="4AFD1ED3"/>
    <w:rsid w:val="4B052044"/>
    <w:rsid w:val="4B124BB6"/>
    <w:rsid w:val="4B144FFC"/>
    <w:rsid w:val="4B162370"/>
    <w:rsid w:val="4B1969EA"/>
    <w:rsid w:val="4B1E3E9D"/>
    <w:rsid w:val="4B2373E8"/>
    <w:rsid w:val="4B247B19"/>
    <w:rsid w:val="4B28699B"/>
    <w:rsid w:val="4B2D159C"/>
    <w:rsid w:val="4B30654A"/>
    <w:rsid w:val="4B313770"/>
    <w:rsid w:val="4B337729"/>
    <w:rsid w:val="4B37776E"/>
    <w:rsid w:val="4B415F6D"/>
    <w:rsid w:val="4B5847DE"/>
    <w:rsid w:val="4B5F2399"/>
    <w:rsid w:val="4B742639"/>
    <w:rsid w:val="4B834E9F"/>
    <w:rsid w:val="4B8938A4"/>
    <w:rsid w:val="4B8A6570"/>
    <w:rsid w:val="4B947A37"/>
    <w:rsid w:val="4B990B42"/>
    <w:rsid w:val="4B9D30D2"/>
    <w:rsid w:val="4BA47014"/>
    <w:rsid w:val="4BA56AD4"/>
    <w:rsid w:val="4BAA58CE"/>
    <w:rsid w:val="4BB560F4"/>
    <w:rsid w:val="4BB64CD0"/>
    <w:rsid w:val="4BC12085"/>
    <w:rsid w:val="4BC41A56"/>
    <w:rsid w:val="4BC859C1"/>
    <w:rsid w:val="4BD40AAB"/>
    <w:rsid w:val="4BE84CBE"/>
    <w:rsid w:val="4BEB2C94"/>
    <w:rsid w:val="4BF1099C"/>
    <w:rsid w:val="4BF32AED"/>
    <w:rsid w:val="4BF623B0"/>
    <w:rsid w:val="4BF86D6D"/>
    <w:rsid w:val="4BFB0607"/>
    <w:rsid w:val="4C0007D3"/>
    <w:rsid w:val="4C00522E"/>
    <w:rsid w:val="4C051F8F"/>
    <w:rsid w:val="4C08466C"/>
    <w:rsid w:val="4C085165"/>
    <w:rsid w:val="4C0A2E32"/>
    <w:rsid w:val="4C12207D"/>
    <w:rsid w:val="4C1471C6"/>
    <w:rsid w:val="4C152CAE"/>
    <w:rsid w:val="4C1604D1"/>
    <w:rsid w:val="4C27778C"/>
    <w:rsid w:val="4C28045F"/>
    <w:rsid w:val="4C353FDB"/>
    <w:rsid w:val="4C3F1A17"/>
    <w:rsid w:val="4C3F668A"/>
    <w:rsid w:val="4C4125D9"/>
    <w:rsid w:val="4C4437AE"/>
    <w:rsid w:val="4C463FF8"/>
    <w:rsid w:val="4C4E5B23"/>
    <w:rsid w:val="4C50471A"/>
    <w:rsid w:val="4C534C86"/>
    <w:rsid w:val="4C5573C9"/>
    <w:rsid w:val="4C5D11D7"/>
    <w:rsid w:val="4C5E3199"/>
    <w:rsid w:val="4C5E6ACF"/>
    <w:rsid w:val="4C6B2FE2"/>
    <w:rsid w:val="4C787885"/>
    <w:rsid w:val="4C7E409F"/>
    <w:rsid w:val="4C807EFC"/>
    <w:rsid w:val="4C831751"/>
    <w:rsid w:val="4C921493"/>
    <w:rsid w:val="4C96075E"/>
    <w:rsid w:val="4C960838"/>
    <w:rsid w:val="4CA30BBC"/>
    <w:rsid w:val="4CB210AA"/>
    <w:rsid w:val="4CB4376C"/>
    <w:rsid w:val="4CBD0B1F"/>
    <w:rsid w:val="4CC22A4A"/>
    <w:rsid w:val="4CC64FB8"/>
    <w:rsid w:val="4CCA40FA"/>
    <w:rsid w:val="4CE87889"/>
    <w:rsid w:val="4CED710E"/>
    <w:rsid w:val="4CF17AA4"/>
    <w:rsid w:val="4CF87AFD"/>
    <w:rsid w:val="4D003857"/>
    <w:rsid w:val="4D05521E"/>
    <w:rsid w:val="4D076FF3"/>
    <w:rsid w:val="4D08414A"/>
    <w:rsid w:val="4D092506"/>
    <w:rsid w:val="4D1466ED"/>
    <w:rsid w:val="4D200666"/>
    <w:rsid w:val="4D3A7012"/>
    <w:rsid w:val="4D3D19D7"/>
    <w:rsid w:val="4D451508"/>
    <w:rsid w:val="4D47346B"/>
    <w:rsid w:val="4D495DF4"/>
    <w:rsid w:val="4D581CBD"/>
    <w:rsid w:val="4D69316A"/>
    <w:rsid w:val="4D6C4A0D"/>
    <w:rsid w:val="4D785A58"/>
    <w:rsid w:val="4D853E44"/>
    <w:rsid w:val="4D8744C7"/>
    <w:rsid w:val="4D970124"/>
    <w:rsid w:val="4D992749"/>
    <w:rsid w:val="4DA04338"/>
    <w:rsid w:val="4DAD1BF3"/>
    <w:rsid w:val="4DC2477B"/>
    <w:rsid w:val="4DC37AAD"/>
    <w:rsid w:val="4DD03A81"/>
    <w:rsid w:val="4DD5192D"/>
    <w:rsid w:val="4DE1012A"/>
    <w:rsid w:val="4DE56472"/>
    <w:rsid w:val="4DEA16B8"/>
    <w:rsid w:val="4DF17ECD"/>
    <w:rsid w:val="4DF65554"/>
    <w:rsid w:val="4DFA077E"/>
    <w:rsid w:val="4DFC1243"/>
    <w:rsid w:val="4DFE7182"/>
    <w:rsid w:val="4E02229A"/>
    <w:rsid w:val="4E132BF4"/>
    <w:rsid w:val="4E162BA9"/>
    <w:rsid w:val="4E1E0460"/>
    <w:rsid w:val="4E1F2098"/>
    <w:rsid w:val="4E245FCD"/>
    <w:rsid w:val="4E2A37D7"/>
    <w:rsid w:val="4E2F4F0E"/>
    <w:rsid w:val="4E3F0D8B"/>
    <w:rsid w:val="4E452F68"/>
    <w:rsid w:val="4E4F602D"/>
    <w:rsid w:val="4E521DCC"/>
    <w:rsid w:val="4E563A79"/>
    <w:rsid w:val="4E5D37BF"/>
    <w:rsid w:val="4E5E7854"/>
    <w:rsid w:val="4E60113A"/>
    <w:rsid w:val="4E7C40A4"/>
    <w:rsid w:val="4E8267E7"/>
    <w:rsid w:val="4E826B8B"/>
    <w:rsid w:val="4E915C83"/>
    <w:rsid w:val="4E920755"/>
    <w:rsid w:val="4E980798"/>
    <w:rsid w:val="4E9A5427"/>
    <w:rsid w:val="4E9A7B73"/>
    <w:rsid w:val="4E9E6AA4"/>
    <w:rsid w:val="4EA244DC"/>
    <w:rsid w:val="4EA3784C"/>
    <w:rsid w:val="4EAC20CF"/>
    <w:rsid w:val="4EB951BF"/>
    <w:rsid w:val="4EBB7642"/>
    <w:rsid w:val="4EBF6B54"/>
    <w:rsid w:val="4EC0678A"/>
    <w:rsid w:val="4EC16EB7"/>
    <w:rsid w:val="4EC4730A"/>
    <w:rsid w:val="4EC935CE"/>
    <w:rsid w:val="4ECD2EF2"/>
    <w:rsid w:val="4ED11C95"/>
    <w:rsid w:val="4ED15594"/>
    <w:rsid w:val="4EDC019B"/>
    <w:rsid w:val="4EDD798C"/>
    <w:rsid w:val="4EE27137"/>
    <w:rsid w:val="4EE73E4D"/>
    <w:rsid w:val="4EEB6A39"/>
    <w:rsid w:val="4EF44D23"/>
    <w:rsid w:val="4EF844EA"/>
    <w:rsid w:val="4EFB744F"/>
    <w:rsid w:val="4EFC3112"/>
    <w:rsid w:val="4EFD1701"/>
    <w:rsid w:val="4EFF66FB"/>
    <w:rsid w:val="4F040683"/>
    <w:rsid w:val="4F10078B"/>
    <w:rsid w:val="4F130C17"/>
    <w:rsid w:val="4F166D4A"/>
    <w:rsid w:val="4F270D2D"/>
    <w:rsid w:val="4F2737C5"/>
    <w:rsid w:val="4F31723C"/>
    <w:rsid w:val="4F340C63"/>
    <w:rsid w:val="4F3E1BA7"/>
    <w:rsid w:val="4F3F766C"/>
    <w:rsid w:val="4F527868"/>
    <w:rsid w:val="4F551C05"/>
    <w:rsid w:val="4F6709AC"/>
    <w:rsid w:val="4F6D642E"/>
    <w:rsid w:val="4F6F762E"/>
    <w:rsid w:val="4F767689"/>
    <w:rsid w:val="4F926827"/>
    <w:rsid w:val="4F931F1E"/>
    <w:rsid w:val="4F98633D"/>
    <w:rsid w:val="4FA4623D"/>
    <w:rsid w:val="4FA86461"/>
    <w:rsid w:val="4FAA16EE"/>
    <w:rsid w:val="4FAB620C"/>
    <w:rsid w:val="4FB25D36"/>
    <w:rsid w:val="4FB55FF8"/>
    <w:rsid w:val="4FCF79B6"/>
    <w:rsid w:val="4FE06869"/>
    <w:rsid w:val="4FE9200A"/>
    <w:rsid w:val="4FF42752"/>
    <w:rsid w:val="4FF67560"/>
    <w:rsid w:val="4FF87BDA"/>
    <w:rsid w:val="4FFD4205"/>
    <w:rsid w:val="4FFF5603"/>
    <w:rsid w:val="500035DB"/>
    <w:rsid w:val="500554BB"/>
    <w:rsid w:val="50082791"/>
    <w:rsid w:val="500A21E7"/>
    <w:rsid w:val="5010424F"/>
    <w:rsid w:val="50153705"/>
    <w:rsid w:val="502318E5"/>
    <w:rsid w:val="502456DC"/>
    <w:rsid w:val="502D446A"/>
    <w:rsid w:val="502E1C8A"/>
    <w:rsid w:val="502E37C2"/>
    <w:rsid w:val="504967D4"/>
    <w:rsid w:val="504C56EA"/>
    <w:rsid w:val="50523597"/>
    <w:rsid w:val="50537E95"/>
    <w:rsid w:val="50583896"/>
    <w:rsid w:val="50585236"/>
    <w:rsid w:val="50585CC6"/>
    <w:rsid w:val="5059113E"/>
    <w:rsid w:val="506871A6"/>
    <w:rsid w:val="506A2CB4"/>
    <w:rsid w:val="506B39C8"/>
    <w:rsid w:val="50752AC6"/>
    <w:rsid w:val="50757758"/>
    <w:rsid w:val="507E4835"/>
    <w:rsid w:val="50807FAC"/>
    <w:rsid w:val="508159F6"/>
    <w:rsid w:val="50841FF1"/>
    <w:rsid w:val="50984F92"/>
    <w:rsid w:val="509E4F4D"/>
    <w:rsid w:val="50A07C67"/>
    <w:rsid w:val="50AC4DAF"/>
    <w:rsid w:val="50AE1431"/>
    <w:rsid w:val="50B568B9"/>
    <w:rsid w:val="50B926E0"/>
    <w:rsid w:val="50C069B4"/>
    <w:rsid w:val="50D101AA"/>
    <w:rsid w:val="50D71075"/>
    <w:rsid w:val="50E32A6C"/>
    <w:rsid w:val="50E93B81"/>
    <w:rsid w:val="510530E4"/>
    <w:rsid w:val="510D3CD7"/>
    <w:rsid w:val="51161C4E"/>
    <w:rsid w:val="511848E8"/>
    <w:rsid w:val="51205736"/>
    <w:rsid w:val="51242D1A"/>
    <w:rsid w:val="51275130"/>
    <w:rsid w:val="51332596"/>
    <w:rsid w:val="51360B87"/>
    <w:rsid w:val="513938C9"/>
    <w:rsid w:val="51394095"/>
    <w:rsid w:val="513A2A02"/>
    <w:rsid w:val="513E3F26"/>
    <w:rsid w:val="51401058"/>
    <w:rsid w:val="514E5AEA"/>
    <w:rsid w:val="5156081F"/>
    <w:rsid w:val="51657342"/>
    <w:rsid w:val="516F0BF8"/>
    <w:rsid w:val="51722A42"/>
    <w:rsid w:val="5173706F"/>
    <w:rsid w:val="51774780"/>
    <w:rsid w:val="517F1D8B"/>
    <w:rsid w:val="51853637"/>
    <w:rsid w:val="518A2050"/>
    <w:rsid w:val="518D1F26"/>
    <w:rsid w:val="519E2B14"/>
    <w:rsid w:val="51A055DC"/>
    <w:rsid w:val="51AA5DE3"/>
    <w:rsid w:val="51AC6764"/>
    <w:rsid w:val="51AD4B3B"/>
    <w:rsid w:val="51B52056"/>
    <w:rsid w:val="51B74F5A"/>
    <w:rsid w:val="51C36CCB"/>
    <w:rsid w:val="51C471B1"/>
    <w:rsid w:val="51CA613D"/>
    <w:rsid w:val="51DB1C8D"/>
    <w:rsid w:val="51DE64D1"/>
    <w:rsid w:val="51E82B6A"/>
    <w:rsid w:val="51EA4CB0"/>
    <w:rsid w:val="51EC1D13"/>
    <w:rsid w:val="51EE435D"/>
    <w:rsid w:val="51F223CA"/>
    <w:rsid w:val="52000617"/>
    <w:rsid w:val="520A4783"/>
    <w:rsid w:val="520D4FCD"/>
    <w:rsid w:val="520E4EF5"/>
    <w:rsid w:val="520F69D2"/>
    <w:rsid w:val="52145799"/>
    <w:rsid w:val="521570C5"/>
    <w:rsid w:val="521D24AF"/>
    <w:rsid w:val="52242841"/>
    <w:rsid w:val="52277D53"/>
    <w:rsid w:val="522B352E"/>
    <w:rsid w:val="522F41A9"/>
    <w:rsid w:val="523E6D57"/>
    <w:rsid w:val="52417FCE"/>
    <w:rsid w:val="52474E72"/>
    <w:rsid w:val="52517014"/>
    <w:rsid w:val="525E1819"/>
    <w:rsid w:val="5262644D"/>
    <w:rsid w:val="52656D4B"/>
    <w:rsid w:val="52690A8A"/>
    <w:rsid w:val="52702CC3"/>
    <w:rsid w:val="527C0553"/>
    <w:rsid w:val="529615EF"/>
    <w:rsid w:val="52994479"/>
    <w:rsid w:val="529C787B"/>
    <w:rsid w:val="52A118F2"/>
    <w:rsid w:val="52A62910"/>
    <w:rsid w:val="52AC196F"/>
    <w:rsid w:val="52BB751E"/>
    <w:rsid w:val="52BC1CB7"/>
    <w:rsid w:val="52BF0C6B"/>
    <w:rsid w:val="52BF7616"/>
    <w:rsid w:val="52C01F82"/>
    <w:rsid w:val="52D302DE"/>
    <w:rsid w:val="52DB37D2"/>
    <w:rsid w:val="52E112D6"/>
    <w:rsid w:val="52EF771A"/>
    <w:rsid w:val="52F23609"/>
    <w:rsid w:val="52F725D3"/>
    <w:rsid w:val="530D543F"/>
    <w:rsid w:val="53155FA7"/>
    <w:rsid w:val="53243A84"/>
    <w:rsid w:val="532C2893"/>
    <w:rsid w:val="532E7557"/>
    <w:rsid w:val="53315C4B"/>
    <w:rsid w:val="533A00AA"/>
    <w:rsid w:val="533C7D22"/>
    <w:rsid w:val="53476182"/>
    <w:rsid w:val="534F7E64"/>
    <w:rsid w:val="53575365"/>
    <w:rsid w:val="536F51A3"/>
    <w:rsid w:val="537321AC"/>
    <w:rsid w:val="53743ED1"/>
    <w:rsid w:val="53752E08"/>
    <w:rsid w:val="537D120F"/>
    <w:rsid w:val="53920585"/>
    <w:rsid w:val="5396301E"/>
    <w:rsid w:val="539831F9"/>
    <w:rsid w:val="539A41B3"/>
    <w:rsid w:val="53A87319"/>
    <w:rsid w:val="53AA17A9"/>
    <w:rsid w:val="53B20234"/>
    <w:rsid w:val="53B842AC"/>
    <w:rsid w:val="53BB5C95"/>
    <w:rsid w:val="53BE5711"/>
    <w:rsid w:val="53C42C43"/>
    <w:rsid w:val="53CB12B0"/>
    <w:rsid w:val="53EC1ECF"/>
    <w:rsid w:val="53F74AF6"/>
    <w:rsid w:val="53FD311C"/>
    <w:rsid w:val="53FD3B90"/>
    <w:rsid w:val="54084EF7"/>
    <w:rsid w:val="540A305C"/>
    <w:rsid w:val="5410110C"/>
    <w:rsid w:val="54131912"/>
    <w:rsid w:val="541C1529"/>
    <w:rsid w:val="54222228"/>
    <w:rsid w:val="5422763A"/>
    <w:rsid w:val="54296A0B"/>
    <w:rsid w:val="542A4CF1"/>
    <w:rsid w:val="54393B83"/>
    <w:rsid w:val="544615CD"/>
    <w:rsid w:val="54466907"/>
    <w:rsid w:val="54510C43"/>
    <w:rsid w:val="54517EF0"/>
    <w:rsid w:val="54521272"/>
    <w:rsid w:val="54521A63"/>
    <w:rsid w:val="545255BE"/>
    <w:rsid w:val="5456526D"/>
    <w:rsid w:val="546135C3"/>
    <w:rsid w:val="546B3A7C"/>
    <w:rsid w:val="546E71A0"/>
    <w:rsid w:val="547145DD"/>
    <w:rsid w:val="547609DD"/>
    <w:rsid w:val="547B5D3D"/>
    <w:rsid w:val="5482587D"/>
    <w:rsid w:val="548341C1"/>
    <w:rsid w:val="5484104F"/>
    <w:rsid w:val="54886400"/>
    <w:rsid w:val="54922940"/>
    <w:rsid w:val="54923C71"/>
    <w:rsid w:val="54A75B90"/>
    <w:rsid w:val="54AE280E"/>
    <w:rsid w:val="54B3060F"/>
    <w:rsid w:val="54B40DB1"/>
    <w:rsid w:val="54B4518C"/>
    <w:rsid w:val="54B95A1A"/>
    <w:rsid w:val="54C23274"/>
    <w:rsid w:val="54CE7F1C"/>
    <w:rsid w:val="54D26341"/>
    <w:rsid w:val="54D45BC4"/>
    <w:rsid w:val="54DB49C4"/>
    <w:rsid w:val="54DC1C2B"/>
    <w:rsid w:val="54DE1184"/>
    <w:rsid w:val="54DE7576"/>
    <w:rsid w:val="54E212F4"/>
    <w:rsid w:val="54E92EA3"/>
    <w:rsid w:val="54FB018C"/>
    <w:rsid w:val="550109C1"/>
    <w:rsid w:val="55054110"/>
    <w:rsid w:val="5508132B"/>
    <w:rsid w:val="55100B6A"/>
    <w:rsid w:val="55122FCC"/>
    <w:rsid w:val="55131049"/>
    <w:rsid w:val="55164C9A"/>
    <w:rsid w:val="551A15C6"/>
    <w:rsid w:val="551F2C7C"/>
    <w:rsid w:val="55215FCD"/>
    <w:rsid w:val="552F12F5"/>
    <w:rsid w:val="553A18C8"/>
    <w:rsid w:val="553F43DA"/>
    <w:rsid w:val="5546256D"/>
    <w:rsid w:val="554F36F6"/>
    <w:rsid w:val="555946AB"/>
    <w:rsid w:val="555C3C55"/>
    <w:rsid w:val="555C3E9A"/>
    <w:rsid w:val="556100F8"/>
    <w:rsid w:val="55627B08"/>
    <w:rsid w:val="5565088E"/>
    <w:rsid w:val="556D2C0F"/>
    <w:rsid w:val="556F7375"/>
    <w:rsid w:val="55721481"/>
    <w:rsid w:val="5579157E"/>
    <w:rsid w:val="55911E19"/>
    <w:rsid w:val="559601F5"/>
    <w:rsid w:val="559B253D"/>
    <w:rsid w:val="559E2967"/>
    <w:rsid w:val="559F620B"/>
    <w:rsid w:val="55A03621"/>
    <w:rsid w:val="55A17B91"/>
    <w:rsid w:val="55AD5540"/>
    <w:rsid w:val="55BB0BF7"/>
    <w:rsid w:val="55BB3061"/>
    <w:rsid w:val="55C37CDE"/>
    <w:rsid w:val="55D22539"/>
    <w:rsid w:val="55E34C3E"/>
    <w:rsid w:val="55E53845"/>
    <w:rsid w:val="55E61A70"/>
    <w:rsid w:val="55F720C6"/>
    <w:rsid w:val="5602665E"/>
    <w:rsid w:val="5607285D"/>
    <w:rsid w:val="560F2F20"/>
    <w:rsid w:val="56113472"/>
    <w:rsid w:val="56120991"/>
    <w:rsid w:val="562D50DC"/>
    <w:rsid w:val="563D46B2"/>
    <w:rsid w:val="56457704"/>
    <w:rsid w:val="5648287B"/>
    <w:rsid w:val="5658153C"/>
    <w:rsid w:val="5667179F"/>
    <w:rsid w:val="5669552B"/>
    <w:rsid w:val="56756FEE"/>
    <w:rsid w:val="567A14B2"/>
    <w:rsid w:val="567E453E"/>
    <w:rsid w:val="568B0655"/>
    <w:rsid w:val="568F6105"/>
    <w:rsid w:val="569340BF"/>
    <w:rsid w:val="56981863"/>
    <w:rsid w:val="569D7032"/>
    <w:rsid w:val="56A26CA4"/>
    <w:rsid w:val="56A769A9"/>
    <w:rsid w:val="56A90163"/>
    <w:rsid w:val="56AD22B9"/>
    <w:rsid w:val="56BA554A"/>
    <w:rsid w:val="56C768C1"/>
    <w:rsid w:val="56CB20C5"/>
    <w:rsid w:val="56CF17A9"/>
    <w:rsid w:val="56DE774E"/>
    <w:rsid w:val="56ED3AE9"/>
    <w:rsid w:val="56EF6AA9"/>
    <w:rsid w:val="56F232A6"/>
    <w:rsid w:val="56FB3DE8"/>
    <w:rsid w:val="57101D0B"/>
    <w:rsid w:val="57131037"/>
    <w:rsid w:val="573556C2"/>
    <w:rsid w:val="575632CC"/>
    <w:rsid w:val="57606F87"/>
    <w:rsid w:val="576A62CC"/>
    <w:rsid w:val="577A6D2E"/>
    <w:rsid w:val="577E0893"/>
    <w:rsid w:val="577F0575"/>
    <w:rsid w:val="578840B1"/>
    <w:rsid w:val="57945726"/>
    <w:rsid w:val="579D34A4"/>
    <w:rsid w:val="57AC50C3"/>
    <w:rsid w:val="57AC7F76"/>
    <w:rsid w:val="57B17ABA"/>
    <w:rsid w:val="57B37249"/>
    <w:rsid w:val="57B528A1"/>
    <w:rsid w:val="57BF6AF8"/>
    <w:rsid w:val="57C969E3"/>
    <w:rsid w:val="57D57D2F"/>
    <w:rsid w:val="57D60714"/>
    <w:rsid w:val="57D94111"/>
    <w:rsid w:val="57DC2BAD"/>
    <w:rsid w:val="57F15865"/>
    <w:rsid w:val="57F67D0A"/>
    <w:rsid w:val="57FE534E"/>
    <w:rsid w:val="57FF2C6E"/>
    <w:rsid w:val="580112DD"/>
    <w:rsid w:val="58057B99"/>
    <w:rsid w:val="580815FA"/>
    <w:rsid w:val="5808676D"/>
    <w:rsid w:val="58201D40"/>
    <w:rsid w:val="5821783A"/>
    <w:rsid w:val="582230D5"/>
    <w:rsid w:val="58236694"/>
    <w:rsid w:val="58341D09"/>
    <w:rsid w:val="583A3C22"/>
    <w:rsid w:val="58430D07"/>
    <w:rsid w:val="584326B5"/>
    <w:rsid w:val="586846EF"/>
    <w:rsid w:val="586D2962"/>
    <w:rsid w:val="5872759C"/>
    <w:rsid w:val="58872F30"/>
    <w:rsid w:val="588B353C"/>
    <w:rsid w:val="588B7142"/>
    <w:rsid w:val="589A0036"/>
    <w:rsid w:val="589B5B49"/>
    <w:rsid w:val="589E3418"/>
    <w:rsid w:val="58AF3175"/>
    <w:rsid w:val="58B060DB"/>
    <w:rsid w:val="58B67BEB"/>
    <w:rsid w:val="58C00689"/>
    <w:rsid w:val="58CC7366"/>
    <w:rsid w:val="58DF2335"/>
    <w:rsid w:val="58E3120B"/>
    <w:rsid w:val="58E94311"/>
    <w:rsid w:val="58ED24DC"/>
    <w:rsid w:val="58EE7F4C"/>
    <w:rsid w:val="58F46DEA"/>
    <w:rsid w:val="58FB7105"/>
    <w:rsid w:val="590B158E"/>
    <w:rsid w:val="59107FD3"/>
    <w:rsid w:val="591401BA"/>
    <w:rsid w:val="59283577"/>
    <w:rsid w:val="592C532E"/>
    <w:rsid w:val="592D4E59"/>
    <w:rsid w:val="59495D0A"/>
    <w:rsid w:val="594A0F1E"/>
    <w:rsid w:val="594B2650"/>
    <w:rsid w:val="59544437"/>
    <w:rsid w:val="59550077"/>
    <w:rsid w:val="59695B0E"/>
    <w:rsid w:val="597900D1"/>
    <w:rsid w:val="5984766D"/>
    <w:rsid w:val="598D1CE2"/>
    <w:rsid w:val="59941933"/>
    <w:rsid w:val="59975113"/>
    <w:rsid w:val="59A114F8"/>
    <w:rsid w:val="59A22514"/>
    <w:rsid w:val="59A3309B"/>
    <w:rsid w:val="59AD460E"/>
    <w:rsid w:val="59B764D9"/>
    <w:rsid w:val="59BA7DD3"/>
    <w:rsid w:val="59BF0470"/>
    <w:rsid w:val="59C12B00"/>
    <w:rsid w:val="59C5315A"/>
    <w:rsid w:val="59C85BBA"/>
    <w:rsid w:val="59CC1752"/>
    <w:rsid w:val="59DA1A0D"/>
    <w:rsid w:val="59DF73D7"/>
    <w:rsid w:val="59E01997"/>
    <w:rsid w:val="59F112FE"/>
    <w:rsid w:val="59F26158"/>
    <w:rsid w:val="59FA1FEC"/>
    <w:rsid w:val="5A0C522E"/>
    <w:rsid w:val="5A0F13D4"/>
    <w:rsid w:val="5A123A4A"/>
    <w:rsid w:val="5A136829"/>
    <w:rsid w:val="5A143FBA"/>
    <w:rsid w:val="5A2643CB"/>
    <w:rsid w:val="5A397DDF"/>
    <w:rsid w:val="5A4D708A"/>
    <w:rsid w:val="5A625302"/>
    <w:rsid w:val="5A761225"/>
    <w:rsid w:val="5A810F34"/>
    <w:rsid w:val="5A8A4153"/>
    <w:rsid w:val="5A8F4ABF"/>
    <w:rsid w:val="5A9038A8"/>
    <w:rsid w:val="5AA07150"/>
    <w:rsid w:val="5AB62857"/>
    <w:rsid w:val="5AB67988"/>
    <w:rsid w:val="5AB91724"/>
    <w:rsid w:val="5ABE5F69"/>
    <w:rsid w:val="5ABF5901"/>
    <w:rsid w:val="5ABF7D64"/>
    <w:rsid w:val="5ACA5953"/>
    <w:rsid w:val="5ACB3A4A"/>
    <w:rsid w:val="5ACF19E6"/>
    <w:rsid w:val="5AD47477"/>
    <w:rsid w:val="5ADC12D8"/>
    <w:rsid w:val="5AE3217B"/>
    <w:rsid w:val="5AE55940"/>
    <w:rsid w:val="5AE57817"/>
    <w:rsid w:val="5AE60D3F"/>
    <w:rsid w:val="5AE70490"/>
    <w:rsid w:val="5AFC1C5E"/>
    <w:rsid w:val="5B06430D"/>
    <w:rsid w:val="5B0C1DEE"/>
    <w:rsid w:val="5B173253"/>
    <w:rsid w:val="5B26453F"/>
    <w:rsid w:val="5B284788"/>
    <w:rsid w:val="5B2A49AD"/>
    <w:rsid w:val="5B43724B"/>
    <w:rsid w:val="5B5078C2"/>
    <w:rsid w:val="5B59062D"/>
    <w:rsid w:val="5B6451A6"/>
    <w:rsid w:val="5B75731B"/>
    <w:rsid w:val="5B7E1EB2"/>
    <w:rsid w:val="5B847D3D"/>
    <w:rsid w:val="5B861444"/>
    <w:rsid w:val="5B8A50DE"/>
    <w:rsid w:val="5B912B50"/>
    <w:rsid w:val="5B953ED2"/>
    <w:rsid w:val="5B9664A4"/>
    <w:rsid w:val="5B984E7B"/>
    <w:rsid w:val="5B993928"/>
    <w:rsid w:val="5B9955E8"/>
    <w:rsid w:val="5B9A5925"/>
    <w:rsid w:val="5B9B4306"/>
    <w:rsid w:val="5B9E436E"/>
    <w:rsid w:val="5BA13C73"/>
    <w:rsid w:val="5BAA0E05"/>
    <w:rsid w:val="5BB3110B"/>
    <w:rsid w:val="5BB50DF9"/>
    <w:rsid w:val="5BC2290D"/>
    <w:rsid w:val="5BC90992"/>
    <w:rsid w:val="5BCB2B90"/>
    <w:rsid w:val="5BD05705"/>
    <w:rsid w:val="5BD81FA8"/>
    <w:rsid w:val="5BED5D88"/>
    <w:rsid w:val="5BF204A7"/>
    <w:rsid w:val="5BF53049"/>
    <w:rsid w:val="5BF53B3D"/>
    <w:rsid w:val="5BFB7164"/>
    <w:rsid w:val="5C0B1C47"/>
    <w:rsid w:val="5C0B2E25"/>
    <w:rsid w:val="5C131193"/>
    <w:rsid w:val="5C17648D"/>
    <w:rsid w:val="5C1A310B"/>
    <w:rsid w:val="5C1A753A"/>
    <w:rsid w:val="5C202F01"/>
    <w:rsid w:val="5C236E8E"/>
    <w:rsid w:val="5C312060"/>
    <w:rsid w:val="5C3A34FC"/>
    <w:rsid w:val="5C461A91"/>
    <w:rsid w:val="5C4639E1"/>
    <w:rsid w:val="5C497FA1"/>
    <w:rsid w:val="5C4B3F8B"/>
    <w:rsid w:val="5C583E24"/>
    <w:rsid w:val="5C5D08BB"/>
    <w:rsid w:val="5C60208A"/>
    <w:rsid w:val="5C66535C"/>
    <w:rsid w:val="5C6D424E"/>
    <w:rsid w:val="5C727C32"/>
    <w:rsid w:val="5C774020"/>
    <w:rsid w:val="5C836D63"/>
    <w:rsid w:val="5C847D9F"/>
    <w:rsid w:val="5C8A0E37"/>
    <w:rsid w:val="5C8B0309"/>
    <w:rsid w:val="5C93198C"/>
    <w:rsid w:val="5C98042B"/>
    <w:rsid w:val="5C9913E2"/>
    <w:rsid w:val="5CA66466"/>
    <w:rsid w:val="5CAD630E"/>
    <w:rsid w:val="5CB33015"/>
    <w:rsid w:val="5CB46F5A"/>
    <w:rsid w:val="5CB7639B"/>
    <w:rsid w:val="5CD91E24"/>
    <w:rsid w:val="5CD9734A"/>
    <w:rsid w:val="5CDE0C87"/>
    <w:rsid w:val="5CDF1DCE"/>
    <w:rsid w:val="5CE33758"/>
    <w:rsid w:val="5CE96194"/>
    <w:rsid w:val="5CF319DE"/>
    <w:rsid w:val="5CF50E0C"/>
    <w:rsid w:val="5CFA2EAA"/>
    <w:rsid w:val="5D041404"/>
    <w:rsid w:val="5D05702F"/>
    <w:rsid w:val="5D0819AF"/>
    <w:rsid w:val="5D0B3DB3"/>
    <w:rsid w:val="5D131B22"/>
    <w:rsid w:val="5D15609A"/>
    <w:rsid w:val="5D1F0193"/>
    <w:rsid w:val="5D243C94"/>
    <w:rsid w:val="5D246DB0"/>
    <w:rsid w:val="5D264973"/>
    <w:rsid w:val="5D283218"/>
    <w:rsid w:val="5D2A41F3"/>
    <w:rsid w:val="5D3C3250"/>
    <w:rsid w:val="5D3E70CC"/>
    <w:rsid w:val="5D412E9E"/>
    <w:rsid w:val="5D503C55"/>
    <w:rsid w:val="5D5531B4"/>
    <w:rsid w:val="5D5E4BD3"/>
    <w:rsid w:val="5D610FBA"/>
    <w:rsid w:val="5D73062F"/>
    <w:rsid w:val="5D7519FB"/>
    <w:rsid w:val="5D754359"/>
    <w:rsid w:val="5D7976BA"/>
    <w:rsid w:val="5D7D61FF"/>
    <w:rsid w:val="5D7E072C"/>
    <w:rsid w:val="5D7F5B3F"/>
    <w:rsid w:val="5D8374DA"/>
    <w:rsid w:val="5D9043C5"/>
    <w:rsid w:val="5D917380"/>
    <w:rsid w:val="5D976281"/>
    <w:rsid w:val="5D9F66F5"/>
    <w:rsid w:val="5DBF03EB"/>
    <w:rsid w:val="5DBF5867"/>
    <w:rsid w:val="5DC04997"/>
    <w:rsid w:val="5DC53591"/>
    <w:rsid w:val="5DC85744"/>
    <w:rsid w:val="5DCF2F34"/>
    <w:rsid w:val="5DD03179"/>
    <w:rsid w:val="5DD2534B"/>
    <w:rsid w:val="5DEB2D6E"/>
    <w:rsid w:val="5DF85FBA"/>
    <w:rsid w:val="5DFC2939"/>
    <w:rsid w:val="5E027BA8"/>
    <w:rsid w:val="5E0A0BB4"/>
    <w:rsid w:val="5E0A3A10"/>
    <w:rsid w:val="5E2860C8"/>
    <w:rsid w:val="5E2A0754"/>
    <w:rsid w:val="5E2B3F5E"/>
    <w:rsid w:val="5E384323"/>
    <w:rsid w:val="5E3B2009"/>
    <w:rsid w:val="5E3B3903"/>
    <w:rsid w:val="5E3C3CAB"/>
    <w:rsid w:val="5E3E2839"/>
    <w:rsid w:val="5E425E09"/>
    <w:rsid w:val="5E445E81"/>
    <w:rsid w:val="5E4E3305"/>
    <w:rsid w:val="5E555D42"/>
    <w:rsid w:val="5E561E50"/>
    <w:rsid w:val="5E6D2BC6"/>
    <w:rsid w:val="5E7516A9"/>
    <w:rsid w:val="5E757973"/>
    <w:rsid w:val="5E8B5B78"/>
    <w:rsid w:val="5E8D40BB"/>
    <w:rsid w:val="5E912506"/>
    <w:rsid w:val="5EA0790D"/>
    <w:rsid w:val="5EA20FD9"/>
    <w:rsid w:val="5EA96EBE"/>
    <w:rsid w:val="5EAC37CE"/>
    <w:rsid w:val="5EB47C6B"/>
    <w:rsid w:val="5EB505C8"/>
    <w:rsid w:val="5EB97BFE"/>
    <w:rsid w:val="5EBB4529"/>
    <w:rsid w:val="5EBC4050"/>
    <w:rsid w:val="5EBD6D92"/>
    <w:rsid w:val="5ECE4AD3"/>
    <w:rsid w:val="5ED90A4F"/>
    <w:rsid w:val="5EDB5760"/>
    <w:rsid w:val="5EE53D0A"/>
    <w:rsid w:val="5EF04834"/>
    <w:rsid w:val="5EF77A28"/>
    <w:rsid w:val="5EFA508F"/>
    <w:rsid w:val="5F1A537B"/>
    <w:rsid w:val="5F1D3DA3"/>
    <w:rsid w:val="5F207D18"/>
    <w:rsid w:val="5F22545D"/>
    <w:rsid w:val="5F24765D"/>
    <w:rsid w:val="5F290D15"/>
    <w:rsid w:val="5F2B466E"/>
    <w:rsid w:val="5F4209AC"/>
    <w:rsid w:val="5F424C71"/>
    <w:rsid w:val="5F432EAB"/>
    <w:rsid w:val="5F4420C1"/>
    <w:rsid w:val="5F4C757E"/>
    <w:rsid w:val="5F4E1724"/>
    <w:rsid w:val="5F58372D"/>
    <w:rsid w:val="5F5C17A0"/>
    <w:rsid w:val="5F654B11"/>
    <w:rsid w:val="5F6649D0"/>
    <w:rsid w:val="5F67640E"/>
    <w:rsid w:val="5F6D64C3"/>
    <w:rsid w:val="5F755CC4"/>
    <w:rsid w:val="5F7A430A"/>
    <w:rsid w:val="5F7F18C1"/>
    <w:rsid w:val="5F8124DD"/>
    <w:rsid w:val="5F8B58BB"/>
    <w:rsid w:val="5F94225B"/>
    <w:rsid w:val="5F9840E4"/>
    <w:rsid w:val="5FAB0881"/>
    <w:rsid w:val="5FB872AD"/>
    <w:rsid w:val="5FBA585B"/>
    <w:rsid w:val="5FC111DF"/>
    <w:rsid w:val="5FC931E5"/>
    <w:rsid w:val="5FCB3004"/>
    <w:rsid w:val="5FD6077A"/>
    <w:rsid w:val="5FD91EC4"/>
    <w:rsid w:val="5FDA00BB"/>
    <w:rsid w:val="5FDC6830"/>
    <w:rsid w:val="5FE57F90"/>
    <w:rsid w:val="5FEA2932"/>
    <w:rsid w:val="5FF842D2"/>
    <w:rsid w:val="5FF96B92"/>
    <w:rsid w:val="5FFF6B3B"/>
    <w:rsid w:val="60010018"/>
    <w:rsid w:val="60033EF8"/>
    <w:rsid w:val="60103832"/>
    <w:rsid w:val="6011375B"/>
    <w:rsid w:val="60170FDD"/>
    <w:rsid w:val="601A4CAC"/>
    <w:rsid w:val="602A33E5"/>
    <w:rsid w:val="602D12EB"/>
    <w:rsid w:val="60354303"/>
    <w:rsid w:val="60381E7E"/>
    <w:rsid w:val="603B39E3"/>
    <w:rsid w:val="603D123C"/>
    <w:rsid w:val="60405096"/>
    <w:rsid w:val="60430916"/>
    <w:rsid w:val="60433F1A"/>
    <w:rsid w:val="604638DA"/>
    <w:rsid w:val="604B2C00"/>
    <w:rsid w:val="60531BBE"/>
    <w:rsid w:val="605A2653"/>
    <w:rsid w:val="605B16EF"/>
    <w:rsid w:val="606030AA"/>
    <w:rsid w:val="60681AA9"/>
    <w:rsid w:val="607029FA"/>
    <w:rsid w:val="60820079"/>
    <w:rsid w:val="60866FAA"/>
    <w:rsid w:val="608951D9"/>
    <w:rsid w:val="608A3E83"/>
    <w:rsid w:val="60911AB1"/>
    <w:rsid w:val="60914E6D"/>
    <w:rsid w:val="6094289E"/>
    <w:rsid w:val="609D4A67"/>
    <w:rsid w:val="60A4658D"/>
    <w:rsid w:val="60AB53BD"/>
    <w:rsid w:val="60AE1332"/>
    <w:rsid w:val="60B06382"/>
    <w:rsid w:val="60B238E8"/>
    <w:rsid w:val="60C56A58"/>
    <w:rsid w:val="60D05951"/>
    <w:rsid w:val="60E40FCB"/>
    <w:rsid w:val="60E727D0"/>
    <w:rsid w:val="60F431B6"/>
    <w:rsid w:val="60F80E08"/>
    <w:rsid w:val="60F80F7E"/>
    <w:rsid w:val="61101393"/>
    <w:rsid w:val="611636FC"/>
    <w:rsid w:val="6117277E"/>
    <w:rsid w:val="613624C4"/>
    <w:rsid w:val="613B28D7"/>
    <w:rsid w:val="613C2142"/>
    <w:rsid w:val="61411BD9"/>
    <w:rsid w:val="6144456B"/>
    <w:rsid w:val="6147437B"/>
    <w:rsid w:val="61520F1C"/>
    <w:rsid w:val="615858BA"/>
    <w:rsid w:val="615C2A71"/>
    <w:rsid w:val="61620211"/>
    <w:rsid w:val="61647FDF"/>
    <w:rsid w:val="616D3F1F"/>
    <w:rsid w:val="616F7D6C"/>
    <w:rsid w:val="617954B8"/>
    <w:rsid w:val="617B185C"/>
    <w:rsid w:val="6182718B"/>
    <w:rsid w:val="618B6600"/>
    <w:rsid w:val="618F3B50"/>
    <w:rsid w:val="619176D1"/>
    <w:rsid w:val="619B1D96"/>
    <w:rsid w:val="619D5807"/>
    <w:rsid w:val="619E3328"/>
    <w:rsid w:val="61A84FD3"/>
    <w:rsid w:val="61AD6547"/>
    <w:rsid w:val="61B629E5"/>
    <w:rsid w:val="61BA64FF"/>
    <w:rsid w:val="61BE455F"/>
    <w:rsid w:val="61C16E98"/>
    <w:rsid w:val="61D67110"/>
    <w:rsid w:val="61D758C9"/>
    <w:rsid w:val="61E044C2"/>
    <w:rsid w:val="61E54BC6"/>
    <w:rsid w:val="61E61E86"/>
    <w:rsid w:val="61F14599"/>
    <w:rsid w:val="61FA0D76"/>
    <w:rsid w:val="61FD12D7"/>
    <w:rsid w:val="6202633D"/>
    <w:rsid w:val="62067684"/>
    <w:rsid w:val="62071EB0"/>
    <w:rsid w:val="62072558"/>
    <w:rsid w:val="620956CC"/>
    <w:rsid w:val="620B0F65"/>
    <w:rsid w:val="620C2B2D"/>
    <w:rsid w:val="620D48D5"/>
    <w:rsid w:val="62125C14"/>
    <w:rsid w:val="622802D4"/>
    <w:rsid w:val="622C60B8"/>
    <w:rsid w:val="622F0784"/>
    <w:rsid w:val="6230216B"/>
    <w:rsid w:val="62365A7B"/>
    <w:rsid w:val="62421627"/>
    <w:rsid w:val="62434609"/>
    <w:rsid w:val="624779E5"/>
    <w:rsid w:val="62487455"/>
    <w:rsid w:val="624A7EEB"/>
    <w:rsid w:val="625A4EAE"/>
    <w:rsid w:val="62632E08"/>
    <w:rsid w:val="626C0C78"/>
    <w:rsid w:val="626D7233"/>
    <w:rsid w:val="627358D5"/>
    <w:rsid w:val="6276629E"/>
    <w:rsid w:val="627F535F"/>
    <w:rsid w:val="6287237F"/>
    <w:rsid w:val="628841ED"/>
    <w:rsid w:val="6288528E"/>
    <w:rsid w:val="62894017"/>
    <w:rsid w:val="628D497B"/>
    <w:rsid w:val="62915BF9"/>
    <w:rsid w:val="62935911"/>
    <w:rsid w:val="629F4FFC"/>
    <w:rsid w:val="62A95FA7"/>
    <w:rsid w:val="62AE35A5"/>
    <w:rsid w:val="62AF758F"/>
    <w:rsid w:val="62B74707"/>
    <w:rsid w:val="62C4751A"/>
    <w:rsid w:val="62C50258"/>
    <w:rsid w:val="62C70051"/>
    <w:rsid w:val="62CC1A55"/>
    <w:rsid w:val="62D033D7"/>
    <w:rsid w:val="62D24E91"/>
    <w:rsid w:val="62D56E87"/>
    <w:rsid w:val="62D64631"/>
    <w:rsid w:val="62DB42A1"/>
    <w:rsid w:val="62DC7633"/>
    <w:rsid w:val="62E4189E"/>
    <w:rsid w:val="6300533B"/>
    <w:rsid w:val="63005D3D"/>
    <w:rsid w:val="630F3E93"/>
    <w:rsid w:val="631779FB"/>
    <w:rsid w:val="63181EE7"/>
    <w:rsid w:val="631D0BDB"/>
    <w:rsid w:val="632150B7"/>
    <w:rsid w:val="63282367"/>
    <w:rsid w:val="63292FE2"/>
    <w:rsid w:val="632F4BB7"/>
    <w:rsid w:val="634250D9"/>
    <w:rsid w:val="63436FC8"/>
    <w:rsid w:val="634B54BD"/>
    <w:rsid w:val="634B676D"/>
    <w:rsid w:val="634F4786"/>
    <w:rsid w:val="63654F5B"/>
    <w:rsid w:val="6365621B"/>
    <w:rsid w:val="63690152"/>
    <w:rsid w:val="636B401B"/>
    <w:rsid w:val="636D5B47"/>
    <w:rsid w:val="637356EA"/>
    <w:rsid w:val="63743354"/>
    <w:rsid w:val="63774C12"/>
    <w:rsid w:val="637A1D49"/>
    <w:rsid w:val="637D4470"/>
    <w:rsid w:val="638A3FB7"/>
    <w:rsid w:val="638D2DB6"/>
    <w:rsid w:val="63AB6274"/>
    <w:rsid w:val="63B252AA"/>
    <w:rsid w:val="63B268A4"/>
    <w:rsid w:val="63B676F7"/>
    <w:rsid w:val="63BF01CA"/>
    <w:rsid w:val="63C26F97"/>
    <w:rsid w:val="63D81139"/>
    <w:rsid w:val="63DA30BD"/>
    <w:rsid w:val="63DE1E1F"/>
    <w:rsid w:val="63DF7591"/>
    <w:rsid w:val="63E41C99"/>
    <w:rsid w:val="640A7E6F"/>
    <w:rsid w:val="640D5592"/>
    <w:rsid w:val="640F111D"/>
    <w:rsid w:val="6415471B"/>
    <w:rsid w:val="64184A94"/>
    <w:rsid w:val="641C62B2"/>
    <w:rsid w:val="641C6342"/>
    <w:rsid w:val="641D5D90"/>
    <w:rsid w:val="642A4A6F"/>
    <w:rsid w:val="642A69E2"/>
    <w:rsid w:val="642E14F0"/>
    <w:rsid w:val="644106C9"/>
    <w:rsid w:val="64487864"/>
    <w:rsid w:val="6455416E"/>
    <w:rsid w:val="645A2BDF"/>
    <w:rsid w:val="645E43AA"/>
    <w:rsid w:val="64675F8C"/>
    <w:rsid w:val="647E2BEE"/>
    <w:rsid w:val="64821DEA"/>
    <w:rsid w:val="6484560E"/>
    <w:rsid w:val="648834FC"/>
    <w:rsid w:val="64933326"/>
    <w:rsid w:val="649A0BB7"/>
    <w:rsid w:val="649E604B"/>
    <w:rsid w:val="64A20B38"/>
    <w:rsid w:val="64A25691"/>
    <w:rsid w:val="64A357A5"/>
    <w:rsid w:val="64B132E4"/>
    <w:rsid w:val="64B47BFE"/>
    <w:rsid w:val="64BF5725"/>
    <w:rsid w:val="64C202A5"/>
    <w:rsid w:val="64C82295"/>
    <w:rsid w:val="64CD091C"/>
    <w:rsid w:val="64D578D7"/>
    <w:rsid w:val="64D72494"/>
    <w:rsid w:val="64D76205"/>
    <w:rsid w:val="64D9683E"/>
    <w:rsid w:val="64E2648D"/>
    <w:rsid w:val="64E45FE6"/>
    <w:rsid w:val="64EA01BF"/>
    <w:rsid w:val="64EF2F60"/>
    <w:rsid w:val="64F63B27"/>
    <w:rsid w:val="64F6737C"/>
    <w:rsid w:val="650A6B91"/>
    <w:rsid w:val="650A7524"/>
    <w:rsid w:val="650C1046"/>
    <w:rsid w:val="650C3283"/>
    <w:rsid w:val="65146114"/>
    <w:rsid w:val="651B2C2A"/>
    <w:rsid w:val="652930F2"/>
    <w:rsid w:val="65305B8D"/>
    <w:rsid w:val="653921B1"/>
    <w:rsid w:val="653C59A6"/>
    <w:rsid w:val="653E5583"/>
    <w:rsid w:val="653F64B5"/>
    <w:rsid w:val="65442CBA"/>
    <w:rsid w:val="65513C14"/>
    <w:rsid w:val="65584095"/>
    <w:rsid w:val="656514DA"/>
    <w:rsid w:val="65707C2C"/>
    <w:rsid w:val="6572029D"/>
    <w:rsid w:val="65741979"/>
    <w:rsid w:val="657F2E63"/>
    <w:rsid w:val="65853AE9"/>
    <w:rsid w:val="658D62E6"/>
    <w:rsid w:val="658F0E07"/>
    <w:rsid w:val="659805C0"/>
    <w:rsid w:val="659A1697"/>
    <w:rsid w:val="65A5705B"/>
    <w:rsid w:val="65A87423"/>
    <w:rsid w:val="65AA4C86"/>
    <w:rsid w:val="65B43AEC"/>
    <w:rsid w:val="65B946D3"/>
    <w:rsid w:val="65B95537"/>
    <w:rsid w:val="65BB400B"/>
    <w:rsid w:val="65C55972"/>
    <w:rsid w:val="65CE0C9E"/>
    <w:rsid w:val="65DB009A"/>
    <w:rsid w:val="65DD32BC"/>
    <w:rsid w:val="65E21CCA"/>
    <w:rsid w:val="65EC32E5"/>
    <w:rsid w:val="65F061C8"/>
    <w:rsid w:val="65F441B3"/>
    <w:rsid w:val="65FD4589"/>
    <w:rsid w:val="65FF7A90"/>
    <w:rsid w:val="66003EE4"/>
    <w:rsid w:val="66070283"/>
    <w:rsid w:val="660B3E3D"/>
    <w:rsid w:val="660C6E9F"/>
    <w:rsid w:val="66191177"/>
    <w:rsid w:val="6619154B"/>
    <w:rsid w:val="66255BFF"/>
    <w:rsid w:val="662639BA"/>
    <w:rsid w:val="662B77A0"/>
    <w:rsid w:val="662F01E1"/>
    <w:rsid w:val="6630148C"/>
    <w:rsid w:val="66447EBD"/>
    <w:rsid w:val="66475647"/>
    <w:rsid w:val="664775F0"/>
    <w:rsid w:val="664B6F71"/>
    <w:rsid w:val="664E23DC"/>
    <w:rsid w:val="664F3D0B"/>
    <w:rsid w:val="6652062B"/>
    <w:rsid w:val="665C1474"/>
    <w:rsid w:val="66615364"/>
    <w:rsid w:val="666640AF"/>
    <w:rsid w:val="66731E80"/>
    <w:rsid w:val="66796FD5"/>
    <w:rsid w:val="66831332"/>
    <w:rsid w:val="66860FFF"/>
    <w:rsid w:val="668F2D4B"/>
    <w:rsid w:val="6697363C"/>
    <w:rsid w:val="66BE5742"/>
    <w:rsid w:val="66D13795"/>
    <w:rsid w:val="66D7487B"/>
    <w:rsid w:val="66E5153A"/>
    <w:rsid w:val="66E71872"/>
    <w:rsid w:val="66F2311B"/>
    <w:rsid w:val="66F66888"/>
    <w:rsid w:val="66F727EF"/>
    <w:rsid w:val="66F77E3C"/>
    <w:rsid w:val="66F77FD2"/>
    <w:rsid w:val="66F8124E"/>
    <w:rsid w:val="66FD3534"/>
    <w:rsid w:val="66FF280D"/>
    <w:rsid w:val="66FF5A8F"/>
    <w:rsid w:val="670D6659"/>
    <w:rsid w:val="671A2E3A"/>
    <w:rsid w:val="671B753A"/>
    <w:rsid w:val="672226B7"/>
    <w:rsid w:val="6724186C"/>
    <w:rsid w:val="672D4731"/>
    <w:rsid w:val="673858C6"/>
    <w:rsid w:val="6749744C"/>
    <w:rsid w:val="674C7A41"/>
    <w:rsid w:val="674E7649"/>
    <w:rsid w:val="6755619C"/>
    <w:rsid w:val="675B102C"/>
    <w:rsid w:val="675B7579"/>
    <w:rsid w:val="675D55A7"/>
    <w:rsid w:val="675F2192"/>
    <w:rsid w:val="676845C8"/>
    <w:rsid w:val="676B1118"/>
    <w:rsid w:val="676B22CD"/>
    <w:rsid w:val="67746652"/>
    <w:rsid w:val="677B3668"/>
    <w:rsid w:val="677C15A0"/>
    <w:rsid w:val="677F65D8"/>
    <w:rsid w:val="67802EFA"/>
    <w:rsid w:val="678802ED"/>
    <w:rsid w:val="678E72D7"/>
    <w:rsid w:val="679073ED"/>
    <w:rsid w:val="67961046"/>
    <w:rsid w:val="67980139"/>
    <w:rsid w:val="679876DF"/>
    <w:rsid w:val="679B2F2F"/>
    <w:rsid w:val="67A23989"/>
    <w:rsid w:val="67A74E48"/>
    <w:rsid w:val="67CA36CD"/>
    <w:rsid w:val="67CB5AE3"/>
    <w:rsid w:val="67CB7E43"/>
    <w:rsid w:val="67CC75A3"/>
    <w:rsid w:val="67D01EEE"/>
    <w:rsid w:val="67D05F56"/>
    <w:rsid w:val="67D11F53"/>
    <w:rsid w:val="67DF56A4"/>
    <w:rsid w:val="67E01BA5"/>
    <w:rsid w:val="67E03808"/>
    <w:rsid w:val="67E97759"/>
    <w:rsid w:val="67EB0B9E"/>
    <w:rsid w:val="68006EC8"/>
    <w:rsid w:val="681346F9"/>
    <w:rsid w:val="68160DEC"/>
    <w:rsid w:val="68295146"/>
    <w:rsid w:val="682B0D20"/>
    <w:rsid w:val="6836153B"/>
    <w:rsid w:val="683A21CA"/>
    <w:rsid w:val="683E1810"/>
    <w:rsid w:val="683E47B8"/>
    <w:rsid w:val="683F7AD2"/>
    <w:rsid w:val="68420858"/>
    <w:rsid w:val="684B55E1"/>
    <w:rsid w:val="684C0FD0"/>
    <w:rsid w:val="685112E9"/>
    <w:rsid w:val="68514113"/>
    <w:rsid w:val="685F0A3E"/>
    <w:rsid w:val="68607763"/>
    <w:rsid w:val="686C4C12"/>
    <w:rsid w:val="686F092D"/>
    <w:rsid w:val="6874626F"/>
    <w:rsid w:val="68794E8B"/>
    <w:rsid w:val="687B1AA8"/>
    <w:rsid w:val="687F00C0"/>
    <w:rsid w:val="6890596A"/>
    <w:rsid w:val="68941AA2"/>
    <w:rsid w:val="689533A1"/>
    <w:rsid w:val="6895507A"/>
    <w:rsid w:val="68965998"/>
    <w:rsid w:val="689D2BEF"/>
    <w:rsid w:val="689F675E"/>
    <w:rsid w:val="68A20A77"/>
    <w:rsid w:val="68A520D5"/>
    <w:rsid w:val="68CD0A14"/>
    <w:rsid w:val="68D3413B"/>
    <w:rsid w:val="68D75378"/>
    <w:rsid w:val="68EA3C2B"/>
    <w:rsid w:val="68FD6E33"/>
    <w:rsid w:val="6903697B"/>
    <w:rsid w:val="691279F2"/>
    <w:rsid w:val="691B586A"/>
    <w:rsid w:val="691E41B2"/>
    <w:rsid w:val="692B6129"/>
    <w:rsid w:val="692F6AA9"/>
    <w:rsid w:val="69332C99"/>
    <w:rsid w:val="69341180"/>
    <w:rsid w:val="6934737D"/>
    <w:rsid w:val="693518FB"/>
    <w:rsid w:val="693C7BB9"/>
    <w:rsid w:val="693F7551"/>
    <w:rsid w:val="69465531"/>
    <w:rsid w:val="6947220C"/>
    <w:rsid w:val="69560380"/>
    <w:rsid w:val="695738BD"/>
    <w:rsid w:val="695D7D9C"/>
    <w:rsid w:val="697E134C"/>
    <w:rsid w:val="69A52143"/>
    <w:rsid w:val="69B4541D"/>
    <w:rsid w:val="69BA0787"/>
    <w:rsid w:val="69C4397C"/>
    <w:rsid w:val="69CA6E56"/>
    <w:rsid w:val="69CB3757"/>
    <w:rsid w:val="69CF221A"/>
    <w:rsid w:val="69CF257E"/>
    <w:rsid w:val="69D0727F"/>
    <w:rsid w:val="69D40047"/>
    <w:rsid w:val="69D71C14"/>
    <w:rsid w:val="69D96B71"/>
    <w:rsid w:val="69E11ACF"/>
    <w:rsid w:val="69E74168"/>
    <w:rsid w:val="69E90419"/>
    <w:rsid w:val="69ED4E05"/>
    <w:rsid w:val="69FD3A97"/>
    <w:rsid w:val="6A034FCE"/>
    <w:rsid w:val="6A07144C"/>
    <w:rsid w:val="6A0C65D5"/>
    <w:rsid w:val="6A0E7AE3"/>
    <w:rsid w:val="6A171A02"/>
    <w:rsid w:val="6A1908E3"/>
    <w:rsid w:val="6A1B26D7"/>
    <w:rsid w:val="6A1D1985"/>
    <w:rsid w:val="6A1E0C4C"/>
    <w:rsid w:val="6A2076C3"/>
    <w:rsid w:val="6A240F66"/>
    <w:rsid w:val="6A3047AA"/>
    <w:rsid w:val="6A381952"/>
    <w:rsid w:val="6A420882"/>
    <w:rsid w:val="6A436049"/>
    <w:rsid w:val="6A4A6A21"/>
    <w:rsid w:val="6A4E7B99"/>
    <w:rsid w:val="6A525926"/>
    <w:rsid w:val="6A5273D1"/>
    <w:rsid w:val="6A543885"/>
    <w:rsid w:val="6A57091D"/>
    <w:rsid w:val="6A6910C1"/>
    <w:rsid w:val="6A7171D7"/>
    <w:rsid w:val="6A750AE2"/>
    <w:rsid w:val="6A782BBF"/>
    <w:rsid w:val="6A803564"/>
    <w:rsid w:val="6A88614A"/>
    <w:rsid w:val="6A8A5C7F"/>
    <w:rsid w:val="6A8D7B0B"/>
    <w:rsid w:val="6A8F16D0"/>
    <w:rsid w:val="6A903F85"/>
    <w:rsid w:val="6A9D776B"/>
    <w:rsid w:val="6A9F22CE"/>
    <w:rsid w:val="6AAD3DCE"/>
    <w:rsid w:val="6ABC585C"/>
    <w:rsid w:val="6ABD0EED"/>
    <w:rsid w:val="6AC133C0"/>
    <w:rsid w:val="6AC974D8"/>
    <w:rsid w:val="6ACF3D34"/>
    <w:rsid w:val="6AD77D3B"/>
    <w:rsid w:val="6AD85FE7"/>
    <w:rsid w:val="6AD87AE0"/>
    <w:rsid w:val="6AD93742"/>
    <w:rsid w:val="6AE875B9"/>
    <w:rsid w:val="6AEB7E41"/>
    <w:rsid w:val="6AED195F"/>
    <w:rsid w:val="6AEE0ED6"/>
    <w:rsid w:val="6AEE38D8"/>
    <w:rsid w:val="6AF200A6"/>
    <w:rsid w:val="6AF512F4"/>
    <w:rsid w:val="6AF9600E"/>
    <w:rsid w:val="6AFB68EC"/>
    <w:rsid w:val="6AFD51CF"/>
    <w:rsid w:val="6AFD5828"/>
    <w:rsid w:val="6B0431EF"/>
    <w:rsid w:val="6B0C4EA8"/>
    <w:rsid w:val="6B1A4248"/>
    <w:rsid w:val="6B1B6E45"/>
    <w:rsid w:val="6B1E7C2F"/>
    <w:rsid w:val="6B2F380D"/>
    <w:rsid w:val="6B370BDA"/>
    <w:rsid w:val="6B451619"/>
    <w:rsid w:val="6B4F2441"/>
    <w:rsid w:val="6B5837AB"/>
    <w:rsid w:val="6B5E507B"/>
    <w:rsid w:val="6B6429DD"/>
    <w:rsid w:val="6B661536"/>
    <w:rsid w:val="6B673E74"/>
    <w:rsid w:val="6B6C6E76"/>
    <w:rsid w:val="6B743A82"/>
    <w:rsid w:val="6B7E048D"/>
    <w:rsid w:val="6B7F1B93"/>
    <w:rsid w:val="6B8D46FD"/>
    <w:rsid w:val="6B8E7A00"/>
    <w:rsid w:val="6B926010"/>
    <w:rsid w:val="6B931943"/>
    <w:rsid w:val="6B970D25"/>
    <w:rsid w:val="6B9C6539"/>
    <w:rsid w:val="6B9F6E02"/>
    <w:rsid w:val="6BA31BB1"/>
    <w:rsid w:val="6BA5131C"/>
    <w:rsid w:val="6BA75082"/>
    <w:rsid w:val="6BAA7061"/>
    <w:rsid w:val="6BB14A4E"/>
    <w:rsid w:val="6BBA1542"/>
    <w:rsid w:val="6BBD6A19"/>
    <w:rsid w:val="6BD565AB"/>
    <w:rsid w:val="6BE52720"/>
    <w:rsid w:val="6BF94813"/>
    <w:rsid w:val="6BFB49E6"/>
    <w:rsid w:val="6C3111D6"/>
    <w:rsid w:val="6C312507"/>
    <w:rsid w:val="6C3702A4"/>
    <w:rsid w:val="6C394FC3"/>
    <w:rsid w:val="6C3D0992"/>
    <w:rsid w:val="6C441988"/>
    <w:rsid w:val="6C467A32"/>
    <w:rsid w:val="6C481D33"/>
    <w:rsid w:val="6C492842"/>
    <w:rsid w:val="6C4A6009"/>
    <w:rsid w:val="6C4F21FC"/>
    <w:rsid w:val="6C570557"/>
    <w:rsid w:val="6C735652"/>
    <w:rsid w:val="6C7F5660"/>
    <w:rsid w:val="6C851344"/>
    <w:rsid w:val="6C857B97"/>
    <w:rsid w:val="6C8815DE"/>
    <w:rsid w:val="6C891D4F"/>
    <w:rsid w:val="6C8A2C02"/>
    <w:rsid w:val="6C976618"/>
    <w:rsid w:val="6CA21B6A"/>
    <w:rsid w:val="6CAF490C"/>
    <w:rsid w:val="6CBD2908"/>
    <w:rsid w:val="6CC9331B"/>
    <w:rsid w:val="6CD401EC"/>
    <w:rsid w:val="6CE9267E"/>
    <w:rsid w:val="6CE928C2"/>
    <w:rsid w:val="6CED230E"/>
    <w:rsid w:val="6CED2B28"/>
    <w:rsid w:val="6CF03AEE"/>
    <w:rsid w:val="6CF91D8C"/>
    <w:rsid w:val="6D051620"/>
    <w:rsid w:val="6D075075"/>
    <w:rsid w:val="6D08270F"/>
    <w:rsid w:val="6D1652A1"/>
    <w:rsid w:val="6D2A4F0D"/>
    <w:rsid w:val="6D2C31D6"/>
    <w:rsid w:val="6D330529"/>
    <w:rsid w:val="6D3A00D0"/>
    <w:rsid w:val="6D3C511D"/>
    <w:rsid w:val="6D3C7F73"/>
    <w:rsid w:val="6D3F766C"/>
    <w:rsid w:val="6D5652DD"/>
    <w:rsid w:val="6D5768B7"/>
    <w:rsid w:val="6D5A3393"/>
    <w:rsid w:val="6D622666"/>
    <w:rsid w:val="6D683D05"/>
    <w:rsid w:val="6D6A2C2F"/>
    <w:rsid w:val="6D6B5B7D"/>
    <w:rsid w:val="6D6F664D"/>
    <w:rsid w:val="6D752E09"/>
    <w:rsid w:val="6D7C77B7"/>
    <w:rsid w:val="6D7E02BC"/>
    <w:rsid w:val="6D8E4518"/>
    <w:rsid w:val="6D923A32"/>
    <w:rsid w:val="6D951ED6"/>
    <w:rsid w:val="6D9B1CAE"/>
    <w:rsid w:val="6DA27507"/>
    <w:rsid w:val="6DB207D0"/>
    <w:rsid w:val="6DBC5712"/>
    <w:rsid w:val="6DBE64B8"/>
    <w:rsid w:val="6DCC6136"/>
    <w:rsid w:val="6DD8502D"/>
    <w:rsid w:val="6DDC381E"/>
    <w:rsid w:val="6DE005A7"/>
    <w:rsid w:val="6DE24784"/>
    <w:rsid w:val="6DE32556"/>
    <w:rsid w:val="6DE42232"/>
    <w:rsid w:val="6DE9770C"/>
    <w:rsid w:val="6E0018F5"/>
    <w:rsid w:val="6E050D6D"/>
    <w:rsid w:val="6E115DE8"/>
    <w:rsid w:val="6E142D35"/>
    <w:rsid w:val="6E151D5A"/>
    <w:rsid w:val="6E171279"/>
    <w:rsid w:val="6E1F4036"/>
    <w:rsid w:val="6E2128BE"/>
    <w:rsid w:val="6E246E46"/>
    <w:rsid w:val="6E297B9D"/>
    <w:rsid w:val="6E2F1C57"/>
    <w:rsid w:val="6E3418C4"/>
    <w:rsid w:val="6E533829"/>
    <w:rsid w:val="6E5D013A"/>
    <w:rsid w:val="6E605C81"/>
    <w:rsid w:val="6E614566"/>
    <w:rsid w:val="6E712C93"/>
    <w:rsid w:val="6E7B658E"/>
    <w:rsid w:val="6E7C28D2"/>
    <w:rsid w:val="6E8E2CF2"/>
    <w:rsid w:val="6E94767F"/>
    <w:rsid w:val="6E991824"/>
    <w:rsid w:val="6E9947B3"/>
    <w:rsid w:val="6E9A775F"/>
    <w:rsid w:val="6E9E3FA6"/>
    <w:rsid w:val="6E9F03D8"/>
    <w:rsid w:val="6EBF45C8"/>
    <w:rsid w:val="6EC06586"/>
    <w:rsid w:val="6ED042F3"/>
    <w:rsid w:val="6EE3488B"/>
    <w:rsid w:val="6EEA2389"/>
    <w:rsid w:val="6EF1606D"/>
    <w:rsid w:val="6EF71452"/>
    <w:rsid w:val="6EF8570F"/>
    <w:rsid w:val="6EF86CF7"/>
    <w:rsid w:val="6EFA6C81"/>
    <w:rsid w:val="6EFB1A58"/>
    <w:rsid w:val="6F036E5D"/>
    <w:rsid w:val="6F050BC0"/>
    <w:rsid w:val="6F097FDF"/>
    <w:rsid w:val="6F0D1CD6"/>
    <w:rsid w:val="6F0F4C4D"/>
    <w:rsid w:val="6F1E7E69"/>
    <w:rsid w:val="6F2868C8"/>
    <w:rsid w:val="6F293789"/>
    <w:rsid w:val="6F2B0496"/>
    <w:rsid w:val="6F2C5348"/>
    <w:rsid w:val="6F2F090E"/>
    <w:rsid w:val="6F324291"/>
    <w:rsid w:val="6F5615D5"/>
    <w:rsid w:val="6F5942E0"/>
    <w:rsid w:val="6F5E5983"/>
    <w:rsid w:val="6F5F2937"/>
    <w:rsid w:val="6F6B7A4C"/>
    <w:rsid w:val="6F6E46E3"/>
    <w:rsid w:val="6F882B72"/>
    <w:rsid w:val="6F8F4E86"/>
    <w:rsid w:val="6FA4045E"/>
    <w:rsid w:val="6FB63D4C"/>
    <w:rsid w:val="6FB64E3E"/>
    <w:rsid w:val="6FBD0418"/>
    <w:rsid w:val="6FC048BC"/>
    <w:rsid w:val="6FC70A73"/>
    <w:rsid w:val="6FCB24DF"/>
    <w:rsid w:val="6FCF2727"/>
    <w:rsid w:val="6FD5651B"/>
    <w:rsid w:val="6FD66065"/>
    <w:rsid w:val="6FD7411F"/>
    <w:rsid w:val="6FDB77D3"/>
    <w:rsid w:val="6FDD4897"/>
    <w:rsid w:val="6FEA1419"/>
    <w:rsid w:val="6FEF0689"/>
    <w:rsid w:val="6FFD46A9"/>
    <w:rsid w:val="70041191"/>
    <w:rsid w:val="70055A2E"/>
    <w:rsid w:val="70094861"/>
    <w:rsid w:val="70116EF3"/>
    <w:rsid w:val="701A5543"/>
    <w:rsid w:val="70271646"/>
    <w:rsid w:val="702A3801"/>
    <w:rsid w:val="70445721"/>
    <w:rsid w:val="704F00F8"/>
    <w:rsid w:val="70532079"/>
    <w:rsid w:val="705423B6"/>
    <w:rsid w:val="706F76FE"/>
    <w:rsid w:val="707137F1"/>
    <w:rsid w:val="70732A2D"/>
    <w:rsid w:val="70766CF4"/>
    <w:rsid w:val="70803921"/>
    <w:rsid w:val="70881160"/>
    <w:rsid w:val="708D466D"/>
    <w:rsid w:val="70904285"/>
    <w:rsid w:val="7096018B"/>
    <w:rsid w:val="7098290A"/>
    <w:rsid w:val="70983EB2"/>
    <w:rsid w:val="709D2060"/>
    <w:rsid w:val="70A70F2E"/>
    <w:rsid w:val="70AA0F73"/>
    <w:rsid w:val="70B84826"/>
    <w:rsid w:val="70C25F11"/>
    <w:rsid w:val="70C434C1"/>
    <w:rsid w:val="70C75C1B"/>
    <w:rsid w:val="70CB4C66"/>
    <w:rsid w:val="70D07E34"/>
    <w:rsid w:val="70D1066A"/>
    <w:rsid w:val="70D14DB1"/>
    <w:rsid w:val="70DE10C9"/>
    <w:rsid w:val="70DE2209"/>
    <w:rsid w:val="70E06E29"/>
    <w:rsid w:val="70EC5AB1"/>
    <w:rsid w:val="70ED16AB"/>
    <w:rsid w:val="70F0560F"/>
    <w:rsid w:val="70F72A90"/>
    <w:rsid w:val="70F93503"/>
    <w:rsid w:val="710541AD"/>
    <w:rsid w:val="71073280"/>
    <w:rsid w:val="71092F0B"/>
    <w:rsid w:val="71174DEE"/>
    <w:rsid w:val="711C3351"/>
    <w:rsid w:val="71276BFD"/>
    <w:rsid w:val="712C665B"/>
    <w:rsid w:val="713C6D66"/>
    <w:rsid w:val="713E37CA"/>
    <w:rsid w:val="71415607"/>
    <w:rsid w:val="7146592E"/>
    <w:rsid w:val="71480353"/>
    <w:rsid w:val="71497D42"/>
    <w:rsid w:val="714E0C12"/>
    <w:rsid w:val="71533507"/>
    <w:rsid w:val="71662034"/>
    <w:rsid w:val="716B53BA"/>
    <w:rsid w:val="716C7460"/>
    <w:rsid w:val="71792B54"/>
    <w:rsid w:val="71811901"/>
    <w:rsid w:val="71815A56"/>
    <w:rsid w:val="718657BA"/>
    <w:rsid w:val="718A2D0C"/>
    <w:rsid w:val="718C51B4"/>
    <w:rsid w:val="71914168"/>
    <w:rsid w:val="71940B11"/>
    <w:rsid w:val="71AD4DCE"/>
    <w:rsid w:val="71B61B68"/>
    <w:rsid w:val="71BC7B23"/>
    <w:rsid w:val="71C52870"/>
    <w:rsid w:val="71CA2F8E"/>
    <w:rsid w:val="71CB1C7C"/>
    <w:rsid w:val="71D04246"/>
    <w:rsid w:val="71D747B4"/>
    <w:rsid w:val="71D77AF0"/>
    <w:rsid w:val="71D93505"/>
    <w:rsid w:val="71E70440"/>
    <w:rsid w:val="7201728A"/>
    <w:rsid w:val="720965F3"/>
    <w:rsid w:val="72155B21"/>
    <w:rsid w:val="721D249D"/>
    <w:rsid w:val="72203D1C"/>
    <w:rsid w:val="72342D06"/>
    <w:rsid w:val="72362B15"/>
    <w:rsid w:val="72394BFF"/>
    <w:rsid w:val="723A1D4B"/>
    <w:rsid w:val="723C28FC"/>
    <w:rsid w:val="723F0DBE"/>
    <w:rsid w:val="723F67BB"/>
    <w:rsid w:val="7245554A"/>
    <w:rsid w:val="72556D83"/>
    <w:rsid w:val="725839D3"/>
    <w:rsid w:val="72621A7F"/>
    <w:rsid w:val="726D6CAB"/>
    <w:rsid w:val="72700DF5"/>
    <w:rsid w:val="72705CB2"/>
    <w:rsid w:val="72711126"/>
    <w:rsid w:val="72732F9F"/>
    <w:rsid w:val="727A7C8D"/>
    <w:rsid w:val="727B319C"/>
    <w:rsid w:val="72811CEE"/>
    <w:rsid w:val="72945A53"/>
    <w:rsid w:val="72972332"/>
    <w:rsid w:val="72AB162A"/>
    <w:rsid w:val="72B047B2"/>
    <w:rsid w:val="72C31B2D"/>
    <w:rsid w:val="72C8493B"/>
    <w:rsid w:val="72CB2CD0"/>
    <w:rsid w:val="72CD144E"/>
    <w:rsid w:val="72D57966"/>
    <w:rsid w:val="72DB06A1"/>
    <w:rsid w:val="72DD01BE"/>
    <w:rsid w:val="72DD1BDE"/>
    <w:rsid w:val="72E316E7"/>
    <w:rsid w:val="72E44DF3"/>
    <w:rsid w:val="72F73362"/>
    <w:rsid w:val="72FA752B"/>
    <w:rsid w:val="72FD6392"/>
    <w:rsid w:val="73153685"/>
    <w:rsid w:val="73171838"/>
    <w:rsid w:val="731A4C2B"/>
    <w:rsid w:val="73213812"/>
    <w:rsid w:val="732B1540"/>
    <w:rsid w:val="732F34C5"/>
    <w:rsid w:val="733C60FD"/>
    <w:rsid w:val="7348540A"/>
    <w:rsid w:val="73495B32"/>
    <w:rsid w:val="734B54A4"/>
    <w:rsid w:val="735A3627"/>
    <w:rsid w:val="735D74EE"/>
    <w:rsid w:val="735E1330"/>
    <w:rsid w:val="7364132F"/>
    <w:rsid w:val="73666F58"/>
    <w:rsid w:val="736953A2"/>
    <w:rsid w:val="736D760F"/>
    <w:rsid w:val="73892637"/>
    <w:rsid w:val="738D49B5"/>
    <w:rsid w:val="738E14FD"/>
    <w:rsid w:val="73A6581B"/>
    <w:rsid w:val="73AE1BE5"/>
    <w:rsid w:val="73AF2082"/>
    <w:rsid w:val="73AF37DA"/>
    <w:rsid w:val="73B344B6"/>
    <w:rsid w:val="73BD1EB7"/>
    <w:rsid w:val="73CB1409"/>
    <w:rsid w:val="73CC6BA8"/>
    <w:rsid w:val="73CE790A"/>
    <w:rsid w:val="73D23222"/>
    <w:rsid w:val="73E003D1"/>
    <w:rsid w:val="73E23B6D"/>
    <w:rsid w:val="73FB375D"/>
    <w:rsid w:val="740272D5"/>
    <w:rsid w:val="740B3EAE"/>
    <w:rsid w:val="740C0D95"/>
    <w:rsid w:val="740D0733"/>
    <w:rsid w:val="740E228F"/>
    <w:rsid w:val="740E7F30"/>
    <w:rsid w:val="74172445"/>
    <w:rsid w:val="741C0D36"/>
    <w:rsid w:val="741C619B"/>
    <w:rsid w:val="74221EBD"/>
    <w:rsid w:val="74295BD7"/>
    <w:rsid w:val="743562A5"/>
    <w:rsid w:val="7437463E"/>
    <w:rsid w:val="744B103D"/>
    <w:rsid w:val="74552352"/>
    <w:rsid w:val="745B0F15"/>
    <w:rsid w:val="74632A5E"/>
    <w:rsid w:val="74662962"/>
    <w:rsid w:val="746E7D68"/>
    <w:rsid w:val="7470586B"/>
    <w:rsid w:val="7478139A"/>
    <w:rsid w:val="748162CE"/>
    <w:rsid w:val="748202F8"/>
    <w:rsid w:val="74834279"/>
    <w:rsid w:val="74877914"/>
    <w:rsid w:val="749642FF"/>
    <w:rsid w:val="749811BB"/>
    <w:rsid w:val="749D23FA"/>
    <w:rsid w:val="74A30429"/>
    <w:rsid w:val="74BC310B"/>
    <w:rsid w:val="74BC781F"/>
    <w:rsid w:val="74BF4B59"/>
    <w:rsid w:val="74C65346"/>
    <w:rsid w:val="74D0590E"/>
    <w:rsid w:val="74D97635"/>
    <w:rsid w:val="74E97B45"/>
    <w:rsid w:val="74EF2AE7"/>
    <w:rsid w:val="74F016BD"/>
    <w:rsid w:val="75066890"/>
    <w:rsid w:val="750F1CF5"/>
    <w:rsid w:val="752000AC"/>
    <w:rsid w:val="75220300"/>
    <w:rsid w:val="752539F4"/>
    <w:rsid w:val="752C6330"/>
    <w:rsid w:val="75337796"/>
    <w:rsid w:val="75381CB1"/>
    <w:rsid w:val="753C6ECE"/>
    <w:rsid w:val="754108DA"/>
    <w:rsid w:val="75453D02"/>
    <w:rsid w:val="754629E6"/>
    <w:rsid w:val="754A0877"/>
    <w:rsid w:val="75521659"/>
    <w:rsid w:val="75533FDA"/>
    <w:rsid w:val="75581C24"/>
    <w:rsid w:val="7564217D"/>
    <w:rsid w:val="756B7033"/>
    <w:rsid w:val="756C0ECD"/>
    <w:rsid w:val="757728D2"/>
    <w:rsid w:val="7581667A"/>
    <w:rsid w:val="758E2AA6"/>
    <w:rsid w:val="759115EC"/>
    <w:rsid w:val="75913ABF"/>
    <w:rsid w:val="759F3282"/>
    <w:rsid w:val="75A212FA"/>
    <w:rsid w:val="75A46D13"/>
    <w:rsid w:val="75A7723F"/>
    <w:rsid w:val="75AB1E72"/>
    <w:rsid w:val="75B60614"/>
    <w:rsid w:val="75B60ECF"/>
    <w:rsid w:val="75B64F3F"/>
    <w:rsid w:val="75C87B64"/>
    <w:rsid w:val="75CA2C48"/>
    <w:rsid w:val="75D106D7"/>
    <w:rsid w:val="75D42831"/>
    <w:rsid w:val="75D66DBB"/>
    <w:rsid w:val="75D831F0"/>
    <w:rsid w:val="75E1615B"/>
    <w:rsid w:val="75F2380A"/>
    <w:rsid w:val="760D5CD0"/>
    <w:rsid w:val="761806BD"/>
    <w:rsid w:val="76227E09"/>
    <w:rsid w:val="76276092"/>
    <w:rsid w:val="76295220"/>
    <w:rsid w:val="762A60A0"/>
    <w:rsid w:val="762A6A1E"/>
    <w:rsid w:val="762D0EFC"/>
    <w:rsid w:val="76344111"/>
    <w:rsid w:val="7634605A"/>
    <w:rsid w:val="76436971"/>
    <w:rsid w:val="76492863"/>
    <w:rsid w:val="764D2D48"/>
    <w:rsid w:val="7652295A"/>
    <w:rsid w:val="765859FE"/>
    <w:rsid w:val="76591F00"/>
    <w:rsid w:val="765B28D5"/>
    <w:rsid w:val="765C6931"/>
    <w:rsid w:val="76641FF3"/>
    <w:rsid w:val="76645047"/>
    <w:rsid w:val="766C76F7"/>
    <w:rsid w:val="76734F12"/>
    <w:rsid w:val="76760B78"/>
    <w:rsid w:val="767D1A60"/>
    <w:rsid w:val="76834910"/>
    <w:rsid w:val="76854545"/>
    <w:rsid w:val="768F064E"/>
    <w:rsid w:val="769E62A4"/>
    <w:rsid w:val="76A62318"/>
    <w:rsid w:val="76AD22C2"/>
    <w:rsid w:val="76C24F03"/>
    <w:rsid w:val="76CA2B96"/>
    <w:rsid w:val="76D654E3"/>
    <w:rsid w:val="76E11B21"/>
    <w:rsid w:val="76F4274E"/>
    <w:rsid w:val="76F468C1"/>
    <w:rsid w:val="76FB57BF"/>
    <w:rsid w:val="77057AC7"/>
    <w:rsid w:val="77091C1D"/>
    <w:rsid w:val="771413AA"/>
    <w:rsid w:val="77176176"/>
    <w:rsid w:val="77184DBB"/>
    <w:rsid w:val="77273EF9"/>
    <w:rsid w:val="772B7C4A"/>
    <w:rsid w:val="77353F3A"/>
    <w:rsid w:val="77355FF8"/>
    <w:rsid w:val="773B3B6C"/>
    <w:rsid w:val="773E690B"/>
    <w:rsid w:val="77400703"/>
    <w:rsid w:val="7756121A"/>
    <w:rsid w:val="7758133C"/>
    <w:rsid w:val="775B68E4"/>
    <w:rsid w:val="77606A50"/>
    <w:rsid w:val="7763584A"/>
    <w:rsid w:val="777668F5"/>
    <w:rsid w:val="777B48D8"/>
    <w:rsid w:val="777B6635"/>
    <w:rsid w:val="777E21DF"/>
    <w:rsid w:val="777F7BCB"/>
    <w:rsid w:val="7785679F"/>
    <w:rsid w:val="77A00DF4"/>
    <w:rsid w:val="77A15356"/>
    <w:rsid w:val="77AA46E7"/>
    <w:rsid w:val="77AE3264"/>
    <w:rsid w:val="77AE77ED"/>
    <w:rsid w:val="77B935E5"/>
    <w:rsid w:val="77BC6466"/>
    <w:rsid w:val="77BE3DE0"/>
    <w:rsid w:val="77C3553C"/>
    <w:rsid w:val="77D77B93"/>
    <w:rsid w:val="77EE0CEA"/>
    <w:rsid w:val="77EF091C"/>
    <w:rsid w:val="77F109E8"/>
    <w:rsid w:val="77F4512F"/>
    <w:rsid w:val="77F56FD2"/>
    <w:rsid w:val="77FE37C0"/>
    <w:rsid w:val="780E2EA0"/>
    <w:rsid w:val="781A6637"/>
    <w:rsid w:val="78213EEA"/>
    <w:rsid w:val="782A457F"/>
    <w:rsid w:val="78335386"/>
    <w:rsid w:val="783B305E"/>
    <w:rsid w:val="783D7A4E"/>
    <w:rsid w:val="783E55CA"/>
    <w:rsid w:val="784176D6"/>
    <w:rsid w:val="784758CF"/>
    <w:rsid w:val="784937C3"/>
    <w:rsid w:val="784E3B4B"/>
    <w:rsid w:val="7857163D"/>
    <w:rsid w:val="78582A52"/>
    <w:rsid w:val="785A41C8"/>
    <w:rsid w:val="785C7C68"/>
    <w:rsid w:val="7861169D"/>
    <w:rsid w:val="786609D2"/>
    <w:rsid w:val="78671B47"/>
    <w:rsid w:val="78693FFC"/>
    <w:rsid w:val="787237DA"/>
    <w:rsid w:val="787F34C3"/>
    <w:rsid w:val="78811BD8"/>
    <w:rsid w:val="78862191"/>
    <w:rsid w:val="78864B66"/>
    <w:rsid w:val="788823C6"/>
    <w:rsid w:val="78920B5A"/>
    <w:rsid w:val="78954C16"/>
    <w:rsid w:val="7898512E"/>
    <w:rsid w:val="78990247"/>
    <w:rsid w:val="789B6C35"/>
    <w:rsid w:val="78A75ED7"/>
    <w:rsid w:val="78B6638E"/>
    <w:rsid w:val="78BC7000"/>
    <w:rsid w:val="78C347C2"/>
    <w:rsid w:val="78C410EC"/>
    <w:rsid w:val="78C62E83"/>
    <w:rsid w:val="78CE0448"/>
    <w:rsid w:val="78D05AFB"/>
    <w:rsid w:val="78D5211B"/>
    <w:rsid w:val="78E97A5B"/>
    <w:rsid w:val="78EB5748"/>
    <w:rsid w:val="78EC73CE"/>
    <w:rsid w:val="78FD39FA"/>
    <w:rsid w:val="790B0C35"/>
    <w:rsid w:val="792B1C50"/>
    <w:rsid w:val="792C0101"/>
    <w:rsid w:val="792C4FBF"/>
    <w:rsid w:val="792C779D"/>
    <w:rsid w:val="792D0F75"/>
    <w:rsid w:val="79375CA0"/>
    <w:rsid w:val="79443176"/>
    <w:rsid w:val="79447590"/>
    <w:rsid w:val="794637B7"/>
    <w:rsid w:val="79501B57"/>
    <w:rsid w:val="79595B42"/>
    <w:rsid w:val="79655CA7"/>
    <w:rsid w:val="7969495B"/>
    <w:rsid w:val="797926F0"/>
    <w:rsid w:val="797A140D"/>
    <w:rsid w:val="797B0594"/>
    <w:rsid w:val="797D7D49"/>
    <w:rsid w:val="79846BBF"/>
    <w:rsid w:val="799D3504"/>
    <w:rsid w:val="799D5DEB"/>
    <w:rsid w:val="799F0BFC"/>
    <w:rsid w:val="79A143D1"/>
    <w:rsid w:val="79A872C0"/>
    <w:rsid w:val="79B00387"/>
    <w:rsid w:val="79B13DC0"/>
    <w:rsid w:val="79B17F93"/>
    <w:rsid w:val="79B80E46"/>
    <w:rsid w:val="79CB4676"/>
    <w:rsid w:val="79CC73D5"/>
    <w:rsid w:val="79CD74FE"/>
    <w:rsid w:val="79D033A0"/>
    <w:rsid w:val="79D30BF4"/>
    <w:rsid w:val="79D5076B"/>
    <w:rsid w:val="79D55C9B"/>
    <w:rsid w:val="79D87769"/>
    <w:rsid w:val="79DE28E7"/>
    <w:rsid w:val="79E370AE"/>
    <w:rsid w:val="79E65A0C"/>
    <w:rsid w:val="79EB1840"/>
    <w:rsid w:val="79EF70E4"/>
    <w:rsid w:val="79F3603F"/>
    <w:rsid w:val="79FB0B3C"/>
    <w:rsid w:val="7A0467B1"/>
    <w:rsid w:val="7A0744D1"/>
    <w:rsid w:val="7A0C60E7"/>
    <w:rsid w:val="7A1258C5"/>
    <w:rsid w:val="7A260A8F"/>
    <w:rsid w:val="7A3C369B"/>
    <w:rsid w:val="7A3F2AE4"/>
    <w:rsid w:val="7A436F7C"/>
    <w:rsid w:val="7A437B15"/>
    <w:rsid w:val="7A467EA8"/>
    <w:rsid w:val="7A5A4E87"/>
    <w:rsid w:val="7A670DC1"/>
    <w:rsid w:val="7A6C57E5"/>
    <w:rsid w:val="7A774DAF"/>
    <w:rsid w:val="7A7F15E3"/>
    <w:rsid w:val="7A83138F"/>
    <w:rsid w:val="7A940F25"/>
    <w:rsid w:val="7A9462B6"/>
    <w:rsid w:val="7A961A4D"/>
    <w:rsid w:val="7AB363D7"/>
    <w:rsid w:val="7AB54D14"/>
    <w:rsid w:val="7AB67D8C"/>
    <w:rsid w:val="7AC14589"/>
    <w:rsid w:val="7AC83FC8"/>
    <w:rsid w:val="7ACB43A1"/>
    <w:rsid w:val="7ACE310B"/>
    <w:rsid w:val="7ACE6E75"/>
    <w:rsid w:val="7ACF3EF3"/>
    <w:rsid w:val="7AE82445"/>
    <w:rsid w:val="7AF0377F"/>
    <w:rsid w:val="7AF64429"/>
    <w:rsid w:val="7AFD6738"/>
    <w:rsid w:val="7B106685"/>
    <w:rsid w:val="7B195822"/>
    <w:rsid w:val="7B1E559E"/>
    <w:rsid w:val="7B31414D"/>
    <w:rsid w:val="7B3F1555"/>
    <w:rsid w:val="7B4600E8"/>
    <w:rsid w:val="7B507E0D"/>
    <w:rsid w:val="7B5764AF"/>
    <w:rsid w:val="7B63221A"/>
    <w:rsid w:val="7B660E1E"/>
    <w:rsid w:val="7B6A39F0"/>
    <w:rsid w:val="7B714987"/>
    <w:rsid w:val="7B744F90"/>
    <w:rsid w:val="7B821168"/>
    <w:rsid w:val="7B882904"/>
    <w:rsid w:val="7B8E1F50"/>
    <w:rsid w:val="7B903451"/>
    <w:rsid w:val="7B97514F"/>
    <w:rsid w:val="7B99368A"/>
    <w:rsid w:val="7B9E07F1"/>
    <w:rsid w:val="7BA040F1"/>
    <w:rsid w:val="7BA47084"/>
    <w:rsid w:val="7BA54215"/>
    <w:rsid w:val="7BAA1F2C"/>
    <w:rsid w:val="7BAC2D3A"/>
    <w:rsid w:val="7BAF6933"/>
    <w:rsid w:val="7BB7779F"/>
    <w:rsid w:val="7BB8479E"/>
    <w:rsid w:val="7BBE732B"/>
    <w:rsid w:val="7BCB0D94"/>
    <w:rsid w:val="7BD12079"/>
    <w:rsid w:val="7BD44407"/>
    <w:rsid w:val="7BE026AA"/>
    <w:rsid w:val="7BE36225"/>
    <w:rsid w:val="7BE839B7"/>
    <w:rsid w:val="7BEB4059"/>
    <w:rsid w:val="7BED4CCC"/>
    <w:rsid w:val="7BEE1668"/>
    <w:rsid w:val="7BF04785"/>
    <w:rsid w:val="7C1B4269"/>
    <w:rsid w:val="7C1D1AC9"/>
    <w:rsid w:val="7C232DD9"/>
    <w:rsid w:val="7C314D89"/>
    <w:rsid w:val="7C3364BB"/>
    <w:rsid w:val="7C39164C"/>
    <w:rsid w:val="7C446A13"/>
    <w:rsid w:val="7C4934A5"/>
    <w:rsid w:val="7C4A0658"/>
    <w:rsid w:val="7C4B536B"/>
    <w:rsid w:val="7C58030D"/>
    <w:rsid w:val="7C664EC1"/>
    <w:rsid w:val="7C6A6A4F"/>
    <w:rsid w:val="7C78742B"/>
    <w:rsid w:val="7C873497"/>
    <w:rsid w:val="7C8768C5"/>
    <w:rsid w:val="7C8A5C27"/>
    <w:rsid w:val="7C8B5447"/>
    <w:rsid w:val="7C932453"/>
    <w:rsid w:val="7C934DE7"/>
    <w:rsid w:val="7C953BE3"/>
    <w:rsid w:val="7C9D54D2"/>
    <w:rsid w:val="7CA2449E"/>
    <w:rsid w:val="7CAB0F2D"/>
    <w:rsid w:val="7CAD45BC"/>
    <w:rsid w:val="7CB116A9"/>
    <w:rsid w:val="7CB127A0"/>
    <w:rsid w:val="7CB2301F"/>
    <w:rsid w:val="7CBE3A51"/>
    <w:rsid w:val="7CC05BC2"/>
    <w:rsid w:val="7CC87BC1"/>
    <w:rsid w:val="7CD10CAA"/>
    <w:rsid w:val="7CD132A4"/>
    <w:rsid w:val="7CD92172"/>
    <w:rsid w:val="7CE25338"/>
    <w:rsid w:val="7CEB1193"/>
    <w:rsid w:val="7CF02985"/>
    <w:rsid w:val="7CF84B94"/>
    <w:rsid w:val="7D030A4F"/>
    <w:rsid w:val="7D056582"/>
    <w:rsid w:val="7D0C5E81"/>
    <w:rsid w:val="7D0D4DFE"/>
    <w:rsid w:val="7D113E07"/>
    <w:rsid w:val="7D1415B9"/>
    <w:rsid w:val="7D176B5E"/>
    <w:rsid w:val="7D2B04CE"/>
    <w:rsid w:val="7D2C0077"/>
    <w:rsid w:val="7D2C0EC1"/>
    <w:rsid w:val="7D2C20B6"/>
    <w:rsid w:val="7D332EF4"/>
    <w:rsid w:val="7D34140C"/>
    <w:rsid w:val="7D393DF7"/>
    <w:rsid w:val="7D3D674F"/>
    <w:rsid w:val="7D4352DB"/>
    <w:rsid w:val="7D4B0519"/>
    <w:rsid w:val="7D4F5A86"/>
    <w:rsid w:val="7D5250FF"/>
    <w:rsid w:val="7D5721C5"/>
    <w:rsid w:val="7D5D262F"/>
    <w:rsid w:val="7D7A4997"/>
    <w:rsid w:val="7D7B0CDE"/>
    <w:rsid w:val="7D7C34F2"/>
    <w:rsid w:val="7D843283"/>
    <w:rsid w:val="7D8B036D"/>
    <w:rsid w:val="7D8E1A04"/>
    <w:rsid w:val="7D91049C"/>
    <w:rsid w:val="7D925CA6"/>
    <w:rsid w:val="7DA76092"/>
    <w:rsid w:val="7DB62A23"/>
    <w:rsid w:val="7DB80F21"/>
    <w:rsid w:val="7DC40AC5"/>
    <w:rsid w:val="7DC55815"/>
    <w:rsid w:val="7DCA7547"/>
    <w:rsid w:val="7DCB0238"/>
    <w:rsid w:val="7DD24A07"/>
    <w:rsid w:val="7DD412D2"/>
    <w:rsid w:val="7DD47685"/>
    <w:rsid w:val="7DD6794C"/>
    <w:rsid w:val="7DDC707F"/>
    <w:rsid w:val="7DE11004"/>
    <w:rsid w:val="7DE2584F"/>
    <w:rsid w:val="7DE37E98"/>
    <w:rsid w:val="7DEB5EEA"/>
    <w:rsid w:val="7DF17F81"/>
    <w:rsid w:val="7DFF788D"/>
    <w:rsid w:val="7E01023E"/>
    <w:rsid w:val="7E0263DA"/>
    <w:rsid w:val="7E061337"/>
    <w:rsid w:val="7E0B0110"/>
    <w:rsid w:val="7E0D5661"/>
    <w:rsid w:val="7E105CE8"/>
    <w:rsid w:val="7E340F89"/>
    <w:rsid w:val="7E4048AC"/>
    <w:rsid w:val="7E48758C"/>
    <w:rsid w:val="7E49178E"/>
    <w:rsid w:val="7E510BDD"/>
    <w:rsid w:val="7E536C69"/>
    <w:rsid w:val="7E5D449D"/>
    <w:rsid w:val="7E5F3432"/>
    <w:rsid w:val="7E602721"/>
    <w:rsid w:val="7E607448"/>
    <w:rsid w:val="7E623997"/>
    <w:rsid w:val="7E6512BF"/>
    <w:rsid w:val="7E675E9D"/>
    <w:rsid w:val="7E7136CC"/>
    <w:rsid w:val="7E740F7D"/>
    <w:rsid w:val="7E744041"/>
    <w:rsid w:val="7E76359A"/>
    <w:rsid w:val="7E763966"/>
    <w:rsid w:val="7E8055E4"/>
    <w:rsid w:val="7E815EE3"/>
    <w:rsid w:val="7E852C56"/>
    <w:rsid w:val="7E873097"/>
    <w:rsid w:val="7E8A7EF6"/>
    <w:rsid w:val="7EA65DA5"/>
    <w:rsid w:val="7EAD2F22"/>
    <w:rsid w:val="7EAD3FDA"/>
    <w:rsid w:val="7EAF7397"/>
    <w:rsid w:val="7EB07BF7"/>
    <w:rsid w:val="7EB67F24"/>
    <w:rsid w:val="7EBB57F9"/>
    <w:rsid w:val="7EC07259"/>
    <w:rsid w:val="7EC60FC9"/>
    <w:rsid w:val="7ED2695C"/>
    <w:rsid w:val="7EDA0B2E"/>
    <w:rsid w:val="7EDB7D56"/>
    <w:rsid w:val="7EDD7534"/>
    <w:rsid w:val="7EE44903"/>
    <w:rsid w:val="7EEC7A73"/>
    <w:rsid w:val="7EEE656E"/>
    <w:rsid w:val="7EFA764E"/>
    <w:rsid w:val="7F011DF8"/>
    <w:rsid w:val="7F1F284B"/>
    <w:rsid w:val="7F257AF9"/>
    <w:rsid w:val="7F3215EA"/>
    <w:rsid w:val="7F334275"/>
    <w:rsid w:val="7F4120DD"/>
    <w:rsid w:val="7F4412FD"/>
    <w:rsid w:val="7F4A32B5"/>
    <w:rsid w:val="7F4A651E"/>
    <w:rsid w:val="7F4C3B9B"/>
    <w:rsid w:val="7F512408"/>
    <w:rsid w:val="7F5417F6"/>
    <w:rsid w:val="7F660629"/>
    <w:rsid w:val="7F700B74"/>
    <w:rsid w:val="7F7109D4"/>
    <w:rsid w:val="7F841B51"/>
    <w:rsid w:val="7F8504DC"/>
    <w:rsid w:val="7F8E33B3"/>
    <w:rsid w:val="7F9B62CF"/>
    <w:rsid w:val="7FA0574E"/>
    <w:rsid w:val="7FA2124B"/>
    <w:rsid w:val="7FAC731C"/>
    <w:rsid w:val="7FBE6720"/>
    <w:rsid w:val="7FC134F1"/>
    <w:rsid w:val="7FCA5619"/>
    <w:rsid w:val="7FCF1612"/>
    <w:rsid w:val="7FD041BC"/>
    <w:rsid w:val="7FD44417"/>
    <w:rsid w:val="7FD52433"/>
    <w:rsid w:val="7FDB3C42"/>
    <w:rsid w:val="7FDF1520"/>
    <w:rsid w:val="7FDF3365"/>
    <w:rsid w:val="7FE06151"/>
    <w:rsid w:val="7FE2771A"/>
    <w:rsid w:val="7FE81533"/>
    <w:rsid w:val="7FEE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1"/>
      <w:szCs w:val="21"/>
      <w:lang w:val="en-US" w:eastAsia="zh-CN" w:bidi="ar-SA"/>
    </w:rPr>
  </w:style>
  <w:style w:type="paragraph" w:styleId="3">
    <w:name w:val="heading 1"/>
    <w:basedOn w:val="1"/>
    <w:next w:val="1"/>
    <w:link w:val="37"/>
    <w:qFormat/>
    <w:uiPriority w:val="99"/>
    <w:pPr>
      <w:keepNext/>
      <w:keepLines/>
      <w:widowControl w:val="0"/>
      <w:spacing w:before="340" w:after="330" w:line="576" w:lineRule="auto"/>
      <w:outlineLvl w:val="0"/>
    </w:pPr>
    <w:rPr>
      <w:b/>
      <w:bCs/>
      <w:kern w:val="44"/>
      <w:sz w:val="44"/>
      <w:szCs w:val="44"/>
    </w:rPr>
  </w:style>
  <w:style w:type="paragraph" w:styleId="4">
    <w:name w:val="heading 2"/>
    <w:basedOn w:val="1"/>
    <w:next w:val="1"/>
    <w:link w:val="38"/>
    <w:qFormat/>
    <w:uiPriority w:val="99"/>
    <w:pPr>
      <w:keepNext/>
      <w:keepLines/>
      <w:widowControl w:val="0"/>
      <w:spacing w:before="260" w:after="260" w:line="412" w:lineRule="auto"/>
      <w:outlineLvl w:val="1"/>
    </w:pPr>
    <w:rPr>
      <w:rFonts w:ascii="Arial" w:hAnsi="Arial" w:eastAsia="黑体"/>
      <w:b/>
      <w:bCs/>
      <w:sz w:val="32"/>
      <w:szCs w:val="32"/>
    </w:rPr>
  </w:style>
  <w:style w:type="paragraph" w:styleId="5">
    <w:name w:val="heading 3"/>
    <w:basedOn w:val="1"/>
    <w:next w:val="1"/>
    <w:link w:val="39"/>
    <w:qFormat/>
    <w:uiPriority w:val="99"/>
    <w:pPr>
      <w:keepNext/>
      <w:keepLines/>
      <w:widowControl w:val="0"/>
      <w:spacing w:before="380" w:after="380" w:line="412" w:lineRule="auto"/>
      <w:jc w:val="center"/>
      <w:outlineLvl w:val="2"/>
    </w:pPr>
    <w:rPr>
      <w:rFonts w:ascii="Times New Roman" w:hAnsi="Times New Roman"/>
      <w:b/>
      <w:bCs/>
      <w:sz w:val="28"/>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Cs w:val="24"/>
    </w:rPr>
  </w:style>
  <w:style w:type="paragraph" w:styleId="7">
    <w:name w:val="toc 7"/>
    <w:basedOn w:val="1"/>
    <w:next w:val="1"/>
    <w:unhideWhenUsed/>
    <w:qFormat/>
    <w:uiPriority w:val="39"/>
    <w:pPr>
      <w:ind w:left="1260"/>
    </w:pPr>
    <w:rPr>
      <w:rFonts w:cs="Calibri"/>
      <w:sz w:val="18"/>
      <w:szCs w:val="18"/>
    </w:rPr>
  </w:style>
  <w:style w:type="paragraph" w:styleId="8">
    <w:name w:val="table of authorities"/>
    <w:basedOn w:val="1"/>
    <w:next w:val="1"/>
    <w:qFormat/>
    <w:uiPriority w:val="0"/>
    <w:pPr>
      <w:spacing w:before="100" w:beforeAutospacing="1" w:after="100" w:afterAutospacing="1"/>
      <w:ind w:left="200" w:leftChars="200"/>
    </w:pPr>
    <w:rPr>
      <w:rFonts w:ascii="Calibri" w:hAnsi="Calibri"/>
    </w:rPr>
  </w:style>
  <w:style w:type="paragraph" w:styleId="9">
    <w:name w:val="Normal Indent"/>
    <w:basedOn w:val="1"/>
    <w:next w:val="1"/>
    <w:unhideWhenUsed/>
    <w:qFormat/>
    <w:uiPriority w:val="99"/>
    <w:pPr>
      <w:ind w:firstLine="420" w:firstLineChars="200"/>
    </w:pPr>
  </w:style>
  <w:style w:type="paragraph" w:styleId="10">
    <w:name w:val="Document Map"/>
    <w:basedOn w:val="1"/>
    <w:link w:val="40"/>
    <w:unhideWhenUsed/>
    <w:qFormat/>
    <w:uiPriority w:val="99"/>
    <w:rPr>
      <w:rFonts w:ascii="宋体"/>
      <w:sz w:val="18"/>
      <w:szCs w:val="18"/>
    </w:rPr>
  </w:style>
  <w:style w:type="paragraph" w:styleId="11">
    <w:name w:val="toa heading"/>
    <w:basedOn w:val="1"/>
    <w:next w:val="1"/>
    <w:semiHidden/>
    <w:qFormat/>
    <w:uiPriority w:val="0"/>
    <w:pPr>
      <w:widowControl w:val="0"/>
      <w:spacing w:before="120"/>
      <w:jc w:val="both"/>
    </w:pPr>
    <w:rPr>
      <w:rFonts w:ascii="Arial" w:hAnsi="Arial" w:cs="Arial"/>
      <w:kern w:val="2"/>
      <w:sz w:val="24"/>
      <w:szCs w:val="24"/>
    </w:rPr>
  </w:style>
  <w:style w:type="paragraph" w:styleId="12">
    <w:name w:val="annotation text"/>
    <w:basedOn w:val="1"/>
    <w:unhideWhenUsed/>
    <w:qFormat/>
    <w:uiPriority w:val="99"/>
  </w:style>
  <w:style w:type="paragraph" w:styleId="13">
    <w:name w:val="Body Text 3"/>
    <w:basedOn w:val="1"/>
    <w:link w:val="41"/>
    <w:unhideWhenUsed/>
    <w:qFormat/>
    <w:uiPriority w:val="99"/>
    <w:rPr>
      <w:rFonts w:ascii="宋体"/>
      <w:sz w:val="24"/>
      <w:szCs w:val="24"/>
    </w:rPr>
  </w:style>
  <w:style w:type="paragraph" w:styleId="14">
    <w:name w:val="Body Text Indent"/>
    <w:basedOn w:val="1"/>
    <w:next w:val="15"/>
    <w:link w:val="42"/>
    <w:unhideWhenUsed/>
    <w:qFormat/>
    <w:uiPriority w:val="99"/>
    <w:pPr>
      <w:spacing w:line="460" w:lineRule="exact"/>
      <w:ind w:firstLine="510"/>
    </w:pPr>
  </w:style>
  <w:style w:type="paragraph" w:styleId="15">
    <w:name w:val="Body Text First Indent 2"/>
    <w:basedOn w:val="14"/>
    <w:qFormat/>
    <w:uiPriority w:val="99"/>
    <w:pPr>
      <w:spacing w:after="120"/>
      <w:ind w:firstLine="420" w:firstLineChars="200"/>
    </w:pPr>
  </w:style>
  <w:style w:type="paragraph" w:styleId="16">
    <w:name w:val="toc 5"/>
    <w:basedOn w:val="1"/>
    <w:next w:val="1"/>
    <w:unhideWhenUsed/>
    <w:qFormat/>
    <w:uiPriority w:val="39"/>
    <w:pPr>
      <w:ind w:left="840"/>
    </w:pPr>
    <w:rPr>
      <w:rFonts w:cs="Calibri"/>
      <w:sz w:val="18"/>
      <w:szCs w:val="18"/>
    </w:rPr>
  </w:style>
  <w:style w:type="paragraph" w:styleId="17">
    <w:name w:val="toc 3"/>
    <w:basedOn w:val="1"/>
    <w:next w:val="1"/>
    <w:unhideWhenUsed/>
    <w:qFormat/>
    <w:uiPriority w:val="39"/>
    <w:pPr>
      <w:ind w:left="420"/>
    </w:pPr>
    <w:rPr>
      <w:rFonts w:cs="Calibri"/>
      <w:iCs/>
      <w:sz w:val="20"/>
      <w:szCs w:val="20"/>
    </w:rPr>
  </w:style>
  <w:style w:type="paragraph" w:styleId="18">
    <w:name w:val="Plain Text"/>
    <w:basedOn w:val="1"/>
    <w:qFormat/>
    <w:uiPriority w:val="0"/>
    <w:rPr>
      <w:rFonts w:ascii="宋体" w:hAnsi="Courier New"/>
      <w:szCs w:val="20"/>
    </w:rPr>
  </w:style>
  <w:style w:type="paragraph" w:styleId="19">
    <w:name w:val="toc 8"/>
    <w:basedOn w:val="1"/>
    <w:next w:val="1"/>
    <w:unhideWhenUsed/>
    <w:qFormat/>
    <w:uiPriority w:val="39"/>
    <w:pPr>
      <w:ind w:left="1470"/>
    </w:pPr>
    <w:rPr>
      <w:rFonts w:cs="Calibri"/>
      <w:sz w:val="18"/>
      <w:szCs w:val="18"/>
    </w:rPr>
  </w:style>
  <w:style w:type="paragraph" w:styleId="20">
    <w:name w:val="Balloon Text"/>
    <w:basedOn w:val="1"/>
    <w:link w:val="72"/>
    <w:semiHidden/>
    <w:unhideWhenUsed/>
    <w:qFormat/>
    <w:uiPriority w:val="99"/>
    <w:rPr>
      <w:sz w:val="18"/>
      <w:szCs w:val="18"/>
    </w:rPr>
  </w:style>
  <w:style w:type="paragraph" w:styleId="21">
    <w:name w:val="footer"/>
    <w:basedOn w:val="1"/>
    <w:link w:val="43"/>
    <w:unhideWhenUsed/>
    <w:qFormat/>
    <w:uiPriority w:val="99"/>
    <w:pPr>
      <w:tabs>
        <w:tab w:val="center" w:pos="4153"/>
        <w:tab w:val="right" w:pos="8306"/>
      </w:tabs>
      <w:snapToGrid w:val="0"/>
    </w:pPr>
    <w:rPr>
      <w:sz w:val="18"/>
      <w:szCs w:val="18"/>
    </w:rPr>
  </w:style>
  <w:style w:type="paragraph" w:styleId="22">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line="96" w:lineRule="auto"/>
    </w:pPr>
    <w:rPr>
      <w:rFonts w:eastAsia="宋体" w:cs="Calibri"/>
      <w:b/>
      <w:bCs/>
      <w:caps/>
      <w:sz w:val="20"/>
      <w:szCs w:val="20"/>
    </w:rPr>
  </w:style>
  <w:style w:type="paragraph" w:styleId="24">
    <w:name w:val="toc 4"/>
    <w:basedOn w:val="1"/>
    <w:next w:val="1"/>
    <w:unhideWhenUsed/>
    <w:qFormat/>
    <w:uiPriority w:val="39"/>
    <w:pPr>
      <w:ind w:left="630"/>
    </w:pPr>
    <w:rPr>
      <w:rFonts w:cs="Calibri"/>
      <w:sz w:val="18"/>
      <w:szCs w:val="18"/>
    </w:rPr>
  </w:style>
  <w:style w:type="paragraph" w:styleId="25">
    <w:name w:val="footnote text"/>
    <w:basedOn w:val="1"/>
    <w:qFormat/>
    <w:uiPriority w:val="0"/>
    <w:pPr>
      <w:adjustRightInd w:val="0"/>
      <w:spacing w:line="312" w:lineRule="atLeast"/>
      <w:textAlignment w:val="baseline"/>
    </w:pPr>
    <w:rPr>
      <w:sz w:val="18"/>
      <w:szCs w:val="20"/>
    </w:rPr>
  </w:style>
  <w:style w:type="paragraph" w:styleId="26">
    <w:name w:val="toc 6"/>
    <w:basedOn w:val="1"/>
    <w:next w:val="1"/>
    <w:unhideWhenUsed/>
    <w:qFormat/>
    <w:uiPriority w:val="39"/>
    <w:pPr>
      <w:ind w:left="1050"/>
    </w:pPr>
    <w:rPr>
      <w:rFonts w:cs="Calibri"/>
      <w:sz w:val="18"/>
      <w:szCs w:val="18"/>
    </w:rPr>
  </w:style>
  <w:style w:type="paragraph" w:styleId="27">
    <w:name w:val="toc 2"/>
    <w:basedOn w:val="1"/>
    <w:next w:val="1"/>
    <w:unhideWhenUsed/>
    <w:qFormat/>
    <w:uiPriority w:val="39"/>
    <w:pPr>
      <w:ind w:left="210"/>
    </w:pPr>
    <w:rPr>
      <w:rFonts w:cs="Calibri"/>
      <w:smallCaps/>
      <w:sz w:val="20"/>
      <w:szCs w:val="20"/>
    </w:rPr>
  </w:style>
  <w:style w:type="paragraph" w:styleId="28">
    <w:name w:val="toc 9"/>
    <w:basedOn w:val="1"/>
    <w:next w:val="1"/>
    <w:unhideWhenUsed/>
    <w:qFormat/>
    <w:uiPriority w:val="39"/>
    <w:pPr>
      <w:ind w:left="1680"/>
    </w:pPr>
    <w:rPr>
      <w:rFonts w:cs="Calibri"/>
      <w:sz w:val="18"/>
      <w:szCs w:val="18"/>
    </w:rPr>
  </w:style>
  <w:style w:type="paragraph" w:styleId="29">
    <w:name w:val="Normal (Web)"/>
    <w:basedOn w:val="1"/>
    <w:unhideWhenUsed/>
    <w:qFormat/>
    <w:uiPriority w:val="99"/>
    <w:pPr>
      <w:spacing w:before="100" w:beforeAutospacing="1" w:after="100" w:afterAutospacing="1"/>
    </w:pPr>
    <w:rPr>
      <w:sz w:val="24"/>
      <w:szCs w:val="24"/>
    </w:rPr>
  </w:style>
  <w:style w:type="table" w:styleId="31">
    <w:name w:val="Table Grid"/>
    <w:basedOn w:val="30"/>
    <w:unhideWhenUsed/>
    <w:qFormat/>
    <w:uiPriority w:val="99"/>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basedOn w:val="32"/>
    <w:unhideWhenUsed/>
    <w:qFormat/>
    <w:uiPriority w:val="99"/>
    <w:rPr>
      <w:color w:val="333333"/>
      <w:u w:val="none"/>
    </w:rPr>
  </w:style>
  <w:style w:type="character" w:styleId="34">
    <w:name w:val="Emphasis"/>
    <w:basedOn w:val="32"/>
    <w:qFormat/>
    <w:uiPriority w:val="20"/>
    <w:rPr>
      <w:i/>
    </w:rPr>
  </w:style>
  <w:style w:type="character" w:styleId="35">
    <w:name w:val="Hyperlink"/>
    <w:basedOn w:val="32"/>
    <w:unhideWhenUsed/>
    <w:qFormat/>
    <w:uiPriority w:val="99"/>
    <w:rPr>
      <w:color w:val="333333"/>
      <w:u w:val="none"/>
    </w:rPr>
  </w:style>
  <w:style w:type="paragraph" w:styleId="36">
    <w:name w:val="Quote"/>
    <w:basedOn w:val="1"/>
    <w:next w:val="1"/>
    <w:qFormat/>
    <w:uiPriority w:val="0"/>
    <w:pPr>
      <w:wordWrap w:val="0"/>
      <w:spacing w:before="200" w:after="160"/>
      <w:ind w:left="864" w:right="864"/>
      <w:jc w:val="center"/>
    </w:pPr>
    <w:rPr>
      <w:i/>
    </w:rPr>
  </w:style>
  <w:style w:type="character" w:customStyle="1" w:styleId="37">
    <w:name w:val="标题 1 Char"/>
    <w:basedOn w:val="32"/>
    <w:link w:val="3"/>
    <w:qFormat/>
    <w:uiPriority w:val="99"/>
    <w:rPr>
      <w:rFonts w:ascii="Calibri" w:hAnsi="Calibri" w:eastAsia="宋体" w:cs="Times New Roman"/>
      <w:b/>
      <w:bCs/>
      <w:kern w:val="44"/>
      <w:sz w:val="44"/>
      <w:szCs w:val="44"/>
    </w:rPr>
  </w:style>
  <w:style w:type="character" w:customStyle="1" w:styleId="38">
    <w:name w:val="标题 2 Char"/>
    <w:basedOn w:val="32"/>
    <w:link w:val="4"/>
    <w:qFormat/>
    <w:uiPriority w:val="99"/>
    <w:rPr>
      <w:rFonts w:ascii="Arial" w:hAnsi="Arial" w:eastAsia="黑体" w:cs="Times New Roman"/>
      <w:b/>
      <w:bCs/>
      <w:kern w:val="0"/>
      <w:sz w:val="32"/>
      <w:szCs w:val="32"/>
    </w:rPr>
  </w:style>
  <w:style w:type="character" w:customStyle="1" w:styleId="39">
    <w:name w:val="标题 3 Char"/>
    <w:basedOn w:val="32"/>
    <w:link w:val="5"/>
    <w:qFormat/>
    <w:uiPriority w:val="99"/>
    <w:rPr>
      <w:rFonts w:ascii="Times New Roman" w:hAnsi="Times New Roman" w:eastAsia="宋体" w:cs="Times New Roman"/>
      <w:b/>
      <w:bCs/>
      <w:kern w:val="0"/>
      <w:sz w:val="28"/>
      <w:szCs w:val="32"/>
    </w:rPr>
  </w:style>
  <w:style w:type="character" w:customStyle="1" w:styleId="40">
    <w:name w:val="文档结构图 Char"/>
    <w:basedOn w:val="32"/>
    <w:link w:val="10"/>
    <w:semiHidden/>
    <w:qFormat/>
    <w:uiPriority w:val="99"/>
    <w:rPr>
      <w:rFonts w:ascii="宋体"/>
      <w:sz w:val="18"/>
      <w:szCs w:val="18"/>
    </w:rPr>
  </w:style>
  <w:style w:type="character" w:customStyle="1" w:styleId="41">
    <w:name w:val="正文文本 3 Char"/>
    <w:basedOn w:val="32"/>
    <w:link w:val="13"/>
    <w:qFormat/>
    <w:uiPriority w:val="99"/>
    <w:rPr>
      <w:rFonts w:ascii="宋体" w:hAnsi="Calibri" w:eastAsia="宋体" w:cs="Times New Roman"/>
      <w:kern w:val="0"/>
      <w:sz w:val="24"/>
      <w:szCs w:val="24"/>
    </w:rPr>
  </w:style>
  <w:style w:type="character" w:customStyle="1" w:styleId="42">
    <w:name w:val="正文文本缩进 Char"/>
    <w:basedOn w:val="32"/>
    <w:link w:val="14"/>
    <w:qFormat/>
    <w:uiPriority w:val="99"/>
    <w:rPr>
      <w:rFonts w:ascii="Calibri" w:hAnsi="Calibri" w:eastAsia="宋体" w:cs="Times New Roman"/>
      <w:kern w:val="0"/>
      <w:szCs w:val="21"/>
    </w:rPr>
  </w:style>
  <w:style w:type="character" w:customStyle="1" w:styleId="43">
    <w:name w:val="页脚 Char"/>
    <w:basedOn w:val="32"/>
    <w:link w:val="21"/>
    <w:qFormat/>
    <w:uiPriority w:val="99"/>
    <w:rPr>
      <w:sz w:val="18"/>
      <w:szCs w:val="18"/>
    </w:rPr>
  </w:style>
  <w:style w:type="character" w:customStyle="1" w:styleId="44">
    <w:name w:val="页眉 Char"/>
    <w:basedOn w:val="32"/>
    <w:link w:val="22"/>
    <w:qFormat/>
    <w:uiPriority w:val="99"/>
    <w:rPr>
      <w:sz w:val="18"/>
      <w:szCs w:val="18"/>
    </w:rPr>
  </w:style>
  <w:style w:type="character" w:customStyle="1" w:styleId="45">
    <w:name w:val="16"/>
    <w:basedOn w:val="32"/>
    <w:qFormat/>
    <w:uiPriority w:val="0"/>
    <w:rPr>
      <w:rFonts w:hint="default" w:ascii="Times New Roman" w:hAnsi="Times New Roman" w:cs="Times New Roman"/>
      <w:b/>
      <w:bCs/>
      <w:sz w:val="32"/>
      <w:szCs w:val="32"/>
    </w:rPr>
  </w:style>
  <w:style w:type="character" w:customStyle="1" w:styleId="46">
    <w:name w:val="15"/>
    <w:basedOn w:val="32"/>
    <w:qFormat/>
    <w:uiPriority w:val="0"/>
    <w:rPr>
      <w:rFonts w:hint="default" w:ascii="Times New Roman" w:hAnsi="Times New Roman" w:cs="Times New Roman"/>
      <w:b/>
      <w:bCs/>
      <w:kern w:val="44"/>
      <w:sz w:val="44"/>
      <w:szCs w:val="44"/>
    </w:rPr>
  </w:style>
  <w:style w:type="paragraph" w:customStyle="1" w:styleId="47">
    <w:name w:val="纯文本1"/>
    <w:basedOn w:val="1"/>
    <w:qFormat/>
    <w:uiPriority w:val="0"/>
    <w:rPr>
      <w:rFonts w:ascii="宋体" w:hAnsi="Courier New"/>
      <w:szCs w:val="22"/>
    </w:rPr>
  </w:style>
  <w:style w:type="paragraph" w:customStyle="1" w:styleId="48">
    <w:name w:val="msolistparagraph"/>
    <w:basedOn w:val="1"/>
    <w:qFormat/>
    <w:uiPriority w:val="0"/>
    <w:pPr>
      <w:widowControl w:val="0"/>
      <w:ind w:firstLine="420" w:firstLineChars="200"/>
      <w:jc w:val="both"/>
    </w:pPr>
    <w:rPr>
      <w:rFonts w:ascii="Times New Roman" w:hAnsi="Times New Roman"/>
      <w:kern w:val="2"/>
    </w:rPr>
  </w:style>
  <w:style w:type="paragraph" w:customStyle="1" w:styleId="49">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paragraph" w:customStyle="1" w:styleId="50">
    <w:name w:val="_Style 2"/>
    <w:basedOn w:val="1"/>
    <w:qFormat/>
    <w:uiPriority w:val="0"/>
  </w:style>
  <w:style w:type="paragraph" w:customStyle="1" w:styleId="51">
    <w:name w:val="正文缩进1"/>
    <w:basedOn w:val="1"/>
    <w:qFormat/>
    <w:uiPriority w:val="0"/>
    <w:pPr>
      <w:autoSpaceDE w:val="0"/>
      <w:autoSpaceDN w:val="0"/>
      <w:adjustRightInd w:val="0"/>
      <w:ind w:firstLine="420"/>
    </w:pPr>
    <w:rPr>
      <w:rFonts w:ascii="宋体"/>
      <w:sz w:val="24"/>
      <w:szCs w:val="22"/>
    </w:rPr>
  </w:style>
  <w:style w:type="paragraph" w:customStyle="1" w:styleId="52">
    <w:name w:val="索引 11"/>
    <w:basedOn w:val="1"/>
    <w:next w:val="1"/>
    <w:qFormat/>
    <w:uiPriority w:val="0"/>
    <w:pPr>
      <w:spacing w:line="360" w:lineRule="auto"/>
    </w:pPr>
    <w:rPr>
      <w:rFonts w:ascii="仿宋_GB2312" w:eastAsia="仿宋_GB2312"/>
      <w:sz w:val="24"/>
      <w:szCs w:val="20"/>
    </w:rPr>
  </w:style>
  <w:style w:type="paragraph" w:customStyle="1" w:styleId="53">
    <w:name w:val="BodyText"/>
    <w:basedOn w:val="1"/>
    <w:qFormat/>
    <w:uiPriority w:val="0"/>
    <w:pPr>
      <w:spacing w:line="360" w:lineRule="auto"/>
      <w:textAlignment w:val="baseline"/>
    </w:pPr>
    <w:rPr>
      <w:rFonts w:ascii="Times New Roman" w:hAnsi="Times New Roman"/>
      <w:kern w:val="2"/>
      <w:szCs w:val="24"/>
    </w:rPr>
  </w:style>
  <w:style w:type="character" w:customStyle="1" w:styleId="54">
    <w:name w:val="font61"/>
    <w:basedOn w:val="32"/>
    <w:qFormat/>
    <w:uiPriority w:val="0"/>
    <w:rPr>
      <w:rFonts w:hint="eastAsia" w:ascii="宋体" w:hAnsi="宋体" w:eastAsia="宋体" w:cs="宋体"/>
      <w:color w:val="000000"/>
      <w:sz w:val="20"/>
      <w:szCs w:val="20"/>
      <w:u w:val="none"/>
    </w:rPr>
  </w:style>
  <w:style w:type="character" w:customStyle="1" w:styleId="55">
    <w:name w:val="font71"/>
    <w:basedOn w:val="32"/>
    <w:qFormat/>
    <w:uiPriority w:val="0"/>
    <w:rPr>
      <w:rFonts w:hint="eastAsia" w:ascii="宋体" w:hAnsi="宋体" w:eastAsia="宋体" w:cs="宋体"/>
      <w:color w:val="000000"/>
      <w:sz w:val="20"/>
      <w:szCs w:val="20"/>
      <w:u w:val="none"/>
    </w:rPr>
  </w:style>
  <w:style w:type="character" w:customStyle="1" w:styleId="56">
    <w:name w:val="font101"/>
    <w:basedOn w:val="32"/>
    <w:qFormat/>
    <w:uiPriority w:val="0"/>
    <w:rPr>
      <w:rFonts w:hint="default" w:ascii="Arial" w:hAnsi="Arial" w:cs="Arial"/>
      <w:color w:val="000000"/>
      <w:sz w:val="20"/>
      <w:szCs w:val="20"/>
      <w:u w:val="none"/>
    </w:rPr>
  </w:style>
  <w:style w:type="character" w:customStyle="1" w:styleId="57">
    <w:name w:val="font112"/>
    <w:basedOn w:val="32"/>
    <w:qFormat/>
    <w:uiPriority w:val="0"/>
    <w:rPr>
      <w:rFonts w:hint="eastAsia" w:ascii="宋体" w:hAnsi="宋体" w:eastAsia="宋体" w:cs="宋体"/>
      <w:color w:val="000000"/>
      <w:sz w:val="20"/>
      <w:szCs w:val="20"/>
      <w:u w:val="none"/>
    </w:rPr>
  </w:style>
  <w:style w:type="character" w:customStyle="1" w:styleId="58">
    <w:name w:val="font51"/>
    <w:basedOn w:val="32"/>
    <w:qFormat/>
    <w:uiPriority w:val="0"/>
    <w:rPr>
      <w:rFonts w:hint="eastAsia" w:ascii="宋体" w:hAnsi="宋体" w:eastAsia="宋体" w:cs="宋体"/>
      <w:color w:val="000000"/>
      <w:sz w:val="20"/>
      <w:szCs w:val="20"/>
      <w:u w:val="none"/>
    </w:rPr>
  </w:style>
  <w:style w:type="character" w:customStyle="1" w:styleId="59">
    <w:name w:val="font11"/>
    <w:basedOn w:val="32"/>
    <w:qFormat/>
    <w:uiPriority w:val="0"/>
    <w:rPr>
      <w:rFonts w:hint="eastAsia" w:ascii="宋体" w:hAnsi="宋体" w:eastAsia="宋体" w:cs="宋体"/>
      <w:color w:val="000000"/>
      <w:sz w:val="20"/>
      <w:szCs w:val="20"/>
      <w:u w:val="none"/>
    </w:rPr>
  </w:style>
  <w:style w:type="character" w:customStyle="1" w:styleId="60">
    <w:name w:val="font131"/>
    <w:basedOn w:val="32"/>
    <w:qFormat/>
    <w:uiPriority w:val="0"/>
    <w:rPr>
      <w:rFonts w:hint="eastAsia" w:ascii="宋体" w:hAnsi="宋体" w:eastAsia="宋体" w:cs="宋体"/>
      <w:color w:val="000000"/>
      <w:sz w:val="20"/>
      <w:szCs w:val="20"/>
      <w:u w:val="none"/>
    </w:rPr>
  </w:style>
  <w:style w:type="character" w:customStyle="1" w:styleId="61">
    <w:name w:val="font191"/>
    <w:basedOn w:val="32"/>
    <w:qFormat/>
    <w:uiPriority w:val="0"/>
    <w:rPr>
      <w:rFonts w:ascii="Wingdings 2" w:hAnsi="Wingdings 2" w:eastAsia="Wingdings 2" w:cs="Wingdings 2"/>
      <w:color w:val="000000"/>
      <w:sz w:val="20"/>
      <w:szCs w:val="20"/>
      <w:u w:val="none"/>
    </w:rPr>
  </w:style>
  <w:style w:type="paragraph" w:customStyle="1" w:styleId="62">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customStyle="1" w:styleId="63">
    <w:name w:val="Table Paragraph"/>
    <w:basedOn w:val="1"/>
    <w:qFormat/>
    <w:uiPriority w:val="1"/>
  </w:style>
  <w:style w:type="character" w:customStyle="1" w:styleId="64">
    <w:name w:val="font121"/>
    <w:basedOn w:val="32"/>
    <w:qFormat/>
    <w:uiPriority w:val="0"/>
    <w:rPr>
      <w:rFonts w:hint="eastAsia" w:ascii="宋体" w:hAnsi="宋体" w:eastAsia="宋体" w:cs="宋体"/>
      <w:color w:val="FF0000"/>
      <w:sz w:val="20"/>
      <w:szCs w:val="20"/>
      <w:u w:val="none"/>
    </w:rPr>
  </w:style>
  <w:style w:type="character" w:customStyle="1" w:styleId="65">
    <w:name w:val="font81"/>
    <w:basedOn w:val="32"/>
    <w:qFormat/>
    <w:uiPriority w:val="0"/>
    <w:rPr>
      <w:rFonts w:hint="eastAsia" w:ascii="宋体" w:hAnsi="宋体" w:eastAsia="宋体" w:cs="宋体"/>
      <w:color w:val="000000"/>
      <w:sz w:val="20"/>
      <w:szCs w:val="20"/>
      <w:u w:val="none"/>
    </w:rPr>
  </w:style>
  <w:style w:type="character" w:customStyle="1" w:styleId="66">
    <w:name w:val="font91"/>
    <w:basedOn w:val="32"/>
    <w:qFormat/>
    <w:uiPriority w:val="0"/>
    <w:rPr>
      <w:rFonts w:hint="eastAsia" w:ascii="宋体" w:hAnsi="宋体" w:eastAsia="宋体" w:cs="宋体"/>
      <w:color w:val="000000"/>
      <w:sz w:val="20"/>
      <w:szCs w:val="20"/>
      <w:u w:val="none"/>
    </w:rPr>
  </w:style>
  <w:style w:type="character" w:customStyle="1" w:styleId="67">
    <w:name w:val="font41"/>
    <w:basedOn w:val="32"/>
    <w:qFormat/>
    <w:uiPriority w:val="0"/>
    <w:rPr>
      <w:rFonts w:hint="eastAsia" w:ascii="宋体" w:hAnsi="宋体" w:eastAsia="宋体" w:cs="宋体"/>
      <w:color w:val="000000"/>
      <w:sz w:val="20"/>
      <w:szCs w:val="20"/>
      <w:u w:val="none"/>
    </w:rPr>
  </w:style>
  <w:style w:type="paragraph" w:customStyle="1" w:styleId="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styleId="6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0">
    <w:name w:val="表头"/>
    <w:basedOn w:val="1"/>
    <w:qFormat/>
    <w:uiPriority w:val="0"/>
    <w:pPr>
      <w:jc w:val="center"/>
    </w:pPr>
    <w:rPr>
      <w:rFonts w:eastAsia="仿宋"/>
      <w:b/>
      <w:sz w:val="24"/>
    </w:rPr>
  </w:style>
  <w:style w:type="paragraph" w:customStyle="1" w:styleId="71">
    <w:name w:val="表格"/>
    <w:basedOn w:val="1"/>
    <w:qFormat/>
    <w:uiPriority w:val="0"/>
    <w:pPr>
      <w:pBdr>
        <w:top w:val="none" w:color="auto" w:sz="0" w:space="1"/>
        <w:left w:val="none" w:color="auto" w:sz="0" w:space="4"/>
        <w:bottom w:val="none" w:color="auto" w:sz="0" w:space="1"/>
        <w:right w:val="none" w:color="auto" w:sz="0" w:space="4"/>
      </w:pBdr>
      <w:jc w:val="center"/>
    </w:pPr>
  </w:style>
  <w:style w:type="character" w:customStyle="1" w:styleId="72">
    <w:name w:val="批注框文本 Char"/>
    <w:basedOn w:val="32"/>
    <w:link w:val="20"/>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11189</Words>
  <Characters>12462</Characters>
  <Lines>313</Lines>
  <Paragraphs>88</Paragraphs>
  <TotalTime>6</TotalTime>
  <ScaleCrop>false</ScaleCrop>
  <LinksUpToDate>false</LinksUpToDate>
  <CharactersWithSpaces>12532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2023-06-02T01:26:00Z</dcterms:created>
  <dc:creator>jsb</dc:creator>
  <cp:lastModifiedBy>云南力宏建设工程咨询有限公司</cp:lastModifiedBy>
  <cp:lastPrinted>2023-05-05T01:16:00Z</cp:lastPrinted>
  <dcterms:modified xsi:type="dcterms:W3CDTF">2026-04-22T08:01:12Z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8E63FBA9A3D040D89540FBBCBE63D17C</vt:lpwstr>
  </property>
  <property fmtid="{D5CDD505-2E9C-101B-9397-08002B2CF9AE}" pid="4" name="KSOTemplateDocerSaveRecord">
    <vt:lpwstr>eyJoZGlkIjoiZTgxMDQwZWRmNzE4NGE1MWUyNzE3Yjc0MTE0MzQwYzQiLCJ1c2VySWQiOiI0MjE1Mzk3NDcifQ==</vt:lpwstr>
  </property>
</Properties>
</file>