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A7DB8">
      <w:pPr>
        <w:tabs>
          <w:tab w:val="left" w:pos="1134"/>
          <w:tab w:val="left" w:pos="5481"/>
          <w:tab w:val="left" w:pos="5859"/>
        </w:tabs>
        <w:jc w:val="center"/>
        <w:rPr>
          <w:rFonts w:hint="default" w:ascii="Times New Roman" w:hAnsi="Times New Roman" w:eastAsia="华文中宋" w:cs="Times New Roman"/>
          <w:b/>
          <w:color w:val="000000" w:themeColor="text1"/>
          <w:sz w:val="52"/>
          <w14:textFill>
            <w14:solidFill>
              <w14:schemeClr w14:val="tx1"/>
            </w14:solidFill>
          </w14:textFill>
        </w:rPr>
      </w:pPr>
    </w:p>
    <w:p w14:paraId="4E953C5B">
      <w:pPr>
        <w:tabs>
          <w:tab w:val="left" w:pos="1134"/>
          <w:tab w:val="left" w:pos="5481"/>
          <w:tab w:val="left" w:pos="5859"/>
        </w:tabs>
        <w:jc w:val="center"/>
        <w:rPr>
          <w:rFonts w:hint="default" w:ascii="Times New Roman" w:hAnsi="Times New Roman" w:eastAsia="黑体" w:cs="Times New Roman"/>
          <w:b/>
          <w:bCs/>
          <w:color w:val="000000" w:themeColor="text1"/>
          <w:sz w:val="72"/>
          <w:szCs w:val="72"/>
          <w14:textFill>
            <w14:solidFill>
              <w14:schemeClr w14:val="tx1"/>
            </w14:solidFill>
          </w14:textFill>
        </w:rPr>
      </w:pPr>
      <w:r>
        <w:rPr>
          <w:rFonts w:hint="default" w:ascii="Times New Roman" w:hAnsi="Times New Roman" w:eastAsia="黑体" w:cs="Times New Roman"/>
          <w:b/>
          <w:bCs/>
          <w:color w:val="000000" w:themeColor="text1"/>
          <w:sz w:val="72"/>
          <w:szCs w:val="72"/>
          <w14:textFill>
            <w14:solidFill>
              <w14:schemeClr w14:val="tx1"/>
            </w14:solidFill>
          </w14:textFill>
        </w:rPr>
        <w:t>阿勒泰地区政府采购</w:t>
      </w:r>
    </w:p>
    <w:p w14:paraId="7C36EEF0">
      <w:pPr>
        <w:tabs>
          <w:tab w:val="left" w:pos="1134"/>
          <w:tab w:val="left" w:pos="5481"/>
          <w:tab w:val="left" w:pos="5859"/>
        </w:tabs>
        <w:jc w:val="center"/>
        <w:rPr>
          <w:rFonts w:hint="default" w:ascii="Times New Roman" w:hAnsi="Times New Roman" w:eastAsia="黑体" w:cs="Times New Roman"/>
          <w:b/>
          <w:bCs/>
          <w:color w:val="000000" w:themeColor="text1"/>
          <w:sz w:val="72"/>
          <w:szCs w:val="72"/>
          <w14:textFill>
            <w14:solidFill>
              <w14:schemeClr w14:val="tx1"/>
            </w14:solidFill>
          </w14:textFill>
        </w:rPr>
      </w:pPr>
      <w:r>
        <w:rPr>
          <w:rFonts w:hint="default" w:ascii="Times New Roman" w:hAnsi="Times New Roman" w:eastAsia="黑体" w:cs="Times New Roman"/>
          <w:b/>
          <w:bCs/>
          <w:color w:val="000000" w:themeColor="text1"/>
          <w:sz w:val="72"/>
          <w:szCs w:val="72"/>
          <w14:textFill>
            <w14:solidFill>
              <w14:schemeClr w14:val="tx1"/>
            </w14:solidFill>
          </w14:textFill>
        </w:rPr>
        <w:t>竞争性磋商文件</w:t>
      </w:r>
    </w:p>
    <w:p w14:paraId="6B739108">
      <w:pPr>
        <w:tabs>
          <w:tab w:val="left" w:pos="1134"/>
          <w:tab w:val="left" w:pos="5160"/>
        </w:tabs>
        <w:jc w:val="center"/>
        <w:rPr>
          <w:rFonts w:hint="default" w:ascii="Times New Roman" w:hAnsi="Times New Roman" w:eastAsia="黑体" w:cs="Times New Roman"/>
          <w:b/>
          <w:bCs/>
          <w:color w:val="000000" w:themeColor="text1"/>
          <w:sz w:val="72"/>
          <w:szCs w:val="72"/>
          <w14:textFill>
            <w14:solidFill>
              <w14:schemeClr w14:val="tx1"/>
            </w14:solidFill>
          </w14:textFill>
        </w:rPr>
      </w:pPr>
      <w:r>
        <w:rPr>
          <w:rFonts w:hint="default" w:ascii="Times New Roman" w:hAnsi="Times New Roman" w:eastAsia="黑体" w:cs="Times New Roman"/>
          <w:b/>
          <w:bCs/>
          <w:color w:val="000000" w:themeColor="text1"/>
          <w:sz w:val="72"/>
          <w:szCs w:val="72"/>
          <w14:textFill>
            <w14:solidFill>
              <w14:schemeClr w14:val="tx1"/>
            </w14:solidFill>
          </w14:textFill>
        </w:rPr>
        <w:t>（服务类）</w:t>
      </w:r>
    </w:p>
    <w:p w14:paraId="1E9C6E38">
      <w:pPr>
        <w:tabs>
          <w:tab w:val="left" w:pos="1134"/>
          <w:tab w:val="left" w:pos="5481"/>
          <w:tab w:val="left" w:pos="5859"/>
        </w:tabs>
        <w:jc w:val="center"/>
        <w:rPr>
          <w:rFonts w:hint="default" w:ascii="Times New Roman" w:hAnsi="Times New Roman" w:eastAsia="黑体" w:cs="Times New Roman"/>
          <w:b/>
          <w:bCs/>
          <w:color w:val="000000" w:themeColor="text1"/>
          <w:sz w:val="72"/>
          <w:szCs w:val="72"/>
          <w14:textFill>
            <w14:solidFill>
              <w14:schemeClr w14:val="tx1"/>
            </w14:solidFill>
          </w14:textFill>
        </w:rPr>
      </w:pPr>
    </w:p>
    <w:p w14:paraId="4DA2DC1B">
      <w:pPr>
        <w:tabs>
          <w:tab w:val="left" w:pos="1134"/>
          <w:tab w:val="left" w:pos="5160"/>
        </w:tabs>
        <w:jc w:val="center"/>
        <w:rPr>
          <w:rFonts w:hint="default" w:ascii="Times New Roman" w:hAnsi="Times New Roman" w:eastAsia="黑体" w:cs="Times New Roman"/>
          <w:color w:val="000000" w:themeColor="text1"/>
          <w:sz w:val="72"/>
          <w:szCs w:val="72"/>
          <w14:textFill>
            <w14:solidFill>
              <w14:schemeClr w14:val="tx1"/>
            </w14:solidFill>
          </w14:textFill>
        </w:rPr>
      </w:pPr>
    </w:p>
    <w:p w14:paraId="62FFDFBC">
      <w:pPr>
        <w:tabs>
          <w:tab w:val="left" w:pos="1134"/>
          <w:tab w:val="left" w:pos="5481"/>
          <w:tab w:val="left" w:pos="5859"/>
        </w:tabs>
        <w:jc w:val="center"/>
        <w:rPr>
          <w:rFonts w:hint="default" w:ascii="Times New Roman" w:hAnsi="Times New Roman" w:eastAsia="黑体" w:cs="Times New Roman"/>
          <w:b/>
          <w:color w:val="000000" w:themeColor="text1"/>
          <w:sz w:val="32"/>
          <w14:textFill>
            <w14:solidFill>
              <w14:schemeClr w14:val="tx1"/>
            </w14:solidFill>
          </w14:textFill>
        </w:rPr>
      </w:pPr>
    </w:p>
    <w:p w14:paraId="4FD2BFA6">
      <w:pPr>
        <w:tabs>
          <w:tab w:val="left" w:pos="1134"/>
          <w:tab w:val="left" w:pos="5481"/>
          <w:tab w:val="left" w:pos="5859"/>
        </w:tabs>
        <w:jc w:val="center"/>
        <w:rPr>
          <w:rFonts w:hint="default" w:ascii="Times New Roman" w:hAnsi="Times New Roman" w:eastAsia="黑体" w:cs="Times New Roman"/>
          <w:b/>
          <w:color w:val="000000" w:themeColor="text1"/>
          <w:sz w:val="32"/>
          <w14:textFill>
            <w14:solidFill>
              <w14:schemeClr w14:val="tx1"/>
            </w14:solidFill>
          </w14:textFill>
        </w:rPr>
      </w:pPr>
    </w:p>
    <w:p w14:paraId="7AE48ED6">
      <w:pPr>
        <w:tabs>
          <w:tab w:val="left" w:pos="1134"/>
          <w:tab w:val="left" w:pos="5481"/>
          <w:tab w:val="left" w:pos="5859"/>
        </w:tabs>
        <w:jc w:val="center"/>
        <w:rPr>
          <w:rFonts w:hint="default" w:ascii="Times New Roman" w:hAnsi="Times New Roman" w:eastAsia="黑体" w:cs="Times New Roman"/>
          <w:b/>
          <w:color w:val="000000" w:themeColor="text1"/>
          <w:sz w:val="32"/>
          <w14:textFill>
            <w14:solidFill>
              <w14:schemeClr w14:val="tx1"/>
            </w14:solidFill>
          </w14:textFill>
        </w:rPr>
      </w:pPr>
    </w:p>
    <w:p w14:paraId="70133F37">
      <w:pPr>
        <w:tabs>
          <w:tab w:val="left" w:pos="1134"/>
          <w:tab w:val="left" w:pos="5481"/>
          <w:tab w:val="left" w:pos="5859"/>
        </w:tabs>
        <w:jc w:val="both"/>
        <w:rPr>
          <w:rFonts w:hint="default" w:ascii="Times New Roman" w:hAnsi="Times New Roman" w:eastAsia="黑体" w:cs="Times New Roman"/>
          <w:b/>
          <w:color w:val="000000" w:themeColor="text1"/>
          <w:sz w:val="32"/>
          <w14:textFill>
            <w14:solidFill>
              <w14:schemeClr w14:val="tx1"/>
            </w14:solidFill>
          </w14:textFill>
        </w:rPr>
      </w:pPr>
    </w:p>
    <w:p w14:paraId="3B02DB5A">
      <w:pPr>
        <w:pStyle w:val="20"/>
        <w:ind w:left="0" w:leftChars="0" w:firstLine="0" w:firstLineChars="0"/>
        <w:jc w:val="both"/>
        <w:rPr>
          <w:rFonts w:hint="eastAsia" w:hAnsi="仿宋_GB2312" w:cs="仿宋_GB2312"/>
          <w:b w:val="0"/>
          <w:bCs/>
          <w:sz w:val="32"/>
          <w:u w:val="single"/>
          <w:lang w:val="en-US" w:eastAsia="zh-CN"/>
        </w:rPr>
      </w:pPr>
      <w:r>
        <w:rPr>
          <w:rFonts w:hint="default" w:ascii="Times New Roman" w:hAnsi="Times New Roman" w:cs="Times New Roman"/>
          <w:b/>
          <w:color w:val="000000" w:themeColor="text1"/>
          <w14:textFill>
            <w14:solidFill>
              <w14:schemeClr w14:val="tx1"/>
            </w14:solidFill>
          </w14:textFill>
        </w:rPr>
        <w:t>项目名称：</w:t>
      </w:r>
      <w:r>
        <w:rPr>
          <w:rFonts w:hint="eastAsia" w:ascii="Times New Roman" w:hAnsi="Times New Roman" w:cs="Times New Roman"/>
          <w:b w:val="0"/>
          <w:bCs/>
          <w:color w:val="000000" w:themeColor="text1"/>
          <w:u w:val="single"/>
          <w:lang w:val="en-US" w:eastAsia="zh-CN"/>
          <w14:textFill>
            <w14:solidFill>
              <w14:schemeClr w14:val="tx1"/>
            </w14:solidFill>
          </w14:textFill>
        </w:rPr>
        <w:t>伊犁哈萨克自治州</w:t>
      </w:r>
      <w:r>
        <w:rPr>
          <w:rFonts w:hint="eastAsia" w:ascii="仿宋_GB2312" w:hAnsi="仿宋_GB2312" w:eastAsia="仿宋_GB2312" w:cs="仿宋_GB2312"/>
          <w:b w:val="0"/>
          <w:bCs/>
          <w:sz w:val="32"/>
          <w:u w:val="single"/>
          <w:lang w:val="en-US" w:eastAsia="zh-CN"/>
        </w:rPr>
        <w:t>阿勒泰地区</w:t>
      </w:r>
      <w:r>
        <w:rPr>
          <w:rFonts w:hint="eastAsia" w:hAnsi="仿宋_GB2312" w:cs="仿宋_GB2312"/>
          <w:b w:val="0"/>
          <w:bCs/>
          <w:sz w:val="32"/>
          <w:u w:val="single"/>
          <w:lang w:val="en-US" w:eastAsia="zh-CN"/>
        </w:rPr>
        <w:t>应急管理局-阿勒泰地区安全技术服务支撑年度执法检查（专家查隐患）项目（二次）</w:t>
      </w:r>
    </w:p>
    <w:p w14:paraId="34F0B182">
      <w:pPr>
        <w:pStyle w:val="20"/>
        <w:ind w:left="0" w:leftChars="0" w:firstLine="0" w:firstLineChars="0"/>
        <w:jc w:val="both"/>
        <w:rPr>
          <w:rFonts w:hint="default" w:ascii="仿宋_GB2312" w:hAnsi="仿宋_GB2312" w:eastAsia="仿宋_GB2312" w:cs="仿宋_GB2312"/>
          <w:b/>
          <w:color w:val="000000" w:themeColor="text1"/>
          <w:u w:val="single"/>
          <w:lang w:val="en-US" w:eastAsia="zh-CN"/>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项目编号：</w:t>
      </w:r>
      <w:r>
        <w:rPr>
          <w:rFonts w:hint="eastAsia" w:ascii="仿宋_GB2312" w:hAnsi="仿宋_GB2312" w:eastAsia="仿宋_GB2312" w:cs="仿宋_GB2312"/>
          <w:color w:val="000000" w:themeColor="text1"/>
          <w:u w:val="single"/>
          <w14:textFill>
            <w14:solidFill>
              <w14:schemeClr w14:val="tx1"/>
            </w14:solidFill>
          </w14:textFill>
        </w:rPr>
        <w:t>ADCG-JZ(20</w:t>
      </w:r>
      <w:r>
        <w:rPr>
          <w:rFonts w:hint="eastAsia" w:ascii="仿宋_GB2312" w:hAnsi="仿宋_GB2312" w:eastAsia="仿宋_GB2312" w:cs="仿宋_GB2312"/>
          <w:color w:val="000000" w:themeColor="text1"/>
          <w:u w:val="single"/>
          <w:lang w:val="en-US" w:eastAsia="zh-CN"/>
          <w14:textFill>
            <w14:solidFill>
              <w14:schemeClr w14:val="tx1"/>
            </w14:solidFill>
          </w14:textFill>
        </w:rPr>
        <w:t>2</w:t>
      </w:r>
      <w:r>
        <w:rPr>
          <w:rFonts w:hint="eastAsia" w:hAnsi="仿宋_GB2312" w:cs="仿宋_GB2312"/>
          <w:color w:val="000000" w:themeColor="text1"/>
          <w:u w:val="single"/>
          <w:lang w:val="en-US" w:eastAsia="zh-CN"/>
          <w14:textFill>
            <w14:solidFill>
              <w14:schemeClr w14:val="tx1"/>
            </w14:solidFill>
          </w14:textFill>
        </w:rPr>
        <w:t>6</w:t>
      </w:r>
      <w:r>
        <w:rPr>
          <w:rFonts w:hint="eastAsia" w:ascii="仿宋_GB2312" w:hAnsi="仿宋_GB2312" w:eastAsia="仿宋_GB2312" w:cs="仿宋_GB2312"/>
          <w:color w:val="000000" w:themeColor="text1"/>
          <w:u w:val="single"/>
          <w14:textFill>
            <w14:solidFill>
              <w14:schemeClr w14:val="tx1"/>
            </w14:solidFill>
          </w14:textFill>
        </w:rPr>
        <w:t>)-</w:t>
      </w:r>
      <w:r>
        <w:rPr>
          <w:rFonts w:hint="eastAsia" w:hAnsi="仿宋_GB2312" w:cs="仿宋_GB2312"/>
          <w:color w:val="000000" w:themeColor="text1"/>
          <w:u w:val="single"/>
          <w:lang w:val="en-US" w:eastAsia="zh-CN"/>
          <w14:textFill>
            <w14:solidFill>
              <w14:schemeClr w14:val="tx1"/>
            </w14:solidFill>
          </w14:textFill>
        </w:rPr>
        <w:t>12</w:t>
      </w:r>
      <w:r>
        <w:rPr>
          <w:rFonts w:hint="eastAsia" w:ascii="仿宋_GB2312" w:hAnsi="仿宋_GB2312" w:eastAsia="仿宋_GB2312" w:cs="仿宋_GB2312"/>
          <w:color w:val="000000" w:themeColor="text1"/>
          <w:u w:val="single"/>
          <w:lang w:val="en-US" w:eastAsia="zh-CN"/>
          <w14:textFill>
            <w14:solidFill>
              <w14:schemeClr w14:val="tx1"/>
            </w14:solidFill>
          </w14:textFill>
        </w:rPr>
        <w:t>号</w:t>
      </w:r>
      <w:r>
        <w:rPr>
          <w:rFonts w:hint="eastAsia" w:hAnsi="仿宋_GB2312" w:cs="仿宋_GB2312"/>
          <w:color w:val="000000" w:themeColor="text1"/>
          <w:u w:val="single"/>
          <w:lang w:val="en-US" w:eastAsia="zh-CN"/>
          <w14:textFill>
            <w14:solidFill>
              <w14:schemeClr w14:val="tx1"/>
            </w14:solidFill>
          </w14:textFill>
        </w:rPr>
        <w:t>-1</w:t>
      </w:r>
    </w:p>
    <w:p w14:paraId="4EF5FBD3">
      <w:pPr>
        <w:pStyle w:val="20"/>
        <w:ind w:left="0" w:leftChars="0" w:firstLine="0" w:firstLineChars="0"/>
        <w:jc w:val="both"/>
        <w:rPr>
          <w:rFonts w:hint="eastAsia" w:ascii="仿宋_GB2312" w:hAnsi="仿宋_GB2312" w:eastAsia="仿宋_GB2312" w:cs="仿宋_GB2312"/>
          <w:b/>
          <w:color w:val="000000" w:themeColor="text1"/>
          <w:u w:val="single"/>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集中采购机构：</w:t>
      </w:r>
      <w:r>
        <w:rPr>
          <w:rFonts w:hint="eastAsia" w:ascii="仿宋_GB2312" w:hAnsi="仿宋_GB2312" w:eastAsia="仿宋_GB2312" w:cs="仿宋_GB2312"/>
          <w:color w:val="000000" w:themeColor="text1"/>
          <w14:textFill>
            <w14:solidFill>
              <w14:schemeClr w14:val="tx1"/>
            </w14:solidFill>
          </w14:textFill>
        </w:rPr>
        <w:t>阿勒泰地区公共资源交易中心</w:t>
      </w:r>
    </w:p>
    <w:p w14:paraId="58DAC1DB">
      <w:pPr>
        <w:pStyle w:val="20"/>
        <w:ind w:left="0" w:leftChars="0" w:firstLine="0" w:firstLineChars="0"/>
        <w:jc w:val="both"/>
        <w:rPr>
          <w:rFonts w:hint="eastAsia" w:ascii="仿宋_GB2312" w:hAnsi="仿宋_GB2312" w:eastAsia="仿宋_GB2312" w:cs="仿宋_GB2312"/>
          <w:b/>
          <w:color w:val="000000" w:themeColor="text1"/>
          <w:sz w:val="30"/>
          <w:lang w:val="en-US" w:eastAsia="zh-CN"/>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日</w:t>
      </w:r>
      <w:r>
        <w:rPr>
          <w:rFonts w:hint="eastAsia" w:ascii="仿宋_GB2312" w:hAnsi="仿宋_GB2312" w:eastAsia="仿宋_GB2312" w:cs="仿宋_GB2312"/>
          <w:b/>
          <w:color w:val="000000" w:themeColor="text1"/>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14:textFill>
            <w14:solidFill>
              <w14:schemeClr w14:val="tx1"/>
            </w14:solidFill>
          </w14:textFill>
        </w:rPr>
        <w:t>期：</w:t>
      </w:r>
      <w:r>
        <w:rPr>
          <w:rFonts w:hint="eastAsia" w:ascii="仿宋_GB2312" w:hAnsi="仿宋_GB2312" w:eastAsia="仿宋_GB2312" w:cs="仿宋_GB2312"/>
          <w:b w:val="0"/>
          <w:bCs/>
          <w:color w:val="000000" w:themeColor="text1"/>
          <w:lang w:eastAsia="zh-CN"/>
          <w14:textFill>
            <w14:solidFill>
              <w14:schemeClr w14:val="tx1"/>
            </w14:solidFill>
          </w14:textFill>
        </w:rPr>
        <w:t>二〇</w:t>
      </w:r>
      <w:r>
        <w:rPr>
          <w:rFonts w:hint="eastAsia" w:ascii="仿宋_GB2312" w:hAnsi="仿宋_GB2312" w:eastAsia="仿宋_GB2312" w:cs="仿宋_GB2312"/>
          <w:b w:val="0"/>
          <w:bCs/>
          <w:color w:val="000000" w:themeColor="text1"/>
          <w:lang w:val="en-US" w:eastAsia="zh-CN"/>
          <w14:textFill>
            <w14:solidFill>
              <w14:schemeClr w14:val="tx1"/>
            </w14:solidFill>
          </w14:textFill>
        </w:rPr>
        <w:t>二</w:t>
      </w:r>
      <w:r>
        <w:rPr>
          <w:rFonts w:hint="eastAsia" w:hAnsi="仿宋_GB2312" w:cs="仿宋_GB2312"/>
          <w:b w:val="0"/>
          <w:bCs/>
          <w:color w:val="000000" w:themeColor="text1"/>
          <w:lang w:val="en-US" w:eastAsia="zh-CN"/>
          <w14:textFill>
            <w14:solidFill>
              <w14:schemeClr w14:val="tx1"/>
            </w14:solidFill>
          </w14:textFill>
        </w:rPr>
        <w:t>六</w:t>
      </w:r>
      <w:r>
        <w:rPr>
          <w:rFonts w:hint="eastAsia" w:ascii="仿宋_GB2312" w:hAnsi="仿宋_GB2312" w:eastAsia="仿宋_GB2312" w:cs="仿宋_GB2312"/>
          <w:b w:val="0"/>
          <w:bCs/>
          <w:color w:val="000000" w:themeColor="text1"/>
          <w:lang w:eastAsia="zh-CN"/>
          <w14:textFill>
            <w14:solidFill>
              <w14:schemeClr w14:val="tx1"/>
            </w14:solidFill>
          </w14:textFill>
        </w:rPr>
        <w:t>年</w:t>
      </w:r>
      <w:r>
        <w:rPr>
          <w:rFonts w:hint="eastAsia" w:hAnsi="仿宋_GB2312" w:cs="仿宋_GB2312"/>
          <w:b w:val="0"/>
          <w:bCs/>
          <w:color w:val="000000" w:themeColor="text1"/>
          <w:lang w:val="en-US" w:eastAsia="zh-CN"/>
          <w14:textFill>
            <w14:solidFill>
              <w14:schemeClr w14:val="tx1"/>
            </w14:solidFill>
          </w14:textFill>
        </w:rPr>
        <w:t>四</w:t>
      </w:r>
      <w:r>
        <w:rPr>
          <w:rFonts w:hint="eastAsia" w:ascii="仿宋_GB2312" w:hAnsi="仿宋_GB2312" w:eastAsia="仿宋_GB2312" w:cs="仿宋_GB2312"/>
          <w:b w:val="0"/>
          <w:bCs/>
          <w:color w:val="000000" w:themeColor="text1"/>
          <w:lang w:eastAsia="zh-CN"/>
          <w14:textFill>
            <w14:solidFill>
              <w14:schemeClr w14:val="tx1"/>
            </w14:solidFill>
          </w14:textFill>
        </w:rPr>
        <w:t>月</w:t>
      </w:r>
      <w:r>
        <w:rPr>
          <w:rFonts w:hint="eastAsia" w:hAnsi="仿宋_GB2312" w:cs="仿宋_GB2312"/>
          <w:b w:val="0"/>
          <w:bCs/>
          <w:color w:val="000000" w:themeColor="text1"/>
          <w:lang w:val="en-US" w:eastAsia="zh-CN"/>
          <w14:textFill>
            <w14:solidFill>
              <w14:schemeClr w14:val="tx1"/>
            </w14:solidFill>
          </w14:textFill>
        </w:rPr>
        <w:t>二十八</w:t>
      </w:r>
      <w:r>
        <w:rPr>
          <w:rFonts w:hint="eastAsia" w:ascii="仿宋_GB2312" w:hAnsi="仿宋_GB2312" w:eastAsia="仿宋_GB2312" w:cs="仿宋_GB2312"/>
          <w:b w:val="0"/>
          <w:bCs/>
          <w:color w:val="000000" w:themeColor="text1"/>
          <w:lang w:eastAsia="zh-CN"/>
          <w14:textFill>
            <w14:solidFill>
              <w14:schemeClr w14:val="tx1"/>
            </w14:solidFill>
          </w14:textFill>
        </w:rPr>
        <w:t>日</w:t>
      </w:r>
    </w:p>
    <w:p w14:paraId="2942E4E5">
      <w:pPr>
        <w:pStyle w:val="20"/>
        <w:ind w:left="0" w:leftChars="0" w:firstLine="0" w:firstLineChars="0"/>
        <w:jc w:val="both"/>
        <w:rPr>
          <w:rFonts w:hint="eastAsia" w:ascii="仿宋_GB2312" w:hAnsi="仿宋_GB2312" w:eastAsia="仿宋_GB2312" w:cs="仿宋_GB2312"/>
          <w:b/>
          <w:color w:val="000000" w:themeColor="text1"/>
          <w:sz w:val="30"/>
          <w:lang w:val="en-US" w:eastAsia="zh-CN"/>
          <w14:textFill>
            <w14:solidFill>
              <w14:schemeClr w14:val="tx1"/>
            </w14:solidFill>
          </w14:textFill>
        </w:rPr>
      </w:pPr>
    </w:p>
    <w:p w14:paraId="22828F22">
      <w:pPr>
        <w:pStyle w:val="20"/>
        <w:ind w:firstLine="0" w:firstLineChars="0"/>
        <w:jc w:val="center"/>
        <w:rPr>
          <w:rFonts w:hint="eastAsia" w:ascii="仿宋_GB2312" w:hAnsi="仿宋_GB2312" w:eastAsia="仿宋_GB2312" w:cs="仿宋_GB2312"/>
          <w:b/>
          <w:color w:val="000000" w:themeColor="text1"/>
          <w:sz w:val="30"/>
          <w14:textFill>
            <w14:solidFill>
              <w14:schemeClr w14:val="tx1"/>
            </w14:solidFill>
          </w14:textFill>
        </w:rPr>
      </w:pPr>
    </w:p>
    <w:p w14:paraId="0EBC06FA">
      <w:pPr>
        <w:tabs>
          <w:tab w:val="left" w:pos="1134"/>
          <w:tab w:val="left" w:pos="5481"/>
          <w:tab w:val="left" w:pos="5859"/>
        </w:tabs>
        <w:jc w:val="center"/>
        <w:rPr>
          <w:rFonts w:hint="default" w:ascii="Times New Roman" w:hAnsi="Times New Roman" w:eastAsia="黑体" w:cs="Times New Roman"/>
          <w:b/>
          <w:color w:val="000000" w:themeColor="text1"/>
          <w:sz w:val="32"/>
          <w14:textFill>
            <w14:solidFill>
              <w14:schemeClr w14:val="tx1"/>
            </w14:solidFill>
          </w14:textFill>
        </w:rPr>
      </w:pPr>
    </w:p>
    <w:p w14:paraId="485BED00">
      <w:pPr>
        <w:tabs>
          <w:tab w:val="left" w:pos="1134"/>
          <w:tab w:val="left" w:pos="5481"/>
          <w:tab w:val="left" w:pos="5859"/>
        </w:tabs>
        <w:jc w:val="center"/>
        <w:rPr>
          <w:rFonts w:hint="default" w:ascii="Times New Roman" w:hAnsi="Times New Roman" w:eastAsia="黑体" w:cs="Times New Roman"/>
          <w:b/>
          <w:color w:val="000000" w:themeColor="text1"/>
          <w:sz w:val="32"/>
          <w14:textFill>
            <w14:solidFill>
              <w14:schemeClr w14:val="tx1"/>
            </w14:solidFill>
          </w14:textFill>
        </w:rPr>
      </w:pPr>
    </w:p>
    <w:p w14:paraId="03872A02">
      <w:pPr>
        <w:tabs>
          <w:tab w:val="left" w:pos="1134"/>
          <w:tab w:val="left" w:pos="5481"/>
          <w:tab w:val="left" w:pos="5859"/>
        </w:tabs>
        <w:jc w:val="center"/>
        <w:rPr>
          <w:rFonts w:hint="default" w:ascii="Times New Roman" w:hAnsi="Times New Roman" w:eastAsia="宋体" w:cs="Times New Roman"/>
          <w:b/>
          <w:color w:val="000000" w:themeColor="text1"/>
          <w:sz w:val="32"/>
          <w:lang w:val="en-US" w:eastAsia="zh-CN"/>
          <w14:textFill>
            <w14:solidFill>
              <w14:schemeClr w14:val="tx1"/>
            </w14:solidFill>
          </w14:textFill>
        </w:rPr>
      </w:pPr>
      <w:r>
        <w:rPr>
          <w:rFonts w:hint="default" w:ascii="Times New Roman" w:hAnsi="Times New Roman" w:cs="Times New Roman"/>
          <w:b/>
          <w:color w:val="000000" w:themeColor="text1"/>
          <w:sz w:val="32"/>
          <w:lang w:val="en-US" w:eastAsia="zh-CN"/>
          <w14:textFill>
            <w14:solidFill>
              <w14:schemeClr w14:val="tx1"/>
            </w14:solidFill>
          </w14:textFill>
        </w:rPr>
        <w:t xml:space="preserve"> </w:t>
      </w:r>
    </w:p>
    <w:p w14:paraId="2117D150">
      <w:pPr>
        <w:jc w:val="center"/>
        <w:rPr>
          <w:rFonts w:hint="default" w:ascii="Times New Roman" w:hAnsi="Times New Roman" w:eastAsia="楷体_GB2312" w:cs="Times New Roman"/>
          <w:color w:val="000000" w:themeColor="text1"/>
          <w:sz w:val="4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br w:type="page"/>
      </w:r>
    </w:p>
    <w:sdt>
      <w:sdtPr>
        <w:rPr>
          <w:rFonts w:hint="default" w:ascii="Times New Roman" w:hAnsi="Times New Roman" w:cs="Times New Roman"/>
          <w:color w:val="000000" w:themeColor="text1"/>
          <w:lang w:val="zh-CN"/>
          <w14:textFill>
            <w14:solidFill>
              <w14:schemeClr w14:val="tx1"/>
            </w14:solidFill>
          </w14:textFill>
        </w:rPr>
        <w:id w:val="1341114169"/>
        <w:docPartObj>
          <w:docPartGallery w:val="Table of Contents"/>
          <w:docPartUnique/>
        </w:docPartObj>
      </w:sdtPr>
      <w:sdtEndPr>
        <w:rPr>
          <w:rFonts w:hint="default" w:ascii="Times New Roman" w:hAnsi="Times New Roman" w:cs="Times New Roman"/>
          <w:b/>
          <w:bCs/>
          <w:color w:val="000000" w:themeColor="text1"/>
          <w:lang w:val="zh-CN"/>
          <w14:textFill>
            <w14:solidFill>
              <w14:schemeClr w14:val="tx1"/>
            </w14:solidFill>
          </w14:textFill>
        </w:rPr>
      </w:sdtEndPr>
      <w:sdtContent>
        <w:p w14:paraId="0AE3EB7B">
          <w:pPr>
            <w:jc w:val="center"/>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目录</w:t>
          </w:r>
        </w:p>
        <w:p w14:paraId="62292FEC">
          <w:pPr>
            <w:pStyle w:val="28"/>
            <w:tabs>
              <w:tab w:val="right" w:leader="dot" w:pos="8312"/>
              <w:tab w:val="clear" w:pos="8222"/>
            </w:tabs>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TOC \o "1-3" \h \z \u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"_Toc7886"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sz w:val="24"/>
              <w:szCs w:val="24"/>
              <w14:textFill>
                <w14:solidFill>
                  <w14:schemeClr w14:val="tx1"/>
                </w14:solidFill>
              </w14:textFill>
            </w:rPr>
            <w:t>第一章 竞争性磋商公告</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455C7960">
          <w:pPr>
            <w:pStyle w:val="28"/>
            <w:tabs>
              <w:tab w:val="right" w:leader="dot" w:pos="8312"/>
              <w:tab w:val="clear" w:pos="8222"/>
            </w:tabs>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"_Toc20058"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sz w:val="24"/>
              <w:szCs w:val="24"/>
              <w14:textFill>
                <w14:solidFill>
                  <w14:schemeClr w14:val="tx1"/>
                </w14:solidFill>
              </w14:textFill>
            </w:rPr>
            <w:t>第二章 供应商须知</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4606AE7E">
          <w:pPr>
            <w:pStyle w:val="28"/>
            <w:tabs>
              <w:tab w:val="right" w:leader="dot" w:pos="8312"/>
              <w:tab w:val="clear" w:pos="8222"/>
            </w:tabs>
            <w:ind w:firstLine="56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"_Toc5882"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sz w:val="24"/>
              <w:szCs w:val="24"/>
              <w14:textFill>
                <w14:solidFill>
                  <w14:schemeClr w14:val="tx1"/>
                </w14:solidFill>
              </w14:textFill>
            </w:rPr>
            <w:t>一、说明</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7EECC9DC">
          <w:pPr>
            <w:pStyle w:val="31"/>
            <w:keepNext w:val="0"/>
            <w:keepLines w:val="0"/>
            <w:pageBreakBefore w:val="0"/>
            <w:widowControl w:val="0"/>
            <w:tabs>
              <w:tab w:val="right" w:leader="dot" w:pos="8312"/>
              <w:tab w:val="clear" w:pos="8222"/>
            </w:tabs>
            <w:kinsoku/>
            <w:wordWrap/>
            <w:overflowPunct/>
            <w:topLinePunct w:val="0"/>
            <w:autoSpaceDE/>
            <w:autoSpaceDN/>
            <w:bidi w:val="0"/>
            <w:adjustRightInd/>
            <w:snapToGrid/>
            <w:ind w:left="0" w:leftChars="0" w:firstLine="560" w:firstLineChars="20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"_Toc21571"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sz w:val="24"/>
              <w:szCs w:val="24"/>
              <w14:textFill>
                <w14:solidFill>
                  <w14:schemeClr w14:val="tx1"/>
                </w14:solidFill>
              </w14:textFill>
            </w:rPr>
            <w:t>二、磋商文件</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7B952785">
          <w:pPr>
            <w:pStyle w:val="31"/>
            <w:keepNext w:val="0"/>
            <w:keepLines w:val="0"/>
            <w:pageBreakBefore w:val="0"/>
            <w:widowControl w:val="0"/>
            <w:tabs>
              <w:tab w:val="right" w:leader="dot" w:pos="8312"/>
              <w:tab w:val="clear" w:pos="8222"/>
            </w:tabs>
            <w:kinsoku/>
            <w:wordWrap/>
            <w:overflowPunct/>
            <w:topLinePunct w:val="0"/>
            <w:autoSpaceDE/>
            <w:autoSpaceDN/>
            <w:bidi w:val="0"/>
            <w:adjustRightInd/>
            <w:snapToGrid/>
            <w:ind w:left="0" w:leftChars="0" w:firstLine="560" w:firstLineChars="20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"_Toc16413"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sz w:val="24"/>
              <w:szCs w:val="24"/>
              <w14:textFill>
                <w14:solidFill>
                  <w14:schemeClr w14:val="tx1"/>
                </w14:solidFill>
              </w14:textFill>
            </w:rPr>
            <w:t>三、响应文件的编制</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1B5F020C">
          <w:pPr>
            <w:pStyle w:val="31"/>
            <w:keepNext w:val="0"/>
            <w:keepLines w:val="0"/>
            <w:pageBreakBefore w:val="0"/>
            <w:widowControl w:val="0"/>
            <w:tabs>
              <w:tab w:val="right" w:leader="dot" w:pos="8312"/>
              <w:tab w:val="clear" w:pos="8222"/>
            </w:tabs>
            <w:kinsoku/>
            <w:wordWrap/>
            <w:overflowPunct/>
            <w:topLinePunct w:val="0"/>
            <w:autoSpaceDE/>
            <w:autoSpaceDN/>
            <w:bidi w:val="0"/>
            <w:adjustRightInd/>
            <w:snapToGrid/>
            <w:ind w:left="0" w:leftChars="0" w:firstLine="480" w:firstLineChars="200"/>
            <w:jc w:val="left"/>
            <w:textAlignment w:val="auto"/>
            <w:rPr>
              <w:rFonts w:hint="default" w:ascii="Times New Roman" w:hAnsi="Times New Roman" w:cs="Times New Roman"/>
              <w:bCs/>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四、响应文件的递交</w:t>
          </w:r>
          <w:r>
            <w:rPr>
              <w:rFonts w:hint="default" w:ascii="Times New Roman" w:hAnsi="Times New Roman" w:cs="Times New Roman"/>
              <w:bCs/>
              <w:color w:val="000000" w:themeColor="text1"/>
              <w:sz w:val="24"/>
              <w:szCs w:val="24"/>
              <w14:textFill>
                <w14:solidFill>
                  <w14:schemeClr w14:val="tx1"/>
                </w14:solidFill>
              </w14:textFill>
            </w:rPr>
            <w:t xml:space="preserve">..............................................................................................    </w:t>
          </w:r>
        </w:p>
        <w:p w14:paraId="0500CF52">
          <w:pPr>
            <w:pStyle w:val="31"/>
            <w:keepNext w:val="0"/>
            <w:keepLines w:val="0"/>
            <w:pageBreakBefore w:val="0"/>
            <w:widowControl w:val="0"/>
            <w:tabs>
              <w:tab w:val="right" w:leader="dot" w:pos="8312"/>
              <w:tab w:val="clear" w:pos="8222"/>
            </w:tabs>
            <w:kinsoku/>
            <w:wordWrap/>
            <w:overflowPunct/>
            <w:topLinePunct w:val="0"/>
            <w:autoSpaceDE/>
            <w:autoSpaceDN/>
            <w:bidi w:val="0"/>
            <w:adjustRightInd/>
            <w:snapToGrid/>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"_Toc5596" </w:instrText>
          </w:r>
          <w:r>
            <w:rPr>
              <w:rFonts w:hint="default" w:ascii="Times New Roman" w:hAnsi="Times New Roman" w:cs="Times New Roman"/>
              <w:color w:val="000000" w:themeColor="text1"/>
              <w14:textFill>
                <w14:solidFill>
                  <w14:schemeClr w14:val="tx1"/>
                </w14:solidFill>
              </w14:textFill>
            </w:rPr>
            <w:fldChar w:fldCharType="separate"/>
          </w:r>
          <w:r>
            <w:rPr>
              <w:rFonts w:hint="eastAsia" w:ascii="Times New Roman" w:hAnsi="Times New Roman" w:cs="Times New Roman"/>
              <w:color w:val="000000" w:themeColor="text1"/>
              <w:lang w:eastAsia="zh-CN"/>
              <w14:textFill>
                <w14:solidFill>
                  <w14:schemeClr w14:val="tx1"/>
                </w14:solidFill>
              </w14:textFill>
            </w:rPr>
            <w:t>五</w:t>
          </w:r>
          <w:r>
            <w:rPr>
              <w:rFonts w:hint="default" w:ascii="Times New Roman" w:hAnsi="Times New Roman" w:cs="Times New Roman"/>
              <w:color w:val="000000" w:themeColor="text1"/>
              <w:sz w:val="24"/>
              <w:szCs w:val="24"/>
              <w14:textFill>
                <w14:solidFill>
                  <w14:schemeClr w14:val="tx1"/>
                </w14:solidFill>
              </w14:textFill>
            </w:rPr>
            <w:t>、竞争性磋商程序</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0DFCF70F">
          <w:pPr>
            <w:pStyle w:val="31"/>
            <w:keepNext w:val="0"/>
            <w:keepLines w:val="0"/>
            <w:pageBreakBefore w:val="0"/>
            <w:widowControl w:val="0"/>
            <w:tabs>
              <w:tab w:val="right" w:leader="dot" w:pos="8312"/>
              <w:tab w:val="clear" w:pos="8222"/>
            </w:tabs>
            <w:kinsoku/>
            <w:wordWrap/>
            <w:overflowPunct/>
            <w:topLinePunct w:val="0"/>
            <w:autoSpaceDE/>
            <w:autoSpaceDN/>
            <w:bidi w:val="0"/>
            <w:adjustRightInd/>
            <w:snapToGrid/>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"_Toc31594" </w:instrText>
          </w:r>
          <w:r>
            <w:rPr>
              <w:rFonts w:hint="default" w:ascii="Times New Roman" w:hAnsi="Times New Roman" w:cs="Times New Roman"/>
              <w:color w:val="000000" w:themeColor="text1"/>
              <w14:textFill>
                <w14:solidFill>
                  <w14:schemeClr w14:val="tx1"/>
                </w14:solidFill>
              </w14:textFill>
            </w:rPr>
            <w:fldChar w:fldCharType="separate"/>
          </w:r>
          <w:r>
            <w:rPr>
              <w:rFonts w:hint="eastAsia" w:ascii="Times New Roman" w:hAnsi="Times New Roman" w:cs="Times New Roman"/>
              <w:color w:val="000000" w:themeColor="text1"/>
              <w:sz w:val="24"/>
              <w:szCs w:val="24"/>
              <w:lang w:eastAsia="zh-CN"/>
              <w14:textFill>
                <w14:solidFill>
                  <w14:schemeClr w14:val="tx1"/>
                </w14:solidFill>
              </w14:textFill>
            </w:rPr>
            <w:t>六</w:t>
          </w:r>
          <w:r>
            <w:rPr>
              <w:rFonts w:hint="default" w:ascii="Times New Roman" w:hAnsi="Times New Roman" w:cs="Times New Roman"/>
              <w:color w:val="000000" w:themeColor="text1"/>
              <w:sz w:val="24"/>
              <w:szCs w:val="24"/>
              <w14:textFill>
                <w14:solidFill>
                  <w14:schemeClr w14:val="tx1"/>
                </w14:solidFill>
              </w14:textFill>
            </w:rPr>
            <w:t>、 授予合同</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4FA85BCC">
          <w:pPr>
            <w:pStyle w:val="31"/>
            <w:keepNext w:val="0"/>
            <w:keepLines w:val="0"/>
            <w:pageBreakBefore w:val="0"/>
            <w:widowControl w:val="0"/>
            <w:tabs>
              <w:tab w:val="right" w:leader="dot" w:pos="8312"/>
              <w:tab w:val="clear" w:pos="8222"/>
            </w:tabs>
            <w:kinsoku/>
            <w:wordWrap/>
            <w:overflowPunct/>
            <w:topLinePunct w:val="0"/>
            <w:autoSpaceDE/>
            <w:autoSpaceDN/>
            <w:bidi w:val="0"/>
            <w:adjustRightInd/>
            <w:snapToGrid/>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"_Toc15955" </w:instrText>
          </w:r>
          <w:r>
            <w:rPr>
              <w:rFonts w:hint="default" w:ascii="Times New Roman" w:hAnsi="Times New Roman" w:cs="Times New Roman"/>
              <w:color w:val="000000" w:themeColor="text1"/>
              <w14:textFill>
                <w14:solidFill>
                  <w14:schemeClr w14:val="tx1"/>
                </w14:solidFill>
              </w14:textFill>
            </w:rPr>
            <w:fldChar w:fldCharType="separate"/>
          </w:r>
          <w:r>
            <w:rPr>
              <w:rFonts w:hint="eastAsia" w:ascii="Times New Roman" w:hAnsi="Times New Roman" w:cs="Times New Roman"/>
              <w:color w:val="000000" w:themeColor="text1"/>
              <w:sz w:val="24"/>
              <w:szCs w:val="24"/>
              <w:lang w:eastAsia="zh-CN"/>
              <w14:textFill>
                <w14:solidFill>
                  <w14:schemeClr w14:val="tx1"/>
                </w14:solidFill>
              </w14:textFill>
            </w:rPr>
            <w:t>七</w:t>
          </w:r>
          <w:r>
            <w:rPr>
              <w:rFonts w:hint="default" w:ascii="Times New Roman" w:hAnsi="Times New Roman" w:cs="Times New Roman"/>
              <w:color w:val="000000" w:themeColor="text1"/>
              <w:sz w:val="24"/>
              <w:szCs w:val="24"/>
              <w14:textFill>
                <w14:solidFill>
                  <w14:schemeClr w14:val="tx1"/>
                </w14:solidFill>
              </w14:textFill>
            </w:rPr>
            <w:t>、质疑和投诉</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69C5B11D">
          <w:pPr>
            <w:pStyle w:val="31"/>
            <w:keepNext w:val="0"/>
            <w:keepLines w:val="0"/>
            <w:pageBreakBefore w:val="0"/>
            <w:widowControl w:val="0"/>
            <w:tabs>
              <w:tab w:val="right" w:leader="dot" w:pos="8312"/>
              <w:tab w:val="clear" w:pos="8222"/>
            </w:tabs>
            <w:kinsoku/>
            <w:wordWrap/>
            <w:overflowPunct/>
            <w:topLinePunct w:val="0"/>
            <w:autoSpaceDE/>
            <w:autoSpaceDN/>
            <w:bidi w:val="0"/>
            <w:adjustRightInd/>
            <w:snapToGrid/>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"_Toc25355" </w:instrText>
          </w:r>
          <w:r>
            <w:rPr>
              <w:rFonts w:hint="default" w:ascii="Times New Roman" w:hAnsi="Times New Roman" w:cs="Times New Roman"/>
              <w:color w:val="000000" w:themeColor="text1"/>
              <w14:textFill>
                <w14:solidFill>
                  <w14:schemeClr w14:val="tx1"/>
                </w14:solidFill>
              </w14:textFill>
            </w:rPr>
            <w:fldChar w:fldCharType="separate"/>
          </w:r>
          <w:r>
            <w:rPr>
              <w:rFonts w:hint="eastAsia" w:ascii="Times New Roman" w:hAnsi="Times New Roman" w:cs="Times New Roman"/>
              <w:color w:val="000000" w:themeColor="text1"/>
              <w:lang w:eastAsia="zh-CN"/>
              <w14:textFill>
                <w14:solidFill>
                  <w14:schemeClr w14:val="tx1"/>
                </w14:solidFill>
              </w14:textFill>
            </w:rPr>
            <w:t>八</w:t>
          </w:r>
          <w:r>
            <w:rPr>
              <w:rFonts w:hint="default" w:ascii="Times New Roman" w:hAnsi="Times New Roman" w:cs="Times New Roman"/>
              <w:color w:val="000000" w:themeColor="text1"/>
              <w:sz w:val="24"/>
              <w:szCs w:val="24"/>
              <w14:textFill>
                <w14:solidFill>
                  <w14:schemeClr w14:val="tx1"/>
                </w14:solidFill>
              </w14:textFill>
            </w:rPr>
            <w:t>、项目验收</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1F858FDD">
          <w:pPr>
            <w:pStyle w:val="31"/>
            <w:keepNext w:val="0"/>
            <w:keepLines w:val="0"/>
            <w:pageBreakBefore w:val="0"/>
            <w:widowControl w:val="0"/>
            <w:tabs>
              <w:tab w:val="right" w:leader="dot" w:pos="8312"/>
              <w:tab w:val="clear" w:pos="8222"/>
            </w:tabs>
            <w:kinsoku/>
            <w:wordWrap/>
            <w:overflowPunct/>
            <w:topLinePunct w:val="0"/>
            <w:autoSpaceDE/>
            <w:autoSpaceDN/>
            <w:bidi w:val="0"/>
            <w:adjustRightInd/>
            <w:snapToGrid/>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"_Toc5115" </w:instrText>
          </w:r>
          <w:r>
            <w:rPr>
              <w:rFonts w:hint="default" w:ascii="Times New Roman" w:hAnsi="Times New Roman" w:cs="Times New Roman"/>
              <w:color w:val="000000" w:themeColor="text1"/>
              <w14:textFill>
                <w14:solidFill>
                  <w14:schemeClr w14:val="tx1"/>
                </w14:solidFill>
              </w14:textFill>
            </w:rPr>
            <w:fldChar w:fldCharType="separate"/>
          </w:r>
          <w:r>
            <w:rPr>
              <w:rFonts w:hint="eastAsia" w:ascii="Times New Roman" w:hAnsi="Times New Roman" w:cs="Times New Roman"/>
              <w:color w:val="000000" w:themeColor="text1"/>
              <w:sz w:val="24"/>
              <w:szCs w:val="24"/>
              <w:lang w:eastAsia="zh-CN"/>
              <w14:textFill>
                <w14:solidFill>
                  <w14:schemeClr w14:val="tx1"/>
                </w14:solidFill>
              </w14:textFill>
            </w:rPr>
            <w:t>九</w:t>
          </w:r>
          <w:r>
            <w:rPr>
              <w:rFonts w:hint="default" w:ascii="Times New Roman" w:hAnsi="Times New Roman" w:cs="Times New Roman"/>
              <w:color w:val="000000" w:themeColor="text1"/>
              <w:sz w:val="24"/>
              <w:szCs w:val="24"/>
              <w14:textFill>
                <w14:solidFill>
                  <w14:schemeClr w14:val="tx1"/>
                </w14:solidFill>
              </w14:textFill>
            </w:rPr>
            <w:t>、适用法律</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1268889B">
          <w:pPr>
            <w:pStyle w:val="31"/>
            <w:keepNext w:val="0"/>
            <w:keepLines w:val="0"/>
            <w:pageBreakBefore w:val="0"/>
            <w:widowControl w:val="0"/>
            <w:tabs>
              <w:tab w:val="right" w:leader="dot" w:pos="8312"/>
              <w:tab w:val="clear" w:pos="8222"/>
            </w:tabs>
            <w:kinsoku/>
            <w:wordWrap/>
            <w:overflowPunct/>
            <w:topLinePunct w:val="0"/>
            <w:autoSpaceDE/>
            <w:autoSpaceDN/>
            <w:bidi w:val="0"/>
            <w:adjustRightInd/>
            <w:snapToGrid/>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"_Toc11671"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sz w:val="24"/>
              <w:szCs w:val="24"/>
              <w14:textFill>
                <w14:solidFill>
                  <w14:schemeClr w14:val="tx1"/>
                </w14:solidFill>
              </w14:textFill>
            </w:rPr>
            <w:t>十、磋商文件的解释权</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087CAE50">
          <w:pPr>
            <w:pStyle w:val="31"/>
            <w:keepNext w:val="0"/>
            <w:keepLines w:val="0"/>
            <w:pageBreakBefore w:val="0"/>
            <w:widowControl w:val="0"/>
            <w:tabs>
              <w:tab w:val="right" w:leader="dot" w:pos="8312"/>
              <w:tab w:val="clear" w:pos="8222"/>
            </w:tabs>
            <w:kinsoku/>
            <w:wordWrap/>
            <w:overflowPunct/>
            <w:topLinePunct w:val="0"/>
            <w:autoSpaceDE/>
            <w:autoSpaceDN/>
            <w:bidi w:val="0"/>
            <w:adjustRightInd/>
            <w:snapToGrid/>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"_Toc32366"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sz w:val="24"/>
              <w:szCs w:val="24"/>
              <w14:textFill>
                <w14:solidFill>
                  <w14:schemeClr w14:val="tx1"/>
                </w14:solidFill>
              </w14:textFill>
            </w:rPr>
            <w:t>十</w:t>
          </w:r>
          <w:r>
            <w:rPr>
              <w:rFonts w:hint="eastAsia" w:ascii="Times New Roman" w:hAnsi="Times New Roman" w:cs="Times New Roman"/>
              <w:color w:val="000000" w:themeColor="text1"/>
              <w:sz w:val="24"/>
              <w:szCs w:val="24"/>
              <w:lang w:eastAsia="zh-CN"/>
              <w14:textFill>
                <w14:solidFill>
                  <w14:schemeClr w14:val="tx1"/>
                </w14:solidFill>
              </w14:textFill>
            </w:rPr>
            <w:t>一</w:t>
          </w:r>
          <w:r>
            <w:rPr>
              <w:rFonts w:hint="default" w:ascii="Times New Roman" w:hAnsi="Times New Roman" w:cs="Times New Roman"/>
              <w:color w:val="000000" w:themeColor="text1"/>
              <w:sz w:val="24"/>
              <w:szCs w:val="24"/>
              <w14:textFill>
                <w14:solidFill>
                  <w14:schemeClr w14:val="tx1"/>
                </w14:solidFill>
              </w14:textFill>
            </w:rPr>
            <w:t>、其他注意事项</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6D65943F">
          <w:pPr>
            <w:pStyle w:val="28"/>
            <w:tabs>
              <w:tab w:val="right" w:leader="dot" w:pos="8312"/>
              <w:tab w:val="clear" w:pos="8222"/>
            </w:tabs>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color w:val="000000" w:themeColor="text1"/>
              <w:sz w:val="24"/>
              <w:szCs w:val="24"/>
              <w14:textFill>
                <w14:solidFill>
                  <w14:schemeClr w14:val="tx1"/>
                </w14:solidFill>
              </w14:textFill>
            </w:rPr>
            <w:instrText xml:space="preserve"> HYPERLINK \l "_Toc2582" </w:instrText>
          </w:r>
          <w:r>
            <w:rPr>
              <w:rFonts w:hint="default" w:ascii="Times New Roman" w:hAnsi="Times New Roman" w:eastAsia="宋体" w:cs="Times New Roman"/>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14:textFill>
                <w14:solidFill>
                  <w14:schemeClr w14:val="tx1"/>
                </w14:solidFill>
              </w14:textFill>
            </w:rPr>
            <w:t>第三章 采购需求</w:t>
          </w:r>
          <w:r>
            <w:rPr>
              <w:rFonts w:hint="default" w:ascii="Times New Roman" w:hAnsi="Times New Roman" w:eastAsia="宋体" w:cs="Times New Roman"/>
              <w:color w:val="000000" w:themeColor="text1"/>
              <w:sz w:val="24"/>
              <w:szCs w:val="24"/>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fldChar w:fldCharType="end"/>
          </w:r>
        </w:p>
        <w:p w14:paraId="00E5C8AD">
          <w:pPr>
            <w:pStyle w:val="28"/>
            <w:tabs>
              <w:tab w:val="right" w:leader="dot" w:pos="8312"/>
              <w:tab w:val="clear" w:pos="8222"/>
            </w:tabs>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color w:val="000000" w:themeColor="text1"/>
              <w:sz w:val="24"/>
              <w:szCs w:val="24"/>
              <w14:textFill>
                <w14:solidFill>
                  <w14:schemeClr w14:val="tx1"/>
                </w14:solidFill>
              </w14:textFill>
            </w:rPr>
            <w:instrText xml:space="preserve"> HYPERLINK \l "_Toc9993" </w:instrText>
          </w:r>
          <w:r>
            <w:rPr>
              <w:rFonts w:hint="default" w:ascii="Times New Roman" w:hAnsi="Times New Roman" w:eastAsia="宋体" w:cs="Times New Roman"/>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14:textFill>
                <w14:solidFill>
                  <w14:schemeClr w14:val="tx1"/>
                </w14:solidFill>
              </w14:textFill>
            </w:rPr>
            <w:t>第四章 评审方法</w:t>
          </w: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fldChar w:fldCharType="end"/>
          </w:r>
        </w:p>
        <w:p w14:paraId="3BDB7318">
          <w:pPr>
            <w:pStyle w:val="28"/>
            <w:tabs>
              <w:tab w:val="right" w:leader="dot" w:pos="8312"/>
              <w:tab w:val="clear" w:pos="8222"/>
            </w:tabs>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color w:val="000000" w:themeColor="text1"/>
              <w:sz w:val="24"/>
              <w:szCs w:val="24"/>
              <w14:textFill>
                <w14:solidFill>
                  <w14:schemeClr w14:val="tx1"/>
                </w14:solidFill>
              </w14:textFill>
            </w:rPr>
            <w:instrText xml:space="preserve"> HYPERLINK \l "_Toc8474" </w:instrText>
          </w:r>
          <w:r>
            <w:rPr>
              <w:rFonts w:hint="default" w:ascii="Times New Roman" w:hAnsi="Times New Roman" w:eastAsia="宋体" w:cs="Times New Roman"/>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14:textFill>
                <w14:solidFill>
                  <w14:schemeClr w14:val="tx1"/>
                </w14:solidFill>
              </w14:textFill>
            </w:rPr>
            <w:t>第五章 合同格式及</w:t>
          </w: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合同条款</w:t>
          </w:r>
          <w:r>
            <w:rPr>
              <w:rFonts w:hint="default" w:ascii="Times New Roman" w:hAnsi="Times New Roman" w:eastAsia="宋体" w:cs="Times New Roman"/>
              <w:color w:val="000000" w:themeColor="text1"/>
              <w:sz w:val="24"/>
              <w:szCs w:val="24"/>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fldChar w:fldCharType="end"/>
          </w:r>
        </w:p>
        <w:p w14:paraId="4AE75509">
          <w:pPr>
            <w:pStyle w:val="28"/>
            <w:tabs>
              <w:tab w:val="right" w:leader="dot" w:pos="8312"/>
              <w:tab w:val="clear" w:pos="8222"/>
            </w:tabs>
            <w:rPr>
              <w:rFonts w:hint="default" w:ascii="Times New Roman" w:hAnsi="Times New Roman" w:cs="Times New Roman"/>
              <w:bCs/>
              <w:color w:val="000000" w:themeColor="text1"/>
              <w:sz w:val="24"/>
              <w:szCs w:val="24"/>
              <w:lang w:val="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color w:val="000000" w:themeColor="text1"/>
              <w:sz w:val="24"/>
              <w:szCs w:val="24"/>
              <w14:textFill>
                <w14:solidFill>
                  <w14:schemeClr w14:val="tx1"/>
                </w14:solidFill>
              </w14:textFill>
            </w:rPr>
            <w:instrText xml:space="preserve"> HYPERLINK \l "_Toc19992" </w:instrText>
          </w:r>
          <w:r>
            <w:rPr>
              <w:rFonts w:hint="default" w:ascii="Times New Roman" w:hAnsi="Times New Roman" w:eastAsia="宋体" w:cs="Times New Roman"/>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14:textFill>
                <w14:solidFill>
                  <w14:schemeClr w14:val="tx1"/>
                </w14:solidFill>
              </w14:textFill>
            </w:rPr>
            <w:t>第六章 竞争性磋商响应文件格式</w:t>
          </w:r>
          <w:r>
            <w:rPr>
              <w:rFonts w:hint="default" w:ascii="Times New Roman" w:hAnsi="Times New Roman" w:eastAsia="宋体" w:cs="Times New Roman"/>
              <w:color w:val="000000" w:themeColor="text1"/>
              <w:sz w:val="24"/>
              <w:szCs w:val="24"/>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fldChar w:fldCharType="end"/>
          </w:r>
        </w:p>
        <w:p w14:paraId="3C0524CE">
          <w:pPr>
            <w:pStyle w:val="31"/>
            <w:tabs>
              <w:tab w:val="right" w:leader="dot" w:pos="8302"/>
              <w:tab w:val="clear" w:pos="8222"/>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"_Toc492921358" </w:instrText>
          </w:r>
          <w:r>
            <w:rPr>
              <w:rFonts w:hint="default" w:ascii="Times New Roman" w:hAnsi="Times New Roman" w:cs="Times New Roman"/>
              <w:color w:val="000000" w:themeColor="text1"/>
              <w14:textFill>
                <w14:solidFill>
                  <w14:schemeClr w14:val="tx1"/>
                </w14:solidFill>
              </w14:textFill>
            </w:rPr>
            <w:fldChar w:fldCharType="separate"/>
          </w:r>
          <w:r>
            <w:rPr>
              <w:rStyle w:val="47"/>
              <w:rFonts w:hint="default" w:ascii="Times New Roman" w:hAnsi="Times New Roman" w:cs="Times New Roman"/>
              <w:color w:val="000000" w:themeColor="text1"/>
              <w:sz w:val="21"/>
              <w14:textFill>
                <w14:solidFill>
                  <w14:schemeClr w14:val="tx1"/>
                </w14:solidFill>
              </w14:textFill>
            </w:rPr>
            <w:t>一、投标文件封面</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end"/>
          </w:r>
        </w:p>
        <w:p w14:paraId="2A1C6062">
          <w:pPr>
            <w:ind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"_Toc492921359" </w:instrText>
          </w:r>
          <w:r>
            <w:rPr>
              <w:rFonts w:hint="default" w:ascii="Times New Roman" w:hAnsi="Times New Roman" w:cs="Times New Roman"/>
              <w:color w:val="000000" w:themeColor="text1"/>
              <w14:textFill>
                <w14:solidFill>
                  <w14:schemeClr w14:val="tx1"/>
                </w14:solidFill>
              </w14:textFill>
            </w:rPr>
            <w:fldChar w:fldCharType="separate"/>
          </w:r>
          <w:r>
            <w:rPr>
              <w:rStyle w:val="47"/>
              <w:rFonts w:hint="default" w:ascii="Times New Roman" w:hAnsi="Times New Roman" w:cs="Times New Roman"/>
              <w:b/>
              <w:color w:val="000000" w:themeColor="text1"/>
              <w14:textFill>
                <w14:solidFill>
                  <w14:schemeClr w14:val="tx1"/>
                </w14:solidFill>
              </w14:textFill>
            </w:rPr>
            <w:t>二、</w:t>
          </w:r>
          <w:r>
            <w:rPr>
              <w:rStyle w:val="47"/>
              <w:rFonts w:hint="default" w:ascii="Times New Roman" w:hAnsi="Times New Roman" w:cs="Times New Roman"/>
              <w:color w:val="000000" w:themeColor="text1"/>
              <w14:textFill>
                <w14:solidFill>
                  <w14:schemeClr w14:val="tx1"/>
                </w14:solidFill>
              </w14:textFill>
            </w:rPr>
            <w:t>）</w:t>
          </w:r>
          <w:r>
            <w:rPr>
              <w:rStyle w:val="47"/>
              <w:rFonts w:hint="default" w:ascii="Times New Roman" w:hAnsi="Times New Roman" w:cs="Times New Roman"/>
              <w:color w:val="000000" w:themeColor="text1"/>
              <w:kern w:val="0"/>
              <w14:textFill>
                <w14:solidFill>
                  <w14:schemeClr w14:val="tx1"/>
                </w14:solidFill>
              </w14:textFill>
            </w:rPr>
            <w:t>☆</w:t>
          </w:r>
          <w:r>
            <w:rPr>
              <w:rStyle w:val="47"/>
              <w:rFonts w:hint="default" w:ascii="Times New Roman" w:hAnsi="Times New Roman" w:cs="Times New Roman"/>
              <w:bCs/>
              <w:color w:val="000000" w:themeColor="text1"/>
              <w14:textFill>
                <w14:solidFill>
                  <w14:schemeClr w14:val="tx1"/>
                </w14:solidFill>
              </w14:textFill>
            </w:rPr>
            <w:t>资格审查材料</w:t>
          </w:r>
          <w:r>
            <w:rPr>
              <w:rStyle w:val="47"/>
              <w:rFonts w:hint="default" w:ascii="Times New Roman" w:hAnsi="Times New Roman" w:cs="Times New Roman"/>
              <w:bCs/>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t>..................................................................................................................</w:t>
          </w:r>
        </w:p>
        <w:p w14:paraId="016E3B9D">
          <w:pPr>
            <w:pStyle w:val="22"/>
            <w:tabs>
              <w:tab w:val="right" w:leader="dot" w:pos="8302"/>
            </w:tabs>
            <w:ind w:left="0" w:leftChars="0"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"_Toc492921360" </w:instrText>
          </w:r>
          <w:r>
            <w:rPr>
              <w:rFonts w:hint="default" w:ascii="Times New Roman" w:hAnsi="Times New Roman" w:cs="Times New Roman"/>
              <w:color w:val="000000" w:themeColor="text1"/>
              <w14:textFill>
                <w14:solidFill>
                  <w14:schemeClr w14:val="tx1"/>
                </w14:solidFill>
              </w14:textFill>
            </w:rPr>
            <w:fldChar w:fldCharType="separate"/>
          </w:r>
          <w:r>
            <w:rPr>
              <w:rStyle w:val="47"/>
              <w:rFonts w:hint="default" w:ascii="Times New Roman" w:hAnsi="Times New Roman" w:cs="Times New Roman"/>
              <w:color w:val="000000" w:themeColor="text1"/>
              <w14:textFill>
                <w14:solidFill>
                  <w14:schemeClr w14:val="tx1"/>
                </w14:solidFill>
              </w14:textFill>
            </w:rPr>
            <w:t>（一</w:t>
          </w:r>
          <w:r>
            <w:rPr>
              <w:rStyle w:val="47"/>
              <w:rFonts w:hint="eastAsia" w:ascii="Times New Roman" w:hAnsi="Times New Roman" w:cs="Times New Roman"/>
              <w:color w:val="000000" w:themeColor="text1"/>
              <w:lang w:val="en-US" w:eastAsia="zh-CN"/>
              <w14:textFill>
                <w14:solidFill>
                  <w14:schemeClr w14:val="tx1"/>
                </w14:solidFill>
              </w14:textFill>
            </w:rPr>
            <w:t>)</w:t>
          </w:r>
          <w:r>
            <w:rPr>
              <w:rStyle w:val="47"/>
              <w:rFonts w:hint="default" w:ascii="Times New Roman" w:hAnsi="Times New Roman" w:cs="Times New Roman"/>
              <w:color w:val="000000" w:themeColor="text1"/>
              <w14:textFill>
                <w14:solidFill>
                  <w14:schemeClr w14:val="tx1"/>
                </w14:solidFill>
              </w14:textFill>
            </w:rPr>
            <w:t>营业执照、组织机构代码证、税务登记证</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end"/>
          </w:r>
        </w:p>
        <w:p w14:paraId="537F2B12">
          <w:pPr>
            <w:pStyle w:val="22"/>
            <w:tabs>
              <w:tab w:val="right" w:leader="dot" w:pos="8302"/>
            </w:tabs>
            <w:ind w:left="0" w:leftChars="0"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"_Toc492921361" </w:instrText>
          </w:r>
          <w:r>
            <w:rPr>
              <w:rFonts w:hint="default" w:ascii="Times New Roman" w:hAnsi="Times New Roman" w:cs="Times New Roman"/>
              <w:color w:val="000000" w:themeColor="text1"/>
              <w14:textFill>
                <w14:solidFill>
                  <w14:schemeClr w14:val="tx1"/>
                </w14:solidFill>
              </w14:textFill>
            </w:rPr>
            <w:fldChar w:fldCharType="separate"/>
          </w:r>
          <w:r>
            <w:rPr>
              <w:rStyle w:val="47"/>
              <w:rFonts w:hint="default" w:ascii="Times New Roman" w:hAnsi="Times New Roman" w:cs="Times New Roman"/>
              <w:color w:val="000000" w:themeColor="text1"/>
              <w14:textFill>
                <w14:solidFill>
                  <w14:schemeClr w14:val="tx1"/>
                </w14:solidFill>
              </w14:textFill>
            </w:rPr>
            <w:t>（二）法定代表人身份证明及授权委托书</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end"/>
          </w:r>
        </w:p>
        <w:p w14:paraId="6F8C3B7E">
          <w:pPr>
            <w:pStyle w:val="22"/>
            <w:tabs>
              <w:tab w:val="right" w:leader="dot" w:pos="8302"/>
            </w:tabs>
            <w:ind w:left="0" w:leftChars="0"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"_Toc492921362" </w:instrText>
          </w:r>
          <w:r>
            <w:rPr>
              <w:rFonts w:hint="default" w:ascii="Times New Roman" w:hAnsi="Times New Roman" w:cs="Times New Roman"/>
              <w:color w:val="000000" w:themeColor="text1"/>
              <w14:textFill>
                <w14:solidFill>
                  <w14:schemeClr w14:val="tx1"/>
                </w14:solidFill>
              </w14:textFill>
            </w:rPr>
            <w:fldChar w:fldCharType="separate"/>
          </w:r>
          <w:r>
            <w:rPr>
              <w:rStyle w:val="47"/>
              <w:rFonts w:hint="default" w:ascii="Times New Roman" w:hAnsi="Times New Roman" w:cs="Times New Roman"/>
              <w:color w:val="000000" w:themeColor="text1"/>
              <w14:textFill>
                <w14:solidFill>
                  <w14:schemeClr w14:val="tx1"/>
                </w14:solidFill>
              </w14:textFill>
            </w:rPr>
            <w:t>（三）投标保证金</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end"/>
          </w:r>
        </w:p>
        <w:p w14:paraId="11FD12E9">
          <w:pPr>
            <w:pStyle w:val="22"/>
            <w:tabs>
              <w:tab w:val="right" w:leader="dot" w:pos="8302"/>
            </w:tabs>
            <w:ind w:left="0" w:leftChars="0"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"_Toc492921364" </w:instrText>
          </w:r>
          <w:r>
            <w:rPr>
              <w:rFonts w:hint="default" w:ascii="Times New Roman" w:hAnsi="Times New Roman" w:cs="Times New Roman"/>
              <w:color w:val="000000" w:themeColor="text1"/>
              <w14:textFill>
                <w14:solidFill>
                  <w14:schemeClr w14:val="tx1"/>
                </w14:solidFill>
              </w14:textFill>
            </w:rPr>
            <w:fldChar w:fldCharType="separate"/>
          </w:r>
          <w:r>
            <w:rPr>
              <w:rStyle w:val="47"/>
              <w:rFonts w:hint="default" w:ascii="Times New Roman" w:hAnsi="Times New Roman" w:cs="Times New Roman"/>
              <w:color w:val="000000" w:themeColor="text1"/>
              <w14:textFill>
                <w14:solidFill>
                  <w14:schemeClr w14:val="tx1"/>
                </w14:solidFill>
              </w14:textFill>
            </w:rPr>
            <w:t>（</w:t>
          </w:r>
          <w:r>
            <w:rPr>
              <w:rStyle w:val="47"/>
              <w:rFonts w:hint="eastAsia" w:ascii="Times New Roman" w:hAnsi="Times New Roman" w:cs="Times New Roman"/>
              <w:color w:val="000000" w:themeColor="text1"/>
              <w:lang w:eastAsia="zh-CN"/>
              <w14:textFill>
                <w14:solidFill>
                  <w14:schemeClr w14:val="tx1"/>
                </w14:solidFill>
              </w14:textFill>
            </w:rPr>
            <w:t>四</w:t>
          </w:r>
          <w:r>
            <w:rPr>
              <w:rStyle w:val="47"/>
              <w:rFonts w:hint="default" w:ascii="Times New Roman" w:hAnsi="Times New Roman" w:cs="Times New Roman"/>
              <w:color w:val="000000" w:themeColor="text1"/>
              <w14:textFill>
                <w14:solidFill>
                  <w14:schemeClr w14:val="tx1"/>
                </w14:solidFill>
              </w14:textFill>
            </w:rPr>
            <w:t>）</w:t>
          </w:r>
          <w:r>
            <w:rPr>
              <w:rFonts w:hint="eastAsia"/>
              <w:sz w:val="21"/>
              <w:szCs w:val="21"/>
              <w:lang w:val="en-US" w:eastAsia="zh-CN"/>
            </w:rPr>
            <w:t>资质要求证明文件（若本项目要求）</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end"/>
          </w:r>
        </w:p>
        <w:p w14:paraId="03DC260B">
          <w:pPr>
            <w:ind w:firstLine="420" w:firstLineChars="200"/>
            <w:rPr>
              <w:rFonts w:hint="default" w:ascii="Times New Roman" w:hAnsi="Times New Roman" w:cs="Times New Roman"/>
              <w:color w:val="000000" w:themeColor="text1"/>
              <w14:textFill>
                <w14:solidFill>
                  <w14:schemeClr w14:val="tx1"/>
                </w14:solidFill>
              </w14:textFill>
            </w:rPr>
          </w:pPr>
          <w:r>
            <w:rPr>
              <w:rStyle w:val="47"/>
              <w:rFonts w:hint="default" w:ascii="Times New Roman" w:hAnsi="Times New Roman" w:eastAsia="宋体" w:cs="Times New Roman"/>
              <w:color w:val="000000" w:themeColor="text1"/>
              <w:kern w:val="2"/>
              <w:sz w:val="21"/>
              <w:szCs w:val="22"/>
              <w:lang w:val="en-US" w:eastAsia="zh-CN" w:bidi="ar-SA"/>
              <w14:textFill>
                <w14:solidFill>
                  <w14:schemeClr w14:val="tx1"/>
                </w14:solidFill>
              </w14:textFill>
            </w:rPr>
            <w:t>（</w:t>
          </w:r>
          <w:r>
            <w:rPr>
              <w:rStyle w:val="47"/>
              <w:rFonts w:hint="eastAsia" w:ascii="Times New Roman" w:hAnsi="Times New Roman" w:eastAsia="宋体" w:cs="Times New Roman"/>
              <w:color w:val="000000" w:themeColor="text1"/>
              <w:kern w:val="2"/>
              <w:sz w:val="21"/>
              <w:szCs w:val="22"/>
              <w:lang w:val="en-US" w:eastAsia="zh-CN" w:bidi="ar-SA"/>
              <w14:textFill>
                <w14:solidFill>
                  <w14:schemeClr w14:val="tx1"/>
                </w14:solidFill>
              </w14:textFill>
            </w:rPr>
            <w:t>五</w:t>
          </w:r>
          <w:r>
            <w:rPr>
              <w:rFonts w:hint="default" w:ascii="Times New Roman" w:hAnsi="Times New Roman" w:cs="Times New Roman"/>
              <w:color w:val="000000" w:themeColor="text1"/>
              <w:sz w:val="24"/>
              <w:szCs w:val="24"/>
              <w14:textFill>
                <w14:solidFill>
                  <w14:schemeClr w14:val="tx1"/>
                </w14:solidFill>
              </w14:textFill>
            </w:rPr>
            <w:t>）</w:t>
          </w:r>
          <w:r>
            <w:rPr>
              <w:rStyle w:val="47"/>
              <w:rFonts w:hint="default" w:ascii="Times New Roman" w:hAnsi="Times New Roman" w:eastAsia="宋体" w:cs="Times New Roman"/>
              <w:color w:val="000000" w:themeColor="text1"/>
              <w:kern w:val="2"/>
              <w:sz w:val="21"/>
              <w:szCs w:val="22"/>
              <w:lang w:val="zh-CN" w:eastAsia="zh-CN" w:bidi="ar-SA"/>
              <w14:textFill>
                <w14:solidFill>
                  <w14:schemeClr w14:val="tx1"/>
                </w14:solidFill>
              </w14:textFill>
            </w:rPr>
            <w:t>网上信用记录证明</w:t>
          </w:r>
          <w:r>
            <w:rPr>
              <w:rStyle w:val="47"/>
              <w:rFonts w:hint="default" w:ascii="Times New Roman" w:hAnsi="Times New Roman" w:eastAsia="宋体" w:cs="Times New Roman"/>
              <w:color w:val="000000" w:themeColor="text1"/>
              <w:kern w:val="2"/>
              <w:sz w:val="21"/>
              <w:szCs w:val="22"/>
              <w:lang w:val="en-US" w:eastAsia="zh-CN" w:bidi="ar-SA"/>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w:t>
          </w:r>
        </w:p>
        <w:p w14:paraId="08670745">
          <w:pPr>
            <w:ind w:firstLine="420" w:firstLineChars="200"/>
            <w:rPr>
              <w:rFonts w:hint="default" w:ascii="Times New Roman" w:hAnsi="Times New Roman" w:cs="Times New Roman"/>
              <w:color w:val="000000" w:themeColor="text1"/>
              <w14:textFill>
                <w14:solidFill>
                  <w14:schemeClr w14:val="tx1"/>
                </w14:solidFill>
              </w14:textFill>
            </w:rPr>
          </w:pPr>
          <w:r>
            <w:rPr>
              <w:rStyle w:val="47"/>
              <w:rFonts w:hint="eastAsia" w:ascii="Times New Roman" w:hAnsi="Times New Roman" w:cs="Times New Roman"/>
              <w:color w:val="000000" w:themeColor="text1"/>
              <w:kern w:val="2"/>
              <w:sz w:val="21"/>
              <w:szCs w:val="22"/>
              <w:lang w:val="en-US" w:eastAsia="zh-CN" w:bidi="ar-SA"/>
              <w14:textFill>
                <w14:solidFill>
                  <w14:schemeClr w14:val="tx1"/>
                </w14:solidFill>
              </w14:textFill>
            </w:rPr>
            <w:t>（六）中小企业声明函</w:t>
          </w:r>
          <w:r>
            <w:rPr>
              <w:rFonts w:hint="eastAsia"/>
              <w:sz w:val="21"/>
              <w:szCs w:val="21"/>
              <w:lang w:val="en-US" w:eastAsia="zh-CN"/>
            </w:rPr>
            <w:t>（若本项目要求）</w:t>
          </w:r>
          <w:r>
            <w:rPr>
              <w:rFonts w:hint="default" w:ascii="Times New Roman" w:hAnsi="Times New Roman" w:cs="Times New Roman"/>
              <w:color w:val="000000" w:themeColor="text1"/>
              <w:sz w:val="24"/>
              <w14:textFill>
                <w14:solidFill>
                  <w14:schemeClr w14:val="tx1"/>
                </w14:solidFill>
              </w14:textFill>
            </w:rPr>
            <w:t>........................................</w:t>
          </w:r>
        </w:p>
        <w:p w14:paraId="73DAC2B9">
          <w:pPr>
            <w:pStyle w:val="31"/>
            <w:tabs>
              <w:tab w:val="right" w:leader="dot" w:pos="8302"/>
              <w:tab w:val="clear" w:pos="8222"/>
            </w:tabs>
            <w:rPr>
              <w:rFonts w:hint="default" w:eastAsia="宋体"/>
              <w:lang w:val="en-US" w:eastAsia="zh-CN"/>
            </w:rPr>
          </w:pPr>
          <w:r>
            <w:rPr>
              <w:rFonts w:hint="eastAsia"/>
            </w:rPr>
            <w:t>三、商务文件</w:t>
          </w:r>
          <w:r>
            <w:tab/>
          </w:r>
        </w:p>
        <w:p w14:paraId="246799A2">
          <w:pPr>
            <w:pStyle w:val="22"/>
            <w:tabs>
              <w:tab w:val="right" w:leader="dot" w:pos="8302"/>
            </w:tabs>
            <w:ind w:left="0" w:leftChars="0" w:firstLine="420" w:firstLineChars="200"/>
            <w:rPr>
              <w:rFonts w:hint="eastAsia"/>
            </w:rPr>
          </w:pPr>
          <w:r>
            <w:rPr>
              <w:rFonts w:hint="eastAsia"/>
            </w:rPr>
            <w:t>（</w:t>
          </w:r>
          <w:r>
            <w:rPr>
              <w:rFonts w:hint="eastAsia"/>
              <w:lang w:eastAsia="zh-CN"/>
            </w:rPr>
            <w:t>七</w:t>
          </w:r>
          <w:r>
            <w:rPr>
              <w:rFonts w:hint="eastAsia"/>
            </w:rPr>
            <w:t>）☆投标函</w:t>
          </w:r>
        </w:p>
        <w:p w14:paraId="5C0B90C0">
          <w:pPr>
            <w:pStyle w:val="22"/>
            <w:tabs>
              <w:tab w:val="right" w:leader="dot" w:pos="8302"/>
            </w:tabs>
            <w:ind w:left="0" w:leftChars="0" w:firstLine="420" w:firstLineChars="200"/>
          </w:pPr>
          <w:r>
            <w:rPr>
              <w:rFonts w:hint="eastAsia"/>
            </w:rPr>
            <w:t>（</w:t>
          </w:r>
          <w:r>
            <w:rPr>
              <w:rFonts w:hint="eastAsia"/>
              <w:lang w:eastAsia="zh-CN"/>
            </w:rPr>
            <w:t>八</w:t>
          </w:r>
          <w:r>
            <w:rPr>
              <w:rFonts w:hint="eastAsia"/>
            </w:rPr>
            <w:t>）☆开标一览表</w:t>
          </w:r>
          <w:r>
            <w:tab/>
          </w:r>
        </w:p>
        <w:p w14:paraId="090F5E6E">
          <w:pPr>
            <w:pStyle w:val="22"/>
            <w:tabs>
              <w:tab w:val="right" w:leader="dot" w:pos="8302"/>
            </w:tabs>
            <w:ind w:left="0" w:leftChars="0" w:firstLine="420" w:firstLineChars="200"/>
          </w:pPr>
          <w:r>
            <w:rPr>
              <w:rFonts w:hint="eastAsia"/>
            </w:rPr>
            <w:t>（</w:t>
          </w:r>
          <w:r>
            <w:rPr>
              <w:rFonts w:hint="eastAsia"/>
              <w:lang w:eastAsia="zh-CN"/>
            </w:rPr>
            <w:t>九</w:t>
          </w:r>
          <w:r>
            <w:rPr>
              <w:rFonts w:hint="eastAsia"/>
            </w:rPr>
            <w:t>）☆投标报价明细表</w:t>
          </w:r>
          <w:r>
            <w:tab/>
          </w:r>
        </w:p>
        <w:p w14:paraId="09C47DB9">
          <w:pPr>
            <w:pStyle w:val="22"/>
            <w:tabs>
              <w:tab w:val="right" w:leader="dot" w:pos="8302"/>
            </w:tabs>
            <w:ind w:left="0" w:leftChars="0" w:firstLine="420" w:firstLineChars="200"/>
          </w:pPr>
          <w:r>
            <w:rPr>
              <w:rFonts w:hint="eastAsia"/>
            </w:rPr>
            <w:t>（</w:t>
          </w:r>
          <w:r>
            <w:rPr>
              <w:rFonts w:hint="eastAsia"/>
              <w:lang w:eastAsia="zh-CN"/>
            </w:rPr>
            <w:t>十</w:t>
          </w:r>
          <w:r>
            <w:rPr>
              <w:rFonts w:hint="eastAsia"/>
            </w:rPr>
            <w:t>）☆售后服务承诺书</w:t>
          </w:r>
          <w:r>
            <w:tab/>
          </w:r>
        </w:p>
        <w:p w14:paraId="30CEFA98">
          <w:pPr>
            <w:pStyle w:val="22"/>
            <w:tabs>
              <w:tab w:val="right" w:leader="dot" w:pos="8302"/>
            </w:tabs>
            <w:ind w:left="0" w:leftChars="0" w:firstLine="420" w:firstLineChars="200"/>
          </w:pPr>
          <w:r>
            <w:rPr>
              <w:rFonts w:hint="eastAsia"/>
            </w:rPr>
            <w:t>（十</w:t>
          </w:r>
          <w:r>
            <w:rPr>
              <w:rFonts w:hint="eastAsia"/>
              <w:lang w:eastAsia="zh-CN"/>
            </w:rPr>
            <w:t>一</w:t>
          </w:r>
          <w:r>
            <w:rPr>
              <w:rFonts w:hint="eastAsia"/>
            </w:rPr>
            <w:t>）</w:t>
          </w:r>
          <w:r>
            <w:t>☆</w:t>
          </w:r>
          <w:r>
            <w:rPr>
              <w:rFonts w:hint="eastAsia"/>
            </w:rPr>
            <w:t>商务条款偏离说明表</w:t>
          </w:r>
          <w:r>
            <w:tab/>
          </w:r>
        </w:p>
        <w:p w14:paraId="13A256C7">
          <w:pPr>
            <w:ind w:firstLine="420" w:firstLineChars="200"/>
            <w:rPr>
              <w:rFonts w:hint="default" w:eastAsia="宋体"/>
              <w:lang w:val="en-US" w:eastAsia="zh-CN"/>
            </w:rPr>
          </w:pPr>
          <w:r>
            <w:rPr>
              <w:rFonts w:hint="eastAsia"/>
            </w:rPr>
            <w:t>（十</w:t>
          </w:r>
          <w:r>
            <w:rPr>
              <w:rFonts w:hint="eastAsia"/>
              <w:lang w:eastAsia="zh-CN"/>
            </w:rPr>
            <w:t>二</w:t>
          </w:r>
          <w:r>
            <w:rPr>
              <w:rFonts w:hint="eastAsia"/>
            </w:rPr>
            <w:t>）供应商认为有必要提供的声明及文件资料</w:t>
          </w:r>
          <w:r>
            <w:rPr>
              <w:rFonts w:hint="eastAsia"/>
              <w:lang w:val="en-US" w:eastAsia="zh-CN"/>
            </w:rPr>
            <w:t>.................................................</w:t>
          </w:r>
        </w:p>
        <w:p w14:paraId="0C6C7C63">
          <w:pPr>
            <w:pStyle w:val="31"/>
            <w:tabs>
              <w:tab w:val="right" w:leader="dot" w:pos="8302"/>
              <w:tab w:val="clear" w:pos="8222"/>
            </w:tabs>
          </w:pPr>
          <w:r>
            <w:rPr>
              <w:rFonts w:hint="eastAsia"/>
            </w:rPr>
            <w:t>四、技术文件</w:t>
          </w:r>
        </w:p>
        <w:p w14:paraId="2C3692FB">
          <w:pPr>
            <w:pStyle w:val="22"/>
            <w:tabs>
              <w:tab w:val="right" w:leader="dot" w:pos="8302"/>
            </w:tabs>
            <w:ind w:left="0" w:leftChars="0" w:firstLine="210" w:firstLineChars="100"/>
          </w:pPr>
          <w:r>
            <w:rPr>
              <w:rFonts w:hint="eastAsia"/>
            </w:rPr>
            <w:t>（十</w:t>
          </w:r>
          <w:r>
            <w:rPr>
              <w:rFonts w:hint="eastAsia"/>
              <w:lang w:eastAsia="zh-CN"/>
            </w:rPr>
            <w:t>三</w:t>
          </w:r>
          <w:r>
            <w:rPr>
              <w:rFonts w:hint="eastAsia"/>
            </w:rPr>
            <w:t>）投标人自行编写的技术文件</w:t>
          </w:r>
          <w:r>
            <w:tab/>
          </w:r>
        </w:p>
        <w:p w14:paraId="36803D7F">
          <w:pPr>
            <w:pStyle w:val="31"/>
            <w:tabs>
              <w:tab w:val="right" w:leader="dot" w:pos="8302"/>
              <w:tab w:val="clear" w:pos="8222"/>
            </w:tabs>
          </w:pPr>
          <w:r>
            <w:rPr>
              <w:rFonts w:hint="eastAsia"/>
            </w:rPr>
            <w:t>五、服务文件</w:t>
          </w:r>
          <w:r>
            <w:tab/>
          </w:r>
        </w:p>
        <w:p w14:paraId="3709BD3B">
          <w:pPr>
            <w:widowControl/>
            <w:ind w:firstLine="210" w:firstLineChars="100"/>
            <w:jc w:val="left"/>
            <w:rPr>
              <w:rFonts w:hint="default" w:ascii="Times New Roman" w:hAnsi="Times New Roman" w:cs="Times New Roman"/>
              <w:b/>
              <w:bCs/>
              <w:color w:val="000000" w:themeColor="text1"/>
              <w:lang w:val="zh-CN"/>
              <w14:textFill>
                <w14:solidFill>
                  <w14:schemeClr w14:val="tx1"/>
                </w14:solidFill>
              </w14:textFill>
            </w:rPr>
          </w:pPr>
          <w:r>
            <w:rPr>
              <w:rFonts w:hint="eastAsia"/>
            </w:rPr>
            <w:t>（十</w:t>
          </w:r>
          <w:r>
            <w:rPr>
              <w:rFonts w:hint="eastAsia"/>
              <w:lang w:eastAsia="zh-CN"/>
            </w:rPr>
            <w:t>四</w:t>
          </w:r>
          <w:r>
            <w:rPr>
              <w:rFonts w:hint="eastAsia"/>
            </w:rPr>
            <w:t>）投标人自行编写的服务文件</w:t>
          </w:r>
          <w:r>
            <w:tab/>
          </w:r>
          <w:r>
            <w:rPr>
              <w:rFonts w:hint="default" w:ascii="Times New Roman" w:hAnsi="Times New Roman" w:cs="Times New Roman"/>
              <w:bCs/>
              <w:color w:val="000000" w:themeColor="text1"/>
              <w:lang w:val="zh-CN"/>
              <w14:textFill>
                <w14:solidFill>
                  <w14:schemeClr w14:val="tx1"/>
                </w14:solidFill>
              </w14:textFill>
            </w:rPr>
            <w:fldChar w:fldCharType="end"/>
          </w:r>
        </w:p>
      </w:sdtContent>
    </w:sdt>
    <w:p w14:paraId="443CEF1D">
      <w:pPr>
        <w:widowControl/>
        <w:jc w:val="left"/>
        <w:rPr>
          <w:rFonts w:hint="default" w:ascii="Times New Roman" w:hAnsi="Times New Roman" w:cs="Times New Roman"/>
          <w:b/>
          <w:bCs/>
          <w:color w:val="000000" w:themeColor="text1"/>
          <w:lang w:val="zh-CN"/>
          <w14:textFill>
            <w14:solidFill>
              <w14:schemeClr w14:val="tx1"/>
            </w14:solidFill>
          </w14:textFill>
        </w:rPr>
      </w:pPr>
    </w:p>
    <w:p w14:paraId="2AD0450D">
      <w:pPr>
        <w:widowControl/>
        <w:jc w:val="left"/>
        <w:rPr>
          <w:rFonts w:hint="default" w:ascii="Times New Roman" w:hAnsi="Times New Roman" w:cs="Times New Roman"/>
          <w:b/>
          <w:bCs/>
          <w:color w:val="000000" w:themeColor="text1"/>
          <w:lang w:val="zh-CN"/>
          <w14:textFill>
            <w14:solidFill>
              <w14:schemeClr w14:val="tx1"/>
            </w14:solidFill>
          </w14:textFill>
        </w:rPr>
      </w:pPr>
    </w:p>
    <w:p w14:paraId="3F6B7905">
      <w:pPr>
        <w:widowControl/>
        <w:jc w:val="left"/>
        <w:rPr>
          <w:rFonts w:hint="default" w:ascii="Times New Roman" w:hAnsi="Times New Roman" w:cs="Times New Roman"/>
          <w:b/>
          <w:bCs/>
          <w:color w:val="000000" w:themeColor="text1"/>
          <w:lang w:val="zh-CN"/>
          <w14:textFill>
            <w14:solidFill>
              <w14:schemeClr w14:val="tx1"/>
            </w14:solidFill>
          </w14:textFill>
        </w:rPr>
      </w:pPr>
    </w:p>
    <w:p w14:paraId="6E11438C">
      <w:pPr>
        <w:pStyle w:val="3"/>
        <w:pageBreakBefore w:val="0"/>
        <w:widowControl w:val="0"/>
        <w:numPr>
          <w:ilvl w:val="0"/>
          <w:numId w:val="1"/>
        </w:numPr>
        <w:kinsoku/>
        <w:wordWrap/>
        <w:overflowPunct/>
        <w:topLinePunct w:val="0"/>
        <w:autoSpaceDE/>
        <w:autoSpaceDN/>
        <w:bidi w:val="0"/>
        <w:adjustRightInd/>
        <w:snapToGrid/>
        <w:spacing w:before="0" w:after="0" w:line="560" w:lineRule="atLeast"/>
        <w:textAlignment w:val="auto"/>
        <w:rPr>
          <w:rFonts w:hint="eastAsia" w:ascii="仿宋_GB2312" w:hAnsi="仿宋_GB2312" w:eastAsia="仿宋_GB2312" w:cs="仿宋_GB2312"/>
          <w:b/>
          <w:bCs w:val="0"/>
          <w:color w:val="000000" w:themeColor="text1"/>
          <w:sz w:val="36"/>
          <w:szCs w:val="36"/>
          <w14:textFill>
            <w14:solidFill>
              <w14:schemeClr w14:val="tx1"/>
            </w14:solidFill>
          </w14:textFill>
        </w:rPr>
      </w:pPr>
      <w:bookmarkStart w:id="0" w:name="_Toc456718475"/>
      <w:bookmarkStart w:id="1" w:name="_Toc7886"/>
      <w:bookmarkStart w:id="2" w:name="_Toc456718476"/>
      <w:r>
        <w:rPr>
          <w:rFonts w:hint="eastAsia" w:ascii="仿宋_GB2312" w:hAnsi="仿宋_GB2312" w:eastAsia="仿宋_GB2312" w:cs="仿宋_GB2312"/>
          <w:b/>
          <w:bCs w:val="0"/>
          <w:color w:val="000000" w:themeColor="text1"/>
          <w:sz w:val="36"/>
          <w:szCs w:val="36"/>
          <w14:textFill>
            <w14:solidFill>
              <w14:schemeClr w14:val="tx1"/>
            </w14:solidFill>
          </w14:textFill>
        </w:rPr>
        <w:t>竞争性磋商</w:t>
      </w:r>
      <w:bookmarkEnd w:id="0"/>
      <w:bookmarkEnd w:id="1"/>
      <w:r>
        <w:rPr>
          <w:rFonts w:hint="eastAsia" w:ascii="仿宋_GB2312" w:hAnsi="仿宋_GB2312" w:eastAsia="仿宋_GB2312" w:cs="仿宋_GB2312"/>
          <w:b/>
          <w:bCs w:val="0"/>
          <w:color w:val="000000" w:themeColor="text1"/>
          <w:sz w:val="36"/>
          <w:szCs w:val="36"/>
          <w14:textFill>
            <w14:solidFill>
              <w14:schemeClr w14:val="tx1"/>
            </w14:solidFill>
          </w14:textFill>
        </w:rPr>
        <w:t>公告</w:t>
      </w:r>
    </w:p>
    <w:p w14:paraId="01839CB7">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项目概况</w:t>
      </w:r>
    </w:p>
    <w:p w14:paraId="199AC484">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伊犁哈萨克自治州阿勒泰地区应急管理局-阿勒泰地区安全技术服务支撑年度执法检查（专家查隐患）项目（二次 ）</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的潜在投标人应在</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新疆政府采购网</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获取招标文件，并于</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2026年5月15日10点30分（北京时间）</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前提交响应文件</w:t>
      </w:r>
      <w:r>
        <w:rPr>
          <w:rFonts w:hint="eastAsia" w:ascii="仿宋_GB2312" w:hAnsi="仿宋_GB2312" w:eastAsia="仿宋_GB2312" w:cs="仿宋_GB2312"/>
          <w:color w:val="000000" w:themeColor="text1"/>
          <w:sz w:val="32"/>
          <w:szCs w:val="32"/>
          <w:u w:val="none"/>
          <w14:textFill>
            <w14:solidFill>
              <w14:schemeClr w14:val="tx1"/>
            </w14:solidFill>
          </w14:textFill>
        </w:rPr>
        <w:t>。</w:t>
      </w:r>
    </w:p>
    <w:p w14:paraId="65A1BD9B">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14:paraId="78FD6094">
      <w:pPr>
        <w:pStyle w:val="4"/>
        <w:keepNext w:val="0"/>
        <w:keepLines w:val="0"/>
        <w:pageBreakBefore w:val="0"/>
        <w:widowControl w:val="0"/>
        <w:numPr>
          <w:ilvl w:val="0"/>
          <w:numId w:val="2"/>
        </w:numPr>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b w:val="0"/>
          <w:color w:val="000000" w:themeColor="text1"/>
          <w:sz w:val="32"/>
          <w:szCs w:val="32"/>
          <w14:textFill>
            <w14:solidFill>
              <w14:schemeClr w14:val="tx1"/>
            </w14:solidFill>
          </w14:textFill>
        </w:rPr>
      </w:pPr>
      <w:bookmarkStart w:id="3" w:name="_Toc28359012"/>
      <w:bookmarkStart w:id="4" w:name="_Toc28359089"/>
      <w:bookmarkStart w:id="5" w:name="_Toc35393629"/>
      <w:bookmarkStart w:id="6" w:name="_Toc35393798"/>
      <w:r>
        <w:rPr>
          <w:rFonts w:hint="eastAsia" w:ascii="仿宋_GB2312" w:hAnsi="仿宋_GB2312" w:eastAsia="仿宋_GB2312" w:cs="仿宋_GB2312"/>
          <w:b w:val="0"/>
          <w:color w:val="000000" w:themeColor="text1"/>
          <w:sz w:val="32"/>
          <w:szCs w:val="32"/>
          <w14:textFill>
            <w14:solidFill>
              <w14:schemeClr w14:val="tx1"/>
            </w14:solidFill>
          </w14:textFill>
        </w:rPr>
        <w:t>项目基本情况</w:t>
      </w:r>
      <w:bookmarkEnd w:id="3"/>
      <w:bookmarkEnd w:id="4"/>
      <w:bookmarkEnd w:id="5"/>
      <w:bookmarkEnd w:id="6"/>
    </w:p>
    <w:p w14:paraId="5FC02923">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jc w:val="left"/>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项目编号：ADCG-JZ(20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26</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p>
    <w:p w14:paraId="53C7C160">
      <w:pPr>
        <w:pStyle w:val="20"/>
        <w:keepNext w:val="0"/>
        <w:keepLines w:val="0"/>
        <w:pageBreakBefore w:val="0"/>
        <w:widowControl w:val="0"/>
        <w:kinsoku/>
        <w:wordWrap/>
        <w:overflowPunct/>
        <w:topLinePunct w:val="0"/>
        <w:autoSpaceDE/>
        <w:autoSpaceDN/>
        <w:bidi w:val="0"/>
        <w:adjustRightInd/>
        <w:snapToGrid/>
        <w:spacing w:line="560" w:lineRule="atLeast"/>
        <w:ind w:left="0" w:leftChars="0" w:firstLine="640" w:firstLineChars="200"/>
        <w:jc w:val="both"/>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项目名称：</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伊犁哈萨克自治州阿勒泰地区应急管理局-阿勒泰地区安全技术服务支撑年度执法检查（专家查隐患）项目</w:t>
      </w:r>
      <w:r>
        <w:rPr>
          <w:rFonts w:hint="eastAsia" w:hAnsi="仿宋_GB2312" w:cs="仿宋_GB2312"/>
          <w:color w:val="000000" w:themeColor="text1"/>
          <w:sz w:val="32"/>
          <w:szCs w:val="32"/>
          <w:u w:val="none"/>
          <w:lang w:val="en-US" w:eastAsia="zh-CN"/>
          <w14:textFill>
            <w14:solidFill>
              <w14:schemeClr w14:val="tx1"/>
            </w14:solidFill>
          </w14:textFill>
        </w:rPr>
        <w:t>（二次）</w:t>
      </w:r>
    </w:p>
    <w:p w14:paraId="1C07E071">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采购方式：</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 xml:space="preserve">竞争性谈判 </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竞争性磋商 □询价</w:t>
      </w:r>
    </w:p>
    <w:p w14:paraId="09A95010">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预算金额：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838420</w:t>
      </w:r>
      <w:r>
        <w:rPr>
          <w:rFonts w:hint="eastAsia" w:ascii="仿宋_GB2312" w:hAnsi="仿宋_GB2312" w:eastAsia="仿宋_GB2312" w:cs="仿宋_GB2312"/>
          <w:color w:val="000000" w:themeColor="text1"/>
          <w:sz w:val="32"/>
          <w:szCs w:val="32"/>
          <w14:textFill>
            <w14:solidFill>
              <w14:schemeClr w14:val="tx1"/>
            </w14:solidFill>
          </w14:textFill>
        </w:rPr>
        <w:t>元</w:t>
      </w:r>
    </w:p>
    <w:p w14:paraId="546CECFD">
      <w:pPr>
        <w:pStyle w:val="20"/>
        <w:keepNext w:val="0"/>
        <w:keepLines w:val="0"/>
        <w:pageBreakBefore w:val="0"/>
        <w:widowControl w:val="0"/>
        <w:kinsoku/>
        <w:wordWrap/>
        <w:overflowPunct/>
        <w:topLinePunct w:val="0"/>
        <w:autoSpaceDE/>
        <w:autoSpaceDN/>
        <w:bidi w:val="0"/>
        <w:adjustRightInd/>
        <w:snapToGrid/>
        <w:spacing w:line="560" w:lineRule="atLeast"/>
        <w:ind w:left="0" w:leftChars="0" w:firstLine="640" w:firstLineChars="200"/>
        <w:jc w:val="both"/>
        <w:textAlignment w:val="auto"/>
        <w:rPr>
          <w:rFonts w:hint="eastAsia" w:ascii="仿宋_GB2312" w:hAnsi="仿宋_GB2312" w:eastAsia="仿宋_GB2312" w:cs="仿宋_GB2312"/>
          <w:color w:val="000000" w:themeColor="text1"/>
          <w:sz w:val="32"/>
          <w:szCs w:val="32"/>
          <w:highlight w:val="yellow"/>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采购需求：</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阿勒泰地区安全技术服务支撑年度执法检查（专家查隐患）项目</w:t>
      </w:r>
      <w:r>
        <w:rPr>
          <w:rFonts w:hint="eastAsia" w:hAnsi="仿宋_GB2312" w:cs="仿宋_GB2312"/>
          <w:color w:val="000000" w:themeColor="text1"/>
          <w:sz w:val="32"/>
          <w:szCs w:val="32"/>
          <w:u w:val="none"/>
          <w:lang w:val="en-US" w:eastAsia="zh-CN"/>
          <w14:textFill>
            <w14:solidFill>
              <w14:schemeClr w14:val="tx1"/>
            </w14:solidFill>
          </w14:textFill>
        </w:rPr>
        <w:t>（二次）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具体详见磋商文件）</w:t>
      </w:r>
    </w:p>
    <w:p w14:paraId="4955297A">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atLeast"/>
        <w:ind w:leftChars="0" w:firstLine="640" w:firstLineChars="200"/>
        <w:jc w:val="both"/>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服务期：一年</w:t>
      </w:r>
    </w:p>
    <w:p w14:paraId="661A638D">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本项目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不</w:t>
      </w:r>
      <w:r>
        <w:rPr>
          <w:rFonts w:hint="eastAsia" w:ascii="仿宋_GB2312" w:hAnsi="仿宋_GB2312" w:eastAsia="仿宋_GB2312" w:cs="仿宋_GB2312"/>
          <w:color w:val="000000" w:themeColor="text1"/>
          <w:sz w:val="32"/>
          <w:szCs w:val="32"/>
          <w14:textFill>
            <w14:solidFill>
              <w14:schemeClr w14:val="tx1"/>
            </w14:solidFill>
          </w14:textFill>
        </w:rPr>
        <w:t>接受联合体。</w:t>
      </w:r>
      <w:bookmarkStart w:id="7" w:name="_Toc28359013"/>
      <w:bookmarkStart w:id="8" w:name="_Toc35393799"/>
      <w:bookmarkStart w:id="9" w:name="_Toc28359090"/>
      <w:bookmarkStart w:id="10" w:name="_Toc35393630"/>
    </w:p>
    <w:p w14:paraId="531D30D1">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b w:val="0"/>
          <w:color w:val="000000" w:themeColor="text1"/>
          <w:sz w:val="32"/>
          <w:szCs w:val="32"/>
          <w14:textFill>
            <w14:solidFill>
              <w14:schemeClr w14:val="tx1"/>
            </w14:solidFill>
          </w14:textFill>
        </w:rPr>
      </w:pPr>
      <w:r>
        <w:rPr>
          <w:rFonts w:hint="eastAsia" w:ascii="仿宋_GB2312" w:hAnsi="仿宋_GB2312" w:eastAsia="仿宋_GB2312" w:cs="仿宋_GB2312"/>
          <w:b w:val="0"/>
          <w:color w:val="000000" w:themeColor="text1"/>
          <w:sz w:val="32"/>
          <w:szCs w:val="32"/>
          <w14:textFill>
            <w14:solidFill>
              <w14:schemeClr w14:val="tx1"/>
            </w14:solidFill>
          </w14:textFill>
        </w:rPr>
        <w:t>二、申请人的资格要求：</w:t>
      </w:r>
      <w:bookmarkEnd w:id="7"/>
      <w:bookmarkEnd w:id="8"/>
      <w:bookmarkEnd w:id="9"/>
      <w:bookmarkEnd w:id="10"/>
    </w:p>
    <w:p w14:paraId="7BFB0DE2">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1.满足《中华人民共和国政府采购法》第二十二条规定；</w:t>
      </w:r>
    </w:p>
    <w:p w14:paraId="4D256A9A">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bookmarkStart w:id="11" w:name="_Toc28359091"/>
      <w:bookmarkStart w:id="12" w:name="_Toc28359014"/>
      <w:r>
        <w:rPr>
          <w:rFonts w:hint="eastAsia" w:ascii="仿宋_GB2312" w:hAnsi="仿宋_GB2312" w:eastAsia="仿宋_GB2312" w:cs="仿宋_GB2312"/>
          <w:color w:val="000000" w:themeColor="text1"/>
          <w:sz w:val="32"/>
          <w:szCs w:val="32"/>
          <w14:textFill>
            <w14:solidFill>
              <w14:schemeClr w14:val="tx1"/>
            </w14:solidFill>
          </w14:textFill>
        </w:rPr>
        <w:t>2.落实政府采购政策需满足的资格要求：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无</w:t>
      </w:r>
    </w:p>
    <w:p w14:paraId="6F08775C">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3.本项目的特定资格要求：</w:t>
      </w:r>
      <w:bookmarkStart w:id="13" w:name="_Toc35393800"/>
      <w:bookmarkStart w:id="14" w:name="_Toc35393631"/>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无</w:t>
      </w:r>
    </w:p>
    <w:p w14:paraId="19EDCBEA">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通过“信用中国”网站（www.creditchina.gov.cn）、“中国政府采购网"(www.ccgp.gov.cn)查询供应商在投标截止时间前的信用记录，通过以上查询渠道，供应商被列入失信被执行人、重大税收违法失信主体、政府采购严重失信行为记录的供应商不得参加本次招标活动。（提供网页截图）</w:t>
      </w:r>
    </w:p>
    <w:p w14:paraId="5C6CB882">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b w:val="0"/>
          <w:color w:val="000000" w:themeColor="text1"/>
          <w:sz w:val="32"/>
          <w:szCs w:val="32"/>
          <w14:textFill>
            <w14:solidFill>
              <w14:schemeClr w14:val="tx1"/>
            </w14:solidFill>
          </w14:textFill>
        </w:rPr>
      </w:pPr>
      <w:r>
        <w:rPr>
          <w:rFonts w:hint="eastAsia" w:ascii="仿宋_GB2312" w:hAnsi="仿宋_GB2312" w:eastAsia="仿宋_GB2312" w:cs="仿宋_GB2312"/>
          <w:b w:val="0"/>
          <w:color w:val="000000" w:themeColor="text1"/>
          <w:sz w:val="32"/>
          <w:szCs w:val="32"/>
          <w14:textFill>
            <w14:solidFill>
              <w14:schemeClr w14:val="tx1"/>
            </w14:solidFill>
          </w14:textFill>
        </w:rPr>
        <w:t>三、获取采购文件</w:t>
      </w:r>
      <w:bookmarkEnd w:id="11"/>
      <w:bookmarkEnd w:id="12"/>
      <w:bookmarkEnd w:id="13"/>
      <w:bookmarkEnd w:id="14"/>
    </w:p>
    <w:p w14:paraId="3D8646FE">
      <w:pPr>
        <w:keepNext w:val="0"/>
        <w:keepLines w:val="0"/>
        <w:pageBreakBefore w:val="0"/>
        <w:widowControl w:val="0"/>
        <w:kinsoku/>
        <w:wordWrap/>
        <w:overflowPunct/>
        <w:topLinePunct w:val="0"/>
        <w:autoSpaceDE/>
        <w:autoSpaceDN/>
        <w:bidi w:val="0"/>
        <w:adjustRightInd/>
        <w:snapToGrid/>
        <w:spacing w:line="560" w:lineRule="atLeast"/>
        <w:ind w:firstLine="54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时间：</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2026</w:t>
      </w:r>
      <w:r>
        <w:rPr>
          <w:rFonts w:hint="eastAsia" w:ascii="仿宋_GB2312" w:hAnsi="仿宋_GB2312" w:eastAsia="仿宋_GB2312" w:cs="仿宋_GB2312"/>
          <w:color w:val="000000" w:themeColor="text1"/>
          <w:sz w:val="32"/>
          <w:szCs w:val="32"/>
          <w:u w:val="none"/>
          <w14:textFill>
            <w14:solidFill>
              <w14:schemeClr w14:val="tx1"/>
            </w14:solidFill>
          </w14:textFill>
        </w:rPr>
        <w:t>年</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u w:val="none"/>
          <w14:textFill>
            <w14:solidFill>
              <w14:schemeClr w14:val="tx1"/>
            </w14:solidFill>
          </w14:textFill>
        </w:rPr>
        <w:t>月</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30</w:t>
      </w:r>
      <w:r>
        <w:rPr>
          <w:rFonts w:hint="eastAsia" w:ascii="仿宋_GB2312" w:hAnsi="仿宋_GB2312" w:eastAsia="仿宋_GB2312" w:cs="仿宋_GB2312"/>
          <w:color w:val="000000" w:themeColor="text1"/>
          <w:sz w:val="32"/>
          <w:szCs w:val="32"/>
          <w:u w:val="none"/>
          <w14:textFill>
            <w14:solidFill>
              <w14:schemeClr w14:val="tx1"/>
            </w14:solidFill>
          </w14:textFill>
        </w:rPr>
        <w:t>日至</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2026</w:t>
      </w:r>
      <w:r>
        <w:rPr>
          <w:rFonts w:hint="eastAsia" w:ascii="仿宋_GB2312" w:hAnsi="仿宋_GB2312" w:eastAsia="仿宋_GB2312" w:cs="仿宋_GB2312"/>
          <w:color w:val="000000" w:themeColor="text1"/>
          <w:sz w:val="32"/>
          <w:szCs w:val="32"/>
          <w:u w:val="none"/>
          <w14:textFill>
            <w14:solidFill>
              <w14:schemeClr w14:val="tx1"/>
            </w14:solidFill>
          </w14:textFill>
        </w:rPr>
        <w:t>年</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u w:val="none"/>
          <w14:textFill>
            <w14:solidFill>
              <w14:schemeClr w14:val="tx1"/>
            </w14:solidFill>
          </w14:textFill>
        </w:rPr>
        <w:t>月</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u w:val="none"/>
          <w14:textFill>
            <w14:solidFill>
              <w14:schemeClr w14:val="tx1"/>
            </w14:solidFill>
          </w14:textFill>
        </w:rPr>
        <w:t>日</w:t>
      </w:r>
    </w:p>
    <w:p w14:paraId="30FEDD5A">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bookmarkStart w:id="15" w:name="_Toc35393632"/>
      <w:bookmarkStart w:id="16" w:name="_Toc28359092"/>
      <w:bookmarkStart w:id="17" w:name="_Toc35393801"/>
      <w:bookmarkStart w:id="18" w:name="_Toc28359015"/>
      <w:r>
        <w:rPr>
          <w:rFonts w:hint="eastAsia" w:ascii="仿宋_GB2312" w:hAnsi="仿宋_GB2312" w:eastAsia="仿宋_GB2312" w:cs="仿宋_GB2312"/>
          <w:color w:val="000000" w:themeColor="text1"/>
          <w:sz w:val="32"/>
          <w:szCs w:val="32"/>
          <w14:textFill>
            <w14:solidFill>
              <w14:schemeClr w14:val="tx1"/>
            </w14:solidFill>
          </w14:textFill>
        </w:rPr>
        <w:t>地点：供应商登陆政采云平台http://www.zcygov.cn/在线申请获取招标文件（登录政府采购云平台→项目采购→获取招标文件→申请，审核通过后可下载招标文件，如有操作性问题，可与政采云在线客服进行咨询，咨询电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95763</w:t>
      </w:r>
      <w:r>
        <w:rPr>
          <w:rFonts w:hint="eastAsia" w:ascii="仿宋_GB2312" w:hAnsi="仿宋_GB2312" w:eastAsia="仿宋_GB2312" w:cs="仿宋_GB2312"/>
          <w:color w:val="000000" w:themeColor="text1"/>
          <w:sz w:val="32"/>
          <w:szCs w:val="32"/>
          <w14:textFill>
            <w14:solidFill>
              <w14:schemeClr w14:val="tx1"/>
            </w14:solidFill>
          </w14:textFill>
        </w:rPr>
        <w:t>）</w:t>
      </w:r>
    </w:p>
    <w:p w14:paraId="4EA2DA51">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b w:val="0"/>
          <w:color w:val="000000" w:themeColor="text1"/>
          <w:sz w:val="32"/>
          <w:szCs w:val="32"/>
          <w14:textFill>
            <w14:solidFill>
              <w14:schemeClr w14:val="tx1"/>
            </w14:solidFill>
          </w14:textFill>
        </w:rPr>
      </w:pPr>
      <w:r>
        <w:rPr>
          <w:rFonts w:hint="eastAsia" w:ascii="仿宋_GB2312" w:hAnsi="仿宋_GB2312" w:eastAsia="仿宋_GB2312" w:cs="仿宋_GB2312"/>
          <w:b w:val="0"/>
          <w:color w:val="000000" w:themeColor="text1"/>
          <w:sz w:val="32"/>
          <w:szCs w:val="32"/>
          <w14:textFill>
            <w14:solidFill>
              <w14:schemeClr w14:val="tx1"/>
            </w14:solidFill>
          </w14:textFill>
        </w:rPr>
        <w:t>四、响应文件提交</w:t>
      </w:r>
      <w:bookmarkEnd w:id="15"/>
      <w:bookmarkEnd w:id="16"/>
      <w:bookmarkEnd w:id="17"/>
      <w:bookmarkEnd w:id="18"/>
    </w:p>
    <w:p w14:paraId="1AB97783">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截止时间：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2026</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30</w:t>
      </w:r>
      <w:r>
        <w:rPr>
          <w:rFonts w:hint="eastAsia" w:ascii="仿宋_GB2312" w:hAnsi="仿宋_GB2312" w:eastAsia="仿宋_GB2312" w:cs="仿宋_GB2312"/>
          <w:color w:val="000000" w:themeColor="text1"/>
          <w:sz w:val="32"/>
          <w:szCs w:val="32"/>
          <w14:textFill>
            <w14:solidFill>
              <w14:schemeClr w14:val="tx1"/>
            </w14:solidFill>
          </w14:textFill>
        </w:rPr>
        <w:t>分（北京时间）</w:t>
      </w:r>
    </w:p>
    <w:p w14:paraId="11C5A2A0">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地点：</w:t>
      </w:r>
      <w:bookmarkStart w:id="19" w:name="_Toc35393633"/>
      <w:bookmarkStart w:id="20" w:name="_Toc35393802"/>
      <w:bookmarkStart w:id="21" w:name="_Toc28359016"/>
      <w:bookmarkStart w:id="22" w:name="_Toc28359093"/>
      <w:r>
        <w:rPr>
          <w:rFonts w:hint="eastAsia" w:ascii="仿宋_GB2312" w:hAnsi="仿宋_GB2312" w:eastAsia="仿宋_GB2312" w:cs="仿宋_GB2312"/>
          <w:color w:val="000000" w:themeColor="text1"/>
          <w:sz w:val="32"/>
          <w:szCs w:val="32"/>
          <w14:textFill>
            <w14:solidFill>
              <w14:schemeClr w14:val="tx1"/>
            </w14:solidFill>
          </w14:textFill>
        </w:rPr>
        <w:t>供应商在政采云平台https://www.zcygov.cn/不见面开标大厅远程参加开标活动</w:t>
      </w:r>
    </w:p>
    <w:p w14:paraId="5F06F819">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五、开启（竞争性磋商方式必须填写）</w:t>
      </w:r>
      <w:bookmarkEnd w:id="19"/>
      <w:bookmarkEnd w:id="20"/>
      <w:bookmarkEnd w:id="21"/>
      <w:bookmarkEnd w:id="22"/>
    </w:p>
    <w:p w14:paraId="2BD0779E">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时间：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2026</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30</w:t>
      </w:r>
      <w:r>
        <w:rPr>
          <w:rFonts w:hint="eastAsia" w:ascii="仿宋_GB2312" w:hAnsi="仿宋_GB2312" w:eastAsia="仿宋_GB2312" w:cs="仿宋_GB2312"/>
          <w:color w:val="000000" w:themeColor="text1"/>
          <w:sz w:val="32"/>
          <w:szCs w:val="32"/>
          <w14:textFill>
            <w14:solidFill>
              <w14:schemeClr w14:val="tx1"/>
            </w14:solidFill>
          </w14:textFill>
        </w:rPr>
        <w:t>分（北京时间）</w:t>
      </w:r>
    </w:p>
    <w:p w14:paraId="74CBF56E">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地点：</w:t>
      </w:r>
      <w:bookmarkStart w:id="23" w:name="_Toc35393803"/>
      <w:bookmarkStart w:id="24" w:name="_Toc28359017"/>
      <w:bookmarkStart w:id="25" w:name="_Toc35393634"/>
      <w:bookmarkStart w:id="26" w:name="_Toc28359094"/>
      <w:r>
        <w:rPr>
          <w:rFonts w:hint="eastAsia" w:ascii="仿宋_GB2312" w:hAnsi="仿宋_GB2312" w:eastAsia="仿宋_GB2312" w:cs="仿宋_GB2312"/>
          <w:color w:val="000000" w:themeColor="text1"/>
          <w:sz w:val="32"/>
          <w:szCs w:val="32"/>
          <w14:textFill>
            <w14:solidFill>
              <w14:schemeClr w14:val="tx1"/>
            </w14:solidFill>
          </w14:textFill>
        </w:rPr>
        <w:t>政采云平台https://www.zcygov.cn/不见面开标大厅</w:t>
      </w:r>
    </w:p>
    <w:p w14:paraId="614554F6">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六、公告期限</w:t>
      </w:r>
      <w:bookmarkEnd w:id="23"/>
      <w:bookmarkEnd w:id="24"/>
      <w:bookmarkEnd w:id="25"/>
      <w:bookmarkEnd w:id="26"/>
    </w:p>
    <w:p w14:paraId="19F103C4">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自本公告发布之日起3个工作日。</w:t>
      </w:r>
      <w:bookmarkStart w:id="27" w:name="_Toc35393635"/>
      <w:bookmarkStart w:id="28" w:name="_Toc35393804"/>
    </w:p>
    <w:p w14:paraId="4B01432E">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7C2A4914">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七、其他补充事宜</w:t>
      </w:r>
      <w:bookmarkEnd w:id="27"/>
      <w:bookmarkEnd w:id="28"/>
    </w:p>
    <w:p w14:paraId="6D392552">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bookmarkStart w:id="29" w:name="_Toc28359018"/>
      <w:bookmarkStart w:id="30" w:name="_Toc35393636"/>
      <w:bookmarkStart w:id="31" w:name="_Toc28359095"/>
      <w:bookmarkStart w:id="32" w:name="_Toc35393805"/>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1、政府采购相关政策执行：按照财政部财库[2020]46号、[2014]68号、[2017]161号、[2019]19号等文件要求。</w:t>
      </w:r>
    </w:p>
    <w:p w14:paraId="40487B5C">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本项目相关信息在“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新疆</w:t>
      </w:r>
      <w:r>
        <w:rPr>
          <w:rFonts w:hint="eastAsia" w:ascii="仿宋_GB2312" w:hAnsi="仿宋_GB2312" w:eastAsia="仿宋_GB2312" w:cs="仿宋_GB2312"/>
          <w:color w:val="000000" w:themeColor="text1"/>
          <w:sz w:val="32"/>
          <w:szCs w:val="32"/>
          <w14:textFill>
            <w14:solidFill>
              <w14:schemeClr w14:val="tx1"/>
            </w14:solidFill>
          </w14:textFill>
        </w:rPr>
        <w:t xml:space="preserve">政府采购网”媒体上发布。 </w:t>
      </w:r>
    </w:p>
    <w:p w14:paraId="5F157CA2">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、请各供应商随时关注本项目的变更、答疑、澄清文件。</w:t>
      </w:r>
    </w:p>
    <w:p w14:paraId="39B9A057">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、本项目实行电子招投标，供应商须登录政采云平台申请获取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征集</w:t>
      </w:r>
      <w:r>
        <w:rPr>
          <w:rFonts w:hint="eastAsia" w:ascii="仿宋_GB2312" w:hAnsi="仿宋_GB2312" w:eastAsia="仿宋_GB2312" w:cs="仿宋_GB2312"/>
          <w:color w:val="000000" w:themeColor="text1"/>
          <w:sz w:val="32"/>
          <w:szCs w:val="32"/>
          <w14:textFill>
            <w14:solidFill>
              <w14:schemeClr w14:val="tx1"/>
            </w14:solidFill>
          </w14:textFill>
        </w:rPr>
        <w:t>文件，并通过政采云电子投标客户端制作响应文件，同时自行承担与投标有关的一切费用。</w:t>
      </w:r>
    </w:p>
    <w:p w14:paraId="02D7800D">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、各供应商应在开标前确保成为新疆维吾尔自治区政府采购网正式注册入库供应商，并完成CA数字证书申领。因未注册入库、未办理CA数字证书等原因造成无法投标或投标失败等后果由供应商自行承担。</w:t>
      </w:r>
    </w:p>
    <w:p w14:paraId="2C5F9590">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供应商可前往新疆政府采购网</w:t>
      </w:r>
    </w:p>
    <w:p w14:paraId="17782186">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http://www.ccgp-xinjiang.gov.cn/）下载专区，下载政采云电子投标客户端，安装完成后，可通过账号密码或CA登录客户端进行响应文件制作。在使用政采云电子投标客户端时，建议使用WIN7及以上操作系统。如有问题可拨打政采云客户服务热线进行咨询。</w:t>
      </w:r>
    </w:p>
    <w:p w14:paraId="04471080">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、本项目采用不见面开标，供应商须在投标截止时间前通过CA在政采云平台上传加密的电子响应文件。</w:t>
      </w:r>
    </w:p>
    <w:p w14:paraId="29A088DE">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14:paraId="3EAF1911">
      <w:pPr>
        <w:pStyle w:val="3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atLeast"/>
        <w:ind w:right="0" w:firstLine="640" w:firstLineChars="200"/>
        <w:jc w:val="left"/>
        <w:textAlignment w:val="auto"/>
        <w:rPr>
          <w:rFonts w:hint="eastAsia" w:ascii="仿宋_GB2312" w:hAnsi="仿宋_GB2312" w:eastAsia="仿宋_GB2312" w:cs="仿宋_GB2312"/>
          <w:b w:val="0"/>
          <w:color w:val="000000" w:themeColor="text1"/>
          <w:sz w:val="32"/>
          <w:szCs w:val="32"/>
          <w14:textFill>
            <w14:solidFill>
              <w14:schemeClr w14:val="tx1"/>
            </w14:solidFill>
          </w14:textFill>
        </w:rPr>
      </w:pPr>
      <w:r>
        <w:rPr>
          <w:rFonts w:hint="eastAsia" w:ascii="仿宋_GB2312" w:hAnsi="仿宋_GB2312" w:eastAsia="仿宋_GB2312" w:cs="仿宋_GB2312"/>
          <w:b w:val="0"/>
          <w:color w:val="000000" w:themeColor="text1"/>
          <w:sz w:val="32"/>
          <w:szCs w:val="32"/>
          <w14:textFill>
            <w14:solidFill>
              <w14:schemeClr w14:val="tx1"/>
            </w14:solidFill>
          </w14:textFill>
        </w:rPr>
        <w:t>八、凡对本次采购提出询问，请按以下方式联系。</w:t>
      </w:r>
      <w:bookmarkEnd w:id="29"/>
      <w:bookmarkEnd w:id="30"/>
      <w:bookmarkEnd w:id="31"/>
      <w:bookmarkEnd w:id="32"/>
    </w:p>
    <w:p w14:paraId="13297598">
      <w:pPr>
        <w:pStyle w:val="4"/>
        <w:keepNext w:val="0"/>
        <w:keepLines w:val="0"/>
        <w:pageBreakBefore w:val="0"/>
        <w:kinsoku/>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b w:val="0"/>
          <w:color w:val="000000" w:themeColor="text1"/>
          <w:sz w:val="32"/>
          <w:szCs w:val="32"/>
          <w14:textFill>
            <w14:solidFill>
              <w14:schemeClr w14:val="tx1"/>
            </w14:solidFill>
          </w14:textFill>
        </w:rPr>
      </w:pPr>
      <w:bookmarkStart w:id="33" w:name="_Toc35393806"/>
      <w:bookmarkStart w:id="34" w:name="_Toc28359019"/>
      <w:bookmarkStart w:id="35" w:name="_Toc35393637"/>
      <w:bookmarkStart w:id="36" w:name="_Toc28359096"/>
      <w:r>
        <w:rPr>
          <w:rFonts w:hint="eastAsia" w:ascii="仿宋_GB2312" w:hAnsi="仿宋_GB2312" w:eastAsia="仿宋_GB2312" w:cs="仿宋_GB2312"/>
          <w:b w:val="0"/>
          <w:color w:val="000000" w:themeColor="text1"/>
          <w:sz w:val="32"/>
          <w:szCs w:val="32"/>
          <w14:textFill>
            <w14:solidFill>
              <w14:schemeClr w14:val="tx1"/>
            </w14:solidFill>
          </w14:textFill>
        </w:rPr>
        <w:t>1.采购人信息</w:t>
      </w:r>
      <w:bookmarkEnd w:id="33"/>
      <w:bookmarkEnd w:id="34"/>
      <w:bookmarkEnd w:id="35"/>
      <w:bookmarkEnd w:id="36"/>
      <w:bookmarkStart w:id="37" w:name="_Toc28359097"/>
      <w:bookmarkStart w:id="38" w:name="_Toc35393807"/>
      <w:bookmarkStart w:id="39" w:name="_Toc28359020"/>
      <w:bookmarkStart w:id="40" w:name="_Toc35393638"/>
    </w:p>
    <w:p w14:paraId="7F89CE27">
      <w:pPr>
        <w:pStyle w:val="4"/>
        <w:keepNext w:val="0"/>
        <w:keepLines w:val="0"/>
        <w:pageBreakBefore w:val="0"/>
        <w:kinsoku/>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名 称</w:t>
      </w:r>
      <w:r>
        <w:rPr>
          <w:rFonts w:hint="eastAsia" w:ascii="仿宋_GB2312" w:hAnsi="仿宋_GB2312" w:eastAsia="仿宋_GB2312" w:cs="仿宋_GB2312"/>
          <w:color w:val="000000" w:themeColor="text1"/>
          <w:sz w:val="32"/>
          <w:szCs w:val="32"/>
          <w:u w:val="none"/>
          <w14:textFill>
            <w14:solidFill>
              <w14:schemeClr w14:val="tx1"/>
            </w14:solidFill>
          </w14:textFill>
        </w:rPr>
        <w:t>：</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伊犁哈萨克自治州阿勒泰地区应急管理局</w:t>
      </w:r>
    </w:p>
    <w:p w14:paraId="02D4178A">
      <w:pPr>
        <w:pStyle w:val="4"/>
        <w:keepNext w:val="0"/>
        <w:keepLines w:val="0"/>
        <w:pageBreakBefore w:val="0"/>
        <w:kinsoku/>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地</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14:textFill>
            <w14:solidFill>
              <w14:schemeClr w14:val="tx1"/>
            </w14:solidFill>
          </w14:textFill>
        </w:rPr>
        <w:t>址：</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阿勒泰市金山路84号</w:t>
      </w:r>
    </w:p>
    <w:p w14:paraId="67524FAB">
      <w:pPr>
        <w:pStyle w:val="4"/>
        <w:keepNext w:val="0"/>
        <w:keepLines w:val="0"/>
        <w:pageBreakBefore w:val="0"/>
        <w:kinsoku/>
        <w:overflowPunct/>
        <w:topLinePunct w:val="0"/>
        <w:autoSpaceDE/>
        <w:autoSpaceDN/>
        <w:bidi w:val="0"/>
        <w:adjustRightInd/>
        <w:snapToGrid/>
        <w:spacing w:line="560" w:lineRule="atLeast"/>
        <w:ind w:firstLine="640" w:firstLineChars="200"/>
        <w:jc w:val="left"/>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联系方式</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：13899403755</w:t>
      </w:r>
    </w:p>
    <w:p w14:paraId="68773D49">
      <w:pPr>
        <w:pStyle w:val="4"/>
        <w:keepNext w:val="0"/>
        <w:keepLines w:val="0"/>
        <w:pageBreakBefore w:val="0"/>
        <w:widowControl w:val="0"/>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b w:val="0"/>
          <w:color w:val="000000" w:themeColor="text1"/>
          <w:sz w:val="32"/>
          <w:szCs w:val="32"/>
          <w:u w:val="none"/>
          <w14:textFill>
            <w14:solidFill>
              <w14:schemeClr w14:val="tx1"/>
            </w14:solidFill>
          </w14:textFill>
        </w:rPr>
      </w:pPr>
    </w:p>
    <w:p w14:paraId="2C31B9B3">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b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color w:val="000000" w:themeColor="text1"/>
          <w:sz w:val="32"/>
          <w:szCs w:val="32"/>
          <w:u w:val="none"/>
          <w:lang w:val="en-US" w:eastAsia="zh-CN"/>
          <w14:textFill>
            <w14:solidFill>
              <w14:schemeClr w14:val="tx1"/>
            </w14:solidFill>
          </w14:textFill>
        </w:rPr>
        <w:t>2.</w:t>
      </w:r>
      <w:r>
        <w:rPr>
          <w:rFonts w:hint="eastAsia" w:ascii="仿宋_GB2312" w:hAnsi="仿宋_GB2312" w:eastAsia="仿宋_GB2312" w:cs="仿宋_GB2312"/>
          <w:b w:val="0"/>
          <w:color w:val="000000" w:themeColor="text1"/>
          <w:sz w:val="32"/>
          <w:szCs w:val="32"/>
          <w:u w:val="none"/>
          <w14:textFill>
            <w14:solidFill>
              <w14:schemeClr w14:val="tx1"/>
            </w14:solidFill>
          </w14:textFill>
        </w:rPr>
        <w:t>采购代理机构信息</w:t>
      </w:r>
      <w:bookmarkEnd w:id="37"/>
      <w:bookmarkEnd w:id="38"/>
      <w:bookmarkEnd w:id="39"/>
      <w:bookmarkEnd w:id="40"/>
      <w:bookmarkStart w:id="41" w:name="_Toc28359098"/>
      <w:bookmarkStart w:id="42" w:name="_Toc35393808"/>
      <w:bookmarkStart w:id="43" w:name="_Toc35393639"/>
      <w:bookmarkStart w:id="44" w:name="_Toc28359021"/>
    </w:p>
    <w:p w14:paraId="221D60DA">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名 称：阿勒泰地区公共资源交易中心</w:t>
      </w:r>
    </w:p>
    <w:p w14:paraId="62F739BD">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地</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14:textFill>
            <w14:solidFill>
              <w14:schemeClr w14:val="tx1"/>
            </w14:solidFill>
          </w14:textFill>
        </w:rPr>
        <w:t>址：阿勒泰市团结南路211号</w:t>
      </w:r>
    </w:p>
    <w:p w14:paraId="05AFDDC5">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color w:val="000000" w:themeColor="text1"/>
          <w:sz w:val="32"/>
          <w:szCs w:val="32"/>
          <w:u w:val="none"/>
          <w:lang w:val="en-US"/>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联系方式：0906-21</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95300</w:t>
      </w:r>
    </w:p>
    <w:p w14:paraId="314A89BD">
      <w:pPr>
        <w:pStyle w:val="4"/>
        <w:keepNext w:val="0"/>
        <w:keepLines w:val="0"/>
        <w:pageBreakBefore w:val="0"/>
        <w:widowControl w:val="0"/>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b w:val="0"/>
          <w:color w:val="000000" w:themeColor="text1"/>
          <w:sz w:val="32"/>
          <w:szCs w:val="32"/>
          <w:u w:val="none"/>
          <w14:textFill>
            <w14:solidFill>
              <w14:schemeClr w14:val="tx1"/>
            </w14:solidFill>
          </w14:textFill>
        </w:rPr>
      </w:pPr>
    </w:p>
    <w:p w14:paraId="2E2535BB">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b w:val="0"/>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b w:val="0"/>
          <w:color w:val="000000" w:themeColor="text1"/>
          <w:sz w:val="32"/>
          <w:szCs w:val="32"/>
          <w:u w:val="none"/>
          <w:lang w:val="en-US" w:eastAsia="zh-CN"/>
          <w14:textFill>
            <w14:solidFill>
              <w14:schemeClr w14:val="tx1"/>
            </w14:solidFill>
          </w14:textFill>
        </w:rPr>
        <w:t>3.</w:t>
      </w:r>
      <w:r>
        <w:rPr>
          <w:rFonts w:hint="eastAsia" w:ascii="仿宋_GB2312" w:hAnsi="仿宋_GB2312" w:eastAsia="仿宋_GB2312" w:cs="仿宋_GB2312"/>
          <w:b w:val="0"/>
          <w:color w:val="000000" w:themeColor="text1"/>
          <w:sz w:val="32"/>
          <w:szCs w:val="32"/>
          <w:u w:val="none"/>
          <w14:textFill>
            <w14:solidFill>
              <w14:schemeClr w14:val="tx1"/>
            </w14:solidFill>
          </w14:textFill>
        </w:rPr>
        <w:t>项目联系方式</w:t>
      </w:r>
      <w:bookmarkEnd w:id="41"/>
      <w:bookmarkEnd w:id="42"/>
      <w:bookmarkEnd w:id="43"/>
      <w:bookmarkEnd w:id="44"/>
    </w:p>
    <w:p w14:paraId="530666FE">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项目联系人：</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王老师</w:t>
      </w:r>
    </w:p>
    <w:p w14:paraId="0B17452E">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color w:val="000000" w:themeColor="text1"/>
          <w:sz w:val="32"/>
          <w:szCs w:val="32"/>
          <w:u w:val="none"/>
          <w:lang w:val="en-US"/>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电话：0906-21</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95300</w:t>
      </w:r>
    </w:p>
    <w:p w14:paraId="1DCB9EB0">
      <w:pPr>
        <w:keepNext w:val="0"/>
        <w:keepLines w:val="0"/>
        <w:pageBreakBefore w:val="0"/>
        <w:widowControl/>
        <w:kinsoku/>
        <w:overflowPunct/>
        <w:topLinePunct w:val="0"/>
        <w:autoSpaceDE/>
        <w:autoSpaceDN/>
        <w:bidi w:val="0"/>
        <w:adjustRightInd/>
        <w:snapToGrid/>
        <w:spacing w:line="560" w:lineRule="atLeas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sectPr>
          <w:footerReference r:id="rId3" w:type="default"/>
          <w:pgSz w:w="11906" w:h="16838"/>
          <w:pgMar w:top="2098" w:right="1531" w:bottom="1984" w:left="1531" w:header="851" w:footer="992" w:gutter="0"/>
          <w:cols w:space="425" w:num="1"/>
          <w:docGrid w:linePitch="312" w:charSpace="0"/>
        </w:sectPr>
      </w:pPr>
    </w:p>
    <w:p w14:paraId="5BD8DB56">
      <w:pPr>
        <w:pStyle w:val="3"/>
        <w:numPr>
          <w:ilvl w:val="0"/>
          <w:numId w:val="0"/>
        </w:numPr>
        <w:spacing w:before="0" w:after="0" w:line="240" w:lineRule="auto"/>
        <w:jc w:val="center"/>
        <w:rPr>
          <w:rFonts w:hint="default" w:ascii="Times New Roman" w:hAnsi="Times New Roman" w:cs="Times New Roman"/>
          <w:b/>
          <w:bCs w:val="0"/>
          <w:color w:val="000000" w:themeColor="text1"/>
          <w14:textFill>
            <w14:solidFill>
              <w14:schemeClr w14:val="tx1"/>
            </w14:solidFill>
          </w14:textFill>
        </w:rPr>
      </w:pPr>
      <w:bookmarkStart w:id="45" w:name="_Toc20058"/>
      <w:r>
        <w:rPr>
          <w:rFonts w:hint="eastAsia" w:ascii="仿宋_GB2312" w:hAnsi="仿宋_GB2312" w:eastAsia="仿宋_GB2312" w:cs="仿宋_GB2312"/>
          <w:b/>
          <w:bCs w:val="0"/>
          <w:color w:val="000000" w:themeColor="text1"/>
          <w:lang w:val="en-US" w:eastAsia="zh-CN"/>
          <w14:textFill>
            <w14:solidFill>
              <w14:schemeClr w14:val="tx1"/>
            </w14:solidFill>
          </w14:textFill>
        </w:rPr>
        <w:t>第二章</w:t>
      </w:r>
      <w:r>
        <w:rPr>
          <w:rFonts w:hint="eastAsia" w:ascii="仿宋_GB2312" w:hAnsi="仿宋_GB2312" w:eastAsia="仿宋_GB2312" w:cs="仿宋_GB2312"/>
          <w:b/>
          <w:bCs w:val="0"/>
          <w:color w:val="000000" w:themeColor="text1"/>
          <w14:textFill>
            <w14:solidFill>
              <w14:schemeClr w14:val="tx1"/>
            </w14:solidFill>
          </w14:textFill>
        </w:rPr>
        <w:t>供应商须知</w:t>
      </w:r>
      <w:bookmarkEnd w:id="45"/>
    </w:p>
    <w:p w14:paraId="5DDC570D">
      <w:pPr>
        <w:pStyle w:val="3"/>
        <w:spacing w:before="0" w:after="0" w:line="240" w:lineRule="auto"/>
        <w:jc w:val="both"/>
        <w:rPr>
          <w:rFonts w:hint="default" w:ascii="Times New Roman" w:hAnsi="Times New Roman" w:eastAsia="宋体" w:cs="Times New Roman"/>
          <w:color w:val="000000" w:themeColor="text1"/>
          <w:sz w:val="28"/>
          <w:szCs w:val="28"/>
          <w14:textFill>
            <w14:solidFill>
              <w14:schemeClr w14:val="tx1"/>
            </w14:solidFill>
          </w14:textFill>
        </w:rPr>
      </w:pPr>
      <w:bookmarkStart w:id="46" w:name="_Toc21720"/>
    </w:p>
    <w:p w14:paraId="5501D567">
      <w:pPr>
        <w:jc w:val="center"/>
        <w:rPr>
          <w:rFonts w:hint="eastAsia" w:ascii="仿宋_GB2312" w:hAnsi="仿宋_GB2312" w:eastAsia="仿宋_GB2312" w:cs="仿宋_GB2312"/>
          <w:b/>
          <w:bCs/>
          <w:i w:val="0"/>
          <w:iCs w:val="0"/>
          <w:color w:val="000000" w:themeColor="text1"/>
          <w:sz w:val="28"/>
          <w:szCs w:val="28"/>
          <w14:textFill>
            <w14:solidFill>
              <w14:schemeClr w14:val="tx1"/>
            </w14:solidFill>
          </w14:textFill>
        </w:rPr>
      </w:pPr>
      <w:r>
        <w:rPr>
          <w:rFonts w:hint="eastAsia" w:ascii="仿宋_GB2312" w:hAnsi="仿宋_GB2312" w:eastAsia="仿宋_GB2312" w:cs="仿宋_GB2312"/>
          <w:b/>
          <w:bCs/>
          <w:i w:val="0"/>
          <w:iCs w:val="0"/>
          <w:color w:val="000000" w:themeColor="text1"/>
          <w:sz w:val="28"/>
          <w:szCs w:val="28"/>
          <w14:textFill>
            <w14:solidFill>
              <w14:schemeClr w14:val="tx1"/>
            </w14:solidFill>
          </w14:textFill>
        </w:rPr>
        <w:t>供应商须知前附表</w:t>
      </w:r>
      <w:bookmarkEnd w:id="46"/>
    </w:p>
    <w:p w14:paraId="48083639">
      <w:pPr>
        <w:jc w:val="center"/>
        <w:rPr>
          <w:rFonts w:hint="default" w:ascii="Times New Roman" w:hAnsi="Times New Roman" w:cs="Times New Roman"/>
          <w:color w:val="000000" w:themeColor="text1"/>
          <w:sz w:val="28"/>
          <w:szCs w:val="28"/>
          <w14:textFill>
            <w14:solidFill>
              <w14:schemeClr w14:val="tx1"/>
            </w14:solidFill>
          </w14:textFill>
        </w:rPr>
      </w:pPr>
    </w:p>
    <w:tbl>
      <w:tblPr>
        <w:tblStyle w:val="36"/>
        <w:tblW w:w="9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609"/>
        <w:gridCol w:w="1055"/>
        <w:gridCol w:w="6203"/>
      </w:tblGrid>
      <w:tr w14:paraId="43CDC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4F3B7846">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序号</w:t>
            </w:r>
          </w:p>
        </w:tc>
        <w:tc>
          <w:tcPr>
            <w:tcW w:w="2664" w:type="dxa"/>
            <w:gridSpan w:val="2"/>
            <w:noWrap w:val="0"/>
            <w:vAlign w:val="center"/>
          </w:tcPr>
          <w:p w14:paraId="436CAFDD">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内容</w:t>
            </w:r>
          </w:p>
        </w:tc>
        <w:tc>
          <w:tcPr>
            <w:tcW w:w="6203" w:type="dxa"/>
            <w:noWrap w:val="0"/>
            <w:vAlign w:val="center"/>
          </w:tcPr>
          <w:p w14:paraId="77EE0597">
            <w:pPr>
              <w:pStyle w:val="126"/>
              <w:keepNext w:val="0"/>
              <w:keepLines w:val="0"/>
              <w:numPr>
                <w:ilvl w:val="0"/>
                <w:numId w:val="0"/>
              </w:numPr>
              <w:spacing w:before="0" w:after="0" w:line="360" w:lineRule="auto"/>
              <w:jc w:val="center"/>
              <w:outlineLvl w:val="9"/>
              <w:rPr>
                <w:rFonts w:hint="eastAsia" w:ascii="仿宋_GB2312" w:hAnsi="仿宋_GB2312" w:eastAsia="仿宋_GB2312" w:cs="仿宋_GB2312"/>
                <w:bCs w:val="0"/>
                <w:color w:val="000000" w:themeColor="text1"/>
                <w:sz w:val="28"/>
                <w:szCs w:val="28"/>
                <w14:textFill>
                  <w14:solidFill>
                    <w14:schemeClr w14:val="tx1"/>
                  </w14:solidFill>
                </w14:textFill>
              </w:rPr>
            </w:pPr>
            <w:r>
              <w:rPr>
                <w:rFonts w:hint="eastAsia" w:ascii="仿宋_GB2312" w:hAnsi="仿宋_GB2312" w:eastAsia="仿宋_GB2312" w:cs="仿宋_GB2312"/>
                <w:bCs w:val="0"/>
                <w:color w:val="000000" w:themeColor="text1"/>
                <w:sz w:val="28"/>
                <w:szCs w:val="28"/>
                <w14:textFill>
                  <w14:solidFill>
                    <w14:schemeClr w14:val="tx1"/>
                  </w14:solidFill>
                </w14:textFill>
              </w:rPr>
              <w:t>说明与要求</w:t>
            </w:r>
          </w:p>
        </w:tc>
      </w:tr>
      <w:tr w14:paraId="47374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noWrap w:val="0"/>
            <w:vAlign w:val="center"/>
          </w:tcPr>
          <w:p w14:paraId="674F6AE5">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1</w:t>
            </w:r>
          </w:p>
        </w:tc>
        <w:tc>
          <w:tcPr>
            <w:tcW w:w="2664" w:type="dxa"/>
            <w:gridSpan w:val="2"/>
            <w:noWrap w:val="0"/>
            <w:vAlign w:val="center"/>
          </w:tcPr>
          <w:p w14:paraId="0A0D2CB6">
            <w:pPr>
              <w:pStyle w:val="126"/>
              <w:keepNext w:val="0"/>
              <w:keepLines w:val="0"/>
              <w:numPr>
                <w:ilvl w:val="0"/>
                <w:numId w:val="0"/>
              </w:numPr>
              <w:spacing w:before="0" w:after="0" w:line="360" w:lineRule="auto"/>
              <w:jc w:val="center"/>
              <w:outlineLvl w:val="9"/>
              <w:rPr>
                <w:rFonts w:hint="eastAsia" w:ascii="仿宋_GB2312" w:hAnsi="仿宋_GB2312" w:eastAsia="仿宋_GB2312" w:cs="仿宋_GB2312"/>
                <w:bCs w:val="0"/>
                <w:color w:val="000000" w:themeColor="text1"/>
                <w:sz w:val="28"/>
                <w:szCs w:val="28"/>
                <w14:textFill>
                  <w14:solidFill>
                    <w14:schemeClr w14:val="tx1"/>
                  </w14:solidFill>
                </w14:textFill>
              </w:rPr>
            </w:pPr>
            <w:r>
              <w:rPr>
                <w:rFonts w:hint="eastAsia" w:ascii="仿宋_GB2312" w:hAnsi="仿宋_GB2312" w:eastAsia="仿宋_GB2312" w:cs="仿宋_GB2312"/>
                <w:bCs w:val="0"/>
                <w:color w:val="000000" w:themeColor="text1"/>
                <w:sz w:val="28"/>
                <w:szCs w:val="28"/>
                <w14:textFill>
                  <w14:solidFill>
                    <w14:schemeClr w14:val="tx1"/>
                  </w14:solidFill>
                </w14:textFill>
              </w:rPr>
              <w:t>项目名称</w:t>
            </w:r>
          </w:p>
        </w:tc>
        <w:tc>
          <w:tcPr>
            <w:tcW w:w="6203" w:type="dxa"/>
            <w:noWrap w:val="0"/>
            <w:vAlign w:val="center"/>
          </w:tcPr>
          <w:p w14:paraId="2C73677C">
            <w:pPr>
              <w:pStyle w:val="20"/>
              <w:ind w:left="0" w:leftChars="0" w:firstLine="0" w:firstLineChars="0"/>
              <w:jc w:val="both"/>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伊犁哈萨克自治州阿勒泰地区应急管理局-阿勒泰地区安全技术服务支撑年度执法检查（专家查隐患）项目</w:t>
            </w:r>
            <w:r>
              <w:rPr>
                <w:rFonts w:hint="eastAsia" w:hAnsi="仿宋_GB2312" w:cs="仿宋_GB2312"/>
                <w:color w:val="000000" w:themeColor="text1"/>
                <w:sz w:val="28"/>
                <w:szCs w:val="28"/>
                <w:u w:val="none"/>
                <w:lang w:val="en-US" w:eastAsia="zh-CN"/>
                <w14:textFill>
                  <w14:solidFill>
                    <w14:schemeClr w14:val="tx1"/>
                  </w14:solidFill>
                </w14:textFill>
              </w:rPr>
              <w:t>（二次）</w:t>
            </w:r>
          </w:p>
        </w:tc>
      </w:tr>
      <w:tr w14:paraId="511C6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atLeast"/>
          <w:jc w:val="center"/>
        </w:trPr>
        <w:tc>
          <w:tcPr>
            <w:tcW w:w="735" w:type="dxa"/>
            <w:noWrap w:val="0"/>
            <w:vAlign w:val="center"/>
          </w:tcPr>
          <w:p w14:paraId="6403FC66">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2</w:t>
            </w:r>
          </w:p>
        </w:tc>
        <w:tc>
          <w:tcPr>
            <w:tcW w:w="2664" w:type="dxa"/>
            <w:gridSpan w:val="2"/>
            <w:noWrap w:val="0"/>
            <w:vAlign w:val="center"/>
          </w:tcPr>
          <w:p w14:paraId="656C10D6">
            <w:pPr>
              <w:pStyle w:val="126"/>
              <w:keepNext w:val="0"/>
              <w:keepLines w:val="0"/>
              <w:numPr>
                <w:ilvl w:val="0"/>
                <w:numId w:val="0"/>
              </w:numPr>
              <w:spacing w:before="0" w:after="0" w:line="360" w:lineRule="auto"/>
              <w:jc w:val="center"/>
              <w:outlineLvl w:val="9"/>
              <w:rPr>
                <w:rFonts w:hint="eastAsia" w:ascii="仿宋_GB2312" w:hAnsi="仿宋_GB2312" w:eastAsia="仿宋_GB2312" w:cs="仿宋_GB2312"/>
                <w:bCs w:val="0"/>
                <w:color w:val="000000" w:themeColor="text1"/>
                <w:sz w:val="28"/>
                <w:szCs w:val="28"/>
                <w14:textFill>
                  <w14:solidFill>
                    <w14:schemeClr w14:val="tx1"/>
                  </w14:solidFill>
                </w14:textFill>
              </w:rPr>
            </w:pPr>
            <w:r>
              <w:rPr>
                <w:rFonts w:hint="eastAsia" w:ascii="仿宋_GB2312" w:hAnsi="仿宋_GB2312" w:eastAsia="仿宋_GB2312" w:cs="仿宋_GB2312"/>
                <w:bCs w:val="0"/>
                <w:color w:val="000000" w:themeColor="text1"/>
                <w:sz w:val="28"/>
                <w:szCs w:val="28"/>
                <w14:textFill>
                  <w14:solidFill>
                    <w14:schemeClr w14:val="tx1"/>
                  </w14:solidFill>
                </w14:textFill>
              </w:rPr>
              <w:t>采购人</w:t>
            </w:r>
          </w:p>
        </w:tc>
        <w:tc>
          <w:tcPr>
            <w:tcW w:w="6203" w:type="dxa"/>
            <w:noWrap w:val="0"/>
            <w:vAlign w:val="center"/>
          </w:tcPr>
          <w:p w14:paraId="0739C4DD">
            <w:pPr>
              <w:widowControl/>
              <w:spacing w:line="360" w:lineRule="auto"/>
              <w:rPr>
                <w:rFonts w:hint="eastAsia" w:ascii="仿宋_GB2312" w:hAnsi="仿宋_GB2312" w:eastAsia="仿宋_GB2312" w:cs="仿宋_GB2312"/>
                <w:color w:val="000000" w:themeColor="text1"/>
                <w:kern w:val="2"/>
                <w:sz w:val="28"/>
                <w:szCs w:val="28"/>
                <w:u w:val="single"/>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名称：</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伊犁哈萨克自治州</w:t>
            </w:r>
            <w:r>
              <w:rPr>
                <w:rFonts w:hint="eastAsia" w:ascii="仿宋_GB2312" w:hAnsi="仿宋_GB2312" w:eastAsia="仿宋_GB2312" w:cs="仿宋_GB2312"/>
                <w:color w:val="000000" w:themeColor="text1"/>
                <w:kern w:val="2"/>
                <w:sz w:val="28"/>
                <w:szCs w:val="28"/>
                <w:u w:val="single"/>
                <w:lang w:val="en-US" w:eastAsia="zh-CN" w:bidi="ar-SA"/>
                <w14:textFill>
                  <w14:solidFill>
                    <w14:schemeClr w14:val="tx1"/>
                  </w14:solidFill>
                </w14:textFill>
              </w:rPr>
              <w:t>阿勒泰地区应急管理局</w:t>
            </w:r>
          </w:p>
          <w:p w14:paraId="3D960765">
            <w:pPr>
              <w:widowControl/>
              <w:spacing w:line="360" w:lineRule="auto"/>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联系人：</w:t>
            </w:r>
            <w:bookmarkStart w:id="47" w:name="EBdc46765b8496439baac9487bf5cb2605"/>
            <w:bookmarkEnd w:id="47"/>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邹俊堂</w:t>
            </w:r>
          </w:p>
          <w:p w14:paraId="7576A66F">
            <w:pPr>
              <w:widowControl/>
              <w:spacing w:line="360" w:lineRule="auto"/>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联系电话：</w:t>
            </w:r>
            <w:bookmarkStart w:id="48" w:name="EBb02062c7f213427390e93f40bb6fd07d"/>
            <w:bookmarkEnd w:id="48"/>
            <w:r>
              <w:rPr>
                <w:rFonts w:hint="eastAsia" w:ascii="仿宋_GB2312" w:hAnsi="仿宋_GB2312" w:eastAsia="仿宋_GB2312" w:cs="仿宋_GB2312"/>
                <w:color w:val="000000" w:themeColor="text1"/>
                <w:sz w:val="28"/>
                <w:szCs w:val="28"/>
                <w:u w:val="single"/>
                <w14:textFill>
                  <w14:solidFill>
                    <w14:schemeClr w14:val="tx1"/>
                  </w14:solidFill>
                </w14:textFill>
              </w:rPr>
              <w:t>1</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3899403755</w:t>
            </w:r>
          </w:p>
        </w:tc>
      </w:tr>
      <w:tr w14:paraId="68181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6890FE80">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3</w:t>
            </w:r>
          </w:p>
        </w:tc>
        <w:tc>
          <w:tcPr>
            <w:tcW w:w="2664" w:type="dxa"/>
            <w:gridSpan w:val="2"/>
            <w:noWrap w:val="0"/>
            <w:vAlign w:val="center"/>
          </w:tcPr>
          <w:p w14:paraId="06F8A0D9">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lang w:eastAsia="zh-CN"/>
                <w14:textFill>
                  <w14:solidFill>
                    <w14:schemeClr w14:val="tx1"/>
                  </w14:solidFill>
                </w14:textFill>
              </w:rPr>
              <w:t>集中采购</w:t>
            </w:r>
            <w:r>
              <w:rPr>
                <w:rFonts w:hint="eastAsia" w:ascii="仿宋_GB2312" w:hAnsi="仿宋_GB2312" w:eastAsia="仿宋_GB2312" w:cs="仿宋_GB2312"/>
                <w:b/>
                <w:color w:val="000000" w:themeColor="text1"/>
                <w:kern w:val="0"/>
                <w:sz w:val="28"/>
                <w:szCs w:val="28"/>
                <w14:textFill>
                  <w14:solidFill>
                    <w14:schemeClr w14:val="tx1"/>
                  </w14:solidFill>
                </w14:textFill>
              </w:rPr>
              <w:t>机构</w:t>
            </w:r>
          </w:p>
        </w:tc>
        <w:tc>
          <w:tcPr>
            <w:tcW w:w="6203" w:type="dxa"/>
            <w:noWrap w:val="0"/>
            <w:vAlign w:val="center"/>
          </w:tcPr>
          <w:p w14:paraId="1D4F0605">
            <w:pPr>
              <w:spacing w:line="360" w:lineRule="auto"/>
              <w:rPr>
                <w:rFonts w:hint="eastAsia"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名称：</w:t>
            </w:r>
            <w:r>
              <w:rPr>
                <w:rFonts w:hint="eastAsia" w:ascii="仿宋_GB2312" w:hAnsi="仿宋_GB2312" w:eastAsia="仿宋_GB2312" w:cs="仿宋_GB2312"/>
                <w:color w:val="000000" w:themeColor="text1"/>
                <w:sz w:val="28"/>
                <w:szCs w:val="28"/>
                <w:u w:val="single"/>
                <w14:textFill>
                  <w14:solidFill>
                    <w14:schemeClr w14:val="tx1"/>
                  </w14:solidFill>
                </w14:textFill>
              </w:rPr>
              <w:t>阿勒泰地区公共资源交易中心</w:t>
            </w:r>
          </w:p>
          <w:p w14:paraId="450A69C4">
            <w:pPr>
              <w:spacing w:line="360" w:lineRule="auto"/>
              <w:rPr>
                <w:rFonts w:hint="eastAsia" w:ascii="仿宋_GB2312" w:hAnsi="仿宋_GB2312" w:eastAsia="仿宋_GB2312" w:cs="仿宋_GB2312"/>
                <w:color w:val="000000" w:themeColor="text1"/>
                <w:sz w:val="28"/>
                <w:szCs w:val="28"/>
                <w:u w:val="single"/>
                <w:lang w:val="en-US"/>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联系人：</w:t>
            </w:r>
            <w:bookmarkStart w:id="49" w:name="EB8a126f2415034440b3de4e030b75a537"/>
            <w:bookmarkEnd w:id="49"/>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王老师</w:t>
            </w:r>
          </w:p>
          <w:p w14:paraId="1CE46719">
            <w:pPr>
              <w:spacing w:line="360" w:lineRule="auto"/>
              <w:rPr>
                <w:rFonts w:hint="eastAsia" w:ascii="仿宋_GB2312" w:hAnsi="仿宋_GB2312" w:eastAsia="仿宋_GB2312" w:cs="仿宋_GB2312"/>
                <w:color w:val="000000" w:themeColor="text1"/>
                <w:sz w:val="28"/>
                <w:szCs w:val="28"/>
                <w:u w:val="single"/>
                <w:lang w:val="en-US"/>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联系电话：</w:t>
            </w:r>
            <w:bookmarkStart w:id="50" w:name="EBe3286ac41586486c9a2046d66d6a6c82"/>
            <w:bookmarkEnd w:id="50"/>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0906-21</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95300</w:t>
            </w:r>
          </w:p>
        </w:tc>
      </w:tr>
      <w:tr w14:paraId="0466E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5D37EF5A">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4</w:t>
            </w:r>
          </w:p>
        </w:tc>
        <w:tc>
          <w:tcPr>
            <w:tcW w:w="2664" w:type="dxa"/>
            <w:gridSpan w:val="2"/>
            <w:noWrap w:val="0"/>
            <w:vAlign w:val="center"/>
          </w:tcPr>
          <w:p w14:paraId="4199714D">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采购内容</w:t>
            </w:r>
          </w:p>
        </w:tc>
        <w:tc>
          <w:tcPr>
            <w:tcW w:w="6203" w:type="dxa"/>
            <w:noWrap w:val="0"/>
            <w:vAlign w:val="center"/>
          </w:tcPr>
          <w:p w14:paraId="4A41D202">
            <w:pPr>
              <w:widowControl/>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详见招标文件第三部分采购需求；</w:t>
            </w:r>
          </w:p>
        </w:tc>
      </w:tr>
      <w:tr w14:paraId="2A05B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noWrap w:val="0"/>
            <w:vAlign w:val="center"/>
          </w:tcPr>
          <w:p w14:paraId="12F20E3E">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5</w:t>
            </w:r>
          </w:p>
        </w:tc>
        <w:tc>
          <w:tcPr>
            <w:tcW w:w="2664" w:type="dxa"/>
            <w:gridSpan w:val="2"/>
            <w:noWrap w:val="0"/>
            <w:vAlign w:val="center"/>
          </w:tcPr>
          <w:p w14:paraId="73239C4F">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投标人资格要求</w:t>
            </w:r>
          </w:p>
        </w:tc>
        <w:tc>
          <w:tcPr>
            <w:tcW w:w="6203" w:type="dxa"/>
            <w:noWrap w:val="0"/>
            <w:vAlign w:val="center"/>
          </w:tcPr>
          <w:tbl>
            <w:tblPr>
              <w:tblStyle w:val="36"/>
              <w:tblW w:w="63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18"/>
            </w:tblGrid>
            <w:tr w14:paraId="2A137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318" w:type="dxa"/>
                  <w:noWrap w:val="0"/>
                  <w:vAlign w:val="center"/>
                </w:tcPr>
                <w:p w14:paraId="2137CECC">
                  <w:pPr>
                    <w:adjustRightInd w:val="0"/>
                    <w:snapToGrid w:val="0"/>
                    <w:spacing w:before="156" w:beforeLines="50" w:line="360" w:lineRule="auto"/>
                    <w:rPr>
                      <w:rFonts w:hint="eastAsia" w:ascii="仿宋_GB2312" w:hAnsi="仿宋_GB2312" w:eastAsia="仿宋_GB2312" w:cs="仿宋_GB2312"/>
                      <w:color w:val="000000" w:themeColor="text1"/>
                      <w:kern w:val="0"/>
                      <w:sz w:val="28"/>
                      <w:szCs w:val="28"/>
                      <w:lang w:val="hr-HR" w:eastAsia="zh-CN"/>
                      <w14:textFill>
                        <w14:solidFill>
                          <w14:schemeClr w14:val="tx1"/>
                        </w14:solidFill>
                      </w14:textFill>
                    </w:rPr>
                  </w:pPr>
                  <w:bookmarkStart w:id="51" w:name="EB7907836f74a6455bb75d2ff8b438afad"/>
                  <w:bookmarkEnd w:id="51"/>
                  <w:r>
                    <w:rPr>
                      <w:rFonts w:hint="eastAsia" w:ascii="仿宋_GB2312" w:hAnsi="仿宋_GB2312" w:eastAsia="仿宋_GB2312" w:cs="仿宋_GB2312"/>
                      <w:color w:val="000000" w:themeColor="text1"/>
                      <w:kern w:val="0"/>
                      <w:sz w:val="28"/>
                      <w:szCs w:val="28"/>
                      <w:lang w:val="zh-CN" w:eastAsia="zh-CN"/>
                      <w14:textFill>
                        <w14:solidFill>
                          <w14:schemeClr w14:val="tx1"/>
                        </w14:solidFill>
                      </w14:textFill>
                    </w:rPr>
                    <w:t>1、供应商应具备《政府采购法》第二十二条规定的条件；</w:t>
                  </w:r>
                </w:p>
                <w:p w14:paraId="614EFD8C">
                  <w:pPr>
                    <w:adjustRightInd w:val="0"/>
                    <w:snapToGrid w:val="0"/>
                    <w:spacing w:before="156" w:beforeLines="50" w:line="360" w:lineRule="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hr-HR"/>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、特殊资格条件</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（若本项目要求）</w:t>
                  </w:r>
                  <w:r>
                    <w:rPr>
                      <w:rFonts w:hint="eastAsia" w:ascii="仿宋_GB2312" w:hAnsi="仿宋_GB2312" w:eastAsia="仿宋_GB2312" w:cs="仿宋_GB2312"/>
                      <w:color w:val="000000" w:themeColor="text1"/>
                      <w:sz w:val="28"/>
                      <w:szCs w:val="28"/>
                      <w:lang w:val="hr-HR"/>
                      <w14:textFill>
                        <w14:solidFill>
                          <w14:schemeClr w14:val="tx1"/>
                        </w14:solidFill>
                      </w14:textFill>
                    </w:rPr>
                    <w:t>：</w:t>
                  </w:r>
                  <w:r>
                    <w:rPr>
                      <w:rFonts w:hint="eastAsia" w:ascii="仿宋_GB2312" w:hAnsi="仿宋_GB2312" w:eastAsia="仿宋_GB2312" w:cs="仿宋_GB2312"/>
                      <w:b/>
                      <w:bCs/>
                      <w:color w:val="000000" w:themeColor="text1"/>
                      <w:kern w:val="0"/>
                      <w:sz w:val="28"/>
                      <w:szCs w:val="28"/>
                      <w:lang w:val="en-US" w:eastAsia="zh-CN"/>
                      <w14:textFill>
                        <w14:solidFill>
                          <w14:schemeClr w14:val="tx1"/>
                        </w14:solidFill>
                      </w14:textFill>
                    </w:rPr>
                    <w:t>无</w:t>
                  </w:r>
                  <w:r>
                    <w:rPr>
                      <w:rFonts w:hint="eastAsia" w:ascii="仿宋_GB2312" w:hAnsi="仿宋_GB2312" w:eastAsia="仿宋_GB2312" w:cs="仿宋_GB2312"/>
                      <w:b w:val="0"/>
                      <w:bCs w:val="0"/>
                      <w:color w:val="0000FF"/>
                      <w:kern w:val="0"/>
                      <w:sz w:val="28"/>
                      <w:szCs w:val="28"/>
                      <w:lang w:val="en-US" w:eastAsia="zh-CN"/>
                    </w:rPr>
                    <w:t xml:space="preserve"> </w:t>
                  </w:r>
                </w:p>
                <w:p w14:paraId="13F22D33">
                  <w:pPr>
                    <w:keepNext w:val="0"/>
                    <w:keepLines w:val="0"/>
                    <w:pageBreakBefore w:val="0"/>
                    <w:kinsoku/>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3、</w:t>
                  </w:r>
                  <w:r>
                    <w:rPr>
                      <w:rFonts w:hint="eastAsia" w:ascii="仿宋_GB2312" w:hAnsi="仿宋_GB2312" w:eastAsia="仿宋_GB2312" w:cs="仿宋_GB2312"/>
                      <w:b/>
                      <w:bCs/>
                      <w:color w:val="000000" w:themeColor="text1"/>
                      <w:kern w:val="0"/>
                      <w:sz w:val="28"/>
                      <w:szCs w:val="28"/>
                      <w:lang w:val="zh-CN" w:eastAsia="zh-CN"/>
                      <w14:textFill>
                        <w14:solidFill>
                          <w14:schemeClr w14:val="tx1"/>
                        </w14:solidFill>
                      </w14:textFill>
                    </w:rPr>
                    <w:t>特定资格要求：</w:t>
                  </w:r>
                  <w:r>
                    <w:rPr>
                      <w:rFonts w:hint="eastAsia" w:ascii="仿宋_GB2312" w:hAnsi="仿宋_GB2312" w:eastAsia="仿宋_GB2312" w:cs="仿宋_GB2312"/>
                      <w:b/>
                      <w:bCs/>
                      <w:color w:val="000000" w:themeColor="text1"/>
                      <w:kern w:val="0"/>
                      <w:sz w:val="28"/>
                      <w:szCs w:val="28"/>
                      <w:lang w:val="en-US" w:eastAsia="zh-CN"/>
                      <w14:textFill>
                        <w14:solidFill>
                          <w14:schemeClr w14:val="tx1"/>
                        </w14:solidFill>
                      </w14:textFill>
                    </w:rPr>
                    <w:t>无</w:t>
                  </w:r>
                </w:p>
              </w:tc>
            </w:tr>
          </w:tbl>
          <w:p w14:paraId="6C7D5B88">
            <w:pPr>
              <w:widowControl/>
              <w:spacing w:line="360" w:lineRule="auto"/>
              <w:rPr>
                <w:rFonts w:hint="eastAsia" w:ascii="仿宋_GB2312" w:hAnsi="仿宋_GB2312" w:eastAsia="仿宋_GB2312" w:cs="仿宋_GB2312"/>
                <w:color w:val="000000" w:themeColor="text1"/>
                <w:sz w:val="28"/>
                <w:szCs w:val="28"/>
                <w:highlight w:val="green"/>
                <w:u w:val="single"/>
                <w14:textFill>
                  <w14:solidFill>
                    <w14:schemeClr w14:val="tx1"/>
                  </w14:solidFill>
                </w14:textFill>
              </w:rPr>
            </w:pPr>
          </w:p>
        </w:tc>
      </w:tr>
      <w:tr w14:paraId="7C2F2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restart"/>
            <w:noWrap w:val="0"/>
            <w:vAlign w:val="center"/>
          </w:tcPr>
          <w:p w14:paraId="51ABA7BD">
            <w:pPr>
              <w:spacing w:line="360" w:lineRule="auto"/>
              <w:jc w:val="center"/>
              <w:rPr>
                <w:rFonts w:hint="eastAsia" w:ascii="仿宋_GB2312" w:hAnsi="仿宋_GB2312" w:eastAsia="仿宋_GB2312" w:cs="仿宋_GB2312"/>
                <w:b/>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6</w:t>
            </w:r>
          </w:p>
        </w:tc>
        <w:tc>
          <w:tcPr>
            <w:tcW w:w="1609" w:type="dxa"/>
            <w:vMerge w:val="restart"/>
            <w:noWrap w:val="0"/>
            <w:vAlign w:val="center"/>
          </w:tcPr>
          <w:p w14:paraId="0A507032">
            <w:pPr>
              <w:spacing w:line="360" w:lineRule="auto"/>
              <w:jc w:val="center"/>
              <w:rPr>
                <w:rFonts w:hint="eastAsia" w:ascii="仿宋_GB2312" w:hAnsi="仿宋_GB2312" w:eastAsia="仿宋_GB2312" w:cs="仿宋_GB2312"/>
                <w:color w:val="000000" w:themeColor="text1"/>
                <w:sz w:val="28"/>
                <w:szCs w:val="28"/>
                <w:highlight w:val="yellow"/>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投标文件的组成部分</w:t>
            </w:r>
          </w:p>
        </w:tc>
        <w:tc>
          <w:tcPr>
            <w:tcW w:w="1055" w:type="dxa"/>
            <w:noWrap w:val="0"/>
            <w:vAlign w:val="center"/>
          </w:tcPr>
          <w:p w14:paraId="22354D66">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封面</w:t>
            </w:r>
          </w:p>
        </w:tc>
        <w:tc>
          <w:tcPr>
            <w:tcW w:w="6203" w:type="dxa"/>
            <w:noWrap w:val="0"/>
            <w:vAlign w:val="center"/>
          </w:tcPr>
          <w:p w14:paraId="4208AB80">
            <w:pPr>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14:textFill>
                  <w14:solidFill>
                    <w14:schemeClr w14:val="tx1"/>
                  </w14:solidFill>
                </w14:textFill>
              </w:rPr>
              <w:t>投标文件封面；</w:t>
            </w:r>
          </w:p>
        </w:tc>
      </w:tr>
      <w:tr w14:paraId="5FAA8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atLeast"/>
          <w:jc w:val="center"/>
        </w:trPr>
        <w:tc>
          <w:tcPr>
            <w:tcW w:w="735" w:type="dxa"/>
            <w:vMerge w:val="continue"/>
            <w:noWrap w:val="0"/>
            <w:vAlign w:val="center"/>
          </w:tcPr>
          <w:p w14:paraId="60E1C848">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p>
        </w:tc>
        <w:tc>
          <w:tcPr>
            <w:tcW w:w="1609" w:type="dxa"/>
            <w:vMerge w:val="continue"/>
            <w:noWrap w:val="0"/>
            <w:vAlign w:val="center"/>
          </w:tcPr>
          <w:p w14:paraId="502E89C4">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p>
        </w:tc>
        <w:tc>
          <w:tcPr>
            <w:tcW w:w="1055" w:type="dxa"/>
            <w:noWrap w:val="0"/>
            <w:vAlign w:val="center"/>
          </w:tcPr>
          <w:p w14:paraId="1DA5A999">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b/>
                <w:color w:val="000000" w:themeColor="text1"/>
                <w:kern w:val="0"/>
                <w:sz w:val="28"/>
                <w:szCs w:val="28"/>
                <w14:textFill>
                  <w14:solidFill>
                    <w14:schemeClr w14:val="tx1"/>
                  </w14:solidFill>
                </w14:textFill>
              </w:rPr>
              <w:t>资格审查材料</w:t>
            </w:r>
          </w:p>
        </w:tc>
        <w:tc>
          <w:tcPr>
            <w:tcW w:w="6203" w:type="dxa"/>
            <w:shd w:val="clear" w:color="auto" w:fill="auto"/>
            <w:noWrap w:val="0"/>
            <w:vAlign w:val="center"/>
          </w:tcPr>
          <w:p w14:paraId="71376B31">
            <w:pPr>
              <w:spacing w:line="360" w:lineRule="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eastAsia="zh-CN"/>
              </w:rPr>
              <w:t>营业执照、组织机构代码证、税务登记证（</w:t>
            </w:r>
            <w:r>
              <w:rPr>
                <w:rFonts w:hint="eastAsia" w:ascii="仿宋_GB2312" w:hAnsi="仿宋_GB2312" w:eastAsia="仿宋_GB2312" w:cs="仿宋_GB2312"/>
                <w:color w:val="000000"/>
                <w:kern w:val="0"/>
                <w:sz w:val="28"/>
                <w:szCs w:val="28"/>
                <w:lang w:val="en-US" w:eastAsia="zh-CN"/>
              </w:rPr>
              <w:t>三证合一</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 xml:space="preserve"> </w:t>
            </w:r>
          </w:p>
          <w:p w14:paraId="4DF2A8B7">
            <w:pPr>
              <w:spacing w:line="360" w:lineRule="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eastAsia="zh-CN"/>
              </w:rPr>
              <w:t>最近一个年度的财务状况报告（成立不满一年不需提供）</w:t>
            </w:r>
            <w:r>
              <w:rPr>
                <w:rFonts w:hint="eastAsia" w:ascii="仿宋_GB2312" w:hAnsi="仿宋_GB2312" w:eastAsia="仿宋_GB2312" w:cs="仿宋_GB2312"/>
                <w:color w:val="000000"/>
                <w:kern w:val="0"/>
                <w:sz w:val="28"/>
                <w:szCs w:val="28"/>
                <w:lang w:val="en-US" w:eastAsia="zh-CN"/>
              </w:rPr>
              <w:t>具备履行合同所必须的设备和专业技术能力的书面证明</w:t>
            </w:r>
          </w:p>
          <w:p w14:paraId="7C6A6E40">
            <w:pPr>
              <w:spacing w:line="360" w:lineRule="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eastAsia="zh-CN"/>
              </w:rPr>
              <w:t>依法缴纳税收和社会保障资金的相关材料（提供提交投标文件截止时间前一年内至少一个月依法缴纳税收及缴纳社会保障资金的证明材料。投标人依法享受缓缴、免缴税收、社会保障资金的提供证明材料。）</w:t>
            </w:r>
            <w:r>
              <w:rPr>
                <w:rFonts w:hint="eastAsia" w:ascii="仿宋_GB2312" w:hAnsi="仿宋_GB2312" w:eastAsia="仿宋_GB2312" w:cs="仿宋_GB2312"/>
                <w:color w:val="000000"/>
                <w:kern w:val="0"/>
                <w:sz w:val="28"/>
                <w:szCs w:val="28"/>
                <w:lang w:val="en-US" w:eastAsia="zh-CN"/>
              </w:rPr>
              <w:t xml:space="preserve">                                              </w:t>
            </w:r>
          </w:p>
          <w:p w14:paraId="24B74A4E">
            <w:pPr>
              <w:spacing w:line="360" w:lineRule="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参加政府采购活动前3年内在经营活动中没有重大违法记录的书面声明</w:t>
            </w:r>
          </w:p>
          <w:p w14:paraId="4E652887">
            <w:pPr>
              <w:spacing w:line="360" w:lineRule="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通过“信用中国”网站（www.creditchina.gov.cn）、“中国政府采购网"(www.ccgp.gov.cn)查询供应商在投标截止时间前的信用记录，通过以上查询渠道，查询是否列入失信被执行人、重大税收违法案件当事人名单、政府采购严重失信行为记录名单。</w:t>
            </w:r>
            <w:r>
              <w:rPr>
                <w:rFonts w:hint="eastAsia" w:ascii="仿宋_GB2312" w:hAnsi="仿宋_GB2312" w:eastAsia="仿宋_GB2312" w:cs="仿宋_GB2312"/>
                <w:color w:val="000000"/>
                <w:sz w:val="28"/>
                <w:szCs w:val="28"/>
                <w:highlight w:val="none"/>
              </w:rPr>
              <w:t>（提供网页截图）</w:t>
            </w:r>
          </w:p>
          <w:p w14:paraId="638E5AE3">
            <w:pPr>
              <w:spacing w:line="360" w:lineRule="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本项目资质证明（若本项目要求）</w:t>
            </w:r>
            <w:r>
              <w:rPr>
                <w:rFonts w:hint="eastAsia" w:ascii="仿宋_GB2312" w:hAnsi="仿宋_GB2312" w:eastAsia="仿宋_GB2312" w:cs="仿宋_GB2312"/>
                <w:color w:val="000000"/>
                <w:kern w:val="0"/>
                <w:sz w:val="28"/>
                <w:szCs w:val="28"/>
                <w:lang w:val="en-US" w:eastAsia="zh-CN"/>
              </w:rPr>
              <w:t xml:space="preserve"> </w:t>
            </w:r>
          </w:p>
          <w:p w14:paraId="3478CFD4">
            <w:pPr>
              <w:spacing w:line="360" w:lineRule="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具有法定代表人身份证明及授权委托书</w:t>
            </w:r>
          </w:p>
          <w:p w14:paraId="644D5FE2">
            <w:pPr>
              <w:spacing w:line="360" w:lineRule="auto"/>
              <w:rPr>
                <w:rFonts w:hint="eastAsia" w:ascii="仿宋_GB2312" w:hAnsi="仿宋_GB2312" w:eastAsia="仿宋_GB2312" w:cs="仿宋_GB2312"/>
                <w:color w:val="000000"/>
                <w:kern w:val="0"/>
                <w:sz w:val="28"/>
                <w:szCs w:val="28"/>
                <w:lang w:val="zh-CN" w:eastAsia="zh-CN"/>
              </w:rPr>
            </w:pPr>
            <w:r>
              <w:rPr>
                <w:rFonts w:hint="eastAsia" w:ascii="仿宋_GB2312" w:hAnsi="仿宋_GB2312" w:eastAsia="仿宋_GB2312" w:cs="仿宋_GB2312"/>
                <w:color w:val="000000"/>
                <w:kern w:val="0"/>
                <w:sz w:val="28"/>
                <w:szCs w:val="28"/>
                <w:lang w:val="en-US" w:eastAsia="zh-CN"/>
              </w:rPr>
              <w:t>投标保证金</w:t>
            </w:r>
            <w:r>
              <w:rPr>
                <w:rFonts w:hint="eastAsia" w:ascii="仿宋_GB2312" w:hAnsi="仿宋_GB2312" w:eastAsia="仿宋_GB2312" w:cs="仿宋_GB2312"/>
                <w:color w:val="000000"/>
                <w:kern w:val="0"/>
                <w:sz w:val="28"/>
                <w:szCs w:val="28"/>
                <w:lang w:val="zh-CN" w:eastAsia="zh-CN"/>
              </w:rPr>
              <w:t>符合供应商须知前附表的规定（以评审小组及监督人员查看</w:t>
            </w:r>
            <w:r>
              <w:rPr>
                <w:rFonts w:hint="eastAsia" w:ascii="仿宋_GB2312" w:hAnsi="仿宋_GB2312" w:eastAsia="仿宋_GB2312" w:cs="仿宋_GB2312"/>
                <w:color w:val="000000"/>
                <w:kern w:val="0"/>
                <w:sz w:val="28"/>
                <w:szCs w:val="28"/>
                <w:lang w:val="en-US" w:eastAsia="zh-CN"/>
              </w:rPr>
              <w:t>投标供应商上传的银行回执单电子件</w:t>
            </w:r>
            <w:r>
              <w:rPr>
                <w:rFonts w:hint="eastAsia" w:ascii="仿宋_GB2312" w:hAnsi="仿宋_GB2312" w:eastAsia="仿宋_GB2312" w:cs="仿宋_GB2312"/>
                <w:color w:val="000000"/>
                <w:kern w:val="0"/>
                <w:sz w:val="28"/>
                <w:szCs w:val="28"/>
                <w:lang w:val="zh-CN" w:eastAsia="zh-CN"/>
              </w:rPr>
              <w:t>明细</w:t>
            </w:r>
            <w:r>
              <w:rPr>
                <w:rFonts w:hint="eastAsia" w:ascii="仿宋_GB2312" w:hAnsi="仿宋_GB2312" w:eastAsia="仿宋_GB2312" w:cs="仿宋_GB2312"/>
                <w:color w:val="000000"/>
                <w:kern w:val="0"/>
                <w:sz w:val="28"/>
                <w:szCs w:val="28"/>
                <w:lang w:val="en-US" w:eastAsia="zh-CN"/>
              </w:rPr>
              <w:t>或电子</w:t>
            </w:r>
            <w:r>
              <w:rPr>
                <w:rFonts w:hint="eastAsia" w:ascii="仿宋_GB2312" w:hAnsi="仿宋_GB2312" w:eastAsia="仿宋_GB2312" w:cs="仿宋_GB2312"/>
                <w:color w:val="000000"/>
                <w:kern w:val="0"/>
                <w:sz w:val="28"/>
                <w:szCs w:val="28"/>
                <w:lang w:val="zh-CN" w:eastAsia="zh-CN"/>
              </w:rPr>
              <w:t>保函办理凭证</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及缴费凭证</w:t>
            </w:r>
            <w:r>
              <w:rPr>
                <w:rFonts w:hint="eastAsia" w:ascii="仿宋_GB2312" w:hAnsi="仿宋_GB2312" w:eastAsia="仿宋_GB2312" w:cs="仿宋_GB2312"/>
                <w:color w:val="000000"/>
                <w:kern w:val="0"/>
                <w:sz w:val="28"/>
                <w:szCs w:val="28"/>
                <w:lang w:val="zh-CN" w:eastAsia="zh-CN"/>
              </w:rPr>
              <w:t>为准）</w:t>
            </w:r>
          </w:p>
          <w:p w14:paraId="66E6BEBB">
            <w:pPr>
              <w:spacing w:line="360" w:lineRule="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rPr>
              <w:t>中小企业声明函（若本项目要求）</w:t>
            </w:r>
          </w:p>
        </w:tc>
      </w:tr>
      <w:tr w14:paraId="58F48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atLeast"/>
          <w:jc w:val="center"/>
        </w:trPr>
        <w:tc>
          <w:tcPr>
            <w:tcW w:w="735" w:type="dxa"/>
            <w:vMerge w:val="continue"/>
            <w:noWrap w:val="0"/>
            <w:vAlign w:val="center"/>
          </w:tcPr>
          <w:p w14:paraId="5CB5832C">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p>
        </w:tc>
        <w:tc>
          <w:tcPr>
            <w:tcW w:w="1609" w:type="dxa"/>
            <w:vMerge w:val="continue"/>
            <w:noWrap w:val="0"/>
            <w:vAlign w:val="center"/>
          </w:tcPr>
          <w:p w14:paraId="17BD4B27">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p>
        </w:tc>
        <w:tc>
          <w:tcPr>
            <w:tcW w:w="1055" w:type="dxa"/>
            <w:noWrap w:val="0"/>
            <w:vAlign w:val="center"/>
          </w:tcPr>
          <w:p w14:paraId="5B8114D8">
            <w:pPr>
              <w:spacing w:line="360" w:lineRule="auto"/>
              <w:jc w:val="center"/>
              <w:rPr>
                <w:rFonts w:hint="eastAsia" w:ascii="仿宋_GB2312" w:hAnsi="仿宋_GB2312" w:eastAsia="仿宋_GB2312" w:cs="仿宋_GB2312"/>
                <w:b/>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color w:val="000000" w:themeColor="text1"/>
                <w:kern w:val="0"/>
                <w:sz w:val="28"/>
                <w:szCs w:val="28"/>
                <w:lang w:eastAsia="zh-CN"/>
                <w14:textFill>
                  <w14:solidFill>
                    <w14:schemeClr w14:val="tx1"/>
                  </w14:solidFill>
                </w14:textFill>
              </w:rPr>
              <w:t>符合性材料</w:t>
            </w:r>
          </w:p>
        </w:tc>
        <w:tc>
          <w:tcPr>
            <w:tcW w:w="6203" w:type="dxa"/>
            <w:noWrap w:val="0"/>
            <w:vAlign w:val="center"/>
          </w:tcPr>
          <w:p w14:paraId="607C508B">
            <w:pPr>
              <w:spacing w:line="360" w:lineRule="auto"/>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报价未超预算</w:t>
            </w:r>
          </w:p>
          <w:p w14:paraId="00B879A4">
            <w:pPr>
              <w:spacing w:line="360" w:lineRule="auto"/>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未采用选择性报价</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p>
          <w:p w14:paraId="4401FAC7">
            <w:pPr>
              <w:spacing w:line="360" w:lineRule="auto"/>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满足招标文件实质性要求和条件（加☆标注）</w:t>
            </w:r>
          </w:p>
          <w:p w14:paraId="69CBFEB6">
            <w:pPr>
              <w:spacing w:line="360" w:lineRule="auto"/>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投标文件内容基本完整，无重大错漏，并按要求签署、盖章</w:t>
            </w:r>
          </w:p>
          <w:p w14:paraId="7E52B6DD">
            <w:pPr>
              <w:spacing w:line="360" w:lineRule="auto"/>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投标有效期满足招标文件要求</w:t>
            </w:r>
          </w:p>
          <w:p w14:paraId="340A5680">
            <w:pPr>
              <w:spacing w:line="360" w:lineRule="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未含有采购人不能接受的附加条件的</w:t>
            </w:r>
          </w:p>
        </w:tc>
      </w:tr>
      <w:tr w14:paraId="0F83E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atLeast"/>
          <w:jc w:val="center"/>
        </w:trPr>
        <w:tc>
          <w:tcPr>
            <w:tcW w:w="735" w:type="dxa"/>
            <w:vMerge w:val="continue"/>
            <w:noWrap w:val="0"/>
            <w:vAlign w:val="center"/>
          </w:tcPr>
          <w:p w14:paraId="48EDEFFA">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p>
        </w:tc>
        <w:tc>
          <w:tcPr>
            <w:tcW w:w="1609" w:type="dxa"/>
            <w:vMerge w:val="continue"/>
            <w:noWrap w:val="0"/>
            <w:vAlign w:val="center"/>
          </w:tcPr>
          <w:p w14:paraId="7DD9D10F">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p>
        </w:tc>
        <w:tc>
          <w:tcPr>
            <w:tcW w:w="1055" w:type="dxa"/>
            <w:noWrap w:val="0"/>
            <w:vAlign w:val="center"/>
          </w:tcPr>
          <w:p w14:paraId="2FDDC5FE">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商务文件</w:t>
            </w:r>
          </w:p>
        </w:tc>
        <w:tc>
          <w:tcPr>
            <w:tcW w:w="6203" w:type="dxa"/>
            <w:noWrap w:val="0"/>
            <w:vAlign w:val="center"/>
          </w:tcPr>
          <w:p w14:paraId="6DAC18EE">
            <w:pPr>
              <w:spacing w:line="360" w:lineRule="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☆投标函；</w:t>
            </w:r>
          </w:p>
          <w:p w14:paraId="3FFEB597">
            <w:pPr>
              <w:spacing w:line="360" w:lineRule="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☆开标一览表；</w:t>
            </w:r>
          </w:p>
          <w:p w14:paraId="3DD1FEDC">
            <w:pPr>
              <w:spacing w:line="360" w:lineRule="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☆投标报价明细表；</w:t>
            </w:r>
          </w:p>
          <w:p w14:paraId="1052F0FF">
            <w:pPr>
              <w:spacing w:line="360" w:lineRule="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☆售后服务承诺书；</w:t>
            </w:r>
          </w:p>
          <w:p w14:paraId="6353199C">
            <w:pPr>
              <w:spacing w:line="360" w:lineRule="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☆商务条款偏离说明表；</w:t>
            </w:r>
          </w:p>
          <w:p w14:paraId="1EDF71AF">
            <w:pPr>
              <w:spacing w:line="360" w:lineRule="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供应商认为有必要提供的声明及文件资料；</w:t>
            </w:r>
          </w:p>
          <w:p w14:paraId="2B9A49AF">
            <w:pPr>
              <w:spacing w:line="360" w:lineRule="auto"/>
              <w:rPr>
                <w:rFonts w:hint="eastAsia" w:ascii="仿宋_GB2312" w:hAnsi="仿宋_GB2312" w:eastAsia="仿宋_GB2312" w:cs="仿宋_GB2312"/>
                <w:color w:val="000000" w:themeColor="text1"/>
                <w:kern w:val="0"/>
                <w:sz w:val="28"/>
                <w:szCs w:val="28"/>
                <w:u w:val="single"/>
                <w14:textFill>
                  <w14:solidFill>
                    <w14:schemeClr w14:val="tx1"/>
                  </w14:solidFill>
                </w14:textFill>
              </w:rPr>
            </w:pPr>
            <w:r>
              <w:rPr>
                <w:rFonts w:hint="eastAsia" w:ascii="仿宋_GB2312" w:hAnsi="仿宋_GB2312" w:eastAsia="仿宋_GB2312" w:cs="仿宋_GB2312"/>
                <w:color w:val="000000"/>
                <w:kern w:val="0"/>
                <w:sz w:val="28"/>
                <w:szCs w:val="28"/>
                <w:lang w:eastAsia="zh-CN"/>
              </w:rPr>
              <w:t xml:space="preserve">其他：  </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 xml:space="preserve">                       </w:t>
            </w:r>
          </w:p>
        </w:tc>
      </w:tr>
      <w:tr w14:paraId="77674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35" w:type="dxa"/>
            <w:vMerge w:val="continue"/>
            <w:noWrap w:val="0"/>
            <w:vAlign w:val="center"/>
          </w:tcPr>
          <w:p w14:paraId="5EE26074">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p>
        </w:tc>
        <w:tc>
          <w:tcPr>
            <w:tcW w:w="1609" w:type="dxa"/>
            <w:vMerge w:val="continue"/>
            <w:noWrap w:val="0"/>
            <w:vAlign w:val="center"/>
          </w:tcPr>
          <w:p w14:paraId="53885235">
            <w:pPr>
              <w:spacing w:line="360" w:lineRule="auto"/>
              <w:jc w:val="center"/>
              <w:rPr>
                <w:rFonts w:hint="eastAsia" w:ascii="仿宋_GB2312" w:hAnsi="仿宋_GB2312" w:eastAsia="仿宋_GB2312" w:cs="仿宋_GB2312"/>
                <w:color w:val="000000" w:themeColor="text1"/>
                <w:sz w:val="28"/>
                <w:szCs w:val="28"/>
                <w:highlight w:val="yellow"/>
                <w14:textFill>
                  <w14:solidFill>
                    <w14:schemeClr w14:val="tx1"/>
                  </w14:solidFill>
                </w14:textFill>
              </w:rPr>
            </w:pPr>
          </w:p>
        </w:tc>
        <w:tc>
          <w:tcPr>
            <w:tcW w:w="1055" w:type="dxa"/>
            <w:noWrap w:val="0"/>
            <w:vAlign w:val="center"/>
          </w:tcPr>
          <w:p w14:paraId="1D9D409D">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技术文件</w:t>
            </w:r>
          </w:p>
        </w:tc>
        <w:tc>
          <w:tcPr>
            <w:tcW w:w="6203" w:type="dxa"/>
            <w:noWrap w:val="0"/>
            <w:vAlign w:val="center"/>
          </w:tcPr>
          <w:p w14:paraId="6B17875B">
            <w:pPr>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投标人自行编写的技术文件：</w:t>
            </w:r>
          </w:p>
          <w:p w14:paraId="0176DA52">
            <w:pPr>
              <w:spacing w:line="360" w:lineRule="auto"/>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①针对本项目的综合说明（含服务理念、工作目标、整体设想和策划）；</w:t>
            </w:r>
          </w:p>
          <w:p w14:paraId="18CC9437">
            <w:pPr>
              <w:spacing w:line="360" w:lineRule="auto"/>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②简单方案说明或总体方案设计；</w:t>
            </w:r>
          </w:p>
          <w:p w14:paraId="55C9C3F9">
            <w:pPr>
              <w:spacing w:line="360" w:lineRule="auto"/>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③项目组织和管理；</w:t>
            </w:r>
          </w:p>
          <w:p w14:paraId="6C9B949D">
            <w:pPr>
              <w:spacing w:line="360" w:lineRule="auto"/>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④质量、进度、安全相关保障措施；</w:t>
            </w:r>
          </w:p>
          <w:p w14:paraId="1D27587E">
            <w:pPr>
              <w:spacing w:line="360" w:lineRule="auto"/>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⑤项目管理机构：要求提供项目管理机构框图、人员配备方案及岗位职责和职业资格（含管理层的设置，主要技术人员的人数和职责，各部门的设置、职责和拟安排的人数）；</w:t>
            </w:r>
          </w:p>
          <w:p w14:paraId="56D4BF29">
            <w:pPr>
              <w:spacing w:line="360" w:lineRule="auto"/>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⑥完成服务所需的工具、设备等资源配置；</w:t>
            </w:r>
          </w:p>
          <w:p w14:paraId="71D88DFE">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bCs/>
                <w:color w:val="000000" w:themeColor="text1"/>
                <w:sz w:val="28"/>
                <w:szCs w:val="28"/>
                <w14:textFill>
                  <w14:solidFill>
                    <w14:schemeClr w14:val="tx1"/>
                  </w14:solidFill>
                </w14:textFill>
              </w:rPr>
              <w:t>⑦技术规范偏离表；</w:t>
            </w:r>
          </w:p>
          <w:p w14:paraId="763204DA">
            <w:pPr>
              <w:spacing w:line="360" w:lineRule="auto"/>
              <w:rPr>
                <w:rFonts w:hint="eastAsia" w:ascii="仿宋_GB2312" w:hAnsi="仿宋_GB2312" w:eastAsia="仿宋_GB2312" w:cs="仿宋_GB2312"/>
                <w:color w:val="000000" w:themeColor="text1"/>
                <w:kern w:val="0"/>
                <w:sz w:val="28"/>
                <w:szCs w:val="28"/>
                <w:u w:val="single"/>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其他：</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 xml:space="preserve">                                                     </w:t>
            </w:r>
          </w:p>
        </w:tc>
      </w:tr>
      <w:tr w14:paraId="2BAFF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jc w:val="center"/>
        </w:trPr>
        <w:tc>
          <w:tcPr>
            <w:tcW w:w="735" w:type="dxa"/>
            <w:vMerge w:val="continue"/>
            <w:noWrap w:val="0"/>
            <w:vAlign w:val="center"/>
          </w:tcPr>
          <w:p w14:paraId="1CDE9960">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p>
        </w:tc>
        <w:tc>
          <w:tcPr>
            <w:tcW w:w="1609" w:type="dxa"/>
            <w:vMerge w:val="continue"/>
            <w:noWrap w:val="0"/>
            <w:vAlign w:val="center"/>
          </w:tcPr>
          <w:p w14:paraId="3C9187E8">
            <w:pPr>
              <w:spacing w:line="360" w:lineRule="auto"/>
              <w:jc w:val="center"/>
              <w:rPr>
                <w:rFonts w:hint="eastAsia" w:ascii="仿宋_GB2312" w:hAnsi="仿宋_GB2312" w:eastAsia="仿宋_GB2312" w:cs="仿宋_GB2312"/>
                <w:color w:val="000000" w:themeColor="text1"/>
                <w:sz w:val="28"/>
                <w:szCs w:val="28"/>
                <w:highlight w:val="yellow"/>
                <w14:textFill>
                  <w14:solidFill>
                    <w14:schemeClr w14:val="tx1"/>
                  </w14:solidFill>
                </w14:textFill>
              </w:rPr>
            </w:pPr>
          </w:p>
        </w:tc>
        <w:tc>
          <w:tcPr>
            <w:tcW w:w="1055" w:type="dxa"/>
            <w:noWrap w:val="0"/>
            <w:vAlign w:val="center"/>
          </w:tcPr>
          <w:p w14:paraId="64932422">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服务文件</w:t>
            </w:r>
          </w:p>
        </w:tc>
        <w:tc>
          <w:tcPr>
            <w:tcW w:w="6203" w:type="dxa"/>
            <w:noWrap w:val="0"/>
            <w:vAlign w:val="center"/>
          </w:tcPr>
          <w:p w14:paraId="6AB9AA3A">
            <w:pPr>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投标人自行编写的服务文件：</w:t>
            </w:r>
          </w:p>
          <w:p w14:paraId="3488CE8B">
            <w:pPr>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①货物售后服务：</w:t>
            </w:r>
          </w:p>
          <w:p w14:paraId="6CEF21E2">
            <w:pPr>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&lt;1&gt;货物的保修期和售后服务的程序、内容及措施；</w:t>
            </w:r>
          </w:p>
          <w:p w14:paraId="069A5B89">
            <w:pPr>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&lt;2&gt;响应时间和技术支持情况；</w:t>
            </w:r>
          </w:p>
          <w:p w14:paraId="0D3A85C1">
            <w:pPr>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&lt;3&gt;培训方案及内容；</w:t>
            </w:r>
          </w:p>
          <w:p w14:paraId="48986CC1">
            <w:pPr>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②售后服务网点明细表（包括联系人、详细地址、电话、传真）及</w:t>
            </w:r>
            <w:r>
              <w:rPr>
                <w:rFonts w:hint="eastAsia" w:ascii="仿宋_GB2312" w:hAnsi="仿宋_GB2312" w:eastAsia="仿宋_GB2312" w:cs="仿宋_GB2312"/>
                <w:color w:val="000000" w:themeColor="text1"/>
                <w:sz w:val="28"/>
                <w:szCs w:val="28"/>
                <w14:textFill>
                  <w14:solidFill>
                    <w14:schemeClr w14:val="tx1"/>
                  </w14:solidFill>
                </w14:textFill>
              </w:rPr>
              <w:t>本地化服务情况一览表；</w:t>
            </w:r>
          </w:p>
          <w:p w14:paraId="232B1324">
            <w:pPr>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themeColor="text1"/>
                <w:kern w:val="0"/>
                <w:sz w:val="28"/>
                <w:szCs w:val="28"/>
                <w14:textFill>
                  <w14:solidFill>
                    <w14:schemeClr w14:val="tx1"/>
                  </w14:solidFill>
                </w14:textFill>
              </w:rPr>
              <w:t>③服务项目偏离表。</w:t>
            </w:r>
          </w:p>
          <w:p w14:paraId="3E2323E3">
            <w:pPr>
              <w:spacing w:line="360" w:lineRule="auto"/>
              <w:rPr>
                <w:rFonts w:hint="eastAsia" w:ascii="仿宋_GB2312" w:hAnsi="仿宋_GB2312" w:eastAsia="仿宋_GB2312" w:cs="仿宋_GB2312"/>
                <w:color w:val="000000" w:themeColor="text1"/>
                <w:kern w:val="0"/>
                <w:sz w:val="28"/>
                <w:szCs w:val="28"/>
                <w:u w:val="single"/>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其他：</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 xml:space="preserve">                                             </w:t>
            </w:r>
          </w:p>
        </w:tc>
      </w:tr>
      <w:tr w14:paraId="79A44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2A082E07">
            <w:pPr>
              <w:spacing w:line="360" w:lineRule="auto"/>
              <w:jc w:val="center"/>
              <w:rPr>
                <w:rFonts w:hint="eastAsia" w:ascii="仿宋_GB2312" w:hAnsi="仿宋_GB2312" w:eastAsia="仿宋_GB2312" w:cs="仿宋_GB2312"/>
                <w:b/>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7</w:t>
            </w:r>
          </w:p>
        </w:tc>
        <w:tc>
          <w:tcPr>
            <w:tcW w:w="2664" w:type="dxa"/>
            <w:gridSpan w:val="2"/>
            <w:noWrap w:val="0"/>
            <w:vAlign w:val="center"/>
          </w:tcPr>
          <w:p w14:paraId="0B5034BD">
            <w:pPr>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是否允许联合体投标</w:t>
            </w:r>
          </w:p>
        </w:tc>
        <w:tc>
          <w:tcPr>
            <w:tcW w:w="6203" w:type="dxa"/>
            <w:noWrap w:val="0"/>
            <w:vAlign w:val="center"/>
          </w:tcPr>
          <w:p w14:paraId="728FD783">
            <w:pPr>
              <w:autoSpaceDE w:val="0"/>
              <w:autoSpaceDN w:val="0"/>
              <w:adjustRightInd w:val="0"/>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bookmarkStart w:id="52" w:name="EBc6ac0877da194e1ead2e51743a97925a"/>
            <w:bookmarkEnd w:id="52"/>
            <w:r>
              <w:rPr>
                <w:rFonts w:hint="eastAsia" w:ascii="仿宋_GB2312" w:hAnsi="仿宋_GB2312" w:eastAsia="仿宋_GB2312" w:cs="仿宋_GB2312"/>
                <w:color w:val="000000" w:themeColor="text1"/>
                <w:kern w:val="0"/>
                <w:sz w:val="28"/>
                <w:szCs w:val="28"/>
                <w14:textFill>
                  <w14:solidFill>
                    <w14:schemeClr w14:val="tx1"/>
                  </w14:solidFill>
                </w14:textFill>
              </w:rPr>
              <w:t xml:space="preserve">□是。    </w:t>
            </w:r>
          </w:p>
          <w:p w14:paraId="3B05A5D4">
            <w:pPr>
              <w:autoSpaceDE w:val="0"/>
              <w:autoSpaceDN w:val="0"/>
              <w:adjustRightInd w:val="0"/>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应满足要求：</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w:t>
            </w:r>
          </w:p>
          <w:p w14:paraId="7CC8A544">
            <w:pPr>
              <w:autoSpaceDE w:val="0"/>
              <w:autoSpaceDN w:val="0"/>
              <w:adjustRightInd w:val="0"/>
              <w:spacing w:line="360" w:lineRule="auto"/>
              <w:rPr>
                <w:rFonts w:hint="eastAsia" w:ascii="仿宋_GB2312" w:hAnsi="仿宋_GB2312" w:eastAsia="仿宋_GB2312" w:cs="仿宋_GB2312"/>
                <w:color w:val="000000" w:themeColor="text1"/>
                <w:kern w:val="0"/>
                <w:sz w:val="28"/>
                <w:szCs w:val="28"/>
                <w:u w:val="single"/>
                <w14:textFill>
                  <w14:solidFill>
                    <w14:schemeClr w14:val="tx1"/>
                  </w14:solidFill>
                </w14:textFill>
              </w:rPr>
            </w:pP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14:textFill>
                  <w14:solidFill>
                    <w14:schemeClr w14:val="tx1"/>
                  </w14:solidFill>
                </w14:textFill>
              </w:rPr>
              <w:t>否。</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 xml:space="preserve">                                       </w:t>
            </w:r>
          </w:p>
        </w:tc>
      </w:tr>
      <w:tr w14:paraId="7D2A6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704FE7C7">
            <w:pPr>
              <w:spacing w:line="360" w:lineRule="auto"/>
              <w:jc w:val="center"/>
              <w:rPr>
                <w:rFonts w:hint="eastAsia" w:ascii="仿宋_GB2312" w:hAnsi="仿宋_GB2312" w:eastAsia="仿宋_GB2312" w:cs="仿宋_GB2312"/>
                <w:b/>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8</w:t>
            </w:r>
          </w:p>
        </w:tc>
        <w:tc>
          <w:tcPr>
            <w:tcW w:w="2664" w:type="dxa"/>
            <w:gridSpan w:val="2"/>
            <w:noWrap w:val="0"/>
            <w:vAlign w:val="center"/>
          </w:tcPr>
          <w:p w14:paraId="6F2D2ED7">
            <w:pPr>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踏勘现场</w:t>
            </w:r>
          </w:p>
        </w:tc>
        <w:tc>
          <w:tcPr>
            <w:tcW w:w="6203" w:type="dxa"/>
            <w:noWrap w:val="0"/>
            <w:vAlign w:val="center"/>
          </w:tcPr>
          <w:p w14:paraId="25B1BB8A">
            <w:pPr>
              <w:autoSpaceDE w:val="0"/>
              <w:autoSpaceDN w:val="0"/>
              <w:adjustRightInd w:val="0"/>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bookmarkStart w:id="53" w:name="EBbb43714198e3424880ac7b30e46e04ef"/>
            <w:bookmarkEnd w:id="53"/>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14:textFill>
                  <w14:solidFill>
                    <w14:schemeClr w14:val="tx1"/>
                  </w14:solidFill>
                </w14:textFill>
              </w:rPr>
              <w:t>自行踏勘。</w:t>
            </w:r>
          </w:p>
          <w:p w14:paraId="07D4615B">
            <w:pPr>
              <w:autoSpaceDE w:val="0"/>
              <w:autoSpaceDN w:val="0"/>
              <w:adjustRightInd w:val="0"/>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□统一组织。</w:t>
            </w:r>
          </w:p>
          <w:p w14:paraId="79282051">
            <w:pPr>
              <w:spacing w:line="360" w:lineRule="auto"/>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联系人：</w:t>
            </w:r>
          </w:p>
          <w:p w14:paraId="5F4DF14F">
            <w:pPr>
              <w:autoSpaceDE w:val="0"/>
              <w:autoSpaceDN w:val="0"/>
              <w:adjustRightInd w:val="0"/>
              <w:spacing w:line="360" w:lineRule="auto"/>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联系电话：</w:t>
            </w:r>
          </w:p>
          <w:p w14:paraId="1A279243">
            <w:pPr>
              <w:autoSpaceDE w:val="0"/>
              <w:autoSpaceDN w:val="0"/>
              <w:adjustRightInd w:val="0"/>
              <w:spacing w:line="360" w:lineRule="auto"/>
              <w:rPr>
                <w:rFonts w:hint="eastAsia" w:ascii="仿宋_GB2312" w:hAnsi="仿宋_GB2312" w:eastAsia="仿宋_GB2312" w:cs="仿宋_GB2312"/>
                <w:color w:val="000000" w:themeColor="text1"/>
                <w:kern w:val="0"/>
                <w:sz w:val="28"/>
                <w:szCs w:val="28"/>
                <w:u w:val="single"/>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踏勘时间：</w:t>
            </w:r>
            <w:bookmarkStart w:id="54" w:name="EB2c99bcd88c504ac287899c97ccd7f5ce"/>
            <w:bookmarkEnd w:id="54"/>
            <w:r>
              <w:rPr>
                <w:rFonts w:hint="eastAsia" w:ascii="仿宋_GB2312" w:hAnsi="仿宋_GB2312" w:eastAsia="仿宋_GB2312" w:cs="仿宋_GB2312"/>
                <w:color w:val="000000" w:themeColor="text1"/>
                <w:kern w:val="0"/>
                <w:sz w:val="28"/>
                <w:szCs w:val="28"/>
                <w:u w:val="single"/>
                <w14:textFill>
                  <w14:solidFill>
                    <w14:schemeClr w14:val="tx1"/>
                  </w14:solidFill>
                </w14:textFill>
              </w:rPr>
              <w:t xml:space="preserve">                                         </w:t>
            </w:r>
          </w:p>
          <w:p w14:paraId="594BA458">
            <w:pPr>
              <w:autoSpaceDE w:val="0"/>
              <w:autoSpaceDN w:val="0"/>
              <w:adjustRightInd w:val="0"/>
              <w:spacing w:line="360" w:lineRule="auto"/>
              <w:rPr>
                <w:rFonts w:hint="eastAsia" w:ascii="仿宋_GB2312" w:hAnsi="仿宋_GB2312" w:eastAsia="仿宋_GB2312" w:cs="仿宋_GB2312"/>
                <w:color w:val="000000" w:themeColor="text1"/>
                <w:kern w:val="0"/>
                <w:sz w:val="28"/>
                <w:szCs w:val="28"/>
                <w:u w:val="single"/>
                <w:lang w:val="en-US"/>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踏勘地点：</w:t>
            </w:r>
            <w:bookmarkStart w:id="55" w:name="EB71dedbf36fe341cc8bc2b5c198b26335"/>
            <w:bookmarkEnd w:id="55"/>
          </w:p>
        </w:tc>
      </w:tr>
      <w:tr w14:paraId="27DA1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3DF2EBD7">
            <w:pPr>
              <w:spacing w:line="360" w:lineRule="auto"/>
              <w:jc w:val="cente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9</w:t>
            </w:r>
          </w:p>
        </w:tc>
        <w:tc>
          <w:tcPr>
            <w:tcW w:w="2664" w:type="dxa"/>
            <w:gridSpan w:val="2"/>
            <w:noWrap w:val="0"/>
            <w:vAlign w:val="center"/>
          </w:tcPr>
          <w:p w14:paraId="38649BD5">
            <w:pPr>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磋商</w:t>
            </w:r>
            <w:r>
              <w:rPr>
                <w:rFonts w:hint="eastAsia" w:ascii="仿宋_GB2312" w:hAnsi="仿宋_GB2312" w:eastAsia="仿宋_GB2312" w:cs="仿宋_GB2312"/>
                <w:b/>
                <w:color w:val="000000" w:themeColor="text1"/>
                <w:sz w:val="28"/>
                <w:szCs w:val="28"/>
                <w14:textFill>
                  <w14:solidFill>
                    <w14:schemeClr w14:val="tx1"/>
                  </w14:solidFill>
                </w14:textFill>
              </w:rPr>
              <w:t>有效期</w:t>
            </w:r>
          </w:p>
        </w:tc>
        <w:tc>
          <w:tcPr>
            <w:tcW w:w="6203" w:type="dxa"/>
            <w:noWrap w:val="0"/>
            <w:vAlign w:val="center"/>
          </w:tcPr>
          <w:p w14:paraId="71CD3472">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自投标截止之日</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起</w:t>
            </w:r>
            <w:bookmarkStart w:id="56" w:name="EB5a3362fe8fc1402b9d5cafc876bbbffd"/>
            <w:bookmarkEnd w:id="56"/>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90</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日</w:t>
            </w:r>
            <w:r>
              <w:rPr>
                <w:rFonts w:hint="eastAsia" w:ascii="仿宋_GB2312" w:hAnsi="仿宋_GB2312" w:eastAsia="仿宋_GB2312" w:cs="仿宋_GB2312"/>
                <w:color w:val="000000" w:themeColor="text1"/>
                <w:sz w:val="28"/>
                <w:szCs w:val="28"/>
                <w:lang w:val="zh-CN"/>
                <w14:textFill>
                  <w14:solidFill>
                    <w14:schemeClr w14:val="tx1"/>
                  </w14:solidFill>
                </w14:textFill>
              </w:rPr>
              <w:t>历天。</w:t>
            </w:r>
          </w:p>
        </w:tc>
      </w:tr>
      <w:tr w14:paraId="534E5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35" w:type="dxa"/>
            <w:noWrap w:val="0"/>
            <w:vAlign w:val="center"/>
          </w:tcPr>
          <w:p w14:paraId="009794E9">
            <w:pPr>
              <w:spacing w:line="360" w:lineRule="auto"/>
              <w:jc w:val="cente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10</w:t>
            </w:r>
          </w:p>
        </w:tc>
        <w:tc>
          <w:tcPr>
            <w:tcW w:w="2664" w:type="dxa"/>
            <w:gridSpan w:val="2"/>
            <w:noWrap w:val="0"/>
            <w:vAlign w:val="center"/>
          </w:tcPr>
          <w:p w14:paraId="019D8D27">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投标截止时间</w:t>
            </w:r>
          </w:p>
          <w:p w14:paraId="1FC895AA">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（开标时间）</w:t>
            </w:r>
          </w:p>
        </w:tc>
        <w:tc>
          <w:tcPr>
            <w:tcW w:w="6203" w:type="dxa"/>
            <w:noWrap w:val="0"/>
            <w:vAlign w:val="center"/>
          </w:tcPr>
          <w:p w14:paraId="41E289B0">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截止时间：</w:t>
            </w:r>
            <w:bookmarkStart w:id="57" w:name="EB7d3dd1e1f72448c6869af9e368eca561"/>
            <w:bookmarkEnd w:id="57"/>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2026</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15</w:t>
            </w:r>
            <w:bookmarkStart w:id="179" w:name="_GoBack"/>
            <w:bookmarkEnd w:id="179"/>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日</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点</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30</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分</w:t>
            </w:r>
            <w:r>
              <w:rPr>
                <w:rFonts w:hint="eastAsia" w:ascii="仿宋_GB2312" w:hAnsi="仿宋_GB2312" w:eastAsia="仿宋_GB2312" w:cs="仿宋_GB2312"/>
                <w:color w:val="000000" w:themeColor="text1"/>
                <w:sz w:val="28"/>
                <w:szCs w:val="28"/>
                <w:u w:val="single"/>
                <w14:textFill>
                  <w14:solidFill>
                    <w14:schemeClr w14:val="tx1"/>
                  </w14:solidFill>
                </w14:textFill>
              </w:rPr>
              <w:t>（北京时间）</w:t>
            </w:r>
          </w:p>
        </w:tc>
      </w:tr>
      <w:tr w14:paraId="3CC59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69932611">
            <w:pPr>
              <w:spacing w:line="360" w:lineRule="auto"/>
              <w:jc w:val="cente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11</w:t>
            </w:r>
          </w:p>
        </w:tc>
        <w:tc>
          <w:tcPr>
            <w:tcW w:w="2664" w:type="dxa"/>
            <w:gridSpan w:val="2"/>
            <w:noWrap w:val="0"/>
            <w:vAlign w:val="center"/>
          </w:tcPr>
          <w:p w14:paraId="0477E06A">
            <w:pPr>
              <w:spacing w:line="360" w:lineRule="auto"/>
              <w:jc w:val="center"/>
              <w:rPr>
                <w:rFonts w:hint="eastAsia" w:ascii="仿宋_GB2312" w:hAnsi="仿宋_GB2312" w:eastAsia="仿宋_GB2312" w:cs="仿宋_GB2312"/>
                <w:b/>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投标文件</w:t>
            </w:r>
            <w:r>
              <w:rPr>
                <w:rFonts w:hint="eastAsia" w:ascii="仿宋_GB2312" w:hAnsi="仿宋_GB2312" w:eastAsia="仿宋_GB2312" w:cs="仿宋_GB2312"/>
                <w:b/>
                <w:color w:val="000000" w:themeColor="text1"/>
                <w:kern w:val="0"/>
                <w:sz w:val="28"/>
                <w:szCs w:val="28"/>
                <w:lang w:eastAsia="zh-CN"/>
                <w14:textFill>
                  <w14:solidFill>
                    <w14:schemeClr w14:val="tx1"/>
                  </w14:solidFill>
                </w14:textFill>
              </w:rPr>
              <w:t>要求</w:t>
            </w:r>
          </w:p>
        </w:tc>
        <w:tc>
          <w:tcPr>
            <w:tcW w:w="6203" w:type="dxa"/>
            <w:noWrap w:val="0"/>
            <w:vAlign w:val="center"/>
          </w:tcPr>
          <w:p w14:paraId="502C1727">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投标文件包括：</w:t>
            </w:r>
          </w:p>
          <w:p w14:paraId="7FBFB53E">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加密的电子投标文件，在投标截止时间前通过</w:t>
            </w:r>
            <w:r>
              <w:rPr>
                <w:rFonts w:hint="eastAsia" w:ascii="仿宋_GB2312" w:hAnsi="仿宋_GB2312" w:eastAsia="仿宋_GB2312" w:cs="仿宋_GB2312"/>
                <w:color w:val="000000" w:themeColor="text1"/>
                <w:sz w:val="28"/>
                <w:szCs w:val="28"/>
                <w:lang w:eastAsia="zh-CN"/>
                <w14:textFill>
                  <w14:solidFill>
                    <w14:schemeClr w14:val="tx1"/>
                  </w14:solidFill>
                </w14:textFill>
              </w:rPr>
              <w:t>新疆政采云</w:t>
            </w:r>
            <w:r>
              <w:rPr>
                <w:rFonts w:hint="eastAsia" w:ascii="仿宋_GB2312" w:hAnsi="仿宋_GB2312" w:eastAsia="仿宋_GB2312" w:cs="仿宋_GB2312"/>
                <w:color w:val="000000" w:themeColor="text1"/>
                <w:sz w:val="28"/>
                <w:szCs w:val="28"/>
                <w14:textFill>
                  <w14:solidFill>
                    <w14:schemeClr w14:val="tx1"/>
                  </w14:solidFill>
                </w14:textFill>
              </w:rPr>
              <w:t>平台上传；</w:t>
            </w:r>
          </w:p>
          <w:p w14:paraId="7E96E2BD">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备注：因投标人</w:t>
            </w:r>
            <w:r>
              <w:rPr>
                <w:rFonts w:hint="eastAsia" w:ascii="仿宋_GB2312" w:hAnsi="仿宋_GB2312" w:eastAsia="仿宋_GB2312" w:cs="仿宋_GB2312"/>
                <w:color w:val="000000" w:themeColor="text1"/>
                <w:sz w:val="28"/>
                <w:szCs w:val="28"/>
                <w:lang w:eastAsia="zh-CN"/>
                <w14:textFill>
                  <w14:solidFill>
                    <w14:schemeClr w14:val="tx1"/>
                  </w14:solidFill>
                </w14:textFill>
              </w:rPr>
              <w:t>在解密时间内</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因</w:t>
            </w:r>
            <w:r>
              <w:rPr>
                <w:rFonts w:hint="eastAsia" w:ascii="仿宋_GB2312" w:hAnsi="仿宋_GB2312" w:eastAsia="仿宋_GB2312" w:cs="仿宋_GB2312"/>
                <w:color w:val="000000" w:themeColor="text1"/>
                <w:sz w:val="28"/>
                <w:szCs w:val="28"/>
                <w14:textFill>
                  <w14:solidFill>
                    <w14:schemeClr w14:val="tx1"/>
                  </w14:solidFill>
                </w14:textFill>
              </w:rPr>
              <w:t>自身原因导致解密失败的，将导致其投标被拒绝且投标文件被退回</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tc>
      </w:tr>
      <w:tr w14:paraId="66C6A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5A190698">
            <w:pPr>
              <w:spacing w:line="360" w:lineRule="auto"/>
              <w:jc w:val="cente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12</w:t>
            </w:r>
          </w:p>
        </w:tc>
        <w:tc>
          <w:tcPr>
            <w:tcW w:w="2664" w:type="dxa"/>
            <w:gridSpan w:val="2"/>
            <w:noWrap w:val="0"/>
            <w:vAlign w:val="center"/>
          </w:tcPr>
          <w:p w14:paraId="3A8DDEAB">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开标时间及地点</w:t>
            </w:r>
          </w:p>
        </w:tc>
        <w:tc>
          <w:tcPr>
            <w:tcW w:w="6203" w:type="dxa"/>
            <w:noWrap w:val="0"/>
            <w:vAlign w:val="center"/>
          </w:tcPr>
          <w:p w14:paraId="5FE8CEA5">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开标时间：同投标截止时间</w:t>
            </w:r>
          </w:p>
          <w:p w14:paraId="570E0131">
            <w:pPr>
              <w:spacing w:line="360" w:lineRule="auto"/>
              <w:rPr>
                <w:rFonts w:hint="eastAsia"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开标地点：</w:t>
            </w:r>
            <w:bookmarkStart w:id="58" w:name="EB34014fc957d649bb8986b84244ff4257"/>
            <w:bookmarkEnd w:id="58"/>
            <w:r>
              <w:rPr>
                <w:rFonts w:hint="eastAsia" w:ascii="仿宋_GB2312" w:hAnsi="仿宋_GB2312" w:eastAsia="仿宋_GB2312" w:cs="仿宋_GB2312"/>
                <w:color w:val="000000" w:themeColor="text1"/>
                <w:sz w:val="28"/>
                <w:szCs w:val="28"/>
                <w14:textFill>
                  <w14:solidFill>
                    <w14:schemeClr w14:val="tx1"/>
                  </w14:solidFill>
                </w14:textFill>
              </w:rPr>
              <w:t>政采云平台https://www.zcygov.cn/不见面开标大厅</w:t>
            </w:r>
          </w:p>
        </w:tc>
      </w:tr>
      <w:tr w14:paraId="5F3F3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3E059E42">
            <w:pPr>
              <w:spacing w:line="360" w:lineRule="auto"/>
              <w:jc w:val="cente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13</w:t>
            </w:r>
          </w:p>
        </w:tc>
        <w:tc>
          <w:tcPr>
            <w:tcW w:w="2664" w:type="dxa"/>
            <w:gridSpan w:val="2"/>
            <w:noWrap w:val="0"/>
            <w:vAlign w:val="center"/>
          </w:tcPr>
          <w:p w14:paraId="5A316174">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评标委员会的组成</w:t>
            </w:r>
          </w:p>
        </w:tc>
        <w:tc>
          <w:tcPr>
            <w:tcW w:w="6203" w:type="dxa"/>
            <w:noWrap w:val="0"/>
            <w:vAlign w:val="center"/>
          </w:tcPr>
          <w:p w14:paraId="22BD1E04">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评标委员会构成：</w:t>
            </w:r>
            <w:bookmarkStart w:id="59" w:name="EB72d16e85338144d4a2d954e860d91604"/>
            <w:bookmarkEnd w:id="59"/>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 xml:space="preserve"> 人，其中</w:t>
            </w:r>
            <w:r>
              <w:rPr>
                <w:rFonts w:hint="eastAsia" w:ascii="仿宋_GB2312" w:hAnsi="仿宋_GB2312" w:eastAsia="仿宋_GB2312" w:cs="仿宋_GB2312"/>
                <w:color w:val="000000" w:themeColor="text1"/>
                <w:sz w:val="28"/>
                <w:szCs w:val="28"/>
                <w:lang w:eastAsia="zh-CN"/>
                <w14:textFill>
                  <w14:solidFill>
                    <w14:schemeClr w14:val="tx1"/>
                  </w14:solidFill>
                </w14:textFill>
              </w:rPr>
              <w:t>采购</w:t>
            </w:r>
            <w:r>
              <w:rPr>
                <w:rFonts w:hint="eastAsia" w:ascii="仿宋_GB2312" w:hAnsi="仿宋_GB2312" w:eastAsia="仿宋_GB2312" w:cs="仿宋_GB2312"/>
                <w:color w:val="000000" w:themeColor="text1"/>
                <w:sz w:val="28"/>
                <w:szCs w:val="28"/>
                <w14:textFill>
                  <w14:solidFill>
                    <w14:schemeClr w14:val="tx1"/>
                  </w14:solidFill>
                </w14:textFill>
              </w:rPr>
              <w:t>人代表</w:t>
            </w:r>
            <w:bookmarkStart w:id="60" w:name="EB2a6ee956a7614937981c4694c7a0091e"/>
            <w:bookmarkEnd w:id="60"/>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1</w:t>
            </w:r>
            <w:r>
              <w:rPr>
                <w:rFonts w:hint="eastAsia" w:ascii="仿宋_GB2312" w:hAnsi="仿宋_GB2312" w:eastAsia="仿宋_GB2312" w:cs="仿宋_GB2312"/>
                <w:color w:val="000000" w:themeColor="text1"/>
                <w:sz w:val="28"/>
                <w:szCs w:val="28"/>
                <w14:textFill>
                  <w14:solidFill>
                    <w14:schemeClr w14:val="tx1"/>
                  </w14:solidFill>
                </w14:textFill>
              </w:rPr>
              <w:t xml:space="preserve"> 人</w:t>
            </w:r>
          </w:p>
          <w:p w14:paraId="29466A7D">
            <w:pPr>
              <w:spacing w:line="360" w:lineRule="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评委确定方式：</w:t>
            </w:r>
            <w:bookmarkStart w:id="61" w:name="EB6479c32eb2ce45839a2e1507d7cdac93"/>
            <w:bookmarkEnd w:id="61"/>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随机抽取</w:t>
            </w:r>
          </w:p>
        </w:tc>
      </w:tr>
      <w:tr w14:paraId="2D948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restart"/>
            <w:noWrap w:val="0"/>
            <w:vAlign w:val="center"/>
          </w:tcPr>
          <w:p w14:paraId="0188C6BE">
            <w:pPr>
              <w:spacing w:line="360" w:lineRule="auto"/>
              <w:jc w:val="cente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14</w:t>
            </w:r>
          </w:p>
        </w:tc>
        <w:tc>
          <w:tcPr>
            <w:tcW w:w="2664" w:type="dxa"/>
            <w:gridSpan w:val="2"/>
            <w:vMerge w:val="restart"/>
            <w:noWrap w:val="0"/>
            <w:vAlign w:val="center"/>
          </w:tcPr>
          <w:p w14:paraId="5F317E13">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投标保证金</w:t>
            </w:r>
          </w:p>
        </w:tc>
        <w:tc>
          <w:tcPr>
            <w:tcW w:w="6203" w:type="dxa"/>
            <w:noWrap w:val="0"/>
            <w:vAlign w:val="center"/>
          </w:tcPr>
          <w:p w14:paraId="0BC6BBB9">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保证金由供应商自主选择以银行转账和</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电子</w:t>
            </w:r>
            <w:r>
              <w:rPr>
                <w:rFonts w:hint="eastAsia" w:ascii="仿宋_GB2312" w:hAnsi="仿宋_GB2312" w:eastAsia="仿宋_GB2312" w:cs="仿宋_GB2312"/>
                <w:color w:val="000000" w:themeColor="text1"/>
                <w:sz w:val="28"/>
                <w:szCs w:val="28"/>
                <w14:textFill>
                  <w14:solidFill>
                    <w14:schemeClr w14:val="tx1"/>
                  </w14:solidFill>
                </w14:textFill>
              </w:rPr>
              <w:t>保函的非现金方式缴纳，具体方式如下：</w:t>
            </w:r>
          </w:p>
          <w:p w14:paraId="54FBA696">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方式一：</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电子</w:t>
            </w:r>
            <w:r>
              <w:rPr>
                <w:rFonts w:hint="eastAsia" w:ascii="仿宋_GB2312" w:hAnsi="仿宋_GB2312" w:eastAsia="仿宋_GB2312" w:cs="仿宋_GB2312"/>
                <w:color w:val="000000" w:themeColor="text1"/>
                <w:sz w:val="28"/>
                <w:szCs w:val="28"/>
                <w14:textFill>
                  <w14:solidFill>
                    <w14:schemeClr w14:val="tx1"/>
                  </w14:solidFill>
                </w14:textFill>
              </w:rPr>
              <w:t>保函</w:t>
            </w:r>
          </w:p>
          <w:p w14:paraId="0F5DC518">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（1）可以使用银行保函、担保保函、保险保函其中之一形式提交。</w:t>
            </w:r>
          </w:p>
          <w:p w14:paraId="0215B1BE">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（2）供应商制作投标（响应）文件时，须将保函办理凭证</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及缴费凭证</w:t>
            </w:r>
            <w:r>
              <w:rPr>
                <w:rFonts w:hint="eastAsia" w:ascii="仿宋_GB2312" w:hAnsi="仿宋_GB2312" w:eastAsia="仿宋_GB2312" w:cs="仿宋_GB2312"/>
                <w:color w:val="000000" w:themeColor="text1"/>
                <w:sz w:val="28"/>
                <w:szCs w:val="28"/>
                <w14:textFill>
                  <w14:solidFill>
                    <w14:schemeClr w14:val="tx1"/>
                  </w14:solidFill>
                </w14:textFill>
              </w:rPr>
              <w:t>编制到响应文件的资格证明文件中提交。</w:t>
            </w:r>
          </w:p>
          <w:p w14:paraId="67C70659">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方式二：银行转账</w:t>
            </w:r>
          </w:p>
          <w:p w14:paraId="29DEC31C">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账户名称：阿勒泰地区行政服务中心</w:t>
            </w:r>
          </w:p>
          <w:p w14:paraId="1B623CFE">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账号：301508010400078810000000001</w:t>
            </w:r>
          </w:p>
          <w:p w14:paraId="077CCEA1">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开户行名称：中国农业银行股份有限公司阿勒泰市支行</w:t>
            </w:r>
          </w:p>
          <w:p w14:paraId="7108E707">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行号：103902015081</w:t>
            </w:r>
          </w:p>
        </w:tc>
      </w:tr>
      <w:tr w14:paraId="61850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continue"/>
            <w:noWrap w:val="0"/>
            <w:vAlign w:val="center"/>
          </w:tcPr>
          <w:p w14:paraId="27C4C363">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p>
        </w:tc>
        <w:tc>
          <w:tcPr>
            <w:tcW w:w="2664" w:type="dxa"/>
            <w:gridSpan w:val="2"/>
            <w:vMerge w:val="continue"/>
            <w:noWrap w:val="0"/>
            <w:vAlign w:val="center"/>
          </w:tcPr>
          <w:p w14:paraId="609BC4E2">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p>
        </w:tc>
        <w:tc>
          <w:tcPr>
            <w:tcW w:w="6203" w:type="dxa"/>
            <w:noWrap w:val="0"/>
            <w:vAlign w:val="center"/>
          </w:tcPr>
          <w:p w14:paraId="3500EBB4">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金</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额：</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8300</w:t>
            </w:r>
            <w:r>
              <w:rPr>
                <w:rFonts w:hint="eastAsia" w:ascii="仿宋_GB2312" w:hAnsi="仿宋_GB2312" w:eastAsia="仿宋_GB2312" w:cs="仿宋_GB2312"/>
                <w:color w:val="000000" w:themeColor="text1"/>
                <w:sz w:val="28"/>
                <w:szCs w:val="28"/>
                <w:lang w:eastAsia="zh-CN"/>
                <w14:textFill>
                  <w14:solidFill>
                    <w14:schemeClr w14:val="tx1"/>
                  </w14:solidFill>
                </w14:textFill>
              </w:rPr>
              <w:t>元</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p>
        </w:tc>
      </w:tr>
      <w:tr w14:paraId="40286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continue"/>
            <w:noWrap w:val="0"/>
            <w:vAlign w:val="center"/>
          </w:tcPr>
          <w:p w14:paraId="012FE622">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p>
        </w:tc>
        <w:tc>
          <w:tcPr>
            <w:tcW w:w="2664" w:type="dxa"/>
            <w:gridSpan w:val="2"/>
            <w:vMerge w:val="continue"/>
            <w:noWrap w:val="0"/>
            <w:vAlign w:val="center"/>
          </w:tcPr>
          <w:p w14:paraId="10159A29">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p>
        </w:tc>
        <w:tc>
          <w:tcPr>
            <w:tcW w:w="6203" w:type="dxa"/>
            <w:tcBorders>
              <w:bottom w:val="single" w:color="auto" w:sz="4" w:space="0"/>
            </w:tcBorders>
            <w:noWrap w:val="0"/>
            <w:vAlign w:val="center"/>
          </w:tcPr>
          <w:p w14:paraId="201934BA">
            <w:pPr>
              <w:spacing w:line="36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注：供应商制作投标（响应）文件时，须将保证金缴纳凭证编制到响应文件的资格证明文件中提交。</w:t>
            </w:r>
          </w:p>
          <w:p w14:paraId="6F3938A1">
            <w:pPr>
              <w:spacing w:line="36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★若供应商未按上述规定缴纳保证金，将导致投标（响应）无效。</w:t>
            </w:r>
          </w:p>
          <w:p w14:paraId="02269870">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sz w:val="28"/>
                <w:szCs w:val="28"/>
                <w:lang w:val="en-US" w:eastAsia="zh-CN"/>
              </w:rPr>
              <w:t>中标供应商的保证金，将在合同签订后的5个工作日内予以退还（须在政采云系统上传合同后方可办理退还手续）；未中标供应商的保证金自中标通知书发出之日起5个工作日内退还。</w:t>
            </w:r>
          </w:p>
        </w:tc>
      </w:tr>
      <w:tr w14:paraId="24251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1E15EF6D">
            <w:pPr>
              <w:spacing w:line="360" w:lineRule="auto"/>
              <w:jc w:val="cente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15</w:t>
            </w:r>
          </w:p>
        </w:tc>
        <w:tc>
          <w:tcPr>
            <w:tcW w:w="2664" w:type="dxa"/>
            <w:gridSpan w:val="2"/>
            <w:noWrap w:val="0"/>
            <w:vAlign w:val="center"/>
          </w:tcPr>
          <w:p w14:paraId="3B381F71">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节能、环保要求</w:t>
            </w:r>
          </w:p>
        </w:tc>
        <w:tc>
          <w:tcPr>
            <w:tcW w:w="6203" w:type="dxa"/>
            <w:tcBorders>
              <w:top w:val="single" w:color="auto" w:sz="4" w:space="0"/>
            </w:tcBorders>
            <w:noWrap w:val="0"/>
            <w:vAlign w:val="center"/>
          </w:tcPr>
          <w:p w14:paraId="00DF2085">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按国家有关节能环保政策执行：</w:t>
            </w:r>
            <w:bookmarkStart w:id="62" w:name="EB5eb2ef9949894c46a4ae078c6e67fc3e"/>
            <w:bookmarkStart w:id="63" w:name="EB014b7c5e8ad2493cb0d11473b927bad7"/>
          </w:p>
          <w:bookmarkEnd w:id="62"/>
          <w:bookmarkEnd w:id="63"/>
        </w:tc>
      </w:tr>
      <w:tr w14:paraId="3E9C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77F48AD8">
            <w:pPr>
              <w:spacing w:line="360" w:lineRule="auto"/>
              <w:jc w:val="cente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16</w:t>
            </w:r>
          </w:p>
        </w:tc>
        <w:tc>
          <w:tcPr>
            <w:tcW w:w="2664" w:type="dxa"/>
            <w:gridSpan w:val="2"/>
            <w:noWrap w:val="0"/>
            <w:vAlign w:val="center"/>
          </w:tcPr>
          <w:p w14:paraId="71CC0ED3">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中小微型企业</w:t>
            </w:r>
          </w:p>
          <w:p w14:paraId="140A46F5">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有关政策</w:t>
            </w:r>
          </w:p>
        </w:tc>
        <w:tc>
          <w:tcPr>
            <w:tcW w:w="6203" w:type="dxa"/>
            <w:tcBorders>
              <w:top w:val="single" w:color="auto" w:sz="4" w:space="0"/>
            </w:tcBorders>
            <w:noWrap w:val="0"/>
            <w:vAlign w:val="center"/>
          </w:tcPr>
          <w:p w14:paraId="1A130D3F">
            <w:pPr>
              <w:spacing w:line="360" w:lineRule="auto"/>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14:textFill>
                  <w14:solidFill>
                    <w14:schemeClr w14:val="tx1"/>
                  </w14:solidFill>
                </w14:textFill>
              </w:rPr>
              <w:t>根据工信部等部委发布的《关于印发中小企业划型标准规定的通知》（工信部联企业[2011]300号）规定执行；</w:t>
            </w:r>
          </w:p>
          <w:p w14:paraId="321B2E8B">
            <w:pPr>
              <w:spacing w:line="360" w:lineRule="auto"/>
              <w:jc w:val="left"/>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（2）价格扣除幅度：小微企业价格给予10%的扣除。</w:t>
            </w:r>
          </w:p>
          <w:p w14:paraId="1D14259A">
            <w:pPr>
              <w:spacing w:line="360" w:lineRule="auto"/>
              <w:jc w:val="left"/>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投标</w:t>
            </w:r>
            <w:r>
              <w:rPr>
                <w:rFonts w:hint="eastAsia" w:ascii="仿宋_GB2312" w:hAnsi="仿宋_GB2312" w:eastAsia="仿宋_GB2312" w:cs="仿宋_GB2312"/>
                <w:color w:val="000000" w:themeColor="text1"/>
                <w:kern w:val="0"/>
                <w:sz w:val="28"/>
                <w:szCs w:val="28"/>
                <w14:textFill>
                  <w14:solidFill>
                    <w14:schemeClr w14:val="tx1"/>
                  </w14:solidFill>
                </w14:textFill>
              </w:rPr>
              <w:t>企业标准请参照《关于印发中小企业划型标准规定的通知》（工信部联企业[2011]300号）文件规定自行</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确定并</w:t>
            </w:r>
            <w:r>
              <w:rPr>
                <w:rFonts w:hint="eastAsia" w:ascii="仿宋_GB2312" w:hAnsi="仿宋_GB2312" w:eastAsia="仿宋_GB2312" w:cs="仿宋_GB2312"/>
                <w:color w:val="000000" w:themeColor="text1"/>
                <w:kern w:val="0"/>
                <w:sz w:val="28"/>
                <w:szCs w:val="28"/>
                <w14:textFill>
                  <w14:solidFill>
                    <w14:schemeClr w14:val="tx1"/>
                  </w14:solidFill>
                </w14:textFill>
              </w:rPr>
              <w:t>填写中、小微企业声明函</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p>
          <w:p w14:paraId="3DBA64E8">
            <w:pPr>
              <w:spacing w:line="360" w:lineRule="auto"/>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（3）本项目采购标的对应的中小企业划分标准所属行业为</w:t>
            </w:r>
            <w:r>
              <w:rPr>
                <w:rFonts w:hint="eastAsia" w:ascii="仿宋_GB2312" w:hAnsi="仿宋_GB2312" w:eastAsia="仿宋_GB2312" w:cs="仿宋_GB2312"/>
                <w:b/>
                <w:bCs/>
                <w:color w:val="000000" w:themeColor="text1"/>
                <w:kern w:val="0"/>
                <w:sz w:val="28"/>
                <w:szCs w:val="28"/>
                <w:lang w:val="en-US" w:eastAsia="zh-CN"/>
                <w14:textFill>
                  <w14:solidFill>
                    <w14:schemeClr w14:val="tx1"/>
                  </w14:solidFill>
                </w14:textFill>
              </w:rPr>
              <w:t>“其他未列明行业”</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。行业划分标准按《国民经济行业分类》执行。中小企业划分标准按《中小企业划型标准规定》（工信部联企业[2011]300号）文件规定执行       </w:t>
            </w:r>
          </w:p>
        </w:tc>
      </w:tr>
      <w:tr w14:paraId="1AA8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414CA56C">
            <w:pPr>
              <w:spacing w:line="360" w:lineRule="auto"/>
              <w:jc w:val="cente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17</w:t>
            </w:r>
          </w:p>
        </w:tc>
        <w:tc>
          <w:tcPr>
            <w:tcW w:w="2664" w:type="dxa"/>
            <w:gridSpan w:val="2"/>
            <w:noWrap w:val="0"/>
            <w:vAlign w:val="center"/>
          </w:tcPr>
          <w:p w14:paraId="3AD41D2F">
            <w:pPr>
              <w:spacing w:line="360" w:lineRule="auto"/>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残疾人福利单位</w:t>
            </w: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及监狱和戒毒企业</w:t>
            </w:r>
            <w:r>
              <w:rPr>
                <w:rFonts w:hint="eastAsia" w:ascii="仿宋_GB2312" w:hAnsi="仿宋_GB2312" w:eastAsia="仿宋_GB2312" w:cs="仿宋_GB2312"/>
                <w:b/>
                <w:color w:val="000000" w:themeColor="text1"/>
                <w:kern w:val="0"/>
                <w:sz w:val="28"/>
                <w:szCs w:val="28"/>
                <w14:textFill>
                  <w14:solidFill>
                    <w14:schemeClr w14:val="tx1"/>
                  </w14:solidFill>
                </w14:textFill>
              </w:rPr>
              <w:t>有关政策</w:t>
            </w:r>
          </w:p>
        </w:tc>
        <w:tc>
          <w:tcPr>
            <w:tcW w:w="6203" w:type="dxa"/>
            <w:noWrap w:val="0"/>
            <w:vAlign w:val="center"/>
          </w:tcPr>
          <w:p w14:paraId="5F21E36C">
            <w:pPr>
              <w:spacing w:line="360" w:lineRule="auto"/>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1）本项目对残疾人福利性单位、监狱和戒毒企业视同小型、微型企业，给予10%的价格扣除，用扣除后的价格参与评审。</w:t>
            </w:r>
          </w:p>
          <w:p w14:paraId="06F2522F">
            <w:pPr>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28"/>
                <w:szCs w:val="28"/>
                <w14:textFill>
                  <w14:solidFill>
                    <w14:schemeClr w14:val="tx1"/>
                  </w14:solidFill>
                </w14:textFill>
              </w:rPr>
              <w:t>残疾人福利单位需按照采购文件的要求提供《残疾人福利性单位声明函》。残疾人福利单位标准请参照《关于促进残疾人就业政府采购政策的通知》（财库〔2017〕141号）</w:t>
            </w:r>
          </w:p>
          <w:p w14:paraId="6D2204FF">
            <w:pPr>
              <w:spacing w:line="360" w:lineRule="auto"/>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28"/>
                <w:szCs w:val="28"/>
                <w14:textFill>
                  <w14:solidFill>
                    <w14:schemeClr w14:val="tx1"/>
                  </w14:solidFill>
                </w14:textFill>
              </w:rPr>
              <w:t>监狱企业参加政府采购活动时，需提供由省级以上监狱管理局、戒毒管理局(含新疆生产建设兵团)出具的属于监狱企业的证明文件。供应商如不提供上述证明文件，价格将不做相应扣除。监狱企业标准请参照《关于政府采购支持监狱企业发展有关问题的通知》（财库[2014]68号）</w:t>
            </w:r>
          </w:p>
        </w:tc>
      </w:tr>
      <w:tr w14:paraId="69300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2DBC04DA">
            <w:pPr>
              <w:spacing w:line="360" w:lineRule="auto"/>
              <w:jc w:val="cente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18</w:t>
            </w:r>
          </w:p>
        </w:tc>
        <w:tc>
          <w:tcPr>
            <w:tcW w:w="2664" w:type="dxa"/>
            <w:gridSpan w:val="2"/>
            <w:noWrap w:val="0"/>
            <w:vAlign w:val="center"/>
          </w:tcPr>
          <w:p w14:paraId="05FF5E50">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评审方法</w:t>
            </w:r>
          </w:p>
        </w:tc>
        <w:tc>
          <w:tcPr>
            <w:tcW w:w="6203" w:type="dxa"/>
            <w:noWrap w:val="0"/>
            <w:vAlign w:val="center"/>
          </w:tcPr>
          <w:p w14:paraId="4129E0EF">
            <w:pPr>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bookmarkStart w:id="64" w:name="EBfac76cf65e4c418cba0e15c753f1359b"/>
            <w:bookmarkEnd w:id="64"/>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综合评分法       </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14:textFill>
                  <w14:solidFill>
                    <w14:schemeClr w14:val="tx1"/>
                  </w14:solidFill>
                </w14:textFill>
              </w:rPr>
              <w:t>最低评标价法</w:t>
            </w:r>
          </w:p>
        </w:tc>
      </w:tr>
      <w:tr w14:paraId="60833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4680F1A9">
            <w:pPr>
              <w:spacing w:line="360" w:lineRule="auto"/>
              <w:jc w:val="cente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19</w:t>
            </w:r>
          </w:p>
        </w:tc>
        <w:tc>
          <w:tcPr>
            <w:tcW w:w="2664" w:type="dxa"/>
            <w:gridSpan w:val="2"/>
            <w:noWrap w:val="0"/>
            <w:vAlign w:val="center"/>
          </w:tcPr>
          <w:p w14:paraId="09B5BAE1">
            <w:pPr>
              <w:spacing w:line="360" w:lineRule="auto"/>
              <w:jc w:val="cente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t>付款途径</w:t>
            </w:r>
          </w:p>
        </w:tc>
        <w:tc>
          <w:tcPr>
            <w:tcW w:w="6203" w:type="dxa"/>
            <w:noWrap w:val="0"/>
            <w:vAlign w:val="center"/>
          </w:tcPr>
          <w:p w14:paraId="230F3F9F">
            <w:pPr>
              <w:spacing w:line="360" w:lineRule="auto"/>
              <w:rPr>
                <w:rFonts w:hint="eastAsia" w:ascii="仿宋_GB2312" w:hAnsi="仿宋_GB2312" w:eastAsia="仿宋_GB2312" w:cs="仿宋_GB2312"/>
                <w:color w:val="000000" w:themeColor="text1"/>
                <w:kern w:val="0"/>
                <w:sz w:val="28"/>
                <w:szCs w:val="28"/>
                <w:highlight w:val="none"/>
                <w:lang w:val="zh-CN" w:eastAsia="zh-CN"/>
                <w14:textFill>
                  <w14:solidFill>
                    <w14:schemeClr w14:val="tx1"/>
                  </w14:solidFill>
                </w14:textFill>
              </w:rPr>
            </w:pPr>
            <w:bookmarkStart w:id="65" w:name="EBea6107e5580a4549be5b498765332fd3"/>
            <w:bookmarkEnd w:id="65"/>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财政拨款</w:t>
            </w:r>
          </w:p>
        </w:tc>
      </w:tr>
      <w:tr w14:paraId="7527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5A4A6190">
            <w:pPr>
              <w:spacing w:line="360" w:lineRule="auto"/>
              <w:jc w:val="cente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20</w:t>
            </w:r>
          </w:p>
        </w:tc>
        <w:tc>
          <w:tcPr>
            <w:tcW w:w="2664" w:type="dxa"/>
            <w:gridSpan w:val="2"/>
            <w:noWrap w:val="0"/>
            <w:vAlign w:val="center"/>
          </w:tcPr>
          <w:p w14:paraId="223E577C">
            <w:pPr>
              <w:spacing w:line="360" w:lineRule="auto"/>
              <w:ind w:left="1592" w:hanging="1592"/>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付款方式</w:t>
            </w:r>
          </w:p>
        </w:tc>
        <w:tc>
          <w:tcPr>
            <w:tcW w:w="6203" w:type="dxa"/>
            <w:noWrap w:val="0"/>
            <w:vAlign w:val="center"/>
          </w:tcPr>
          <w:p w14:paraId="319F5614">
            <w:pPr>
              <w:spacing w:line="360" w:lineRule="auto"/>
              <w:rPr>
                <w:rFonts w:hint="default" w:ascii="仿宋_GB2312" w:hAnsi="仿宋_GB2312" w:eastAsia="仿宋_GB2312" w:cs="仿宋_GB2312"/>
                <w:color w:val="000000" w:themeColor="text1"/>
                <w:kern w:val="0"/>
                <w:sz w:val="28"/>
                <w:szCs w:val="28"/>
                <w:lang w:val="en-US" w:eastAsia="zh-CN"/>
                <w14:textFill>
                  <w14:solidFill>
                    <w14:schemeClr w14:val="tx1"/>
                  </w14:solidFill>
                </w14:textFill>
              </w:rPr>
            </w:pPr>
            <w:bookmarkStart w:id="66" w:name="EB2dc74b14846046859499e4929e78dd41"/>
            <w:bookmarkEnd w:id="66"/>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签订合同15个工作日内付款30%，完成企业检查40家付款30%，服务结束后15个工作日内付款40%。</w:t>
            </w:r>
          </w:p>
        </w:tc>
      </w:tr>
      <w:tr w14:paraId="78D29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1BD7E5A9">
            <w:pPr>
              <w:spacing w:line="360" w:lineRule="auto"/>
              <w:jc w:val="center"/>
              <w:rPr>
                <w:rFonts w:hint="eastAsia" w:ascii="仿宋_GB2312" w:hAnsi="仿宋_GB2312" w:eastAsia="仿宋_GB2312" w:cs="仿宋_GB2312"/>
                <w:b/>
                <w:color w:val="000000" w:themeColor="text1"/>
                <w:kern w:val="0"/>
                <w:sz w:val="28"/>
                <w:szCs w:val="28"/>
                <w:lang w:val="en-US"/>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21</w:t>
            </w:r>
          </w:p>
        </w:tc>
        <w:tc>
          <w:tcPr>
            <w:tcW w:w="2664" w:type="dxa"/>
            <w:gridSpan w:val="2"/>
            <w:noWrap w:val="0"/>
            <w:vAlign w:val="center"/>
          </w:tcPr>
          <w:p w14:paraId="0FFD2651">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交付地点</w:t>
            </w:r>
          </w:p>
        </w:tc>
        <w:tc>
          <w:tcPr>
            <w:tcW w:w="6203" w:type="dxa"/>
            <w:noWrap w:val="0"/>
            <w:vAlign w:val="center"/>
          </w:tcPr>
          <w:p w14:paraId="6CB6FAAB">
            <w:pPr>
              <w:spacing w:line="360" w:lineRule="auto"/>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bookmarkStart w:id="67" w:name="EB164305855d7d4c53942a57bb4dac7000"/>
            <w:bookmarkEnd w:id="67"/>
            <w:r>
              <w:rPr>
                <w:rFonts w:hint="eastAsia" w:ascii="仿宋_GB2312" w:hAnsi="仿宋_GB2312" w:eastAsia="仿宋_GB2312" w:cs="仿宋_GB2312"/>
                <w:color w:val="000000"/>
                <w:sz w:val="28"/>
                <w:szCs w:val="28"/>
                <w:lang w:val="en-US" w:eastAsia="zh-CN"/>
              </w:rPr>
              <w:t>单位地址</w:t>
            </w:r>
          </w:p>
        </w:tc>
      </w:tr>
      <w:tr w14:paraId="23C9C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35" w:type="dxa"/>
            <w:noWrap w:val="0"/>
            <w:vAlign w:val="center"/>
          </w:tcPr>
          <w:p w14:paraId="5C9061FF">
            <w:pPr>
              <w:spacing w:line="360" w:lineRule="auto"/>
              <w:jc w:val="cente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22</w:t>
            </w:r>
          </w:p>
        </w:tc>
        <w:tc>
          <w:tcPr>
            <w:tcW w:w="2664" w:type="dxa"/>
            <w:gridSpan w:val="2"/>
            <w:noWrap w:val="0"/>
            <w:vAlign w:val="center"/>
          </w:tcPr>
          <w:p w14:paraId="20460C81">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服务</w:t>
            </w:r>
            <w:r>
              <w:rPr>
                <w:rFonts w:hint="eastAsia" w:ascii="仿宋_GB2312" w:hAnsi="仿宋_GB2312" w:eastAsia="仿宋_GB2312" w:cs="仿宋_GB2312"/>
                <w:b/>
                <w:color w:val="000000" w:themeColor="text1"/>
                <w:kern w:val="0"/>
                <w:sz w:val="28"/>
                <w:szCs w:val="28"/>
                <w14:textFill>
                  <w14:solidFill>
                    <w14:schemeClr w14:val="tx1"/>
                  </w14:solidFill>
                </w14:textFill>
              </w:rPr>
              <w:t>期</w:t>
            </w:r>
          </w:p>
        </w:tc>
        <w:tc>
          <w:tcPr>
            <w:tcW w:w="6203" w:type="dxa"/>
            <w:noWrap w:val="0"/>
            <w:vAlign w:val="center"/>
          </w:tcPr>
          <w:p w14:paraId="0B4ED1AF">
            <w:pPr>
              <w:spacing w:line="360" w:lineRule="auto"/>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bookmarkStart w:id="68" w:name="EBdca9b04348ec4d4e88722d261482d984"/>
            <w:bookmarkEnd w:id="68"/>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一年</w:t>
            </w:r>
          </w:p>
        </w:tc>
      </w:tr>
      <w:tr w14:paraId="7061B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7" w:hRule="atLeast"/>
          <w:jc w:val="center"/>
        </w:trPr>
        <w:tc>
          <w:tcPr>
            <w:tcW w:w="735" w:type="dxa"/>
            <w:noWrap w:val="0"/>
            <w:vAlign w:val="center"/>
          </w:tcPr>
          <w:p w14:paraId="7D09DA1C">
            <w:pPr>
              <w:spacing w:line="360" w:lineRule="auto"/>
              <w:jc w:val="center"/>
              <w:rPr>
                <w:rFonts w:hint="eastAsia" w:ascii="仿宋_GB2312" w:hAnsi="仿宋_GB2312" w:eastAsia="仿宋_GB2312" w:cs="仿宋_GB2312"/>
                <w:b/>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23</w:t>
            </w:r>
          </w:p>
        </w:tc>
        <w:tc>
          <w:tcPr>
            <w:tcW w:w="2664" w:type="dxa"/>
            <w:gridSpan w:val="2"/>
            <w:noWrap w:val="0"/>
            <w:vAlign w:val="center"/>
          </w:tcPr>
          <w:p w14:paraId="05DC334D">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是否需要</w:t>
            </w:r>
          </w:p>
          <w:p w14:paraId="0E97CFDF">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提交样品</w:t>
            </w:r>
          </w:p>
        </w:tc>
        <w:tc>
          <w:tcPr>
            <w:tcW w:w="6203" w:type="dxa"/>
            <w:noWrap w:val="0"/>
            <w:vAlign w:val="center"/>
          </w:tcPr>
          <w:p w14:paraId="5DCEB11C">
            <w:pPr>
              <w:spacing w:line="360" w:lineRule="auto"/>
              <w:rPr>
                <w:rFonts w:hint="eastAsia" w:ascii="仿宋_GB2312" w:hAnsi="仿宋_GB2312" w:eastAsia="仿宋_GB2312" w:cs="仿宋_GB2312"/>
                <w:color w:val="000000" w:themeColor="text1"/>
                <w:kern w:val="0"/>
                <w:sz w:val="28"/>
                <w:szCs w:val="28"/>
                <w:lang w:val="zh-CN"/>
                <w14:textFill>
                  <w14:solidFill>
                    <w14:schemeClr w14:val="tx1"/>
                  </w14:solidFill>
                </w14:textFill>
              </w:rPr>
            </w:pPr>
            <w:bookmarkStart w:id="69" w:name="EB4545dfd19ee14bf990935163cccc2961"/>
            <w:bookmarkEnd w:id="69"/>
            <w:r>
              <w:rPr>
                <w:rFonts w:hint="eastAsia" w:ascii="仿宋_GB2312" w:hAnsi="仿宋_GB2312" w:eastAsia="仿宋_GB2312" w:cs="仿宋_GB2312"/>
                <w:color w:val="000000" w:themeColor="text1"/>
                <w:kern w:val="0"/>
                <w:sz w:val="28"/>
                <w:szCs w:val="28"/>
                <w:lang w:val="zh-CN"/>
                <w14:textFill>
                  <w14:solidFill>
                    <w14:schemeClr w14:val="tx1"/>
                  </w14:solidFill>
                </w14:textFill>
              </w:rPr>
              <w:t>☑不需要</w:t>
            </w:r>
          </w:p>
          <w:p w14:paraId="2A06010B">
            <w:pPr>
              <w:spacing w:line="360" w:lineRule="auto"/>
              <w:rPr>
                <w:rFonts w:hint="eastAsia" w:ascii="仿宋_GB2312" w:hAnsi="仿宋_GB2312" w:eastAsia="仿宋_GB2312" w:cs="仿宋_GB2312"/>
                <w:color w:val="000000" w:themeColor="text1"/>
                <w:kern w:val="0"/>
                <w:sz w:val="28"/>
                <w:szCs w:val="28"/>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lang w:val="zh-CN"/>
                <w14:textFill>
                  <w14:solidFill>
                    <w14:schemeClr w14:val="tx1"/>
                  </w14:solidFill>
                </w14:textFill>
              </w:rPr>
              <w:t>□需要，样品要求如下</w:t>
            </w:r>
          </w:p>
          <w:p w14:paraId="5FA11E70">
            <w:pPr>
              <w:spacing w:line="360" w:lineRule="auto"/>
              <w:rPr>
                <w:rFonts w:hint="eastAsia" w:ascii="仿宋_GB2312" w:hAnsi="仿宋_GB2312" w:eastAsia="仿宋_GB2312" w:cs="仿宋_GB2312"/>
                <w:color w:val="000000" w:themeColor="text1"/>
                <w:kern w:val="0"/>
                <w:sz w:val="28"/>
                <w:szCs w:val="28"/>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lang w:val="zh-CN"/>
                <w14:textFill>
                  <w14:solidFill>
                    <w14:schemeClr w14:val="tx1"/>
                  </w14:solidFill>
                </w14:textFill>
              </w:rPr>
              <w:t>样品要求如下：</w:t>
            </w:r>
          </w:p>
          <w:p w14:paraId="5F934D94">
            <w:pPr>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w:t>
            </w:r>
          </w:p>
        </w:tc>
      </w:tr>
      <w:tr w14:paraId="2908C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6549629E">
            <w:pPr>
              <w:spacing w:line="360" w:lineRule="auto"/>
              <w:jc w:val="cente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24</w:t>
            </w:r>
          </w:p>
        </w:tc>
        <w:tc>
          <w:tcPr>
            <w:tcW w:w="2664" w:type="dxa"/>
            <w:gridSpan w:val="2"/>
            <w:noWrap w:val="0"/>
            <w:vAlign w:val="center"/>
          </w:tcPr>
          <w:p w14:paraId="04FE81EC">
            <w:pPr>
              <w:autoSpaceDE w:val="0"/>
              <w:autoSpaceDN w:val="0"/>
              <w:adjustRightInd w:val="0"/>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项目预算</w:t>
            </w:r>
          </w:p>
        </w:tc>
        <w:tc>
          <w:tcPr>
            <w:tcW w:w="6203" w:type="dxa"/>
            <w:noWrap w:val="0"/>
            <w:vAlign w:val="center"/>
          </w:tcPr>
          <w:p w14:paraId="2F36FA30">
            <w:pPr>
              <w:autoSpaceDE w:val="0"/>
              <w:autoSpaceDN w:val="0"/>
              <w:adjustRightInd w:val="0"/>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bookmarkStart w:id="70" w:name="EB37045333926244749e63270637dfc851"/>
            <w:bookmarkEnd w:id="70"/>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838420 </w:t>
            </w:r>
            <w:r>
              <w:rPr>
                <w:rFonts w:hint="eastAsia" w:ascii="仿宋_GB2312" w:hAnsi="仿宋_GB2312" w:eastAsia="仿宋_GB2312" w:cs="仿宋_GB2312"/>
                <w:color w:val="000000" w:themeColor="text1"/>
                <w:sz w:val="28"/>
                <w:szCs w:val="28"/>
                <w:u w:val="none"/>
                <w:lang w:eastAsia="zh-CN"/>
                <w14:textFill>
                  <w14:solidFill>
                    <w14:schemeClr w14:val="tx1"/>
                  </w14:solidFill>
                </w14:textFill>
              </w:rPr>
              <w:t>元</w:t>
            </w:r>
            <w:r>
              <w:rPr>
                <w:rFonts w:hint="eastAsia" w:ascii="仿宋_GB2312" w:hAnsi="仿宋_GB2312" w:eastAsia="仿宋_GB2312" w:cs="仿宋_GB2312"/>
                <w:color w:val="000000" w:themeColor="text1"/>
                <w:sz w:val="28"/>
                <w:szCs w:val="28"/>
                <w:lang w:val="zh-CN"/>
                <w14:textFill>
                  <w14:solidFill>
                    <w14:schemeClr w14:val="tx1"/>
                  </w14:solidFill>
                </w14:textFill>
              </w:rPr>
              <w:t>，投标人投标报价超过项目预算的按无效投标处理。</w:t>
            </w:r>
          </w:p>
        </w:tc>
      </w:tr>
      <w:tr w14:paraId="550E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6F71C5AC">
            <w:pPr>
              <w:spacing w:line="360" w:lineRule="auto"/>
              <w:jc w:val="cente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25</w:t>
            </w:r>
          </w:p>
        </w:tc>
        <w:tc>
          <w:tcPr>
            <w:tcW w:w="2664" w:type="dxa"/>
            <w:gridSpan w:val="2"/>
            <w:noWrap w:val="0"/>
            <w:vAlign w:val="center"/>
          </w:tcPr>
          <w:p w14:paraId="0A7C4FBF">
            <w:pPr>
              <w:autoSpaceDE w:val="0"/>
              <w:autoSpaceDN w:val="0"/>
              <w:adjustRightInd w:val="0"/>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其他</w:t>
            </w:r>
          </w:p>
        </w:tc>
        <w:tc>
          <w:tcPr>
            <w:tcW w:w="6203" w:type="dxa"/>
            <w:noWrap w:val="0"/>
            <w:vAlign w:val="center"/>
          </w:tcPr>
          <w:p w14:paraId="6F1415D7">
            <w:pPr>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1、各投标人必须针对每包项目分别制作投标文件并报价，每包的投标文件均必须满足招标文件份数与制作等要求，否则将导致投标被拒绝。 </w:t>
            </w:r>
          </w:p>
          <w:p w14:paraId="31FC433B">
            <w:pPr>
              <w:spacing w:line="360" w:lineRule="auto"/>
              <w:rPr>
                <w:rFonts w:hint="eastAsia" w:ascii="仿宋_GB2312" w:hAnsi="仿宋_GB2312" w:eastAsia="仿宋_GB2312" w:cs="仿宋_GB2312"/>
                <w:color w:val="000000" w:themeColor="text1"/>
                <w:kern w:val="0"/>
                <w:sz w:val="28"/>
                <w:szCs w:val="28"/>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w:t>
            </w:r>
            <w:r>
              <w:rPr>
                <w:rFonts w:hint="eastAsia" w:ascii="仿宋_GB2312" w:hAnsi="仿宋_GB2312" w:eastAsia="仿宋_GB2312" w:cs="仿宋_GB2312"/>
                <w:color w:val="000000" w:themeColor="text1"/>
                <w:kern w:val="0"/>
                <w:sz w:val="28"/>
                <w:szCs w:val="28"/>
                <w:lang w:val="zh-CN"/>
                <w14:textFill>
                  <w14:solidFill>
                    <w14:schemeClr w14:val="tx1"/>
                  </w14:solidFill>
                </w14:textFill>
              </w:rPr>
              <w:t>本项目的招标投标活动以及相关当事人须接受财政监督部门依法实施的监督。</w:t>
            </w:r>
          </w:p>
          <w:p w14:paraId="5363C993">
            <w:pPr>
              <w:spacing w:line="360" w:lineRule="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3.小微型企业、残疾人福利单位、监狱企业属于小型、微型企业的，不重复享受政策。</w:t>
            </w:r>
          </w:p>
        </w:tc>
      </w:tr>
      <w:tr w14:paraId="669FC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13296C14">
            <w:pPr>
              <w:spacing w:line="360" w:lineRule="auto"/>
              <w:jc w:val="cente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26</w:t>
            </w:r>
          </w:p>
        </w:tc>
        <w:tc>
          <w:tcPr>
            <w:tcW w:w="2664" w:type="dxa"/>
            <w:gridSpan w:val="2"/>
            <w:noWrap w:val="0"/>
            <w:vAlign w:val="center"/>
          </w:tcPr>
          <w:p w14:paraId="4B3C611E">
            <w:pPr>
              <w:autoSpaceDE w:val="0"/>
              <w:autoSpaceDN w:val="0"/>
              <w:adjustRightInd w:val="0"/>
              <w:spacing w:line="360" w:lineRule="auto"/>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招标人补充的其他内容</w:t>
            </w:r>
          </w:p>
        </w:tc>
        <w:tc>
          <w:tcPr>
            <w:tcW w:w="6203" w:type="dxa"/>
            <w:noWrap w:val="0"/>
            <w:vAlign w:val="center"/>
          </w:tcPr>
          <w:p w14:paraId="53F5103A">
            <w:pPr>
              <w:autoSpaceDE w:val="0"/>
              <w:autoSpaceDN w:val="0"/>
              <w:adjustRightInd w:val="0"/>
              <w:spacing w:line="360" w:lineRule="auto"/>
              <w:rPr>
                <w:rFonts w:hint="eastAsia" w:ascii="仿宋_GB2312" w:hAnsi="仿宋_GB2312" w:eastAsia="仿宋_GB2312" w:cs="仿宋_GB2312"/>
                <w:color w:val="000000" w:themeColor="text1"/>
                <w:sz w:val="28"/>
                <w:szCs w:val="28"/>
                <w:highlight w:val="green"/>
                <w:u w:val="single"/>
                <w14:textFill>
                  <w14:solidFill>
                    <w14:schemeClr w14:val="tx1"/>
                  </w14:solidFill>
                </w14:textFill>
              </w:rPr>
            </w:pPr>
            <w:bookmarkStart w:id="71" w:name="EB74ae452a189a4b2c993499fc5939ae2d"/>
            <w:bookmarkEnd w:id="71"/>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p>
        </w:tc>
      </w:tr>
    </w:tbl>
    <w:p w14:paraId="78DF68D8">
      <w:pPr>
        <w:spacing w:line="440" w:lineRule="exac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注：</w:t>
      </w:r>
      <w:r>
        <w:rPr>
          <w:rFonts w:hint="eastAsia" w:ascii="仿宋_GB2312" w:hAnsi="仿宋_GB2312" w:eastAsia="仿宋_GB2312" w:cs="仿宋_GB2312"/>
          <w:color w:val="000000" w:themeColor="text1"/>
          <w:sz w:val="28"/>
          <w:szCs w:val="28"/>
          <w14:textFill>
            <w14:solidFill>
              <w14:schemeClr w14:val="tx1"/>
            </w14:solidFill>
          </w14:textFill>
        </w:rPr>
        <w:t>1、本表内容与响应文件其它内容不一致的，应当以本表内容为准。</w:t>
      </w:r>
    </w:p>
    <w:p w14:paraId="5C25A5C9">
      <w:pPr>
        <w:ind w:firstLine="560" w:firstLineChars="200"/>
        <w:rPr>
          <w:rFonts w:hint="default" w:ascii="Times New Roman" w:hAnsi="Times New Roman" w:cs="Times New Roman"/>
          <w:color w:val="000000" w:themeColor="text1"/>
          <w:sz w:val="36"/>
          <w:szCs w:val="36"/>
          <w14:textFill>
            <w14:solidFill>
              <w14:schemeClr w14:val="tx1"/>
            </w14:solidFill>
          </w14:textFill>
        </w:rPr>
        <w:sectPr>
          <w:pgSz w:w="11906" w:h="16838"/>
          <w:pgMar w:top="1440" w:right="1797" w:bottom="1440" w:left="1797" w:header="851" w:footer="992" w:gutter="0"/>
          <w:cols w:space="425" w:num="1"/>
          <w:docGrid w:linePitch="312" w:charSpace="0"/>
        </w:sectPr>
      </w:pPr>
      <w:r>
        <w:rPr>
          <w:rFonts w:hint="eastAsia" w:ascii="仿宋_GB2312" w:hAnsi="仿宋_GB2312" w:eastAsia="仿宋_GB2312" w:cs="仿宋_GB2312"/>
          <w:color w:val="000000" w:themeColor="text1"/>
          <w:kern w:val="0"/>
          <w:sz w:val="28"/>
          <w:szCs w:val="28"/>
          <w14:textFill>
            <w14:solidFill>
              <w14:schemeClr w14:val="tx1"/>
            </w14:solidFill>
          </w14:textFill>
        </w:rPr>
        <w:t>2、本表中“</w:t>
      </w:r>
      <w:r>
        <w:rPr>
          <w:rFonts w:hint="eastAsia" w:ascii="仿宋_GB2312" w:hAnsi="仿宋_GB2312" w:eastAsia="仿宋_GB2312" w:cs="仿宋_GB2312"/>
          <w:color w:val="000000" w:themeColor="text1"/>
          <w:kern w:val="0"/>
          <w:sz w:val="28"/>
          <w:szCs w:val="28"/>
          <w14:textFill>
            <w14:solidFill>
              <w14:schemeClr w14:val="tx1"/>
            </w14:solidFill>
          </w14:textFill>
        </w:rPr>
        <w:fldChar w:fldCharType="begin"/>
      </w:r>
      <w:r>
        <w:rPr>
          <w:rFonts w:hint="eastAsia" w:ascii="仿宋_GB2312" w:hAnsi="仿宋_GB2312" w:eastAsia="仿宋_GB2312" w:cs="仿宋_GB2312"/>
          <w:color w:val="000000" w:themeColor="text1"/>
          <w:kern w:val="0"/>
          <w:sz w:val="28"/>
          <w:szCs w:val="28"/>
          <w14:textFill>
            <w14:solidFill>
              <w14:schemeClr w14:val="tx1"/>
            </w14:solidFill>
          </w14:textFill>
        </w:rPr>
        <w:instrText xml:space="preserve"> eq \o\ac(</w:instrText>
      </w:r>
      <w:r>
        <w:rPr>
          <w:rFonts w:hint="eastAsia" w:ascii="仿宋_GB2312" w:hAnsi="仿宋_GB2312" w:eastAsia="仿宋_GB2312" w:cs="仿宋_GB2312"/>
          <w:color w:val="000000" w:themeColor="text1"/>
          <w:kern w:val="0"/>
          <w:position w:val="-5"/>
          <w:sz w:val="42"/>
          <w:szCs w:val="28"/>
          <w14:textFill>
            <w14:solidFill>
              <w14:schemeClr w14:val="tx1"/>
            </w14:solidFill>
          </w14:textFill>
        </w:rPr>
        <w:instrText xml:space="preserve">□</w:instrText>
      </w:r>
      <w:r>
        <w:rPr>
          <w:rFonts w:hint="eastAsia" w:ascii="仿宋_GB2312" w:hAnsi="仿宋_GB2312" w:eastAsia="仿宋_GB2312" w:cs="仿宋_GB2312"/>
          <w:color w:val="000000" w:themeColor="text1"/>
          <w:kern w:val="0"/>
          <w:position w:val="0"/>
          <w:sz w:val="28"/>
          <w:szCs w:val="28"/>
          <w14:textFill>
            <w14:solidFill>
              <w14:schemeClr w14:val="tx1"/>
            </w14:solidFill>
          </w14:textFill>
        </w:rPr>
        <w:instrText xml:space="preserve">,√)</w:instrText>
      </w:r>
      <w:r>
        <w:rPr>
          <w:rFonts w:hint="eastAsia" w:ascii="仿宋_GB2312" w:hAnsi="仿宋_GB2312" w:eastAsia="仿宋_GB2312" w:cs="仿宋_GB2312"/>
          <w:color w:val="000000" w:themeColor="text1"/>
          <w:kern w:val="0"/>
          <w:sz w:val="28"/>
          <w:szCs w:val="28"/>
          <w14:textFill>
            <w14:solidFill>
              <w14:schemeClr w14:val="tx1"/>
            </w14:solidFill>
          </w14:textFill>
        </w:rPr>
        <w:fldChar w:fldCharType="end"/>
      </w:r>
      <w:r>
        <w:rPr>
          <w:rFonts w:hint="eastAsia" w:ascii="仿宋_GB2312" w:hAnsi="仿宋_GB2312" w:eastAsia="仿宋_GB2312" w:cs="仿宋_GB2312"/>
          <w:color w:val="000000" w:themeColor="text1"/>
          <w:kern w:val="0"/>
          <w:sz w:val="28"/>
          <w:szCs w:val="28"/>
          <w14:textFill>
            <w14:solidFill>
              <w14:schemeClr w14:val="tx1"/>
            </w14:solidFill>
          </w14:textFill>
        </w:rPr>
        <w:t>”标示选择使用该项</w:t>
      </w:r>
    </w:p>
    <w:bookmarkEnd w:id="2"/>
    <w:p w14:paraId="00A9F610">
      <w:pPr>
        <w:pStyle w:val="4"/>
        <w:jc w:val="center"/>
        <w:rPr>
          <w:rFonts w:hint="eastAsia" w:ascii="仿宋_GB2312" w:hAnsi="仿宋_GB2312" w:eastAsia="仿宋_GB2312" w:cs="仿宋_GB2312"/>
          <w:color w:val="000000" w:themeColor="text1"/>
          <w:sz w:val="28"/>
          <w:szCs w:val="28"/>
          <w14:textFill>
            <w14:solidFill>
              <w14:schemeClr w14:val="tx1"/>
            </w14:solidFill>
          </w14:textFill>
        </w:rPr>
      </w:pPr>
      <w:bookmarkStart w:id="72" w:name="_Toc120614213"/>
      <w:bookmarkEnd w:id="72"/>
      <w:bookmarkStart w:id="73" w:name="_Toc455227390"/>
      <w:bookmarkEnd w:id="73"/>
      <w:bookmarkStart w:id="74" w:name="_Toc513029202"/>
      <w:bookmarkEnd w:id="74"/>
      <w:bookmarkStart w:id="75" w:name="_Toc20823274"/>
      <w:bookmarkEnd w:id="75"/>
      <w:bookmarkStart w:id="76" w:name="_Toc16938518"/>
      <w:bookmarkEnd w:id="76"/>
      <w:bookmarkStart w:id="77" w:name="_Toc5882"/>
      <w:r>
        <w:rPr>
          <w:rFonts w:hint="eastAsia" w:ascii="仿宋_GB2312" w:hAnsi="仿宋_GB2312" w:eastAsia="仿宋_GB2312" w:cs="仿宋_GB2312"/>
          <w:color w:val="000000" w:themeColor="text1"/>
          <w:sz w:val="28"/>
          <w:szCs w:val="28"/>
          <w14:textFill>
            <w14:solidFill>
              <w14:schemeClr w14:val="tx1"/>
            </w14:solidFill>
          </w14:textFill>
        </w:rPr>
        <w:t>一、 说明</w:t>
      </w:r>
      <w:bookmarkEnd w:id="77"/>
    </w:p>
    <w:p w14:paraId="6D8601B2">
      <w:pPr>
        <w:pStyle w:val="23"/>
        <w:spacing w:line="600" w:lineRule="exact"/>
        <w:ind w:firstLine="565" w:firstLineChars="201"/>
        <w:contextualSpacing/>
        <w:jc w:val="left"/>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1.1适用范围</w:t>
      </w:r>
    </w:p>
    <w:p w14:paraId="2BC206F5">
      <w:pPr>
        <w:pStyle w:val="6"/>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 .1本磋商文件仅适用于本磋商邀请函中所述项目的货物及相关服务的采购。</w:t>
      </w:r>
    </w:p>
    <w:p w14:paraId="5777C256">
      <w:pPr>
        <w:pStyle w:val="23"/>
        <w:spacing w:line="600" w:lineRule="exact"/>
        <w:ind w:firstLine="565" w:firstLineChars="201"/>
        <w:contextualSpacing/>
        <w:jc w:val="left"/>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1.2定义</w:t>
      </w:r>
    </w:p>
    <w:p w14:paraId="72DE18AC">
      <w:pPr>
        <w:pStyle w:val="6"/>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1.2.1“采购人”是指：详见供应商须知前附表.</w:t>
      </w:r>
    </w:p>
    <w:p w14:paraId="307ED902">
      <w:pPr>
        <w:pStyle w:val="6"/>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1.2.2“集中采购机构”是指：详见供应商须知前附表.</w:t>
      </w:r>
    </w:p>
    <w:p w14:paraId="6BB3257F">
      <w:pPr>
        <w:pStyle w:val="6"/>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1.2.3“监管部门”是指：详见供应商须知前附表.</w:t>
      </w:r>
    </w:p>
    <w:p w14:paraId="735508FB">
      <w:pPr>
        <w:pStyle w:val="6"/>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1.2.4 “供应商”是指：响应磋商文件要求并且符合磋商文件规定资格条件和参加竞争性磋商的法人、其他组织或者自然人。</w:t>
      </w:r>
    </w:p>
    <w:p w14:paraId="06F78CE5">
      <w:pPr>
        <w:pStyle w:val="6"/>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1.2.5“电子响应文件”是指：利用</w:t>
      </w:r>
      <w:r>
        <w:rPr>
          <w:rFonts w:hint="eastAsia" w:ascii="仿宋_GB2312" w:hAnsi="仿宋_GB2312" w:eastAsia="仿宋_GB2312" w:cs="仿宋_GB2312"/>
          <w:color w:val="000000" w:themeColor="text1"/>
          <w:sz w:val="28"/>
          <w:szCs w:val="28"/>
          <w:lang w:eastAsia="zh-CN"/>
          <w14:textFill>
            <w14:solidFill>
              <w14:schemeClr w14:val="tx1"/>
            </w14:solidFill>
          </w14:textFill>
        </w:rPr>
        <w:t>新疆政府采购网</w:t>
      </w:r>
      <w:r>
        <w:rPr>
          <w:rFonts w:hint="eastAsia" w:ascii="仿宋_GB2312" w:hAnsi="仿宋_GB2312" w:eastAsia="仿宋_GB2312" w:cs="仿宋_GB2312"/>
          <w:color w:val="000000" w:themeColor="text1"/>
          <w:sz w:val="28"/>
          <w:szCs w:val="28"/>
          <w14:textFill>
            <w14:solidFill>
              <w14:schemeClr w14:val="tx1"/>
            </w14:solidFill>
          </w14:textFill>
        </w:rPr>
        <w:t>提供的“投标文件制作工具”编制加密的响应文件。</w:t>
      </w:r>
    </w:p>
    <w:p w14:paraId="099E796B">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1.2.6“成交供应商”是指: 是指经磋商小组评审，授予合同的供应商。</w:t>
      </w:r>
    </w:p>
    <w:p w14:paraId="65D900F1">
      <w:pPr>
        <w:pStyle w:val="23"/>
        <w:adjustRightInd w:val="0"/>
        <w:snapToGrid w:val="0"/>
        <w:spacing w:beforeLines="50" w:afterLines="50" w:line="360" w:lineRule="auto"/>
        <w:ind w:left="561" w:leftChars="267"/>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1.2.7采购人和集中采购机构统称为招标采购单位。</w:t>
      </w:r>
    </w:p>
    <w:p w14:paraId="03354638">
      <w:pPr>
        <w:pStyle w:val="23"/>
        <w:spacing w:line="600" w:lineRule="exact"/>
        <w:ind w:firstLine="565" w:firstLineChars="201"/>
        <w:contextualSpacing/>
        <w:jc w:val="left"/>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1.3、货物和服务</w:t>
      </w:r>
    </w:p>
    <w:p w14:paraId="310AAF9A">
      <w:pPr>
        <w:pStyle w:val="6"/>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1.3.1“货物”是指：供应商制造或组织符合磋商文件要求的货物，包括原材料、燃料、设备、产品等。磋商文件中没有提及招标货物来源地的，根据《政府采购法》的相关规定均应是本国货物，另有规定的除外。</w:t>
      </w:r>
      <w:r>
        <w:rPr>
          <w:rFonts w:hint="eastAsia" w:ascii="仿宋_GB2312" w:hAnsi="仿宋_GB2312" w:eastAsia="仿宋_GB2312" w:cs="仿宋_GB2312"/>
          <w:snapToGrid w:val="0"/>
          <w:color w:val="000000" w:themeColor="text1"/>
          <w:kern w:val="0"/>
          <w:sz w:val="28"/>
          <w:szCs w:val="28"/>
          <w14:textFill>
            <w14:solidFill>
              <w14:schemeClr w14:val="tx1"/>
            </w14:solidFill>
          </w14:textFill>
        </w:rPr>
        <w:t>提供的货物必须是其合法生产的符合国家有关标准要求的货物，并能够按照合同规定的品牌、产地、质量、价格和有效期等履约。</w:t>
      </w:r>
    </w:p>
    <w:p w14:paraId="7C121580">
      <w:pPr>
        <w:pStyle w:val="6"/>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1.3.2“服务”是指：除货物和工程以外的其他政府采购对象。包括：政府自身需要的服务和政府向社会公众提供的公共服务。</w:t>
      </w:r>
    </w:p>
    <w:p w14:paraId="6BDA14BF">
      <w:pPr>
        <w:pStyle w:val="23"/>
        <w:spacing w:line="600" w:lineRule="exact"/>
        <w:ind w:firstLine="565" w:firstLineChars="201"/>
        <w:contextualSpacing/>
        <w:jc w:val="left"/>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1.4、磋商费用</w:t>
      </w:r>
    </w:p>
    <w:p w14:paraId="4ECDF040">
      <w:pPr>
        <w:pStyle w:val="6"/>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1.4.1供应商应承担所有与准备和参加竞争性磋商有关的费用。</w:t>
      </w:r>
    </w:p>
    <w:p w14:paraId="6C4BB167">
      <w:pPr>
        <w:pStyle w:val="4"/>
        <w:rPr>
          <w:rFonts w:hint="eastAsia" w:ascii="仿宋_GB2312" w:hAnsi="仿宋_GB2312" w:eastAsia="仿宋_GB2312" w:cs="仿宋_GB2312"/>
          <w:color w:val="000000" w:themeColor="text1"/>
          <w:sz w:val="28"/>
          <w:szCs w:val="28"/>
          <w14:textFill>
            <w14:solidFill>
              <w14:schemeClr w14:val="tx1"/>
            </w14:solidFill>
          </w14:textFill>
        </w:rPr>
      </w:pPr>
      <w:bookmarkStart w:id="78" w:name="_Toc21571"/>
      <w:bookmarkStart w:id="79" w:name="_Toc293736054"/>
      <w:bookmarkStart w:id="80" w:name="_Toc293736011"/>
      <w:bookmarkStart w:id="81" w:name="_Toc293738992"/>
      <w:bookmarkStart w:id="82" w:name="_Toc446599311"/>
      <w:r>
        <w:rPr>
          <w:rFonts w:hint="eastAsia" w:ascii="仿宋_GB2312" w:hAnsi="仿宋_GB2312" w:eastAsia="仿宋_GB2312" w:cs="仿宋_GB2312"/>
          <w:color w:val="000000" w:themeColor="text1"/>
          <w:sz w:val="28"/>
          <w:szCs w:val="28"/>
          <w14:textFill>
            <w14:solidFill>
              <w14:schemeClr w14:val="tx1"/>
            </w14:solidFill>
          </w14:textFill>
        </w:rPr>
        <w:t>二、磋商文件</w:t>
      </w:r>
      <w:bookmarkEnd w:id="78"/>
      <w:bookmarkEnd w:id="79"/>
      <w:bookmarkEnd w:id="80"/>
      <w:bookmarkEnd w:id="81"/>
      <w:bookmarkEnd w:id="82"/>
    </w:p>
    <w:p w14:paraId="1812718C">
      <w:pPr>
        <w:pStyle w:val="23"/>
        <w:spacing w:line="600" w:lineRule="exact"/>
        <w:ind w:firstLine="565" w:firstLineChars="201"/>
        <w:contextualSpacing/>
        <w:jc w:val="left"/>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2.1.磋商文件的构成</w:t>
      </w:r>
    </w:p>
    <w:p w14:paraId="335C7769">
      <w:pPr>
        <w:pStyle w:val="6"/>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2.1.1磋商文件由下列文件以及在采购过程中发出的修正和补充文件组成：</w:t>
      </w:r>
    </w:p>
    <w:p w14:paraId="50F85904">
      <w:pPr>
        <w:pStyle w:val="6"/>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(1)磋商邀请函；</w:t>
      </w:r>
    </w:p>
    <w:p w14:paraId="481C8277">
      <w:pPr>
        <w:pStyle w:val="6"/>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(2)供应商须知；</w:t>
      </w:r>
    </w:p>
    <w:p w14:paraId="01D85D84">
      <w:pPr>
        <w:pStyle w:val="6"/>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(3)采购项目技术规格、参数及相关服务要求；</w:t>
      </w:r>
    </w:p>
    <w:p w14:paraId="5AF253E9">
      <w:pPr>
        <w:pStyle w:val="6"/>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(4)评审方法、步骤、标准；</w:t>
      </w:r>
    </w:p>
    <w:p w14:paraId="3BECFCED">
      <w:pPr>
        <w:pStyle w:val="6"/>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(5)合同格式及合同条款；</w:t>
      </w:r>
    </w:p>
    <w:p w14:paraId="1BCCAF63">
      <w:pPr>
        <w:pStyle w:val="6"/>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(6)响应文件格式；</w:t>
      </w:r>
    </w:p>
    <w:p w14:paraId="5AE5B214">
      <w:pPr>
        <w:pStyle w:val="6"/>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(7)在磋商过程中由采购单位发出的澄清和补充文件等。</w:t>
      </w:r>
    </w:p>
    <w:p w14:paraId="7A630FF1">
      <w:pPr>
        <w:pStyle w:val="6"/>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14:paraId="397A2CFD">
      <w:pPr>
        <w:pStyle w:val="23"/>
        <w:spacing w:line="600" w:lineRule="exact"/>
        <w:ind w:firstLine="565" w:firstLineChars="201"/>
        <w:contextualSpacing/>
        <w:jc w:val="left"/>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2.2. 磋商文件的澄清</w:t>
      </w:r>
    </w:p>
    <w:p w14:paraId="6C48C598">
      <w:pPr>
        <w:pStyle w:val="6"/>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2.2.1供应商应仔细阅读和检查磋商文件的全部内容。供应商若对磋商文件有任何疑问或要求进行澄清的，均应在响应文件递交截止时间5日前用书面形式按照《政府采购质疑和投诉办法》的规定向集中采购机构提出。提出后，请供应商及时通过交易平台“答疑文件下载”栏目查看答疑文件或澄清文件。必要时，集中采购机构将组织相关专家召开答疑会，如召开，答疑会安排另行通知。澄清文件作为磋商文件的组成部分，对供应商具有同等约束作用。</w:t>
      </w:r>
    </w:p>
    <w:p w14:paraId="63C2C24A">
      <w:pPr>
        <w:pStyle w:val="6"/>
        <w:spacing w:line="500" w:lineRule="exact"/>
        <w:ind w:firstLine="541"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6"/>
          <w:sz w:val="28"/>
          <w:szCs w:val="28"/>
          <w14:textFill>
            <w14:solidFill>
              <w14:schemeClr w14:val="tx1"/>
            </w14:solidFill>
          </w14:textFill>
        </w:rPr>
        <w:t>2.2.2</w:t>
      </w:r>
      <w:r>
        <w:rPr>
          <w:rFonts w:hint="eastAsia" w:ascii="仿宋_GB2312" w:hAnsi="仿宋_GB2312" w:eastAsia="仿宋_GB2312" w:cs="仿宋_GB2312"/>
          <w:color w:val="000000" w:themeColor="text1"/>
          <w:sz w:val="28"/>
          <w:szCs w:val="28"/>
          <w14:textFill>
            <w14:solidFill>
              <w14:schemeClr w14:val="tx1"/>
            </w14:solidFill>
          </w14:textFill>
        </w:rPr>
        <w:t>供应商在本项目采购公告期限届满之日起七个工作日内未对磋商文件提出异议的，采购单位将视其为同意。在规定的时间后就磋商文件内容提出的质疑将不予受理。</w:t>
      </w:r>
    </w:p>
    <w:p w14:paraId="1515B417">
      <w:pPr>
        <w:pStyle w:val="23"/>
        <w:spacing w:line="600" w:lineRule="exact"/>
        <w:ind w:firstLine="565" w:firstLineChars="201"/>
        <w:contextualSpacing/>
        <w:jc w:val="left"/>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2.3. 磋商文件的修改</w:t>
      </w:r>
    </w:p>
    <w:p w14:paraId="572A2EE9">
      <w:pPr>
        <w:pStyle w:val="6"/>
        <w:spacing w:line="500" w:lineRule="exact"/>
        <w:ind w:firstLine="541" w:firstLineChars="202"/>
        <w:jc w:val="left"/>
        <w:rPr>
          <w:rFonts w:hint="eastAsia" w:ascii="仿宋_GB2312" w:hAnsi="仿宋_GB2312" w:eastAsia="仿宋_GB2312" w:cs="仿宋_GB2312"/>
          <w:color w:val="000000" w:themeColor="text1"/>
          <w:spacing w:val="-6"/>
          <w:sz w:val="28"/>
          <w:szCs w:val="28"/>
          <w14:textFill>
            <w14:solidFill>
              <w14:schemeClr w14:val="tx1"/>
            </w14:solidFill>
          </w14:textFill>
        </w:rPr>
      </w:pPr>
      <w:r>
        <w:rPr>
          <w:rFonts w:hint="eastAsia" w:ascii="仿宋_GB2312" w:hAnsi="仿宋_GB2312" w:eastAsia="仿宋_GB2312" w:cs="仿宋_GB2312"/>
          <w:color w:val="000000" w:themeColor="text1"/>
          <w:spacing w:val="-6"/>
          <w:sz w:val="28"/>
          <w:szCs w:val="28"/>
          <w14:textFill>
            <w14:solidFill>
              <w14:schemeClr w14:val="tx1"/>
            </w14:solidFill>
          </w14:textFill>
        </w:rPr>
        <w:t>2.3.1采购单位可以对已发出的磋商文件进行必要的澄清或者修改。</w:t>
      </w:r>
      <w:r>
        <w:rPr>
          <w:rFonts w:hint="eastAsia" w:ascii="仿宋_GB2312" w:hAnsi="仿宋_GB2312" w:eastAsia="仿宋_GB2312" w:cs="仿宋_GB2312"/>
          <w:color w:val="000000" w:themeColor="text1"/>
          <w:sz w:val="28"/>
          <w:szCs w:val="28"/>
          <w14:textFill>
            <w14:solidFill>
              <w14:schemeClr w14:val="tx1"/>
            </w14:solidFill>
          </w14:textFill>
        </w:rPr>
        <w:t>澄清或者修改的内容可能影响响应文件编制的，采购单位将在响应文件递交截止时间五日前</w:t>
      </w:r>
      <w:r>
        <w:rPr>
          <w:rFonts w:hint="eastAsia" w:ascii="仿宋_GB2312" w:hAnsi="仿宋_GB2312" w:eastAsia="仿宋_GB2312" w:cs="仿宋_GB2312"/>
          <w:color w:val="000000" w:themeColor="text1"/>
          <w:spacing w:val="-6"/>
          <w:sz w:val="28"/>
          <w:szCs w:val="28"/>
          <w14:textFill>
            <w14:solidFill>
              <w14:schemeClr w14:val="tx1"/>
            </w14:solidFill>
          </w14:textFill>
        </w:rPr>
        <w:t>在</w:t>
      </w:r>
      <w:r>
        <w:rPr>
          <w:rFonts w:hint="eastAsia" w:ascii="仿宋_GB2312" w:hAnsi="仿宋_GB2312" w:eastAsia="仿宋_GB2312" w:cs="仿宋_GB2312"/>
          <w:color w:val="000000" w:themeColor="text1"/>
          <w:spacing w:val="-6"/>
          <w:sz w:val="28"/>
          <w:szCs w:val="28"/>
          <w:lang w:eastAsia="zh-CN"/>
          <w14:textFill>
            <w14:solidFill>
              <w14:schemeClr w14:val="tx1"/>
            </w14:solidFill>
          </w14:textFill>
        </w:rPr>
        <w:t>新疆政府采购网</w:t>
      </w:r>
      <w:r>
        <w:rPr>
          <w:rFonts w:hint="eastAsia" w:ascii="仿宋_GB2312" w:hAnsi="仿宋_GB2312" w:eastAsia="仿宋_GB2312" w:cs="仿宋_GB2312"/>
          <w:color w:val="000000" w:themeColor="text1"/>
          <w:sz w:val="28"/>
          <w:szCs w:val="28"/>
          <w14:textFill>
            <w14:solidFill>
              <w14:schemeClr w14:val="tx1"/>
            </w14:solidFill>
          </w14:textFill>
        </w:rPr>
        <w:t xml:space="preserve">发布更正公告。 </w:t>
      </w:r>
    </w:p>
    <w:p w14:paraId="782B0FA4">
      <w:pPr>
        <w:pStyle w:val="6"/>
        <w:spacing w:line="500" w:lineRule="exact"/>
        <w:ind w:firstLine="541"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6"/>
          <w:sz w:val="28"/>
          <w:szCs w:val="28"/>
          <w14:textFill>
            <w14:solidFill>
              <w14:schemeClr w14:val="tx1"/>
            </w14:solidFill>
          </w14:textFill>
        </w:rPr>
        <w:t>2.3.2澄清或者修改的内容是磋商文件的组成部分，将在</w:t>
      </w:r>
      <w:r>
        <w:rPr>
          <w:rFonts w:hint="eastAsia" w:ascii="仿宋_GB2312" w:hAnsi="仿宋_GB2312" w:eastAsia="仿宋_GB2312" w:cs="仿宋_GB2312"/>
          <w:color w:val="000000" w:themeColor="text1"/>
          <w:spacing w:val="-6"/>
          <w:sz w:val="28"/>
          <w:szCs w:val="28"/>
          <w:lang w:eastAsia="zh-CN"/>
          <w14:textFill>
            <w14:solidFill>
              <w14:schemeClr w14:val="tx1"/>
            </w14:solidFill>
          </w14:textFill>
        </w:rPr>
        <w:t>新疆政府采购网</w:t>
      </w:r>
      <w:r>
        <w:rPr>
          <w:rFonts w:hint="eastAsia" w:ascii="仿宋_GB2312" w:hAnsi="仿宋_GB2312" w:eastAsia="仿宋_GB2312" w:cs="仿宋_GB2312"/>
          <w:color w:val="000000" w:themeColor="text1"/>
          <w:sz w:val="28"/>
          <w:szCs w:val="28"/>
          <w14:textFill>
            <w14:solidFill>
              <w14:schemeClr w14:val="tx1"/>
            </w14:solidFill>
          </w14:textFill>
        </w:rPr>
        <w:t>向所有供应商公布，并对供应商具有约束力。</w:t>
      </w:r>
    </w:p>
    <w:p w14:paraId="1BD1F951">
      <w:pPr>
        <w:pStyle w:val="6"/>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2.3.3为使供应商有充足的时间对磋商文件的修改部分进行研究，采购单位可适当推迟响应文件截止期，并通过在</w:t>
      </w:r>
      <w:r>
        <w:rPr>
          <w:rFonts w:hint="eastAsia" w:ascii="仿宋_GB2312" w:hAnsi="仿宋_GB2312" w:eastAsia="仿宋_GB2312" w:cs="仿宋_GB2312"/>
          <w:color w:val="000000" w:themeColor="text1"/>
          <w:sz w:val="28"/>
          <w:szCs w:val="28"/>
          <w:lang w:eastAsia="zh-CN"/>
          <w14:textFill>
            <w14:solidFill>
              <w14:schemeClr w14:val="tx1"/>
            </w14:solidFill>
          </w14:textFill>
        </w:rPr>
        <w:t>新疆政府采购网</w:t>
      </w:r>
      <w:r>
        <w:rPr>
          <w:rFonts w:hint="eastAsia" w:ascii="仿宋_GB2312" w:hAnsi="仿宋_GB2312" w:eastAsia="仿宋_GB2312" w:cs="仿宋_GB2312"/>
          <w:color w:val="000000" w:themeColor="text1"/>
          <w:sz w:val="28"/>
          <w:szCs w:val="28"/>
          <w14:textFill>
            <w14:solidFill>
              <w14:schemeClr w14:val="tx1"/>
            </w14:solidFill>
          </w14:textFill>
        </w:rPr>
        <w:t>上发布公告方式通知所有下载磋商文件的供应商。</w:t>
      </w:r>
    </w:p>
    <w:p w14:paraId="5E07A745">
      <w:pPr>
        <w:pStyle w:val="6"/>
        <w:spacing w:line="500" w:lineRule="exact"/>
        <w:ind w:firstLine="541" w:firstLineChars="202"/>
        <w:jc w:val="left"/>
        <w:rPr>
          <w:rFonts w:hint="eastAsia" w:ascii="仿宋_GB2312" w:hAnsi="仿宋_GB2312" w:eastAsia="仿宋_GB2312" w:cs="仿宋_GB2312"/>
          <w:color w:val="000000" w:themeColor="text1"/>
          <w:spacing w:val="-6"/>
          <w:sz w:val="28"/>
          <w:szCs w:val="28"/>
          <w14:textFill>
            <w14:solidFill>
              <w14:schemeClr w14:val="tx1"/>
            </w14:solidFill>
          </w14:textFill>
        </w:rPr>
      </w:pPr>
      <w:r>
        <w:rPr>
          <w:rFonts w:hint="eastAsia" w:ascii="仿宋_GB2312" w:hAnsi="仿宋_GB2312" w:eastAsia="仿宋_GB2312" w:cs="仿宋_GB2312"/>
          <w:color w:val="000000" w:themeColor="text1"/>
          <w:spacing w:val="-6"/>
          <w:sz w:val="28"/>
          <w:szCs w:val="28"/>
          <w14:textFill>
            <w14:solidFill>
              <w14:schemeClr w14:val="tx1"/>
            </w14:solidFill>
          </w14:textFill>
        </w:rPr>
        <w:t>2.3.4供应商应注意及时浏览网上发布的澄清或修改通知并下载，因供应商原因未及时获知澄清、修改或补充内容而导致的任何后果将由供应商自行承担。</w:t>
      </w:r>
    </w:p>
    <w:p w14:paraId="730E1338">
      <w:pPr>
        <w:pStyle w:val="4"/>
        <w:rPr>
          <w:rFonts w:hint="eastAsia" w:ascii="仿宋_GB2312" w:hAnsi="仿宋_GB2312" w:eastAsia="仿宋_GB2312" w:cs="仿宋_GB2312"/>
          <w:color w:val="000000" w:themeColor="text1"/>
          <w:sz w:val="28"/>
          <w:szCs w:val="28"/>
          <w14:textFill>
            <w14:solidFill>
              <w14:schemeClr w14:val="tx1"/>
            </w14:solidFill>
          </w14:textFill>
        </w:rPr>
      </w:pPr>
      <w:bookmarkStart w:id="83" w:name="_Toc293736055"/>
      <w:bookmarkStart w:id="84" w:name="_Toc293736012"/>
      <w:bookmarkStart w:id="85" w:name="_Toc293738993"/>
      <w:bookmarkStart w:id="86" w:name="_Toc16413"/>
      <w:bookmarkStart w:id="87" w:name="_Toc446599312"/>
      <w:r>
        <w:rPr>
          <w:rFonts w:hint="eastAsia" w:ascii="仿宋_GB2312" w:hAnsi="仿宋_GB2312" w:eastAsia="仿宋_GB2312" w:cs="仿宋_GB2312"/>
          <w:color w:val="000000" w:themeColor="text1"/>
          <w:sz w:val="28"/>
          <w:szCs w:val="28"/>
          <w14:textFill>
            <w14:solidFill>
              <w14:schemeClr w14:val="tx1"/>
            </w14:solidFill>
          </w14:textFill>
        </w:rPr>
        <w:t>三、响应文件的编制</w:t>
      </w:r>
      <w:bookmarkEnd w:id="83"/>
      <w:bookmarkEnd w:id="84"/>
      <w:bookmarkEnd w:id="85"/>
      <w:bookmarkEnd w:id="86"/>
      <w:bookmarkEnd w:id="87"/>
    </w:p>
    <w:p w14:paraId="3F38AEF1">
      <w:pPr>
        <w:pStyle w:val="23"/>
        <w:spacing w:line="600" w:lineRule="exact"/>
        <w:ind w:firstLine="565" w:firstLineChars="201"/>
        <w:contextualSpacing/>
        <w:jc w:val="left"/>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3.1．响应文件的语言</w:t>
      </w:r>
    </w:p>
    <w:p w14:paraId="589CB727">
      <w:pPr>
        <w:pStyle w:val="6"/>
        <w:spacing w:line="500" w:lineRule="exact"/>
        <w:ind w:firstLine="541" w:firstLineChars="202"/>
        <w:jc w:val="left"/>
        <w:rPr>
          <w:rFonts w:hint="eastAsia" w:ascii="仿宋_GB2312" w:hAnsi="仿宋_GB2312" w:eastAsia="仿宋_GB2312" w:cs="仿宋_GB2312"/>
          <w:color w:val="000000" w:themeColor="text1"/>
          <w:spacing w:val="-6"/>
          <w:sz w:val="28"/>
          <w:szCs w:val="28"/>
          <w14:textFill>
            <w14:solidFill>
              <w14:schemeClr w14:val="tx1"/>
            </w14:solidFill>
          </w14:textFill>
        </w:rPr>
      </w:pPr>
      <w:r>
        <w:rPr>
          <w:rFonts w:hint="eastAsia" w:ascii="仿宋_GB2312" w:hAnsi="仿宋_GB2312" w:eastAsia="仿宋_GB2312" w:cs="仿宋_GB2312"/>
          <w:color w:val="000000" w:themeColor="text1"/>
          <w:spacing w:val="-6"/>
          <w:sz w:val="28"/>
          <w:szCs w:val="28"/>
          <w14:textFill>
            <w14:solidFill>
              <w14:schemeClr w14:val="tx1"/>
            </w14:solidFill>
          </w14:textFill>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14:paraId="0DB2F963">
      <w:pPr>
        <w:pStyle w:val="23"/>
        <w:spacing w:line="600" w:lineRule="exact"/>
        <w:ind w:firstLine="565" w:firstLineChars="201"/>
        <w:contextualSpacing/>
        <w:jc w:val="left"/>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3.2响应文件的构成</w:t>
      </w:r>
    </w:p>
    <w:p w14:paraId="6A42371B">
      <w:pPr>
        <w:pStyle w:val="6"/>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3.2.1供应商编制的响应文件应包括但不少于下列内容：</w:t>
      </w:r>
    </w:p>
    <w:p w14:paraId="396519CC">
      <w:pPr>
        <w:pStyle w:val="6"/>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color w:val="000000" w:themeColor="text1"/>
          <w:spacing w:val="-6"/>
          <w:sz w:val="28"/>
          <w:szCs w:val="28"/>
          <w14:textFill>
            <w14:solidFill>
              <w14:schemeClr w14:val="tx1"/>
            </w14:solidFill>
          </w14:textFill>
        </w:rPr>
        <w:t>商务</w:t>
      </w:r>
      <w:r>
        <w:rPr>
          <w:rFonts w:hint="eastAsia" w:ascii="仿宋_GB2312" w:hAnsi="仿宋_GB2312" w:eastAsia="仿宋_GB2312" w:cs="仿宋_GB2312"/>
          <w:color w:val="000000" w:themeColor="text1"/>
          <w:sz w:val="28"/>
          <w:szCs w:val="28"/>
          <w14:textFill>
            <w14:solidFill>
              <w14:schemeClr w14:val="tx1"/>
            </w14:solidFill>
          </w14:textFill>
        </w:rPr>
        <w:t>文件内容（详见第六章商务文件组成）</w:t>
      </w:r>
    </w:p>
    <w:p w14:paraId="3FB38EFF">
      <w:pPr>
        <w:pStyle w:val="6"/>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（2)技术文件内容（详见第六章技术文件组成）</w:t>
      </w:r>
    </w:p>
    <w:p w14:paraId="71292C64">
      <w:pPr>
        <w:pStyle w:val="23"/>
        <w:spacing w:line="600" w:lineRule="exact"/>
        <w:ind w:firstLine="565" w:firstLineChars="201"/>
        <w:contextualSpacing/>
        <w:jc w:val="left"/>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3.3响应文件编制</w:t>
      </w:r>
    </w:p>
    <w:p w14:paraId="4900C303">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3.3.1</w:t>
      </w:r>
      <w:r>
        <w:rPr>
          <w:rFonts w:hint="eastAsia" w:ascii="仿宋_GB2312" w:hAnsi="仿宋_GB2312" w:eastAsia="仿宋_GB2312" w:cs="仿宋_GB2312"/>
          <w:color w:val="000000" w:themeColor="text1"/>
          <w:spacing w:val="-6"/>
          <w:sz w:val="28"/>
          <w:szCs w:val="28"/>
          <w14:textFill>
            <w14:solidFill>
              <w14:schemeClr w14:val="tx1"/>
            </w14:solidFill>
          </w14:textFill>
        </w:rPr>
        <w:t>电子</w:t>
      </w:r>
      <w:r>
        <w:rPr>
          <w:rFonts w:hint="eastAsia" w:ascii="仿宋_GB2312" w:hAnsi="仿宋_GB2312" w:eastAsia="仿宋_GB2312" w:cs="仿宋_GB2312"/>
          <w:color w:val="000000" w:themeColor="text1"/>
          <w:kern w:val="0"/>
          <w:sz w:val="28"/>
          <w:szCs w:val="28"/>
          <w14:textFill>
            <w14:solidFill>
              <w14:schemeClr w14:val="tx1"/>
            </w14:solidFill>
          </w14:textFill>
        </w:rPr>
        <w:t>响应文件制作时，应按照统一的“投标文件制作工具”和磋商文件中明确的响应文件目录和投标</w:t>
      </w:r>
      <w:r>
        <w:rPr>
          <w:rFonts w:hint="eastAsia" w:ascii="仿宋_GB2312" w:hAnsi="仿宋_GB2312" w:eastAsia="仿宋_GB2312" w:cs="仿宋_GB2312"/>
          <w:color w:val="000000" w:themeColor="text1"/>
          <w:sz w:val="28"/>
          <w:szCs w:val="28"/>
          <w14:textFill>
            <w14:solidFill>
              <w14:schemeClr w14:val="tx1"/>
            </w14:solidFill>
          </w14:textFill>
        </w:rPr>
        <w:t>技术规格、参数及相关要求</w:t>
      </w:r>
      <w:r>
        <w:rPr>
          <w:rFonts w:hint="eastAsia" w:ascii="仿宋_GB2312" w:hAnsi="仿宋_GB2312" w:eastAsia="仿宋_GB2312" w:cs="仿宋_GB2312"/>
          <w:color w:val="000000" w:themeColor="text1"/>
          <w:kern w:val="0"/>
          <w:sz w:val="28"/>
          <w:szCs w:val="28"/>
          <w14:textFill>
            <w14:solidFill>
              <w14:schemeClr w14:val="tx1"/>
            </w14:solidFill>
          </w14:textFill>
        </w:rPr>
        <w:t>格式进行编制，保证目录清晰、内容完整。</w:t>
      </w:r>
    </w:p>
    <w:p w14:paraId="2DAA1CFC">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3.3.</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供应商因自身原因导致电子响应文件无法导入电子评标系统的，该响应文件视为无效文件。 </w:t>
      </w:r>
    </w:p>
    <w:p w14:paraId="3BC7269F">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3.3.</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电子响应文件具有法律效力,与其他形式的响应文件在内容和格式上等同，若响应文件与磋商文件要求不一致，其内容影响成交结果时，责任由供应商自行承担。 </w:t>
      </w:r>
    </w:p>
    <w:p w14:paraId="58824F63">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3.3.</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28"/>
          <w:szCs w:val="28"/>
          <w14:textFill>
            <w14:solidFill>
              <w14:schemeClr w14:val="tx1"/>
            </w14:solidFill>
          </w14:textFill>
        </w:rPr>
        <w:t>为了保证</w:t>
      </w:r>
      <w:r>
        <w:rPr>
          <w:rFonts w:hint="eastAsia" w:ascii="仿宋_GB2312" w:hAnsi="仿宋_GB2312" w:eastAsia="仿宋_GB2312" w:cs="仿宋_GB2312"/>
          <w:color w:val="000000" w:themeColor="text1"/>
          <w:spacing w:val="-6"/>
          <w:sz w:val="28"/>
          <w:szCs w:val="28"/>
          <w14:textFill>
            <w14:solidFill>
              <w14:schemeClr w14:val="tx1"/>
            </w14:solidFill>
          </w14:textFill>
        </w:rPr>
        <w:t>电子</w:t>
      </w:r>
      <w:r>
        <w:rPr>
          <w:rFonts w:hint="eastAsia" w:ascii="仿宋_GB2312" w:hAnsi="仿宋_GB2312" w:eastAsia="仿宋_GB2312" w:cs="仿宋_GB2312"/>
          <w:color w:val="000000" w:themeColor="text1"/>
          <w:kern w:val="0"/>
          <w:sz w:val="28"/>
          <w:szCs w:val="28"/>
          <w14:textFill>
            <w14:solidFill>
              <w14:schemeClr w14:val="tx1"/>
            </w14:solidFill>
          </w14:textFill>
        </w:rPr>
        <w:t>标书的合法性、安全性和完整性，电子响应文件转换完成后，应在规定区域加盖单位和法定代表人CA印章。电子响应文件若无 CA电子签章，则视为无效文件。</w:t>
      </w:r>
    </w:p>
    <w:p w14:paraId="1E4C5CAB">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3.3.</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28"/>
          <w:szCs w:val="28"/>
          <w14:textFill>
            <w14:solidFill>
              <w14:schemeClr w14:val="tx1"/>
            </w14:solidFill>
          </w14:textFill>
        </w:rPr>
        <w:t>供应商应完整地</w:t>
      </w:r>
      <w:r>
        <w:rPr>
          <w:rFonts w:hint="eastAsia" w:ascii="仿宋_GB2312" w:hAnsi="仿宋_GB2312" w:eastAsia="仿宋_GB2312" w:cs="仿宋_GB2312"/>
          <w:color w:val="000000" w:themeColor="text1"/>
          <w:spacing w:val="-6"/>
          <w:sz w:val="28"/>
          <w:szCs w:val="28"/>
          <w14:textFill>
            <w14:solidFill>
              <w14:schemeClr w14:val="tx1"/>
            </w14:solidFill>
          </w14:textFill>
        </w:rPr>
        <w:t>填写</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磋商文件中提供的《竞争性磋商函》、《竞争性磋商报价一览表》、《竞争性磋商报价明细表》等磋商文件中规定的所有内容。 </w:t>
      </w:r>
    </w:p>
    <w:p w14:paraId="2AF3B593">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3.3.</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供应商必须保证响应文件所提供的全部资料真实可靠，并接受采购单位对其中任何资料进一步核实的要求。 </w:t>
      </w:r>
    </w:p>
    <w:p w14:paraId="6813611F">
      <w:pPr>
        <w:pStyle w:val="23"/>
        <w:spacing w:line="600" w:lineRule="exact"/>
        <w:ind w:firstLine="565" w:firstLineChars="201"/>
        <w:contextualSpacing/>
        <w:jc w:val="left"/>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3.4. 磋商报价要求</w:t>
      </w:r>
    </w:p>
    <w:p w14:paraId="5A433AC9">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3.4.1供应商所提供的货物和服务均以人民币报价。</w:t>
      </w:r>
    </w:p>
    <w:p w14:paraId="1C75D912">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3.4.2商应按照“第三章 采购需求”规定的货物、服务内容、责任范围以及合同条款进行报价。并按《报价一览表》和《报价明细表》确定的格式报出分项价格和总价。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14:paraId="251793D0">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3.4.3《报价明细表》填写时应响应下列要求：</w:t>
      </w:r>
    </w:p>
    <w:p w14:paraId="7EE1143B">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（1）对于报价免费的项目应标明“免费”；</w:t>
      </w:r>
    </w:p>
    <w:p w14:paraId="7B46073B">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（2）所有根据合同或其它原因应由供应商支付的税款和其它应交纳的费用都要包括在供应商提交的磋商总价中；</w:t>
      </w:r>
    </w:p>
    <w:p w14:paraId="6EB7187B">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（3）应包含货物运至最终目的地的运输、保险和伴随货物服务的有关费用。</w:t>
      </w:r>
    </w:p>
    <w:p w14:paraId="6F2ED752">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3.4.</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28"/>
          <w:szCs w:val="28"/>
          <w14:textFill>
            <w14:solidFill>
              <w14:schemeClr w14:val="tx1"/>
            </w14:solidFill>
          </w14:textFill>
        </w:rPr>
        <w:t>每一种规格的货物、服务只允许有一个报价，否则将被视为无效投标。</w:t>
      </w:r>
    </w:p>
    <w:p w14:paraId="2A141FFC">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3.4.</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28"/>
          <w:szCs w:val="28"/>
          <w14:textFill>
            <w14:solidFill>
              <w14:schemeClr w14:val="tx1"/>
            </w14:solidFill>
          </w14:textFill>
        </w:rPr>
        <w:t>供应商所报的总价在合同执行过程中是固定不变的，不得以任何理由予以变更。</w:t>
      </w:r>
    </w:p>
    <w:p w14:paraId="4F50B685">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3.4.</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kern w:val="0"/>
          <w:sz w:val="28"/>
          <w:szCs w:val="28"/>
          <w14:textFill>
            <w14:solidFill>
              <w14:schemeClr w14:val="tx1"/>
            </w14:solidFill>
          </w14:textFill>
        </w:rPr>
        <w:t>供应商的最后磋商报价超过项目采购预算的为无效报价。</w:t>
      </w:r>
    </w:p>
    <w:p w14:paraId="1E87ADEA">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3.5备选方案</w:t>
      </w:r>
    </w:p>
    <w:p w14:paraId="5012FDCA">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3.5.1供应商应按照供应商须知前附表要求编制磋商备选方案，否则将被视为无效响应文件。</w:t>
      </w:r>
    </w:p>
    <w:p w14:paraId="2AFDBC47">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3.6联合体投标</w:t>
      </w:r>
    </w:p>
    <w:p w14:paraId="2B1DD884">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3.6.1两个以上供应商可以组成一个联合体，以一个供应商的身份共同参与磋商。</w:t>
      </w:r>
    </w:p>
    <w:p w14:paraId="773A8EB8">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3.6.2采取联合体形式磋商的，联合体各方均应当符合政府采购法第二十二条规定的条件。采购人根据采购项目的特殊要求规定供应商特定条件的，联合体各方中至少有一方符合磋商文件规定的特定条件。</w:t>
      </w:r>
    </w:p>
    <w:p w14:paraId="2FF1C454">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3.6.3联合体各方之间必须签订联合磋商协议，明确约定联合体主体及各方承担的工作和相应的责任，其响应文件中必须提供联合磋商协议。</w:t>
      </w:r>
    </w:p>
    <w:p w14:paraId="2F7560BE">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3.6.4以联合体形式参加政府采购活动的，联合体各方不得再单独参加或者与其他供应商另外组成联合体参加同一合同项下的政府采购活动。</w:t>
      </w:r>
    </w:p>
    <w:p w14:paraId="68AE14D5">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3.6.5采取联合体形式投标的，其响应文件必须由联合体所有成员或其各自正式书面授权的代表签署（盖章），以便对所有成员作为整体及作为个体均具有法律约束力。</w:t>
      </w:r>
    </w:p>
    <w:p w14:paraId="144BDFF8">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3.6.6联合体成交的，联合体各方应当共同与采购人签订采购合同。</w:t>
      </w:r>
    </w:p>
    <w:p w14:paraId="40E55DAE">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3.6.7联合体中有同类资质的供应商按照联合体分工承担相同工作的，应当按照资质等级较低的供应商确定资质等级。</w:t>
      </w:r>
    </w:p>
    <w:p w14:paraId="795B61B1">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3.7. 供应商资格证明文件</w:t>
      </w:r>
    </w:p>
    <w:p w14:paraId="2F9E5399">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3.7.1供应商应提交证明其有资格参加磋商和成交后有能力履行合同的文件，并作为其响应文件的一部分。</w:t>
      </w:r>
    </w:p>
    <w:p w14:paraId="2DFD9D3D">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3.7.2资格证明文件必须真实可靠、不得伪造。</w:t>
      </w:r>
    </w:p>
    <w:p w14:paraId="105DE925">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3.7.3供应商相关资格证明文件：</w:t>
      </w:r>
    </w:p>
    <w:p w14:paraId="2DF98D90">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（1）法人或者其他组织的营业执照等证明文件，自然人的身份证明；</w:t>
      </w:r>
    </w:p>
    <w:p w14:paraId="2832B945">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（2）财务状况报告，依法缴纳税收和社会保障资金的相关材料；</w:t>
      </w:r>
    </w:p>
    <w:p w14:paraId="0617A3D3">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（3）具备履行合同所必需的设备和专业技术能力的证明材料；</w:t>
      </w:r>
    </w:p>
    <w:p w14:paraId="65884047">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（4）参加政府采购活动前3年内在经营活动中没有重大违法记录的书面声明；</w:t>
      </w:r>
    </w:p>
    <w:p w14:paraId="05762275">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（5）具备法律、行政法规规定的其他条件的证明材料；</w:t>
      </w:r>
    </w:p>
    <w:p w14:paraId="4441301D">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（6）采购项目有特殊要求的，供应商还应当提供其符合特殊要求的证明材料或者情况说明；</w:t>
      </w:r>
    </w:p>
    <w:p w14:paraId="6509AC70">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（7）信用信息查询记录；</w:t>
      </w:r>
    </w:p>
    <w:p w14:paraId="5EE10A48">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（8）磋商文件要求或供应商认为需提供的其它相关资格证明材料。</w:t>
      </w:r>
    </w:p>
    <w:p w14:paraId="7CAB063C">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3.7.4 证明投标货物、服务的合格性和符合磋商文件规定的文件。</w:t>
      </w:r>
    </w:p>
    <w:p w14:paraId="477107D4">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采取资格预审方式项目的供应商在递交投标文件时，其资格条件与资格预审时发生变化的，提交变化后的资料。</w:t>
      </w:r>
    </w:p>
    <w:p w14:paraId="3825D333">
      <w:pPr>
        <w:pStyle w:val="23"/>
        <w:spacing w:line="600" w:lineRule="exact"/>
        <w:ind w:firstLine="565" w:firstLineChars="201"/>
        <w:contextualSpacing/>
        <w:jc w:val="left"/>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3.8. 磋商保证金</w:t>
      </w:r>
    </w:p>
    <w:p w14:paraId="642D74D6">
      <w:pPr>
        <w:pStyle w:val="6"/>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3.8.1</w:t>
      </w:r>
      <w:r>
        <w:rPr>
          <w:rFonts w:hint="eastAsia" w:ascii="仿宋_GB2312" w:hAnsi="仿宋_GB2312" w:eastAsia="仿宋_GB2312" w:cs="仿宋_GB2312"/>
          <w:color w:val="000000" w:themeColor="text1"/>
          <w:kern w:val="0"/>
          <w:sz w:val="28"/>
          <w:szCs w:val="28"/>
          <w14:textFill>
            <w14:solidFill>
              <w14:schemeClr w14:val="tx1"/>
            </w14:solidFill>
          </w14:textFill>
        </w:rPr>
        <w:t>供应商</w:t>
      </w:r>
      <w:r>
        <w:rPr>
          <w:rFonts w:hint="eastAsia" w:ascii="仿宋_GB2312" w:hAnsi="仿宋_GB2312" w:eastAsia="仿宋_GB2312" w:cs="仿宋_GB2312"/>
          <w:color w:val="000000" w:themeColor="text1"/>
          <w:sz w:val="28"/>
          <w:szCs w:val="28"/>
          <w14:textFill>
            <w14:solidFill>
              <w14:schemeClr w14:val="tx1"/>
            </w14:solidFill>
          </w14:textFill>
        </w:rPr>
        <w:t>应在响应文件截止时间之前，通过信息主体库中备案的企业银行账户，将所规定数额的保证金以转账或电汇方式缴纳至该项目所</w:t>
      </w:r>
      <w:r>
        <w:rPr>
          <w:rFonts w:hint="eastAsia" w:ascii="仿宋_GB2312" w:hAnsi="仿宋_GB2312" w:eastAsia="仿宋_GB2312" w:cs="仿宋_GB2312"/>
          <w:color w:val="000000" w:themeColor="text1"/>
          <w:kern w:val="0"/>
          <w:sz w:val="28"/>
          <w:szCs w:val="28"/>
          <w14:textFill>
            <w14:solidFill>
              <w14:schemeClr w14:val="tx1"/>
            </w14:solidFill>
          </w14:textFill>
        </w:rPr>
        <w:t>对应的保证金收取账号内（不接受现金缴纳）。保证金缴纳时间以该项目所对应的保证金收取账号中显示的到账时间为准。</w:t>
      </w:r>
    </w:p>
    <w:p w14:paraId="1D3B5BD4">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3.8.2对于未能按要求提交保证金的将视为未响应磋商文件的要求，其响应文件无效。</w:t>
      </w:r>
    </w:p>
    <w:p w14:paraId="5CAFE63C">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3.8.3未成交的供应商，其保证金在成交公告发布后 5个工作日内，按照磋商保证金的来款渠道原路退还至供应商缴纳保证金的企业银行账户内；如有质疑或投诉，政府集中采购机构将在质疑和投诉处理完毕后5个工作日内，按照保证金的来款渠道原路退还至供应商缴纳保证金的企业银行账户内。</w:t>
      </w:r>
    </w:p>
    <w:p w14:paraId="5E8D5F39">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3.8.4成交供应商的磋商保证金,在供应商与采购人签订合同，并将合同原件报集中采购机构后5个工作日内，按照保证金的来款渠道原路退还至供应商缴纳保证金的企业银行账户内。</w:t>
      </w:r>
    </w:p>
    <w:p w14:paraId="43F979DE">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3.8.5有下列情形之一的，保证金将被没收：</w:t>
      </w:r>
    </w:p>
    <w:p w14:paraId="7D4F0895">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（1）供应商在响应文件中提供虚假资料的；</w:t>
      </w:r>
    </w:p>
    <w:p w14:paraId="1B7EAAE1">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（2）除因不可抗力或磋商文件认可的情形以外，成交供应商不与采购人签订合同的；</w:t>
      </w:r>
    </w:p>
    <w:p w14:paraId="29FECB17">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（3）供应商与采购人、其他供应商或者集中采购机构恶意串通的；</w:t>
      </w:r>
    </w:p>
    <w:p w14:paraId="1815FDAE">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（4）磋商文件规定的其他情形。</w:t>
      </w:r>
    </w:p>
    <w:p w14:paraId="0F157CE6">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3.9. 磋商的有效期</w:t>
      </w:r>
    </w:p>
    <w:p w14:paraId="7725032E">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3.9.1磋商有效期详见供应商须知前附表。供应商响应文件中有效期不足的将被视为无效文件。</w:t>
      </w:r>
    </w:p>
    <w:p w14:paraId="58668F23">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3.9.2 有效期内供应商未经采购结果确认谈判达成一致不得改变其磋商最后报价及承诺的全部义务。</w:t>
      </w:r>
    </w:p>
    <w:p w14:paraId="2C2AE55A">
      <w:pPr>
        <w:pStyle w:val="6"/>
        <w:spacing w:line="500" w:lineRule="exact"/>
        <w:ind w:firstLine="568" w:firstLineChars="202"/>
        <w:jc w:val="center"/>
        <w:rPr>
          <w:rFonts w:hint="eastAsia" w:ascii="仿宋_GB2312" w:hAnsi="仿宋_GB2312" w:eastAsia="仿宋_GB2312" w:cs="仿宋_GB2312"/>
          <w:b/>
          <w:color w:val="000000" w:themeColor="text1"/>
          <w:sz w:val="28"/>
          <w:szCs w:val="28"/>
          <w14:textFill>
            <w14:solidFill>
              <w14:schemeClr w14:val="tx1"/>
            </w14:solidFill>
          </w14:textFill>
        </w:rPr>
      </w:pPr>
      <w:bookmarkStart w:id="88" w:name="_Toc293738994"/>
      <w:bookmarkStart w:id="89" w:name="_Toc293736013"/>
      <w:bookmarkStart w:id="90" w:name="_Toc446599313"/>
      <w:bookmarkStart w:id="91" w:name="_Toc293736056"/>
      <w:r>
        <w:rPr>
          <w:rFonts w:hint="eastAsia" w:ascii="仿宋_GB2312" w:hAnsi="仿宋_GB2312" w:eastAsia="仿宋_GB2312" w:cs="仿宋_GB2312"/>
          <w:b/>
          <w:color w:val="000000" w:themeColor="text1"/>
          <w:sz w:val="28"/>
          <w:szCs w:val="28"/>
          <w14:textFill>
            <w14:solidFill>
              <w14:schemeClr w14:val="tx1"/>
            </w14:solidFill>
          </w14:textFill>
        </w:rPr>
        <w:t>四、响应文件的递交</w:t>
      </w:r>
      <w:bookmarkEnd w:id="88"/>
      <w:bookmarkEnd w:id="89"/>
      <w:bookmarkEnd w:id="90"/>
      <w:bookmarkEnd w:id="91"/>
    </w:p>
    <w:p w14:paraId="4A24D20E">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4.1 响应文件的密封和标记</w:t>
      </w:r>
    </w:p>
    <w:p w14:paraId="7933DD08">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4.1 .1响应文件的密封和标记。电子响应文件的内容通过数字证书进行加密并签章。未按要求加密和数字证书认证的响应文件，电子评标系统将无法接受,采购单位不予受理。</w:t>
      </w:r>
    </w:p>
    <w:p w14:paraId="74DB4189">
      <w:pPr>
        <w:pStyle w:val="23"/>
        <w:spacing w:line="600" w:lineRule="exact"/>
        <w:ind w:firstLine="565" w:firstLineChars="201"/>
        <w:contextualSpacing/>
        <w:jc w:val="left"/>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4.2响应文件的递交</w:t>
      </w:r>
    </w:p>
    <w:p w14:paraId="5084D114">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4.2.1供应商应在磋商文件规定的响应文件递交截止时间</w:t>
      </w:r>
      <w:r>
        <w:rPr>
          <w:rFonts w:hint="eastAsia" w:ascii="仿宋_GB2312" w:hAnsi="仿宋_GB2312" w:eastAsia="仿宋_GB2312" w:cs="仿宋_GB2312"/>
          <w:color w:val="000000" w:themeColor="text1"/>
          <w:sz w:val="28"/>
          <w:szCs w:val="28"/>
          <w:highlight w:val="white"/>
          <w14:textFill>
            <w14:solidFill>
              <w14:schemeClr w14:val="tx1"/>
            </w14:solidFill>
          </w14:textFill>
        </w:rPr>
        <w:t>前将电子磋商响应文件上传到指定网站的指定栏目。</w:t>
      </w:r>
      <w:r>
        <w:rPr>
          <w:rFonts w:hint="eastAsia" w:ascii="仿宋_GB2312" w:hAnsi="仿宋_GB2312" w:eastAsia="仿宋_GB2312" w:cs="仿宋_GB2312"/>
          <w:color w:val="000000" w:themeColor="text1"/>
          <w:kern w:val="0"/>
          <w:sz w:val="28"/>
          <w:szCs w:val="28"/>
          <w14:textFill>
            <w14:solidFill>
              <w14:schemeClr w14:val="tx1"/>
            </w14:solidFill>
          </w14:textFill>
        </w:rPr>
        <w:t>未在响应文件递交截止时间前完成上传的电子响应文件视为逾期送达。逾期上传或未按规定方式上传的电子响应文件，采购单位不予受理。</w:t>
      </w:r>
    </w:p>
    <w:p w14:paraId="6B2F1266">
      <w:pPr>
        <w:pStyle w:val="23"/>
        <w:spacing w:line="600" w:lineRule="exact"/>
        <w:ind w:firstLine="565" w:firstLineChars="201"/>
        <w:contextualSpacing/>
        <w:jc w:val="left"/>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4.3迟交的响应文件</w:t>
      </w:r>
    </w:p>
    <w:p w14:paraId="4F041EAB">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4.3</w:t>
      </w:r>
      <w:r>
        <w:rPr>
          <w:rFonts w:hint="eastAsia" w:ascii="仿宋_GB2312" w:hAnsi="仿宋_GB2312" w:eastAsia="仿宋_GB2312" w:cs="仿宋_GB2312"/>
          <w:color w:val="000000" w:themeColor="text1"/>
          <w:sz w:val="28"/>
          <w:szCs w:val="28"/>
          <w14:textFill>
            <w14:solidFill>
              <w14:schemeClr w14:val="tx1"/>
            </w14:solidFill>
          </w14:textFill>
        </w:rPr>
        <w:t>.1采购</w:t>
      </w:r>
      <w:r>
        <w:rPr>
          <w:rFonts w:hint="eastAsia" w:ascii="仿宋_GB2312" w:hAnsi="仿宋_GB2312" w:eastAsia="仿宋_GB2312" w:cs="仿宋_GB2312"/>
          <w:color w:val="000000" w:themeColor="text1"/>
          <w:kern w:val="0"/>
          <w:sz w:val="28"/>
          <w:szCs w:val="28"/>
          <w14:textFill>
            <w14:solidFill>
              <w14:schemeClr w14:val="tx1"/>
            </w14:solidFill>
          </w14:textFill>
        </w:rPr>
        <w:t>单位将拒绝并原封退回在规定的响应文件递交截止期后送达的任何响应文件。由于对网上招标操作不熟悉或自身电脑、网络的原因导致不能在响应文件递交截止时间之前上传响应文件，阿勒泰地区公共资源交易中心不负任何责任。建议于开标前1个工作日完成响应文件的制作与上传。</w:t>
      </w:r>
    </w:p>
    <w:p w14:paraId="7C7D8EBA">
      <w:pPr>
        <w:pStyle w:val="23"/>
        <w:spacing w:line="600" w:lineRule="exact"/>
        <w:ind w:firstLine="565" w:firstLineChars="201"/>
        <w:contextualSpacing/>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4.4响应文件的修改和撤回</w:t>
      </w:r>
    </w:p>
    <w:p w14:paraId="5037F762">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4.4.1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14:paraId="78694A4C">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4.4.2供应商所提交的响应文件在评审结束后，无论中标与否都不退还。</w:t>
      </w:r>
    </w:p>
    <w:p w14:paraId="6BD0A460">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p>
    <w:p w14:paraId="1E1997AC">
      <w:pPr>
        <w:pStyle w:val="4"/>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highlight w:val="white"/>
          <w14:textFill>
            <w14:solidFill>
              <w14:schemeClr w14:val="tx1"/>
            </w14:solidFill>
          </w14:textFill>
        </w:rPr>
        <w:t>五</w:t>
      </w:r>
      <w:bookmarkStart w:id="92" w:name="_Toc446599314"/>
      <w:bookmarkStart w:id="93" w:name="_Toc293736014"/>
      <w:bookmarkStart w:id="94" w:name="_Toc293736057"/>
      <w:bookmarkStart w:id="95" w:name="_Toc293738995"/>
      <w:bookmarkStart w:id="96" w:name="_Toc5596"/>
      <w:r>
        <w:rPr>
          <w:rFonts w:hint="eastAsia" w:ascii="仿宋_GB2312" w:hAnsi="仿宋_GB2312" w:eastAsia="仿宋_GB2312" w:cs="仿宋_GB2312"/>
          <w:color w:val="000000" w:themeColor="text1"/>
          <w:sz w:val="28"/>
          <w:szCs w:val="28"/>
          <w14:textFill>
            <w14:solidFill>
              <w14:schemeClr w14:val="tx1"/>
            </w14:solidFill>
          </w14:textFill>
        </w:rPr>
        <w:t>、</w:t>
      </w:r>
      <w:bookmarkEnd w:id="92"/>
      <w:bookmarkEnd w:id="93"/>
      <w:bookmarkEnd w:id="94"/>
      <w:bookmarkEnd w:id="95"/>
      <w:r>
        <w:rPr>
          <w:rFonts w:hint="eastAsia" w:ascii="仿宋_GB2312" w:hAnsi="仿宋_GB2312" w:eastAsia="仿宋_GB2312" w:cs="仿宋_GB2312"/>
          <w:color w:val="000000" w:themeColor="text1"/>
          <w:sz w:val="28"/>
          <w:szCs w:val="28"/>
          <w14:textFill>
            <w14:solidFill>
              <w14:schemeClr w14:val="tx1"/>
            </w14:solidFill>
          </w14:textFill>
        </w:rPr>
        <w:t>竞争性磋商程序</w:t>
      </w:r>
      <w:bookmarkEnd w:id="96"/>
    </w:p>
    <w:p w14:paraId="131F1C0E">
      <w:pPr>
        <w:widowControl/>
        <w:spacing w:line="520" w:lineRule="atLeast"/>
        <w:ind w:firstLine="420"/>
        <w:textAlignment w:val="baseline"/>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5</w:t>
      </w:r>
      <w:r>
        <w:rPr>
          <w:rFonts w:hint="eastAsia" w:ascii="仿宋_GB2312" w:hAnsi="仿宋_GB2312" w:eastAsia="仿宋_GB2312" w:cs="仿宋_GB2312"/>
          <w:b/>
          <w:color w:val="000000" w:themeColor="text1"/>
          <w:kern w:val="0"/>
          <w:sz w:val="28"/>
          <w:szCs w:val="28"/>
          <w14:textFill>
            <w14:solidFill>
              <w14:schemeClr w14:val="tx1"/>
            </w14:solidFill>
          </w14:textFill>
        </w:rPr>
        <w:t>.</w:t>
      </w:r>
      <w:r>
        <w:rPr>
          <w:rFonts w:hint="eastAsia" w:ascii="仿宋_GB2312" w:hAnsi="仿宋_GB2312" w:eastAsia="仿宋_GB2312" w:cs="仿宋_GB2312"/>
          <w:b/>
          <w:color w:val="000000" w:themeColor="text1"/>
          <w:sz w:val="28"/>
          <w:szCs w:val="28"/>
          <w14:textFill>
            <w14:solidFill>
              <w14:schemeClr w14:val="tx1"/>
            </w14:solidFill>
          </w14:textFill>
        </w:rPr>
        <w:t>1磋商小组的组成</w:t>
      </w:r>
    </w:p>
    <w:p w14:paraId="4ABD5848">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5.1.1评审由采购单位依法组建的磋商小组负责。磋商小组由采购人代表和有关技术、经济等方面的专家组成。全面负责对响应文件的审查、评审、磋商、打分等全部评审工作。磋商小组人数以及技术、经济方面的专家组成见</w:t>
      </w: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z w:val="28"/>
          <w:szCs w:val="28"/>
          <w14:textFill>
            <w14:solidFill>
              <w14:schemeClr w14:val="tx1"/>
            </w14:solidFill>
          </w14:textFill>
        </w:rPr>
        <w:instrText xml:space="preserve"> HYPERLINK "file:///C:\\WordForm\\e944b4b1-01b6-4e42-b170-f783fcf7903a.doc" \l "_评标委员会" </w:instrText>
      </w:r>
      <w:r>
        <w:rPr>
          <w:rFonts w:hint="eastAsia" w:ascii="仿宋_GB2312" w:hAnsi="仿宋_GB2312" w:eastAsia="仿宋_GB2312" w:cs="仿宋_GB2312"/>
          <w:color w:val="000000" w:themeColor="text1"/>
          <w:sz w:val="28"/>
          <w:szCs w:val="28"/>
          <w14:textFill>
            <w14:solidFill>
              <w14:schemeClr w14:val="tx1"/>
            </w14:solidFill>
          </w14:textFill>
        </w:rPr>
        <w:fldChar w:fldCharType="separate"/>
      </w:r>
      <w:r>
        <w:rPr>
          <w:rFonts w:hint="eastAsia" w:ascii="仿宋_GB2312" w:hAnsi="仿宋_GB2312" w:eastAsia="仿宋_GB2312" w:cs="仿宋_GB2312"/>
          <w:color w:val="000000" w:themeColor="text1"/>
          <w:kern w:val="0"/>
          <w:sz w:val="28"/>
          <w:szCs w:val="28"/>
          <w14:textFill>
            <w14:solidFill>
              <w14:schemeClr w14:val="tx1"/>
            </w14:solidFill>
          </w14:textFill>
        </w:rPr>
        <w:t>供应商须知前附表</w:t>
      </w:r>
      <w:r>
        <w:rPr>
          <w:rFonts w:hint="eastAsia" w:ascii="仿宋_GB2312" w:hAnsi="仿宋_GB2312" w:eastAsia="仿宋_GB2312" w:cs="仿宋_GB2312"/>
          <w:color w:val="000000" w:themeColor="text1"/>
          <w:kern w:val="0"/>
          <w:sz w:val="28"/>
          <w:szCs w:val="28"/>
          <w14:textFill>
            <w14:solidFill>
              <w14:schemeClr w14:val="tx1"/>
            </w14:solidFill>
          </w14:textFill>
        </w:rPr>
        <w:fldChar w:fldCharType="end"/>
      </w:r>
      <w:r>
        <w:rPr>
          <w:rFonts w:hint="eastAsia" w:ascii="仿宋_GB2312" w:hAnsi="仿宋_GB2312" w:eastAsia="仿宋_GB2312" w:cs="仿宋_GB2312"/>
          <w:color w:val="000000" w:themeColor="text1"/>
          <w:kern w:val="0"/>
          <w:sz w:val="28"/>
          <w:szCs w:val="28"/>
          <w14:textFill>
            <w14:solidFill>
              <w14:schemeClr w14:val="tx1"/>
            </w14:solidFill>
          </w14:textFill>
        </w:rPr>
        <w:t>。</w:t>
      </w:r>
    </w:p>
    <w:p w14:paraId="64931A41">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5.2 </w:t>
      </w:r>
      <w:r>
        <w:rPr>
          <w:rFonts w:hint="eastAsia" w:ascii="仿宋_GB2312" w:hAnsi="仿宋_GB2312" w:eastAsia="仿宋_GB2312" w:cs="仿宋_GB2312"/>
          <w:color w:val="000000" w:themeColor="text1"/>
          <w:sz w:val="28"/>
          <w:szCs w:val="28"/>
          <w:highlight w:val="white"/>
          <w14:textFill>
            <w14:solidFill>
              <w14:schemeClr w14:val="tx1"/>
            </w14:solidFill>
          </w14:textFill>
        </w:rPr>
        <w:t>磋商供应商在规定的时间内和指定的磋商地点，对本单位的加密的电子响应文件现场解密，集中采购机构工作人员在监督人员或公证人员监督下解密所有响应文件。若因网络等技术原因不能进行电子磋商响应文件解密，则以电子磋商响应文件光盘进行磋商。</w:t>
      </w:r>
    </w:p>
    <w:p w14:paraId="3705B79B">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5.3磋商方法</w:t>
      </w:r>
    </w:p>
    <w:p w14:paraId="2ECE2BDE">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5.3.1磋商小组将按照磋商文件确定的评审方法进行评审。磋商小组对响应文件的评审分为响应文件初审、澄清有关问题、比较与评价响应文件、推荐中标候选人名单。</w:t>
      </w:r>
    </w:p>
    <w:p w14:paraId="167A7109">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5.3.1项目评审方法详见磋商文件“第四章 评审方法、步骤及标准”。</w:t>
      </w:r>
    </w:p>
    <w:p w14:paraId="79ABB3CE">
      <w:pPr>
        <w:pStyle w:val="6"/>
        <w:spacing w:line="500" w:lineRule="exact"/>
        <w:ind w:firstLine="568"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5.4</w:t>
      </w:r>
      <w:r>
        <w:rPr>
          <w:rFonts w:hint="eastAsia" w:ascii="仿宋_GB2312" w:hAnsi="仿宋_GB2312" w:eastAsia="仿宋_GB2312" w:cs="仿宋_GB2312"/>
          <w:color w:val="000000" w:themeColor="text1"/>
          <w:kern w:val="0"/>
          <w:sz w:val="28"/>
          <w:szCs w:val="28"/>
          <w14:textFill>
            <w14:solidFill>
              <w14:schemeClr w14:val="tx1"/>
            </w14:solidFill>
          </w14:textFill>
        </w:rPr>
        <w:t>响应文件的初审</w:t>
      </w:r>
    </w:p>
    <w:p w14:paraId="0E1A6924">
      <w:pPr>
        <w:pStyle w:val="6"/>
        <w:spacing w:line="500" w:lineRule="exact"/>
        <w:ind w:firstLine="565" w:firstLineChars="202"/>
        <w:jc w:val="left"/>
        <w:rPr>
          <w:rFonts w:hint="eastAsia" w:ascii="仿宋_GB2312" w:hAnsi="仿宋_GB2312" w:eastAsia="仿宋_GB2312" w:cs="仿宋_GB2312"/>
          <w:b/>
          <w:bCs/>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初审分为资格性检查和符合性检查。</w:t>
      </w:r>
      <w:r>
        <w:rPr>
          <w:rFonts w:hint="eastAsia" w:ascii="仿宋_GB2312" w:hAnsi="仿宋_GB2312" w:eastAsia="仿宋_GB2312" w:cs="仿宋_GB2312"/>
          <w:b/>
          <w:bCs/>
          <w:color w:val="000000" w:themeColor="text1"/>
          <w:kern w:val="0"/>
          <w:sz w:val="28"/>
          <w:szCs w:val="28"/>
          <w14:textFill>
            <w14:solidFill>
              <w14:schemeClr w14:val="tx1"/>
            </w14:solidFill>
          </w14:textFill>
        </w:rPr>
        <w:t>评审不合格的供应商的响应文件作无效文件处理。</w:t>
      </w:r>
    </w:p>
    <w:p w14:paraId="2AFFF847">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5.4.1资格性检查</w:t>
      </w:r>
    </w:p>
    <w:p w14:paraId="14162D30">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（1）磋商小组根据评审办法前附表规定的评审因素和评审标准，对供应商的响应文件进行资格评审。资格性检查不合格的供应商的响应文件作无效文件处理。</w:t>
      </w:r>
    </w:p>
    <w:p w14:paraId="001144EA">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（2）磋商小组在进行资格检查时，不得改变磋商文件中已载明的资格条件、标准和办法。资格性检查不合格的供应商的响应文件作无效文件处理。</w:t>
      </w:r>
    </w:p>
    <w:p w14:paraId="4D5C1888">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（3）供应商在递交响应文件时，应逐项对照上述资格性检查要求提交相应的资格证明文件供磋商小组核查，否则评委将不予采信。</w:t>
      </w:r>
    </w:p>
    <w:p w14:paraId="7A0EE34D">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（4）磋商小组在评审中必要时可按供应商提供的联系方式就有关问题进行查询核实，或要求供应商做出书面澄清，查询及澄清结果将作为审查的依据。</w:t>
      </w:r>
    </w:p>
    <w:p w14:paraId="446EF8B5">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（5）通过全部资格性检查条件合格的供应商才能通过资格检查，其响应文件方可进入下一个检查阶段。</w:t>
      </w:r>
    </w:p>
    <w:p w14:paraId="0D73DDF9">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5.4.2符合性检查</w:t>
      </w:r>
    </w:p>
    <w:p w14:paraId="79335B58">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磋商小组根据评审办法前附表规定的评审因素和评审标准，对供应商的响应文件进行符合性检查。符合性检查不合格的供应商的响应文件作无效文件处理。</w:t>
      </w:r>
    </w:p>
    <w:p w14:paraId="09DA4F17">
      <w:pPr>
        <w:pStyle w:val="6"/>
        <w:spacing w:line="500" w:lineRule="exact"/>
        <w:ind w:firstLine="568"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5.5</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违法违规行为 </w:t>
      </w:r>
    </w:p>
    <w:p w14:paraId="1D593F71">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5.5.1在评审过程中，磋商小组发现供应商有下列情形之一的，作无效文件处理：</w:t>
      </w:r>
    </w:p>
    <w:p w14:paraId="208B3C76">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（1）属于同一集团、协会、商会等组织成员的供应商按照该组织要求协同投标；</w:t>
      </w:r>
    </w:p>
    <w:p w14:paraId="6FF31440">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（2）不同供应商的响应文件由同一单位或者个人编制；</w:t>
      </w:r>
    </w:p>
    <w:p w14:paraId="31D39FDE">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（3）不同供应商委托同一单位或者个人办理投标事宜；</w:t>
      </w:r>
    </w:p>
    <w:p w14:paraId="1EB1B7D4">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（4）不同供应商的响应文件载明的项目管理成员为同一人；</w:t>
      </w:r>
    </w:p>
    <w:p w14:paraId="35CEDE35">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（5）不同供应商的响应文件异常一致或者响应报价呈规律性差异；</w:t>
      </w:r>
    </w:p>
    <w:p w14:paraId="615B1085">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（6）不同供应商的响应文件相互混装；</w:t>
      </w:r>
    </w:p>
    <w:p w14:paraId="67904581">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（7）不同供应商的投标保证金从同一单位或者个人的账户转出；</w:t>
      </w:r>
    </w:p>
    <w:p w14:paraId="0827677C">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（8）使用伪造、变造的行政许可证件；</w:t>
      </w:r>
    </w:p>
    <w:p w14:paraId="4458FE11">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（9）提供虚假的财务状况或者业绩；</w:t>
      </w:r>
    </w:p>
    <w:p w14:paraId="61443003">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（10）提供虚假的项目负责人或者主要技术人员简历、劳动关系证明；</w:t>
      </w:r>
    </w:p>
    <w:p w14:paraId="53A9426E">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（11）提供虚假的信用状况；</w:t>
      </w:r>
    </w:p>
    <w:p w14:paraId="51807FCC">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（12）其他弄虚作假的行为。</w:t>
      </w:r>
    </w:p>
    <w:p w14:paraId="7CC5C249">
      <w:pPr>
        <w:pStyle w:val="6"/>
        <w:spacing w:line="500" w:lineRule="exact"/>
        <w:ind w:firstLine="568"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5.6</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磋商小组审查响应文件是否完整、有无计算上的错误等。</w:t>
      </w:r>
    </w:p>
    <w:p w14:paraId="5400FDAB">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5.6.1 响应文件的修正及澄清</w:t>
      </w:r>
    </w:p>
    <w:p w14:paraId="4E219F8E">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（1）磋商小组对确定为实质上响应磋商文件要求的响应文件进行校核，看其是否有计算或表达上的错误，算术错误将按以下方法更正：</w:t>
      </w:r>
    </w:p>
    <w:p w14:paraId="72A18030">
      <w:pPr>
        <w:pStyle w:val="6"/>
        <w:keepNext w:val="0"/>
        <w:keepLines w:val="0"/>
        <w:pageBreakBefore w:val="0"/>
        <w:widowControl w:val="0"/>
        <w:kinsoku/>
        <w:wordWrap/>
        <w:overflowPunct/>
        <w:topLinePunct w:val="0"/>
        <w:autoSpaceDE/>
        <w:autoSpaceDN/>
        <w:bidi w:val="0"/>
        <w:adjustRightInd/>
        <w:snapToGrid/>
        <w:spacing w:line="560" w:lineRule="exact"/>
        <w:ind w:firstLine="565" w:firstLineChars="202"/>
        <w:jc w:val="left"/>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响应文件的大写金额和小写金额不一致的，以大写金额为准；总价金额与单价汇总金额不一致的，以单价汇总金额计算结果为准；单价金额小数点有明显错位的，应以总价为准，并修改单价。提交最终报价时，如果供应商不接受对其错误的更正，其响应文件将被视为无效文件。</w:t>
      </w:r>
    </w:p>
    <w:p w14:paraId="6C5B9F71">
      <w:pPr>
        <w:pStyle w:val="6"/>
        <w:keepNext w:val="0"/>
        <w:keepLines w:val="0"/>
        <w:pageBreakBefore w:val="0"/>
        <w:widowControl w:val="0"/>
        <w:kinsoku/>
        <w:wordWrap/>
        <w:overflowPunct/>
        <w:topLinePunct w:val="0"/>
        <w:autoSpaceDE/>
        <w:autoSpaceDN/>
        <w:bidi w:val="0"/>
        <w:adjustRightInd/>
        <w:snapToGrid/>
        <w:spacing w:line="560" w:lineRule="exact"/>
        <w:ind w:firstLine="565" w:firstLineChars="202"/>
        <w:jc w:val="left"/>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5.6.2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14:paraId="1ED555D6">
      <w:pPr>
        <w:pStyle w:val="6"/>
        <w:keepNext w:val="0"/>
        <w:keepLines w:val="0"/>
        <w:pageBreakBefore w:val="0"/>
        <w:widowControl w:val="0"/>
        <w:kinsoku/>
        <w:wordWrap/>
        <w:overflowPunct/>
        <w:topLinePunct w:val="0"/>
        <w:autoSpaceDE/>
        <w:autoSpaceDN/>
        <w:bidi w:val="0"/>
        <w:adjustRightInd/>
        <w:snapToGrid/>
        <w:spacing w:line="560" w:lineRule="exact"/>
        <w:ind w:firstLine="565" w:firstLineChars="202"/>
        <w:jc w:val="left"/>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5.6.3实质上没有响应磋商文件要求的响应文件将被视为无效文件。供应商不得通过修正或撤销不合要求的偏离从而使其成为实质上响应的文件。</w:t>
      </w:r>
    </w:p>
    <w:p w14:paraId="4D3EFC32">
      <w:pPr>
        <w:pStyle w:val="6"/>
        <w:keepNext w:val="0"/>
        <w:keepLines w:val="0"/>
        <w:pageBreakBefore w:val="0"/>
        <w:widowControl w:val="0"/>
        <w:kinsoku/>
        <w:wordWrap/>
        <w:overflowPunct/>
        <w:topLinePunct w:val="0"/>
        <w:autoSpaceDE/>
        <w:autoSpaceDN/>
        <w:bidi w:val="0"/>
        <w:adjustRightInd/>
        <w:snapToGrid/>
        <w:spacing w:line="560" w:lineRule="exact"/>
        <w:ind w:firstLine="565" w:firstLineChars="202"/>
        <w:jc w:val="left"/>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5.6.4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响应报价等实质性内容做任何更改。有关澄清的答复均应由供应商的法定代表人或授权代表以书面形式作出并签字。</w:t>
      </w:r>
    </w:p>
    <w:p w14:paraId="6C4234EA">
      <w:pPr>
        <w:pStyle w:val="6"/>
        <w:keepNext w:val="0"/>
        <w:keepLines w:val="0"/>
        <w:pageBreakBefore w:val="0"/>
        <w:widowControl w:val="0"/>
        <w:kinsoku/>
        <w:wordWrap/>
        <w:overflowPunct/>
        <w:topLinePunct w:val="0"/>
        <w:autoSpaceDE/>
        <w:autoSpaceDN/>
        <w:bidi w:val="0"/>
        <w:adjustRightInd/>
        <w:snapToGrid/>
        <w:spacing w:line="560" w:lineRule="exact"/>
        <w:ind w:firstLine="565" w:firstLineChars="202"/>
        <w:jc w:val="left"/>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5.6.5供应商的澄清文件是其响应文件的组成部分。</w:t>
      </w:r>
    </w:p>
    <w:p w14:paraId="1C3CDF6B">
      <w:pPr>
        <w:pStyle w:val="6"/>
        <w:keepNext w:val="0"/>
        <w:keepLines w:val="0"/>
        <w:pageBreakBefore w:val="0"/>
        <w:widowControl w:val="0"/>
        <w:kinsoku/>
        <w:wordWrap/>
        <w:overflowPunct/>
        <w:topLinePunct w:val="0"/>
        <w:autoSpaceDE/>
        <w:autoSpaceDN/>
        <w:bidi w:val="0"/>
        <w:adjustRightInd/>
        <w:snapToGrid/>
        <w:spacing w:line="560" w:lineRule="exact"/>
        <w:ind w:firstLine="568" w:firstLineChars="202"/>
        <w:jc w:val="left"/>
        <w:textAlignment w:val="auto"/>
        <w:rPr>
          <w:rFonts w:hint="eastAsia" w:ascii="仿宋_GB2312" w:hAnsi="仿宋_GB2312" w:eastAsia="仿宋_GB2312" w:cs="仿宋_GB2312"/>
          <w:b/>
          <w:bCs/>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5.7磋商</w:t>
      </w:r>
    </w:p>
    <w:p w14:paraId="5AEF20B3">
      <w:pPr>
        <w:pStyle w:val="6"/>
        <w:keepNext w:val="0"/>
        <w:keepLines w:val="0"/>
        <w:pageBreakBefore w:val="0"/>
        <w:widowControl w:val="0"/>
        <w:kinsoku/>
        <w:wordWrap/>
        <w:overflowPunct/>
        <w:topLinePunct w:val="0"/>
        <w:autoSpaceDE/>
        <w:autoSpaceDN/>
        <w:bidi w:val="0"/>
        <w:adjustRightInd/>
        <w:snapToGrid/>
        <w:spacing w:line="560" w:lineRule="exact"/>
        <w:ind w:firstLine="565" w:firstLineChars="202"/>
        <w:jc w:val="left"/>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5.7.1磋商小组所有成员应当集中与单一供应商分别进行磋商，并给予所有参加磋商的供应商平等的磋商机会。</w:t>
      </w:r>
    </w:p>
    <w:p w14:paraId="22138F77">
      <w:pPr>
        <w:pStyle w:val="6"/>
        <w:keepNext w:val="0"/>
        <w:keepLines w:val="0"/>
        <w:pageBreakBefore w:val="0"/>
        <w:widowControl w:val="0"/>
        <w:kinsoku/>
        <w:wordWrap/>
        <w:overflowPunct/>
        <w:topLinePunct w:val="0"/>
        <w:autoSpaceDE/>
        <w:autoSpaceDN/>
        <w:bidi w:val="0"/>
        <w:adjustRightInd/>
        <w:snapToGrid/>
        <w:spacing w:line="560" w:lineRule="atLeast"/>
        <w:ind w:firstLine="565" w:firstLineChars="202"/>
        <w:jc w:val="left"/>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5.7.2在磋商过程中，磋商小组可以根据磋商文件和磋商情况实质性变动采购需求中的技术、服务要求以及合同草案条款，但不得变动磋商文件中的其他内容。实质性变动的内容，须经采购人代表确认。</w:t>
      </w:r>
      <w:r>
        <w:rPr>
          <w:rFonts w:hint="eastAsia" w:ascii="仿宋_GB2312" w:hAnsi="仿宋_GB2312" w:eastAsia="仿宋_GB2312" w:cs="仿宋_GB2312"/>
          <w:color w:val="000000" w:themeColor="text1"/>
          <w:kern w:val="0"/>
          <w:sz w:val="28"/>
          <w:szCs w:val="28"/>
          <w14:textFill>
            <w14:solidFill>
              <w14:schemeClr w14:val="tx1"/>
            </w14:solidFill>
          </w14:textFill>
        </w:rPr>
        <w:br w:type="textWrapping"/>
      </w:r>
      <w:r>
        <w:rPr>
          <w:rFonts w:hint="eastAsia" w:ascii="仿宋_GB2312" w:hAnsi="仿宋_GB2312" w:eastAsia="仿宋_GB2312" w:cs="仿宋_GB2312"/>
          <w:color w:val="000000" w:themeColor="text1"/>
          <w:kern w:val="0"/>
          <w:sz w:val="28"/>
          <w:szCs w:val="28"/>
          <w14:textFill>
            <w14:solidFill>
              <w14:schemeClr w14:val="tx1"/>
            </w14:solidFill>
          </w14:textFill>
        </w:rPr>
        <w:t>　　5.7.3对磋商文件作出的实质性变动是磋商文件的有效组成部分，磋商小组应当及时以书面形式同时通知所有参加磋商的供应商。</w:t>
      </w:r>
      <w:r>
        <w:rPr>
          <w:rFonts w:hint="eastAsia" w:ascii="仿宋_GB2312" w:hAnsi="仿宋_GB2312" w:eastAsia="仿宋_GB2312" w:cs="仿宋_GB2312"/>
          <w:color w:val="000000" w:themeColor="text1"/>
          <w:kern w:val="0"/>
          <w:sz w:val="28"/>
          <w:szCs w:val="28"/>
          <w14:textFill>
            <w14:solidFill>
              <w14:schemeClr w14:val="tx1"/>
            </w14:solidFill>
          </w14:textFill>
        </w:rPr>
        <w:br w:type="textWrapping"/>
      </w:r>
      <w:r>
        <w:rPr>
          <w:rFonts w:hint="eastAsia" w:ascii="仿宋_GB2312" w:hAnsi="仿宋_GB2312" w:eastAsia="仿宋_GB2312" w:cs="仿宋_GB2312"/>
          <w:color w:val="000000" w:themeColor="text1"/>
          <w:kern w:val="0"/>
          <w:sz w:val="28"/>
          <w:szCs w:val="28"/>
          <w14:textFill>
            <w14:solidFill>
              <w14:schemeClr w14:val="tx1"/>
            </w14:solidFill>
          </w14:textFill>
        </w:rPr>
        <w:t>　　5.7.4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r>
        <w:rPr>
          <w:rFonts w:hint="eastAsia" w:ascii="仿宋_GB2312" w:hAnsi="仿宋_GB2312" w:eastAsia="仿宋_GB2312" w:cs="仿宋_GB2312"/>
          <w:color w:val="000000" w:themeColor="text1"/>
          <w:kern w:val="0"/>
          <w:sz w:val="28"/>
          <w:szCs w:val="28"/>
          <w14:textFill>
            <w14:solidFill>
              <w14:schemeClr w14:val="tx1"/>
            </w14:solidFill>
          </w14:textFill>
        </w:rPr>
        <w:br w:type="textWrapping"/>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　5.7.5磋商文件能够详细列明采购标的的技术、服务要求的，磋商结束后，磋商小组应当要求所有实质性响应的供应商在规定时间内提交最后报价，提交最后报价的供应商不得少于3家。</w:t>
      </w:r>
    </w:p>
    <w:p w14:paraId="4B09BE96">
      <w:pPr>
        <w:pStyle w:val="6"/>
        <w:keepNext w:val="0"/>
        <w:keepLines w:val="0"/>
        <w:pageBreakBefore w:val="0"/>
        <w:widowControl w:val="0"/>
        <w:kinsoku/>
        <w:wordWrap/>
        <w:overflowPunct/>
        <w:topLinePunct w:val="0"/>
        <w:autoSpaceDE/>
        <w:autoSpaceDN/>
        <w:bidi w:val="0"/>
        <w:adjustRightInd/>
        <w:snapToGrid/>
        <w:spacing w:line="560" w:lineRule="atLeast"/>
        <w:ind w:firstLine="565" w:firstLineChars="202"/>
        <w:jc w:val="left"/>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5.7.6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616EBFCE">
      <w:pPr>
        <w:pStyle w:val="6"/>
        <w:keepNext w:val="0"/>
        <w:keepLines w:val="0"/>
        <w:pageBreakBefore w:val="0"/>
        <w:widowControl w:val="0"/>
        <w:kinsoku/>
        <w:wordWrap/>
        <w:overflowPunct/>
        <w:topLinePunct w:val="0"/>
        <w:autoSpaceDE/>
        <w:autoSpaceDN/>
        <w:bidi w:val="0"/>
        <w:adjustRightInd/>
        <w:snapToGrid/>
        <w:spacing w:line="560" w:lineRule="atLeast"/>
        <w:ind w:firstLine="565" w:firstLineChars="202"/>
        <w:jc w:val="left"/>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5.7.7已提交响应文件的供应商，在提交最后报价之前，可以根据磋商情况退出磋商。其磋商保证金将予以退还。</w:t>
      </w:r>
    </w:p>
    <w:p w14:paraId="59380901">
      <w:pPr>
        <w:pStyle w:val="6"/>
        <w:keepNext w:val="0"/>
        <w:keepLines w:val="0"/>
        <w:pageBreakBefore w:val="0"/>
        <w:widowControl w:val="0"/>
        <w:kinsoku/>
        <w:wordWrap/>
        <w:overflowPunct/>
        <w:topLinePunct w:val="0"/>
        <w:autoSpaceDE/>
        <w:autoSpaceDN/>
        <w:bidi w:val="0"/>
        <w:adjustRightInd/>
        <w:snapToGrid/>
        <w:spacing w:line="560" w:lineRule="atLeast"/>
        <w:ind w:firstLine="565" w:firstLineChars="202"/>
        <w:jc w:val="left"/>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5.7.8最后报价是供应商响应文件的有效组成部分。</w:t>
      </w:r>
    </w:p>
    <w:p w14:paraId="2EEF0976">
      <w:pPr>
        <w:keepNext w:val="0"/>
        <w:keepLines w:val="0"/>
        <w:pageBreakBefore w:val="0"/>
        <w:widowControl w:val="0"/>
        <w:kinsoku/>
        <w:wordWrap/>
        <w:overflowPunct/>
        <w:topLinePunct w:val="0"/>
        <w:autoSpaceDE/>
        <w:autoSpaceDN/>
        <w:bidi w:val="0"/>
        <w:adjustRightInd/>
        <w:snapToGrid/>
        <w:spacing w:line="560" w:lineRule="atLeast"/>
        <w:ind w:firstLine="560" w:firstLineChars="200"/>
        <w:textAlignment w:val="auto"/>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5.7.9</w:t>
      </w: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政府采购评审中出现下列情形之一的，评审委员会应当启动异常低价投标（响应）审查程序：</w:t>
      </w:r>
    </w:p>
    <w:p w14:paraId="23DB0FE9">
      <w:pPr>
        <w:keepNext w:val="0"/>
        <w:keepLines w:val="0"/>
        <w:pageBreakBefore w:val="0"/>
        <w:widowControl w:val="0"/>
        <w:kinsoku/>
        <w:wordWrap/>
        <w:overflowPunct/>
        <w:topLinePunct w:val="0"/>
        <w:autoSpaceDE/>
        <w:autoSpaceDN/>
        <w:bidi w:val="0"/>
        <w:adjustRightInd/>
        <w:snapToGrid/>
        <w:spacing w:line="560" w:lineRule="atLeast"/>
        <w:ind w:firstLine="560" w:firstLineChars="200"/>
        <w:textAlignment w:val="auto"/>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（1）投标（响应）报价低于全部通过符合性审查供应商投标（响应）报价平均值50%的，即投标（响应）报价&lt;全部通过符合性审查供应商投标（响应）报价平均值×50%；</w:t>
      </w:r>
    </w:p>
    <w:p w14:paraId="46659727">
      <w:pPr>
        <w:keepNext w:val="0"/>
        <w:keepLines w:val="0"/>
        <w:pageBreakBefore w:val="0"/>
        <w:widowControl w:val="0"/>
        <w:kinsoku/>
        <w:wordWrap/>
        <w:overflowPunct/>
        <w:topLinePunct w:val="0"/>
        <w:autoSpaceDE/>
        <w:autoSpaceDN/>
        <w:bidi w:val="0"/>
        <w:adjustRightInd/>
        <w:snapToGrid/>
        <w:spacing w:line="560" w:lineRule="atLeast"/>
        <w:ind w:firstLine="560" w:firstLineChars="200"/>
        <w:textAlignment w:val="auto"/>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（2）投标（响应）报价低于通过符合性审查的次低报价供应商投标（响应）报价50%的，即投标（响应）报价&lt;通过符合性审查的次低报价供应商投标（响应）报价×50%；</w:t>
      </w:r>
    </w:p>
    <w:p w14:paraId="67FDC0D0">
      <w:pPr>
        <w:keepNext w:val="0"/>
        <w:keepLines w:val="0"/>
        <w:pageBreakBefore w:val="0"/>
        <w:widowControl w:val="0"/>
        <w:kinsoku/>
        <w:wordWrap/>
        <w:overflowPunct/>
        <w:topLinePunct w:val="0"/>
        <w:autoSpaceDE/>
        <w:autoSpaceDN/>
        <w:bidi w:val="0"/>
        <w:adjustRightInd/>
        <w:snapToGrid/>
        <w:spacing w:line="560" w:lineRule="atLeast"/>
        <w:ind w:firstLine="560" w:firstLineChars="200"/>
        <w:textAlignment w:val="auto"/>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（3）投标（响应）报价低于采购项目最高限价45%的，即投标（响应）报价&lt;采购项目最高限价×45%；</w:t>
      </w:r>
    </w:p>
    <w:p w14:paraId="0D8BBBE8">
      <w:pPr>
        <w:keepNext w:val="0"/>
        <w:keepLines w:val="0"/>
        <w:pageBreakBefore w:val="0"/>
        <w:widowControl w:val="0"/>
        <w:kinsoku/>
        <w:wordWrap/>
        <w:overflowPunct/>
        <w:topLinePunct w:val="0"/>
        <w:autoSpaceDE/>
        <w:autoSpaceDN/>
        <w:bidi w:val="0"/>
        <w:adjustRightInd/>
        <w:snapToGrid/>
        <w:spacing w:line="560" w:lineRule="atLeast"/>
        <w:ind w:firstLine="560" w:firstLineChars="200"/>
        <w:textAlignment w:val="auto"/>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（4）评审委员会基于专业判断，认为供应商报价过低，有可能影响产品质量或者不能诚信履约的其他情形。</w:t>
      </w:r>
    </w:p>
    <w:p w14:paraId="12AE63E7">
      <w:pPr>
        <w:keepNext w:val="0"/>
        <w:keepLines w:val="0"/>
        <w:pageBreakBefore w:val="0"/>
        <w:widowControl w:val="0"/>
        <w:kinsoku/>
        <w:wordWrap/>
        <w:overflowPunct/>
        <w:topLinePunct w:val="0"/>
        <w:autoSpaceDE/>
        <w:autoSpaceDN/>
        <w:bidi w:val="0"/>
        <w:adjustRightInd/>
        <w:snapToGrid/>
        <w:spacing w:line="560" w:lineRule="atLeast"/>
        <w:ind w:firstLine="560" w:firstLineChars="200"/>
        <w:textAlignment w:val="auto"/>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采购人可以结合具体项目实际情况，提高上述第（1）项至第（3）项中启动异常低价投标（响应）审查的数值标准，但最高不得超过65%。</w:t>
      </w:r>
    </w:p>
    <w:p w14:paraId="29668F5F">
      <w:pPr>
        <w:keepNext w:val="0"/>
        <w:keepLines w:val="0"/>
        <w:pageBreakBefore w:val="0"/>
        <w:widowControl w:val="0"/>
        <w:kinsoku/>
        <w:wordWrap/>
        <w:overflowPunct/>
        <w:topLinePunct w:val="0"/>
        <w:autoSpaceDE/>
        <w:autoSpaceDN/>
        <w:bidi w:val="0"/>
        <w:adjustRightInd/>
        <w:snapToGrid/>
        <w:spacing w:line="560" w:lineRule="atLeast"/>
        <w:ind w:firstLine="560" w:firstLineChars="200"/>
        <w:textAlignment w:val="auto"/>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相关法律法规对供应商报价有规定的，从其规定。</w:t>
      </w:r>
    </w:p>
    <w:p w14:paraId="61FA38DF">
      <w:pPr>
        <w:keepNext w:val="0"/>
        <w:keepLines w:val="0"/>
        <w:pageBreakBefore w:val="0"/>
        <w:widowControl w:val="0"/>
        <w:kinsoku/>
        <w:wordWrap/>
        <w:overflowPunct/>
        <w:topLinePunct w:val="0"/>
        <w:autoSpaceDE/>
        <w:autoSpaceDN/>
        <w:bidi w:val="0"/>
        <w:adjustRightInd/>
        <w:snapToGrid/>
        <w:spacing w:line="560" w:lineRule="atLeast"/>
        <w:ind w:firstLine="560" w:firstLineChars="200"/>
        <w:textAlignment w:val="auto"/>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评审委员会启动异常低价投标（响应）审查后，属于前述第（1）项至第（4）项情形的，应当要求相关供应商在评审现场合理的时间内对投标（响应）价格作出解释，并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9D36456">
      <w:pPr>
        <w:keepNext w:val="0"/>
        <w:keepLines w:val="0"/>
        <w:pageBreakBefore w:val="0"/>
        <w:widowControl w:val="0"/>
        <w:kinsoku/>
        <w:wordWrap/>
        <w:overflowPunct/>
        <w:topLinePunct w:val="0"/>
        <w:autoSpaceDE/>
        <w:autoSpaceDN/>
        <w:bidi w:val="0"/>
        <w:adjustRightInd/>
        <w:snapToGrid/>
        <w:spacing w:line="560" w:lineRule="atLeast"/>
        <w:ind w:firstLine="560" w:firstLineChars="200"/>
        <w:textAlignment w:val="auto"/>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A2C470A">
      <w:pPr>
        <w:pStyle w:val="6"/>
        <w:keepNext w:val="0"/>
        <w:keepLines w:val="0"/>
        <w:pageBreakBefore w:val="0"/>
        <w:widowControl w:val="0"/>
        <w:kinsoku/>
        <w:wordWrap/>
        <w:overflowPunct/>
        <w:topLinePunct w:val="0"/>
        <w:autoSpaceDE/>
        <w:autoSpaceDN/>
        <w:bidi w:val="0"/>
        <w:adjustRightInd/>
        <w:snapToGrid/>
        <w:spacing w:line="560" w:lineRule="atLeast"/>
        <w:ind w:left="0" w:leftChars="0" w:firstLine="560" w:firstLineChars="200"/>
        <w:jc w:val="left"/>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.7</w:t>
      </w:r>
      <w:r>
        <w:rPr>
          <w:rFonts w:hint="eastAsia" w:ascii="仿宋_GB2312" w:hAnsi="仿宋_GB2312" w:eastAsia="仿宋_GB2312" w:cs="仿宋_GB2312"/>
          <w:color w:val="000000" w:themeColor="text1"/>
          <w:kern w:val="0"/>
          <w:sz w:val="28"/>
          <w:szCs w:val="28"/>
          <w14:textFill>
            <w14:solidFill>
              <w14:schemeClr w14:val="tx1"/>
            </w14:solidFill>
          </w14:textFill>
        </w:rPr>
        <w:t>.</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kern w:val="0"/>
          <w:sz w:val="28"/>
          <w:szCs w:val="28"/>
          <w14:textFill>
            <w14:solidFill>
              <w14:schemeClr w14:val="tx1"/>
            </w14:solidFill>
          </w14:textFill>
        </w:rPr>
        <w:t>经磋商确定最终采购需求和提交最后报价的供应商后，由磋商小组采用综合评分法对提交最后报价的供应商的响应文件和最后报价进行综合评分。</w:t>
      </w:r>
    </w:p>
    <w:p w14:paraId="7EDBA817">
      <w:pPr>
        <w:pStyle w:val="6"/>
        <w:keepNext w:val="0"/>
        <w:keepLines w:val="0"/>
        <w:pageBreakBefore w:val="0"/>
        <w:widowControl w:val="0"/>
        <w:kinsoku/>
        <w:wordWrap/>
        <w:overflowPunct/>
        <w:topLinePunct w:val="0"/>
        <w:autoSpaceDE/>
        <w:autoSpaceDN/>
        <w:bidi w:val="0"/>
        <w:adjustRightInd/>
        <w:snapToGrid/>
        <w:spacing w:line="560" w:lineRule="atLeast"/>
        <w:ind w:firstLine="565" w:firstLineChars="202"/>
        <w:jc w:val="left"/>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5.7.1</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28"/>
          <w:szCs w:val="28"/>
          <w14:textFill>
            <w14:solidFill>
              <w14:schemeClr w14:val="tx1"/>
            </w14:solidFill>
          </w14:textFill>
        </w:rPr>
        <w:t>采购结果确认</w:t>
      </w:r>
    </w:p>
    <w:p w14:paraId="1B5B91D4">
      <w:pPr>
        <w:pStyle w:val="6"/>
        <w:keepNext w:val="0"/>
        <w:keepLines w:val="0"/>
        <w:pageBreakBefore w:val="0"/>
        <w:widowControl w:val="0"/>
        <w:kinsoku/>
        <w:wordWrap/>
        <w:overflowPunct/>
        <w:topLinePunct w:val="0"/>
        <w:autoSpaceDE/>
        <w:autoSpaceDN/>
        <w:bidi w:val="0"/>
        <w:adjustRightInd/>
        <w:snapToGrid/>
        <w:spacing w:line="560" w:lineRule="atLeast"/>
        <w:ind w:firstLine="565" w:firstLineChars="202"/>
        <w:jc w:val="left"/>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14:paraId="5703ED72">
      <w:pPr>
        <w:pStyle w:val="6"/>
        <w:keepNext w:val="0"/>
        <w:keepLines w:val="0"/>
        <w:pageBreakBefore w:val="0"/>
        <w:widowControl w:val="0"/>
        <w:kinsoku/>
        <w:wordWrap/>
        <w:overflowPunct/>
        <w:topLinePunct w:val="0"/>
        <w:autoSpaceDE/>
        <w:autoSpaceDN/>
        <w:bidi w:val="0"/>
        <w:adjustRightInd/>
        <w:snapToGrid/>
        <w:spacing w:line="560" w:lineRule="atLeast"/>
        <w:ind w:firstLine="568" w:firstLineChars="202"/>
        <w:jc w:val="left"/>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5.8.</w:t>
      </w:r>
      <w:r>
        <w:rPr>
          <w:rFonts w:hint="eastAsia" w:ascii="仿宋_GB2312" w:hAnsi="仿宋_GB2312" w:eastAsia="仿宋_GB2312" w:cs="仿宋_GB2312"/>
          <w:color w:val="000000" w:themeColor="text1"/>
          <w:kern w:val="0"/>
          <w:sz w:val="28"/>
          <w:szCs w:val="28"/>
          <w14:textFill>
            <w14:solidFill>
              <w14:schemeClr w14:val="tx1"/>
            </w14:solidFill>
          </w14:textFill>
        </w:rPr>
        <w:t>公示或公告</w:t>
      </w:r>
    </w:p>
    <w:p w14:paraId="01D151C7">
      <w:pPr>
        <w:pStyle w:val="6"/>
        <w:keepNext w:val="0"/>
        <w:keepLines w:val="0"/>
        <w:pageBreakBefore w:val="0"/>
        <w:widowControl w:val="0"/>
        <w:kinsoku/>
        <w:wordWrap/>
        <w:overflowPunct/>
        <w:topLinePunct w:val="0"/>
        <w:autoSpaceDE/>
        <w:autoSpaceDN/>
        <w:bidi w:val="0"/>
        <w:adjustRightInd/>
        <w:snapToGrid/>
        <w:spacing w:line="560" w:lineRule="atLeast"/>
        <w:ind w:firstLine="565" w:firstLineChars="202"/>
        <w:jc w:val="left"/>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5.8.1成交供应商确定后，集中采购机构将在政府采购监管部门指定的媒体上发布成交公告，同时向成交供应商发出《成交通知书》。《成交通知书》是合同的组成部分,对成交供应商和采购人具有同等法律效力。</w:t>
      </w:r>
    </w:p>
    <w:p w14:paraId="44737600">
      <w:pPr>
        <w:pStyle w:val="6"/>
        <w:keepNext w:val="0"/>
        <w:keepLines w:val="0"/>
        <w:pageBreakBefore w:val="0"/>
        <w:widowControl w:val="0"/>
        <w:kinsoku/>
        <w:wordWrap/>
        <w:overflowPunct/>
        <w:topLinePunct w:val="0"/>
        <w:autoSpaceDE/>
        <w:autoSpaceDN/>
        <w:bidi w:val="0"/>
        <w:adjustRightInd/>
        <w:snapToGrid/>
        <w:spacing w:line="560" w:lineRule="atLeast"/>
        <w:ind w:firstLine="565" w:firstLineChars="202"/>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bookmarkStart w:id="97" w:name="_Toc446599315"/>
      <w:bookmarkStart w:id="98" w:name="_Toc31594"/>
      <w:bookmarkStart w:id="99" w:name="_Toc293736015"/>
      <w:bookmarkStart w:id="100" w:name="_Toc293738996"/>
      <w:bookmarkStart w:id="101" w:name="_Toc293736058"/>
      <w:r>
        <w:rPr>
          <w:rFonts w:hint="eastAsia" w:ascii="仿宋_GB2312" w:hAnsi="仿宋_GB2312" w:eastAsia="仿宋_GB2312" w:cs="仿宋_GB2312"/>
          <w:color w:val="000000" w:themeColor="text1"/>
          <w:kern w:val="0"/>
          <w:sz w:val="28"/>
          <w:szCs w:val="28"/>
          <w14:textFill>
            <w14:solidFill>
              <w14:schemeClr w14:val="tx1"/>
            </w14:solidFill>
          </w14:textFill>
        </w:rPr>
        <w:t>六、 授予合同</w:t>
      </w:r>
      <w:bookmarkEnd w:id="97"/>
      <w:bookmarkEnd w:id="98"/>
      <w:bookmarkEnd w:id="99"/>
      <w:bookmarkEnd w:id="100"/>
      <w:bookmarkEnd w:id="101"/>
    </w:p>
    <w:p w14:paraId="2F97997F">
      <w:pPr>
        <w:pStyle w:val="6"/>
        <w:keepNext w:val="0"/>
        <w:keepLines w:val="0"/>
        <w:pageBreakBefore w:val="0"/>
        <w:widowControl w:val="0"/>
        <w:kinsoku/>
        <w:wordWrap/>
        <w:overflowPunct/>
        <w:topLinePunct w:val="0"/>
        <w:autoSpaceDE/>
        <w:autoSpaceDN/>
        <w:bidi w:val="0"/>
        <w:adjustRightInd/>
        <w:snapToGrid/>
        <w:spacing w:line="560" w:lineRule="atLeast"/>
        <w:ind w:firstLine="568" w:firstLineChars="202"/>
        <w:jc w:val="left"/>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6.1</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签订合同</w:t>
      </w:r>
    </w:p>
    <w:p w14:paraId="376B14E8">
      <w:pPr>
        <w:pStyle w:val="6"/>
        <w:keepNext w:val="0"/>
        <w:keepLines w:val="0"/>
        <w:pageBreakBefore w:val="0"/>
        <w:widowControl w:val="0"/>
        <w:kinsoku/>
        <w:wordWrap/>
        <w:overflowPunct/>
        <w:topLinePunct w:val="0"/>
        <w:autoSpaceDE/>
        <w:autoSpaceDN/>
        <w:bidi w:val="0"/>
        <w:adjustRightInd/>
        <w:snapToGrid/>
        <w:spacing w:line="560" w:lineRule="atLeast"/>
        <w:ind w:firstLine="565" w:firstLineChars="202"/>
        <w:jc w:val="left"/>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6.1.1中标人须在中标通知书发出之日起30日内与采购人签订采购合同。</w:t>
      </w:r>
    </w:p>
    <w:p w14:paraId="18F3B4B2">
      <w:pPr>
        <w:pStyle w:val="6"/>
        <w:keepNext w:val="0"/>
        <w:keepLines w:val="0"/>
        <w:pageBreakBefore w:val="0"/>
        <w:widowControl w:val="0"/>
        <w:kinsoku/>
        <w:wordWrap/>
        <w:overflowPunct/>
        <w:topLinePunct w:val="0"/>
        <w:autoSpaceDE/>
        <w:autoSpaceDN/>
        <w:bidi w:val="0"/>
        <w:adjustRightInd/>
        <w:snapToGrid/>
        <w:spacing w:line="560" w:lineRule="atLeast"/>
        <w:ind w:firstLine="565" w:firstLineChars="202"/>
        <w:jc w:val="left"/>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6.1.2 中标人须按照响应文件、投标文件及评标过程中的有关澄清、说明或者补正文件的内容与采购人签订合同。中标人不得再与采购人签订背离合同实质性内容的其他协议或声明。</w:t>
      </w:r>
    </w:p>
    <w:p w14:paraId="7AD45EE2">
      <w:pPr>
        <w:pStyle w:val="6"/>
        <w:keepNext w:val="0"/>
        <w:keepLines w:val="0"/>
        <w:pageBreakBefore w:val="0"/>
        <w:widowControl w:val="0"/>
        <w:kinsoku/>
        <w:wordWrap/>
        <w:overflowPunct/>
        <w:topLinePunct w:val="0"/>
        <w:autoSpaceDE/>
        <w:autoSpaceDN/>
        <w:bidi w:val="0"/>
        <w:adjustRightInd/>
        <w:snapToGrid/>
        <w:spacing w:line="560" w:lineRule="atLeast"/>
        <w:ind w:firstLine="565" w:firstLineChars="202"/>
        <w:jc w:val="left"/>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6.1.3 采购人如需追加与合同标的相同的货物，在不改变合同其他条款的前提下，提交追加合同的申请报经同级财政部门、地区公共资源交易中心审核后，可与中标人签订补充合同，但所有补充合同的采购金额不得超过原合同金额的百分之十。</w:t>
      </w:r>
    </w:p>
    <w:p w14:paraId="2501F390">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6.1.4 中标人一旦中标及签订合同后，不得转包，亦不得将合同全部及任何权利、义务向第三方转让。</w:t>
      </w:r>
    </w:p>
    <w:p w14:paraId="2B4F635F">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6.1.5 中标人不履行合同的，采购人可在报经同级人民政府财政部门核准后，与排位在中标人之后的第一位中标候选供应商签订合同，以此类推；或在报经同级人民政府财政部门核准后重新组织采购。</w:t>
      </w:r>
    </w:p>
    <w:p w14:paraId="70D9D685">
      <w:pPr>
        <w:pStyle w:val="6"/>
        <w:spacing w:line="500" w:lineRule="exact"/>
        <w:ind w:left="0" w:leftChars="0" w:firstLine="0" w:firstLineChars="0"/>
        <w:jc w:val="left"/>
        <w:rPr>
          <w:rFonts w:hint="eastAsia" w:ascii="仿宋_GB2312" w:hAnsi="仿宋_GB2312" w:eastAsia="仿宋_GB2312" w:cs="仿宋_GB2312"/>
          <w:color w:val="000000" w:themeColor="text1"/>
          <w:kern w:val="0"/>
          <w:sz w:val="28"/>
          <w:szCs w:val="28"/>
          <w14:textFill>
            <w14:solidFill>
              <w14:schemeClr w14:val="tx1"/>
            </w14:solidFill>
          </w14:textFill>
        </w:rPr>
      </w:pPr>
      <w:bookmarkStart w:id="102" w:name="_Toc293736059"/>
      <w:bookmarkStart w:id="103" w:name="_Toc293738997"/>
      <w:bookmarkStart w:id="104" w:name="_Toc293736016"/>
      <w:bookmarkStart w:id="105" w:name="_Toc446599316"/>
      <w:bookmarkStart w:id="106" w:name="_Toc15955"/>
    </w:p>
    <w:p w14:paraId="2725A717">
      <w:pPr>
        <w:pStyle w:val="6"/>
        <w:spacing w:line="500" w:lineRule="exact"/>
        <w:ind w:left="0" w:leftChars="0" w:firstLine="0" w:firstLineChars="0"/>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七、质疑</w:t>
      </w:r>
      <w:bookmarkEnd w:id="102"/>
      <w:bookmarkEnd w:id="103"/>
      <w:bookmarkEnd w:id="104"/>
      <w:bookmarkEnd w:id="105"/>
      <w:r>
        <w:rPr>
          <w:rFonts w:hint="eastAsia" w:ascii="仿宋_GB2312" w:hAnsi="仿宋_GB2312" w:eastAsia="仿宋_GB2312" w:cs="仿宋_GB2312"/>
          <w:color w:val="000000" w:themeColor="text1"/>
          <w:kern w:val="0"/>
          <w:sz w:val="28"/>
          <w:szCs w:val="28"/>
          <w14:textFill>
            <w14:solidFill>
              <w14:schemeClr w14:val="tx1"/>
            </w14:solidFill>
          </w14:textFill>
        </w:rPr>
        <w:t>和投诉</w:t>
      </w:r>
      <w:bookmarkEnd w:id="106"/>
    </w:p>
    <w:p w14:paraId="2BA46F4A">
      <w:pPr>
        <w:pStyle w:val="6"/>
        <w:spacing w:line="500" w:lineRule="exact"/>
        <w:ind w:firstLine="568"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bookmarkStart w:id="107" w:name="_Toc293736017"/>
      <w:bookmarkStart w:id="108" w:name="_Toc293736060"/>
      <w:bookmarkStart w:id="109" w:name="_Toc446599317"/>
      <w:bookmarkStart w:id="110" w:name="_Toc294515577"/>
      <w:bookmarkStart w:id="111" w:name="_Toc293738998"/>
      <w:r>
        <w:rPr>
          <w:rFonts w:hint="eastAsia" w:ascii="仿宋_GB2312" w:hAnsi="仿宋_GB2312" w:eastAsia="仿宋_GB2312" w:cs="仿宋_GB2312"/>
          <w:b/>
          <w:bCs/>
          <w:color w:val="000000" w:themeColor="text1"/>
          <w:kern w:val="0"/>
          <w:sz w:val="28"/>
          <w:szCs w:val="28"/>
          <w14:textFill>
            <w14:solidFill>
              <w14:schemeClr w14:val="tx1"/>
            </w14:solidFill>
          </w14:textFill>
        </w:rPr>
        <w:t>7.1</w:t>
      </w:r>
      <w:r>
        <w:rPr>
          <w:rFonts w:hint="eastAsia" w:ascii="仿宋_GB2312" w:hAnsi="仿宋_GB2312" w:eastAsia="仿宋_GB2312" w:cs="仿宋_GB2312"/>
          <w:color w:val="000000" w:themeColor="text1"/>
          <w:kern w:val="0"/>
          <w:sz w:val="28"/>
          <w:szCs w:val="28"/>
          <w14:textFill>
            <w14:solidFill>
              <w14:schemeClr w14:val="tx1"/>
            </w14:solidFill>
          </w14:textFill>
        </w:rPr>
        <w:t>质疑</w:t>
      </w:r>
    </w:p>
    <w:p w14:paraId="670CE0AB">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7.1.1供应商提出质疑应当符合以下条件：</w:t>
      </w:r>
    </w:p>
    <w:p w14:paraId="51B97A95">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如果供应商对此次采购活动有疑问，可依据《政府采购法》等相关规定，在规定的时间内以书面形式向采购人或代理机构提出质疑。质疑书应当包括下列主要内容：</w:t>
      </w:r>
    </w:p>
    <w:p w14:paraId="21A75917">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（1）质疑人的名称、地址、电话等；</w:t>
      </w:r>
    </w:p>
    <w:p w14:paraId="6BFF6D1D">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（2）质疑人法人签章和单位公章；</w:t>
      </w:r>
    </w:p>
    <w:p w14:paraId="0FF8BBB8">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（3）具体的质疑事项及事实依据；</w:t>
      </w:r>
    </w:p>
    <w:p w14:paraId="79172C42">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（4）明确的请求和必要（合法来源）的证明材料；</w:t>
      </w:r>
    </w:p>
    <w:p w14:paraId="1EEA08CB">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（5）以联合体形式参与资格预审的，则必须联合体各方共同签署、盖章；</w:t>
      </w:r>
    </w:p>
    <w:p w14:paraId="57158F8B">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（6）提起质疑的日期。</w:t>
      </w:r>
    </w:p>
    <w:p w14:paraId="1C119B00">
      <w:pPr>
        <w:pStyle w:val="6"/>
        <w:spacing w:line="500" w:lineRule="exact"/>
        <w:ind w:firstLine="565" w:firstLineChars="202"/>
        <w:jc w:val="left"/>
        <w:rPr>
          <w:rFonts w:hint="eastAsia" w:ascii="仿宋_GB2312" w:hAnsi="仿宋_GB2312" w:eastAsia="仿宋_GB2312" w:cs="仿宋_GB2312"/>
          <w:b/>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特注：供应商应当在法定质疑期内一次性提出针对同一采购程序环节的质疑。供</w:t>
      </w:r>
      <w:r>
        <w:rPr>
          <w:rFonts w:hint="eastAsia" w:ascii="仿宋_GB2312" w:hAnsi="仿宋_GB2312" w:eastAsia="仿宋_GB2312" w:cs="仿宋_GB2312"/>
          <w:b/>
          <w:bCs/>
          <w:color w:val="000000" w:themeColor="text1"/>
          <w:kern w:val="0"/>
          <w:sz w:val="28"/>
          <w:szCs w:val="28"/>
          <w:lang w:val="en-US" w:eastAsia="zh-CN"/>
          <w14:textFill>
            <w14:solidFill>
              <w14:schemeClr w14:val="tx1"/>
            </w14:solidFill>
          </w14:textFill>
        </w:rPr>
        <w:t>应商如在法定期限内对同一采购程序环节提出多次质疑的，交易中心、采购人将只对供应商第一次质疑作出答复。</w:t>
      </w:r>
    </w:p>
    <w:p w14:paraId="2CD0A593">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未按上述程序规定的必备内容进行质疑的，采购人或代理机构将不予以受理。</w:t>
      </w:r>
    </w:p>
    <w:p w14:paraId="640AA56E">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14:paraId="18C1096B">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7.1.3质疑人可以委托代理人办理质疑事项，代理人办理质疑事项时，除提交质疑书外，还应当提交质疑人的授权委托书及代理人的有效身份证明，授权委托书应当载明委托代理的具体权限和事项。</w:t>
      </w:r>
    </w:p>
    <w:p w14:paraId="3C867E48">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7.1.4被质疑人应当在受理质疑后7个工作日内作出答复，并以书面形式通知质疑人和其他有关供应商，答复内容仅限于供应商所质疑的内容，不得涉及国家秘密和商业秘密。</w:t>
      </w:r>
    </w:p>
    <w:p w14:paraId="55D62120">
      <w:pPr>
        <w:pStyle w:val="6"/>
        <w:spacing w:line="500" w:lineRule="exact"/>
        <w:ind w:firstLine="568"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bookmarkStart w:id="112" w:name="_Toc9365"/>
      <w:bookmarkStart w:id="113" w:name="_Toc450546725"/>
      <w:bookmarkStart w:id="114" w:name="_Toc483174929"/>
      <w:bookmarkStart w:id="115" w:name="_Toc456336161"/>
      <w:r>
        <w:rPr>
          <w:rFonts w:hint="eastAsia" w:ascii="仿宋_GB2312" w:hAnsi="仿宋_GB2312" w:eastAsia="仿宋_GB2312" w:cs="仿宋_GB2312"/>
          <w:b/>
          <w:bCs/>
          <w:color w:val="000000" w:themeColor="text1"/>
          <w:kern w:val="0"/>
          <w:sz w:val="28"/>
          <w:szCs w:val="28"/>
          <w14:textFill>
            <w14:solidFill>
              <w14:schemeClr w14:val="tx1"/>
            </w14:solidFill>
          </w14:textFill>
        </w:rPr>
        <w:t>7.2</w:t>
      </w:r>
      <w:r>
        <w:rPr>
          <w:rFonts w:hint="eastAsia" w:ascii="仿宋_GB2312" w:hAnsi="仿宋_GB2312" w:eastAsia="仿宋_GB2312" w:cs="仿宋_GB2312"/>
          <w:color w:val="000000" w:themeColor="text1"/>
          <w:kern w:val="0"/>
          <w:sz w:val="28"/>
          <w:szCs w:val="28"/>
          <w14:textFill>
            <w14:solidFill>
              <w14:schemeClr w14:val="tx1"/>
            </w14:solidFill>
          </w14:textFill>
        </w:rPr>
        <w:t>投诉</w:t>
      </w:r>
      <w:bookmarkEnd w:id="112"/>
      <w:bookmarkEnd w:id="113"/>
      <w:bookmarkEnd w:id="114"/>
      <w:bookmarkEnd w:id="115"/>
    </w:p>
    <w:p w14:paraId="6D65C8DF">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7.2.1质疑人如对被质疑人的质疑回复不满意或在规定时间内未做出回复的，可在答复期满后15个工作日内向本项目管辖内的政府采购监督部门提起投诉。供应商投诉应当有明确的请求和必要的证明材料。</w:t>
      </w:r>
    </w:p>
    <w:p w14:paraId="7BC28688">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7.2.2投诉人提起投诉应符合以下条件：</w:t>
      </w:r>
    </w:p>
    <w:p w14:paraId="7F9F45F3">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(1)投诉人应是参与项目的供应商；</w:t>
      </w:r>
    </w:p>
    <w:p w14:paraId="6300F547">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(2)投诉前已依法进行质疑；</w:t>
      </w:r>
    </w:p>
    <w:p w14:paraId="5F191BE8">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(3)投诉书内容符合中华人民共和国财政部20号令《政府采购供应商投诉处理办法》的规定；</w:t>
      </w:r>
    </w:p>
    <w:p w14:paraId="664E05A0">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(4)在投诉有效期内；</w:t>
      </w:r>
    </w:p>
    <w:p w14:paraId="258C7F01">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(5)同一投诉事项未经处理的；</w:t>
      </w:r>
    </w:p>
    <w:p w14:paraId="7D63F0A1">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GB"/>
          <w14:textFill>
            <w14:solidFill>
              <w14:schemeClr w14:val="tx1"/>
            </w14:solidFill>
          </w14:textFill>
        </w:rPr>
        <w:t>(6)</w:t>
      </w:r>
      <w:r>
        <w:rPr>
          <w:rFonts w:hint="eastAsia" w:ascii="仿宋_GB2312" w:hAnsi="仿宋_GB2312" w:eastAsia="仿宋_GB2312" w:cs="仿宋_GB2312"/>
          <w:color w:val="000000" w:themeColor="text1"/>
          <w:kern w:val="0"/>
          <w:sz w:val="28"/>
          <w:szCs w:val="28"/>
          <w14:textFill>
            <w14:solidFill>
              <w14:schemeClr w14:val="tx1"/>
            </w14:solidFill>
          </w14:textFill>
        </w:rPr>
        <w:t>相关法律、法规和省级以上人民政府财政部门规定的其他条件。</w:t>
      </w:r>
    </w:p>
    <w:p w14:paraId="5B55AB69">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7.2.3供应商投诉时，应当当面提交投诉书，投诉书应当包括下列主要内容：</w:t>
      </w:r>
    </w:p>
    <w:p w14:paraId="5C1684FF">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(1)投诉人的姓名或者名称、住所、联系方式及相关证明；</w:t>
      </w:r>
    </w:p>
    <w:p w14:paraId="091DA48A">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(2)被投诉人的名称、住所、联系方式；</w:t>
      </w:r>
    </w:p>
    <w:p w14:paraId="602872D5">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(3)具体的投诉事项、事实根据和法律依据；</w:t>
      </w:r>
    </w:p>
    <w:p w14:paraId="28174119">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(4)质疑和质疑答复情况及相关证明材料；</w:t>
      </w:r>
    </w:p>
    <w:p w14:paraId="567583E3">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(5)提起投诉的日期。</w:t>
      </w:r>
    </w:p>
    <w:p w14:paraId="0AB6CAD7">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投诉人为自然人的，应当由本人签字。投诉人为法人的，应当由其法定代表人签字并加盖单位公章。投诉人为其他组织的，应当由其主要负责人签字盖章并加盖单位公章。</w:t>
      </w:r>
    </w:p>
    <w:p w14:paraId="04948907">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7.2.4投诉人可以授权代理人办理投诉事务。代理人办理投诉事务时，除提交投诉书外，还应当向监督部门提交投诉人的授权委托书，授权委托书应当载明委托代理的具体权限和事项。</w:t>
      </w:r>
    </w:p>
    <w:p w14:paraId="3783E139">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7.2.5投诉人不符合上述规定提起的投诉，政府采购监督部门不予受理。</w:t>
      </w:r>
    </w:p>
    <w:p w14:paraId="0A04942F">
      <w:pPr>
        <w:pStyle w:val="6"/>
        <w:spacing w:line="500" w:lineRule="exact"/>
        <w:ind w:firstLine="565" w:firstLineChars="202"/>
        <w:jc w:val="center"/>
        <w:rPr>
          <w:rFonts w:hint="eastAsia" w:ascii="仿宋_GB2312" w:hAnsi="仿宋_GB2312" w:eastAsia="仿宋_GB2312" w:cs="仿宋_GB2312"/>
          <w:color w:val="000000" w:themeColor="text1"/>
          <w:kern w:val="0"/>
          <w:sz w:val="28"/>
          <w:szCs w:val="28"/>
          <w14:textFill>
            <w14:solidFill>
              <w14:schemeClr w14:val="tx1"/>
            </w14:solidFill>
          </w14:textFill>
        </w:rPr>
      </w:pPr>
      <w:bookmarkStart w:id="116" w:name="_Toc25355"/>
      <w:r>
        <w:rPr>
          <w:rFonts w:hint="eastAsia" w:ascii="仿宋_GB2312" w:hAnsi="仿宋_GB2312" w:eastAsia="仿宋_GB2312" w:cs="仿宋_GB2312"/>
          <w:color w:val="000000" w:themeColor="text1"/>
          <w:kern w:val="0"/>
          <w:sz w:val="28"/>
          <w:szCs w:val="28"/>
          <w14:textFill>
            <w14:solidFill>
              <w14:schemeClr w14:val="tx1"/>
            </w14:solidFill>
          </w14:textFill>
        </w:rPr>
        <w:t>八、项目验收</w:t>
      </w:r>
      <w:bookmarkEnd w:id="107"/>
      <w:bookmarkEnd w:id="108"/>
      <w:bookmarkEnd w:id="109"/>
      <w:bookmarkEnd w:id="110"/>
      <w:bookmarkEnd w:id="111"/>
      <w:bookmarkEnd w:id="116"/>
    </w:p>
    <w:p w14:paraId="3CFF69BB">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8.1采购单位按照政府采购合同规定的技术、服务、安全标准对供应商履约情况进行验收，并出具验收书。验收书包括每一项技术、服务、安全标准的履约情况。</w:t>
      </w:r>
    </w:p>
    <w:p w14:paraId="1C4B3266">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8.2验收标准:磋商文件、响应文件、政府采购合同规定的标准。</w:t>
      </w:r>
    </w:p>
    <w:p w14:paraId="0BBB0F82">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8.3政府采购项目验收联系电话详见供应商须知前附表第2项规定。</w:t>
      </w:r>
    </w:p>
    <w:p w14:paraId="208BC725">
      <w:pPr>
        <w:pStyle w:val="6"/>
        <w:spacing w:line="500" w:lineRule="exact"/>
        <w:ind w:firstLine="565" w:firstLineChars="202"/>
        <w:jc w:val="center"/>
        <w:rPr>
          <w:rFonts w:hint="eastAsia" w:ascii="仿宋_GB2312" w:hAnsi="仿宋_GB2312" w:eastAsia="仿宋_GB2312" w:cs="仿宋_GB2312"/>
          <w:color w:val="000000" w:themeColor="text1"/>
          <w:kern w:val="0"/>
          <w:sz w:val="28"/>
          <w:szCs w:val="28"/>
          <w14:textFill>
            <w14:solidFill>
              <w14:schemeClr w14:val="tx1"/>
            </w14:solidFill>
          </w14:textFill>
        </w:rPr>
      </w:pPr>
      <w:bookmarkStart w:id="117" w:name="_Toc5115"/>
      <w:bookmarkStart w:id="118" w:name="_Toc293736018"/>
      <w:bookmarkStart w:id="119" w:name="_Toc293736061"/>
      <w:bookmarkStart w:id="120" w:name="_Toc446599318"/>
      <w:bookmarkStart w:id="121" w:name="_Toc293738999"/>
      <w:r>
        <w:rPr>
          <w:rFonts w:hint="eastAsia" w:ascii="仿宋_GB2312" w:hAnsi="仿宋_GB2312" w:eastAsia="仿宋_GB2312" w:cs="仿宋_GB2312"/>
          <w:color w:val="000000" w:themeColor="text1"/>
          <w:kern w:val="0"/>
          <w:sz w:val="28"/>
          <w:szCs w:val="28"/>
          <w14:textFill>
            <w14:solidFill>
              <w14:schemeClr w14:val="tx1"/>
            </w14:solidFill>
          </w14:textFill>
        </w:rPr>
        <w:t>九、适用法律</w:t>
      </w:r>
      <w:bookmarkEnd w:id="117"/>
      <w:bookmarkEnd w:id="118"/>
      <w:bookmarkEnd w:id="119"/>
      <w:bookmarkEnd w:id="120"/>
      <w:bookmarkEnd w:id="121"/>
    </w:p>
    <w:p w14:paraId="66B83806">
      <w:pPr>
        <w:pStyle w:val="6"/>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9.1招标采购单位和供应商的一切招标投标活动均适用于《政府采购法》、《政府采购实施条例》、《政府采购竞争性磋商采购方式管理办法》等相关规定。</w:t>
      </w:r>
    </w:p>
    <w:p w14:paraId="267FE92B">
      <w:pPr>
        <w:pStyle w:val="6"/>
        <w:spacing w:line="500" w:lineRule="exact"/>
        <w:ind w:left="0" w:leftChars="0" w:firstLine="560" w:firstLineChars="200"/>
        <w:jc w:val="center"/>
        <w:rPr>
          <w:rFonts w:hint="eastAsia" w:ascii="仿宋_GB2312" w:hAnsi="仿宋_GB2312" w:eastAsia="仿宋_GB2312" w:cs="仿宋_GB2312"/>
          <w:color w:val="000000" w:themeColor="text1"/>
          <w:kern w:val="0"/>
          <w:sz w:val="28"/>
          <w:szCs w:val="28"/>
          <w14:textFill>
            <w14:solidFill>
              <w14:schemeClr w14:val="tx1"/>
            </w14:solidFill>
          </w14:textFill>
        </w:rPr>
      </w:pPr>
      <w:bookmarkStart w:id="122" w:name="_Toc272247702"/>
      <w:bookmarkStart w:id="123" w:name="_Toc278891599"/>
      <w:bookmarkStart w:id="124" w:name="_Toc446599319"/>
      <w:bookmarkStart w:id="125" w:name="_Toc11671"/>
      <w:bookmarkStart w:id="126" w:name="_Toc437611460"/>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十、磋商文件的解释权</w:t>
      </w:r>
      <w:bookmarkEnd w:id="122"/>
      <w:bookmarkEnd w:id="123"/>
      <w:bookmarkEnd w:id="124"/>
      <w:bookmarkEnd w:id="125"/>
      <w:bookmarkEnd w:id="126"/>
    </w:p>
    <w:p w14:paraId="497C0D20">
      <w:pPr>
        <w:pStyle w:val="6"/>
        <w:keepNext w:val="0"/>
        <w:keepLines w:val="0"/>
        <w:pageBreakBefore w:val="0"/>
        <w:widowControl w:val="0"/>
        <w:kinsoku/>
        <w:wordWrap/>
        <w:overflowPunct/>
        <w:topLinePunct w:val="0"/>
        <w:autoSpaceDE/>
        <w:autoSpaceDN/>
        <w:bidi w:val="0"/>
        <w:adjustRightInd/>
        <w:snapToGrid/>
        <w:spacing w:line="560" w:lineRule="exact"/>
        <w:ind w:firstLine="565" w:firstLineChars="202"/>
        <w:jc w:val="left"/>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10.1本项目磋商文件的最终解释权为采购单位所有。</w:t>
      </w:r>
    </w:p>
    <w:p w14:paraId="6A94B8AE">
      <w:pPr>
        <w:pStyle w:val="6"/>
        <w:keepNext w:val="0"/>
        <w:keepLines w:val="0"/>
        <w:pageBreakBefore w:val="0"/>
        <w:widowControl w:val="0"/>
        <w:kinsoku/>
        <w:wordWrap/>
        <w:overflowPunct/>
        <w:topLinePunct w:val="0"/>
        <w:autoSpaceDE/>
        <w:autoSpaceDN/>
        <w:bidi w:val="0"/>
        <w:adjustRightInd/>
        <w:snapToGrid/>
        <w:spacing w:line="560" w:lineRule="exact"/>
        <w:ind w:firstLine="565" w:firstLineChars="202"/>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bookmarkStart w:id="127" w:name="_Toc32366"/>
      <w:bookmarkStart w:id="128" w:name="_Toc446599320"/>
      <w:bookmarkStart w:id="129" w:name="_Toc437611461"/>
      <w:r>
        <w:rPr>
          <w:rFonts w:hint="eastAsia" w:ascii="仿宋_GB2312" w:hAnsi="仿宋_GB2312" w:eastAsia="仿宋_GB2312" w:cs="仿宋_GB2312"/>
          <w:color w:val="000000" w:themeColor="text1"/>
          <w:kern w:val="0"/>
          <w:sz w:val="28"/>
          <w:szCs w:val="28"/>
          <w14:textFill>
            <w14:solidFill>
              <w14:schemeClr w14:val="tx1"/>
            </w14:solidFill>
          </w14:textFill>
        </w:rPr>
        <w:t>十一、其他注意事项</w:t>
      </w:r>
      <w:bookmarkEnd w:id="127"/>
      <w:bookmarkEnd w:id="128"/>
      <w:bookmarkEnd w:id="129"/>
    </w:p>
    <w:p w14:paraId="23E1DD36">
      <w:pPr>
        <w:pStyle w:val="6"/>
        <w:keepNext w:val="0"/>
        <w:keepLines w:val="0"/>
        <w:pageBreakBefore w:val="0"/>
        <w:widowControl w:val="0"/>
        <w:kinsoku/>
        <w:wordWrap/>
        <w:overflowPunct/>
        <w:topLinePunct w:val="0"/>
        <w:autoSpaceDE/>
        <w:autoSpaceDN/>
        <w:bidi w:val="0"/>
        <w:adjustRightInd/>
        <w:snapToGrid/>
        <w:spacing w:line="560" w:lineRule="exact"/>
        <w:ind w:firstLine="565" w:firstLineChars="202"/>
        <w:jc w:val="left"/>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11.1单位负责人为同一人或者存在直接控股、管理关系的不同供应商，不得参加同一合同项下的政府采购活动。</w:t>
      </w:r>
    </w:p>
    <w:p w14:paraId="5F64E7B3">
      <w:pPr>
        <w:pStyle w:val="6"/>
        <w:keepNext w:val="0"/>
        <w:keepLines w:val="0"/>
        <w:pageBreakBefore w:val="0"/>
        <w:widowControl w:val="0"/>
        <w:kinsoku/>
        <w:wordWrap/>
        <w:overflowPunct/>
        <w:topLinePunct w:val="0"/>
        <w:autoSpaceDE/>
        <w:autoSpaceDN/>
        <w:bidi w:val="0"/>
        <w:adjustRightInd/>
        <w:snapToGrid/>
        <w:spacing w:line="560" w:lineRule="exact"/>
        <w:ind w:firstLine="565" w:firstLineChars="202"/>
        <w:jc w:val="left"/>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11.2供应商为采购项目提供整体设计、规范编制或者项目管理、监理、检测等服务的供应商，不得再参加该采购项目的其他采购活动。</w:t>
      </w:r>
    </w:p>
    <w:p w14:paraId="30F5E5BE">
      <w:pPr>
        <w:pStyle w:val="6"/>
        <w:keepNext w:val="0"/>
        <w:keepLines w:val="0"/>
        <w:pageBreakBefore w:val="0"/>
        <w:widowControl w:val="0"/>
        <w:kinsoku/>
        <w:wordWrap/>
        <w:overflowPunct/>
        <w:topLinePunct w:val="0"/>
        <w:autoSpaceDE/>
        <w:autoSpaceDN/>
        <w:bidi w:val="0"/>
        <w:adjustRightInd/>
        <w:snapToGrid/>
        <w:spacing w:line="560" w:lineRule="exact"/>
        <w:ind w:firstLine="565" w:firstLineChars="202"/>
        <w:jc w:val="left"/>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11.3政府采购法第二十二条第一款第五项所称重大违法记录，是指供应商因违法经营受到刑事处罚或者责令停产停业、吊销许可证或者执照、较大数额罚款等行政处罚。</w:t>
      </w:r>
    </w:p>
    <w:p w14:paraId="64CE3454">
      <w:pPr>
        <w:pStyle w:val="6"/>
        <w:keepNext w:val="0"/>
        <w:keepLines w:val="0"/>
        <w:pageBreakBefore w:val="0"/>
        <w:widowControl w:val="0"/>
        <w:kinsoku/>
        <w:wordWrap/>
        <w:overflowPunct/>
        <w:topLinePunct w:val="0"/>
        <w:autoSpaceDE/>
        <w:autoSpaceDN/>
        <w:bidi w:val="0"/>
        <w:adjustRightInd/>
        <w:snapToGrid/>
        <w:spacing w:line="560" w:lineRule="exact"/>
        <w:ind w:firstLine="565" w:firstLineChars="202"/>
        <w:jc w:val="left"/>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11.4按照财政部《关于规范政府采购行政处罚有关问题的通知》的规定，各级人民政府财政部门依法对参加政府采购活动的供应商作出的禁止参加政府采购活动等行政处罚决定在全国范围内生效。</w:t>
      </w:r>
    </w:p>
    <w:p w14:paraId="23871EA6">
      <w:pPr>
        <w:pStyle w:val="6"/>
        <w:keepNext w:val="0"/>
        <w:keepLines w:val="0"/>
        <w:pageBreakBefore w:val="0"/>
        <w:widowControl w:val="0"/>
        <w:kinsoku/>
        <w:wordWrap/>
        <w:overflowPunct/>
        <w:topLinePunct w:val="0"/>
        <w:autoSpaceDE/>
        <w:autoSpaceDN/>
        <w:bidi w:val="0"/>
        <w:adjustRightInd/>
        <w:snapToGrid/>
        <w:spacing w:line="560" w:lineRule="exact"/>
        <w:ind w:firstLine="565" w:firstLineChars="202"/>
        <w:jc w:val="left"/>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11.5供应商在参加政府采购活动前3年内因违法经营被禁止在一定期限内参加政府采购活动，期限届满的，可以参加政府采购活动。</w:t>
      </w:r>
    </w:p>
    <w:p w14:paraId="4E2074B8">
      <w:pPr>
        <w:pStyle w:val="6"/>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sectPr>
          <w:pgSz w:w="11906" w:h="16838"/>
          <w:pgMar w:top="1440" w:right="1797" w:bottom="1440" w:left="1797" w:header="851" w:footer="992" w:gutter="0"/>
          <w:cols w:space="425" w:num="1"/>
          <w:docGrid w:linePitch="312" w:charSpace="0"/>
        </w:sectPr>
      </w:pPr>
    </w:p>
    <w:p w14:paraId="51B3E011">
      <w:pPr>
        <w:pStyle w:val="6"/>
        <w:numPr>
          <w:ilvl w:val="0"/>
          <w:numId w:val="0"/>
        </w:numPr>
        <w:spacing w:line="500" w:lineRule="exact"/>
        <w:ind w:leftChars="0"/>
        <w:jc w:val="center"/>
        <w:rPr>
          <w:rFonts w:hint="eastAsia" w:ascii="仿宋_GB2312" w:hAnsi="仿宋_GB2312" w:eastAsia="仿宋_GB2312" w:cs="仿宋_GB2312"/>
          <w:b/>
          <w:bCs/>
          <w:color w:val="000000" w:themeColor="text1"/>
          <w:kern w:val="44"/>
          <w:sz w:val="44"/>
          <w:szCs w:val="44"/>
          <w:lang w:val="en-US" w:eastAsia="zh-CN" w:bidi="ar-SA"/>
          <w14:textFill>
            <w14:solidFill>
              <w14:schemeClr w14:val="tx1"/>
            </w14:solidFill>
          </w14:textFill>
        </w:rPr>
      </w:pPr>
      <w:bookmarkStart w:id="130" w:name="_Toc293736062"/>
      <w:bookmarkStart w:id="131" w:name="_Toc293736019"/>
      <w:bookmarkStart w:id="132" w:name="_Toc293739000"/>
      <w:bookmarkStart w:id="133" w:name="_Toc2582"/>
      <w:bookmarkStart w:id="134" w:name="_Toc446599321"/>
      <w:bookmarkStart w:id="135" w:name="_Toc293739001"/>
      <w:bookmarkStart w:id="136" w:name="_Toc293736063"/>
      <w:bookmarkStart w:id="137" w:name="_Toc446599322"/>
      <w:bookmarkStart w:id="138" w:name="_Toc293736020"/>
      <w:r>
        <w:rPr>
          <w:rFonts w:hint="eastAsia" w:ascii="仿宋_GB2312" w:hAnsi="仿宋_GB2312" w:eastAsia="仿宋_GB2312" w:cs="仿宋_GB2312"/>
          <w:b/>
          <w:bCs/>
          <w:color w:val="000000" w:themeColor="text1"/>
          <w:kern w:val="0"/>
          <w:sz w:val="44"/>
          <w:szCs w:val="44"/>
          <w:lang w:val="en-US" w:eastAsia="zh-CN"/>
          <w14:textFill>
            <w14:solidFill>
              <w14:schemeClr w14:val="tx1"/>
            </w14:solidFill>
          </w14:textFill>
        </w:rPr>
        <w:t xml:space="preserve">第三章 </w:t>
      </w:r>
      <w:r>
        <w:rPr>
          <w:rFonts w:hint="eastAsia" w:ascii="仿宋_GB2312" w:hAnsi="仿宋_GB2312" w:eastAsia="仿宋_GB2312" w:cs="仿宋_GB2312"/>
          <w:b/>
          <w:bCs/>
          <w:color w:val="000000" w:themeColor="text1"/>
          <w:kern w:val="44"/>
          <w:sz w:val="44"/>
          <w:szCs w:val="44"/>
          <w:lang w:val="en-US" w:eastAsia="zh-CN" w:bidi="ar-SA"/>
          <w14:textFill>
            <w14:solidFill>
              <w14:schemeClr w14:val="tx1"/>
            </w14:solidFill>
          </w14:textFill>
        </w:rPr>
        <w:t>采购</w:t>
      </w:r>
      <w:bookmarkEnd w:id="130"/>
      <w:bookmarkEnd w:id="131"/>
      <w:bookmarkEnd w:id="132"/>
      <w:bookmarkStart w:id="139" w:name="_Toc294515580"/>
      <w:r>
        <w:rPr>
          <w:rFonts w:hint="eastAsia" w:ascii="仿宋_GB2312" w:hAnsi="仿宋_GB2312" w:eastAsia="仿宋_GB2312" w:cs="仿宋_GB2312"/>
          <w:b/>
          <w:bCs/>
          <w:color w:val="000000" w:themeColor="text1"/>
          <w:kern w:val="44"/>
          <w:sz w:val="44"/>
          <w:szCs w:val="44"/>
          <w:lang w:val="en-US" w:eastAsia="zh-CN" w:bidi="ar-SA"/>
          <w14:textFill>
            <w14:solidFill>
              <w14:schemeClr w14:val="tx1"/>
            </w14:solidFill>
          </w14:textFill>
        </w:rPr>
        <w:t>需求</w:t>
      </w:r>
      <w:bookmarkEnd w:id="133"/>
      <w:bookmarkEnd w:id="134"/>
      <w:r>
        <w:rPr>
          <w:rFonts w:hint="eastAsia" w:ascii="仿宋_GB2312" w:hAnsi="仿宋_GB2312" w:eastAsia="仿宋_GB2312" w:cs="仿宋_GB2312"/>
          <w:b/>
          <w:bCs/>
          <w:color w:val="000000" w:themeColor="text1"/>
          <w:kern w:val="44"/>
          <w:sz w:val="44"/>
          <w:szCs w:val="44"/>
          <w:lang w:val="en-US" w:eastAsia="zh-CN" w:bidi="ar-SA"/>
          <w14:textFill>
            <w14:solidFill>
              <w14:schemeClr w14:val="tx1"/>
            </w14:solidFill>
          </w14:textFill>
        </w:rPr>
        <w:t>及技术要求</w:t>
      </w:r>
    </w:p>
    <w:p w14:paraId="2A85F8A9">
      <w:pPr>
        <w:pStyle w:val="6"/>
        <w:numPr>
          <w:ilvl w:val="0"/>
          <w:numId w:val="0"/>
        </w:numPr>
        <w:spacing w:line="500" w:lineRule="exact"/>
        <w:ind w:leftChars="0" w:firstLine="880" w:firstLineChars="200"/>
        <w:jc w:val="both"/>
        <w:rPr>
          <w:rFonts w:hint="eastAsia" w:ascii="Times New Roman" w:hAnsi="Times New Roman" w:cs="Times New Roman" w:eastAsiaTheme="majorEastAsia"/>
          <w:bCs/>
          <w:color w:val="000000" w:themeColor="text1"/>
          <w:kern w:val="44"/>
          <w:sz w:val="44"/>
          <w:szCs w:val="44"/>
          <w:lang w:val="en-US" w:eastAsia="zh-CN" w:bidi="ar-SA"/>
          <w14:textFill>
            <w14:solidFill>
              <w14:schemeClr w14:val="tx1"/>
            </w14:solidFill>
          </w14:textFill>
        </w:rPr>
      </w:pPr>
    </w:p>
    <w:p w14:paraId="3A9F5CCD">
      <w:pPr>
        <w:keepNext w:val="0"/>
        <w:keepLines w:val="0"/>
        <w:pageBreakBefore w:val="0"/>
        <w:widowControl w:val="0"/>
        <w:numPr>
          <w:ilvl w:val="0"/>
          <w:numId w:val="3"/>
        </w:numPr>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项目依据</w:t>
      </w:r>
    </w:p>
    <w:p w14:paraId="3CD4FF5B">
      <w:pPr>
        <w:keepNext w:val="0"/>
        <w:keepLines w:val="0"/>
        <w:pageBreakBefore w:val="0"/>
        <w:widowControl w:val="0"/>
        <w:kinsoku/>
        <w:wordWrap/>
        <w:overflowPunct/>
        <w:topLinePunct w:val="0"/>
        <w:autoSpaceDE/>
        <w:autoSpaceDN/>
        <w:bidi w:val="0"/>
        <w:adjustRightInd/>
        <w:spacing w:line="56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lang w:val="en-US" w:eastAsia="zh-CN"/>
        </w:rPr>
        <w:t>依据</w:t>
      </w:r>
      <w:r>
        <w:rPr>
          <w:rFonts w:hint="eastAsia" w:ascii="仿宋_GB2312" w:hAnsi="仿宋_GB2312" w:eastAsia="仿宋_GB2312" w:cs="仿宋_GB2312"/>
          <w:sz w:val="32"/>
          <w:szCs w:val="32"/>
          <w:lang w:val="en-US" w:eastAsia="zh-CN"/>
        </w:rPr>
        <w:t>《中华人民共和国安全生产法》、《中华人民共和国突发事件应对法》、《安全生产事故隐患排查治理暂行规定》（安监总局令第16号）和《</w:t>
      </w:r>
      <w:r>
        <w:rPr>
          <w:rFonts w:hint="eastAsia" w:ascii="仿宋_GB2312" w:hAnsi="仿宋_GB2312" w:eastAsia="仿宋_GB2312" w:cs="仿宋_GB2312"/>
          <w:color w:val="auto"/>
          <w:sz w:val="32"/>
          <w:szCs w:val="32"/>
          <w:highlight w:val="none"/>
          <w:lang w:val="en-US" w:eastAsia="zh-CN"/>
        </w:rPr>
        <w:t>国家安全监管总局办公厅关于印发&lt;依靠专家查隐患促整改工作制度&gt;的通知</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sz w:val="32"/>
          <w:szCs w:val="32"/>
          <w:highlight w:val="none"/>
          <w:lang w:val="en-US" w:eastAsia="zh-CN"/>
        </w:rPr>
        <w:t>，需强化依靠专家排查隐患工作：组织专家参加各类安全检查。各级安全监管监察部门开展安全生产大检查，以及专项监察、安全督查、执法检查、暗查暗访、交互检查等各类安全生产检查时，应安排专家库中相应的专家参加。阿勒泰地区无安全生产领域专家库，故需从国家、省级专家库中选取相关专家参与开展技术指导服务。根据《新疆维吾尔自治区安全生产及应急专项资金管理办法》，结合阿勒泰地区</w:t>
      </w:r>
      <w:r>
        <w:rPr>
          <w:rFonts w:hint="eastAsia" w:ascii="仿宋_GB2312" w:hAnsi="仿宋_GB2312" w:eastAsia="仿宋_GB2312" w:cs="仿宋_GB2312"/>
          <w:sz w:val="32"/>
          <w:szCs w:val="32"/>
          <w:lang w:val="en-US" w:eastAsia="zh-CN"/>
        </w:rPr>
        <w:t>安全监管工作实际需求，针对重点行业、重点场所、重点领域隐患排查短板，借助行业专家力量开展专业化、全覆盖隐患排查。</w:t>
      </w:r>
    </w:p>
    <w:p w14:paraId="3321CD1F">
      <w:pPr>
        <w:keepNext w:val="0"/>
        <w:keepLines w:val="0"/>
        <w:pageBreakBefore w:val="0"/>
        <w:widowControl w:val="0"/>
        <w:numPr>
          <w:ilvl w:val="0"/>
          <w:numId w:val="3"/>
        </w:numPr>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项目要求</w:t>
      </w:r>
    </w:p>
    <w:p w14:paraId="0187D18D">
      <w:pPr>
        <w:pStyle w:val="26"/>
        <w:keepNext w:val="0"/>
        <w:keepLines w:val="0"/>
        <w:pageBreakBefore w:val="0"/>
        <w:widowControl w:val="0"/>
        <w:kinsoku/>
        <w:wordWrap/>
        <w:overflowPunct/>
        <w:topLinePunct w:val="0"/>
        <w:autoSpaceDE/>
        <w:autoSpaceDN/>
        <w:bidi w:val="0"/>
        <w:adjustRightInd/>
        <w:spacing w:line="560" w:lineRule="atLeas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（一）服务内容要求</w:t>
      </w:r>
    </w:p>
    <w:p w14:paraId="359C4869">
      <w:pPr>
        <w:pStyle w:val="26"/>
        <w:keepNext w:val="0"/>
        <w:keepLines w:val="0"/>
        <w:pageBreakBefore w:val="0"/>
        <w:widowControl w:val="0"/>
        <w:kinsoku/>
        <w:wordWrap/>
        <w:overflowPunct/>
        <w:topLinePunct w:val="0"/>
        <w:autoSpaceDE/>
        <w:autoSpaceDN/>
        <w:bidi w:val="0"/>
        <w:adjustRightInd/>
        <w:spacing w:line="560" w:lineRule="atLeas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1.需组建专业专家团队，按照指定的排查范围（重点行业领域、重点场所、重点设施等），开展全方位安全隐患排查，全面排查各类安全风险隐患，建立隐患清单。</w:t>
      </w:r>
    </w:p>
    <w:p w14:paraId="45F7A961">
      <w:pPr>
        <w:pStyle w:val="26"/>
        <w:keepNext w:val="0"/>
        <w:keepLines w:val="0"/>
        <w:pageBreakBefore w:val="0"/>
        <w:widowControl w:val="0"/>
        <w:kinsoku/>
        <w:wordWrap/>
        <w:overflowPunct/>
        <w:topLinePunct w:val="0"/>
        <w:autoSpaceDE/>
        <w:autoSpaceDN/>
        <w:bidi w:val="0"/>
        <w:adjustRightInd/>
        <w:spacing w:line="560" w:lineRule="atLeas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2.针对排查出的隐患，按照一般隐患、重大隐患分类梳理，明确隐患位置、隐患内容、风险等级、整改建议、整改时限，形成专业隐患排查报告，提出针对性的安全管理提升建议，为安全监管决策提供专业支撑。</w:t>
      </w:r>
    </w:p>
    <w:p w14:paraId="72E228D3">
      <w:pPr>
        <w:pStyle w:val="26"/>
        <w:keepNext w:val="0"/>
        <w:keepLines w:val="0"/>
        <w:pageBreakBefore w:val="0"/>
        <w:widowControl w:val="0"/>
        <w:kinsoku/>
        <w:wordWrap/>
        <w:overflowPunct/>
        <w:topLinePunct w:val="0"/>
        <w:autoSpaceDE/>
        <w:autoSpaceDN/>
        <w:bidi w:val="0"/>
        <w:adjustRightInd/>
        <w:spacing w:line="560" w:lineRule="atLeas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3.配合完成隐患排查数据整理、台账归档、专项汇报等相关工作，按需参与安全监管相关会议，提供专业技术咨询。</w:t>
      </w:r>
    </w:p>
    <w:p w14:paraId="598E9C80">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bookmarkStart w:id="140" w:name="heading_3"/>
      <w:r>
        <w:rPr>
          <w:rFonts w:hint="eastAsia"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开展地区安全生产综合检查2次，每次组织3个检查组，每组配备3名专家（住建、交通、水利等，具体根据要求配备），每次检查历时5天。</w:t>
      </w:r>
      <w:r>
        <w:rPr>
          <w:rFonts w:hint="eastAsia" w:ascii="仿宋_GB2312" w:hAnsi="仿宋_GB2312" w:eastAsia="仿宋_GB2312" w:cs="仿宋_GB2312"/>
          <w:color w:val="000000" w:themeColor="text1"/>
          <w:sz w:val="32"/>
          <w:szCs w:val="32"/>
          <w:highlight w:val="none"/>
          <w14:textFill>
            <w14:solidFill>
              <w14:schemeClr w14:val="tx1"/>
            </w14:solidFill>
          </w14:textFill>
        </w:rPr>
        <w:t>开展</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非煤矿山</w:t>
      </w:r>
      <w:r>
        <w:rPr>
          <w:rFonts w:hint="eastAsia" w:ascii="仿宋_GB2312" w:hAnsi="仿宋_GB2312" w:eastAsia="仿宋_GB2312" w:cs="仿宋_GB2312"/>
          <w:color w:val="000000" w:themeColor="text1"/>
          <w:sz w:val="32"/>
          <w:szCs w:val="32"/>
          <w:highlight w:val="none"/>
          <w14:textFill>
            <w14:solidFill>
              <w14:schemeClr w14:val="tx1"/>
            </w14:solidFill>
          </w14:textFill>
        </w:rPr>
        <w:t>检查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2次，检查</w:t>
      </w:r>
      <w:r>
        <w:rPr>
          <w:rFonts w:hint="eastAsia" w:ascii="仿宋_GB2312" w:hAnsi="仿宋_GB2312" w:eastAsia="仿宋_GB2312" w:cs="仿宋_GB2312"/>
          <w:color w:val="000000" w:themeColor="text1"/>
          <w:sz w:val="32"/>
          <w:szCs w:val="32"/>
          <w:highlight w:val="none"/>
          <w14:textFill>
            <w14:solidFill>
              <w14:schemeClr w14:val="tx1"/>
            </w14:solidFill>
          </w14:textFill>
        </w:rPr>
        <w:t>矿山企业2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家，每检查一家企业</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配备</w:t>
      </w:r>
      <w:r>
        <w:rPr>
          <w:rFonts w:hint="eastAsia" w:ascii="仿宋_GB2312" w:hAnsi="仿宋_GB2312" w:eastAsia="仿宋_GB2312" w:cs="仿宋_GB2312"/>
          <w:color w:val="000000" w:themeColor="text1"/>
          <w:sz w:val="32"/>
          <w:szCs w:val="32"/>
          <w:highlight w:val="none"/>
          <w14:textFill>
            <w14:solidFill>
              <w14:schemeClr w14:val="tx1"/>
            </w14:solidFill>
          </w14:textFill>
        </w:rPr>
        <w:t>5名专家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疆外专家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每家企业</w:t>
      </w:r>
      <w:r>
        <w:rPr>
          <w:rFonts w:hint="eastAsia" w:ascii="仿宋_GB2312" w:hAnsi="仿宋_GB2312" w:eastAsia="仿宋_GB2312" w:cs="仿宋_GB2312"/>
          <w:color w:val="000000" w:themeColor="text1"/>
          <w:sz w:val="32"/>
          <w:szCs w:val="32"/>
          <w:highlight w:val="none"/>
          <w14:textFill>
            <w14:solidFill>
              <w14:schemeClr w14:val="tx1"/>
            </w14:solidFill>
          </w14:textFill>
        </w:rPr>
        <w:t>检查时长为2天。</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开展危化、烟花爆竹企业检查16家（危化上下半年各1轮，烟花爆竹1轮），每检查1家企业配备1名专家（共3轮10天）。</w:t>
      </w:r>
      <w:r>
        <w:rPr>
          <w:rFonts w:hint="eastAsia" w:ascii="仿宋_GB2312" w:hAnsi="仿宋_GB2312" w:eastAsia="仿宋_GB2312" w:cs="仿宋_GB2312"/>
          <w:color w:val="000000" w:themeColor="text1"/>
          <w:sz w:val="32"/>
          <w:szCs w:val="32"/>
          <w:highlight w:val="none"/>
          <w14:textFill>
            <w14:solidFill>
              <w14:schemeClr w14:val="tx1"/>
            </w14:solidFill>
          </w14:textFill>
        </w:rPr>
        <w:t>开展</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工贸检查2次，</w:t>
      </w:r>
      <w:r>
        <w:rPr>
          <w:rFonts w:hint="eastAsia" w:ascii="仿宋_GB2312" w:hAnsi="仿宋_GB2312" w:eastAsia="仿宋_GB2312" w:cs="仿宋_GB2312"/>
          <w:color w:val="000000" w:themeColor="text1"/>
          <w:sz w:val="32"/>
          <w:szCs w:val="32"/>
          <w:highlight w:val="none"/>
          <w14:textFill>
            <w14:solidFill>
              <w14:schemeClr w14:val="tx1"/>
            </w14:solidFill>
          </w14:textFill>
        </w:rPr>
        <w:t>检查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工贸</w:t>
      </w:r>
      <w:r>
        <w:rPr>
          <w:rFonts w:hint="eastAsia" w:ascii="仿宋_GB2312" w:hAnsi="仿宋_GB2312" w:eastAsia="仿宋_GB2312" w:cs="仿宋_GB2312"/>
          <w:color w:val="000000" w:themeColor="text1"/>
          <w:sz w:val="32"/>
          <w:szCs w:val="32"/>
          <w:highlight w:val="none"/>
          <w14:textFill>
            <w14:solidFill>
              <w14:schemeClr w14:val="tx1"/>
            </w14:solidFill>
          </w14:textFill>
        </w:rPr>
        <w:t>企业</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highlight w:val="none"/>
          <w14:textFill>
            <w14:solidFill>
              <w14:schemeClr w14:val="tx1"/>
            </w14:solidFill>
          </w14:textFill>
        </w:rPr>
        <w:t>家，每检查一家企业</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配备2</w:t>
      </w:r>
      <w:r>
        <w:rPr>
          <w:rFonts w:hint="eastAsia" w:ascii="仿宋_GB2312" w:hAnsi="仿宋_GB2312" w:eastAsia="仿宋_GB2312" w:cs="仿宋_GB2312"/>
          <w:color w:val="000000" w:themeColor="text1"/>
          <w:sz w:val="32"/>
          <w:szCs w:val="32"/>
          <w:highlight w:val="none"/>
          <w14:textFill>
            <w14:solidFill>
              <w14:schemeClr w14:val="tx1"/>
            </w14:solidFill>
          </w14:textFill>
        </w:rPr>
        <w:t>名专家，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每次检查时长为7天</w:t>
      </w:r>
      <w:r>
        <w:rPr>
          <w:rFonts w:hint="eastAsia" w:ascii="仿宋_GB2312" w:hAnsi="仿宋_GB2312" w:eastAsia="仿宋_GB2312" w:cs="仿宋_GB2312"/>
          <w:color w:val="000000" w:themeColor="text1"/>
          <w:sz w:val="32"/>
          <w:szCs w:val="32"/>
          <w:highlight w:val="none"/>
          <w14:textFill>
            <w14:solidFill>
              <w14:schemeClr w14:val="tx1"/>
            </w14:solidFill>
          </w14:textFill>
        </w:rPr>
        <w:t>。开展安全生产培训考试</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机构检查2次，</w:t>
      </w:r>
      <w:r>
        <w:rPr>
          <w:rFonts w:hint="eastAsia" w:ascii="仿宋_GB2312" w:hAnsi="仿宋_GB2312" w:eastAsia="仿宋_GB2312" w:cs="仿宋_GB2312"/>
          <w:color w:val="000000" w:themeColor="text1"/>
          <w:sz w:val="32"/>
          <w:szCs w:val="32"/>
          <w:highlight w:val="none"/>
          <w14:textFill>
            <w14:solidFill>
              <w14:schemeClr w14:val="tx1"/>
            </w14:solidFill>
          </w14:textFill>
        </w:rPr>
        <w:t>检查安全生产培训考试</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机构2</w:t>
      </w:r>
      <w:r>
        <w:rPr>
          <w:rFonts w:hint="eastAsia" w:ascii="仿宋_GB2312" w:hAnsi="仿宋_GB2312" w:eastAsia="仿宋_GB2312" w:cs="仿宋_GB2312"/>
          <w:color w:val="000000" w:themeColor="text1"/>
          <w:sz w:val="32"/>
          <w:szCs w:val="32"/>
          <w:highlight w:val="none"/>
          <w14:textFill>
            <w14:solidFill>
              <w14:schemeClr w14:val="tx1"/>
            </w14:solidFill>
          </w14:textFill>
        </w:rPr>
        <w:t>家，每检查一家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机构配备2</w:t>
      </w:r>
      <w:r>
        <w:rPr>
          <w:rFonts w:hint="eastAsia" w:ascii="仿宋_GB2312" w:hAnsi="仿宋_GB2312" w:eastAsia="仿宋_GB2312" w:cs="仿宋_GB2312"/>
          <w:color w:val="000000" w:themeColor="text1"/>
          <w:sz w:val="32"/>
          <w:szCs w:val="32"/>
          <w:highlight w:val="none"/>
          <w14:textFill>
            <w14:solidFill>
              <w14:schemeClr w14:val="tx1"/>
            </w14:solidFill>
          </w14:textFill>
        </w:rPr>
        <w:t>名专家，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每次</w:t>
      </w:r>
      <w:r>
        <w:rPr>
          <w:rFonts w:hint="eastAsia" w:ascii="仿宋_GB2312" w:hAnsi="仿宋_GB2312" w:eastAsia="仿宋_GB2312" w:cs="仿宋_GB2312"/>
          <w:color w:val="000000" w:themeColor="text1"/>
          <w:sz w:val="32"/>
          <w:szCs w:val="32"/>
          <w:highlight w:val="none"/>
          <w14:textFill>
            <w14:solidFill>
              <w14:schemeClr w14:val="tx1"/>
            </w14:solidFill>
          </w14:textFill>
        </w:rPr>
        <w:t>检查时长为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天。</w:t>
      </w:r>
    </w:p>
    <w:bookmarkEnd w:id="140"/>
    <w:p w14:paraId="4C131392">
      <w:pPr>
        <w:pStyle w:val="26"/>
        <w:keepNext w:val="0"/>
        <w:keepLines w:val="0"/>
        <w:pageBreakBefore w:val="0"/>
        <w:widowControl w:val="0"/>
        <w:kinsoku/>
        <w:wordWrap/>
        <w:overflowPunct/>
        <w:topLinePunct w:val="0"/>
        <w:autoSpaceDE/>
        <w:autoSpaceDN/>
        <w:bidi w:val="0"/>
        <w:adjustRightInd/>
        <w:spacing w:line="560" w:lineRule="atLeast"/>
        <w:ind w:firstLine="640" w:firstLineChars="200"/>
        <w:textAlignment w:val="auto"/>
        <w:rPr>
          <w:rFonts w:hint="eastAsia" w:ascii="仿宋_GB2312" w:hAnsi="仿宋_GB2312" w:eastAsia="仿宋_GB2312" w:cs="仿宋_GB2312"/>
          <w:kern w:val="2"/>
          <w:sz w:val="32"/>
          <w:szCs w:val="32"/>
          <w:lang w:val="en-US" w:eastAsia="zh-CN" w:bidi="ar-SA"/>
        </w:rPr>
      </w:pPr>
      <w:bookmarkStart w:id="141" w:name="heading_4"/>
      <w:r>
        <w:rPr>
          <w:rFonts w:hint="eastAsia" w:ascii="仿宋_GB2312" w:hAnsi="仿宋_GB2312" w:eastAsia="仿宋_GB2312" w:cs="仿宋_GB2312"/>
          <w:kern w:val="2"/>
          <w:sz w:val="32"/>
          <w:szCs w:val="32"/>
          <w:lang w:val="en-US" w:eastAsia="zh-CN" w:bidi="ar-SA"/>
        </w:rPr>
        <w:t>（二）服务质量要求</w:t>
      </w:r>
      <w:bookmarkEnd w:id="141"/>
    </w:p>
    <w:p w14:paraId="0FDD564C">
      <w:pPr>
        <w:pStyle w:val="26"/>
        <w:keepNext w:val="0"/>
        <w:keepLines w:val="0"/>
        <w:pageBreakBefore w:val="0"/>
        <w:widowControl w:val="0"/>
        <w:kinsoku/>
        <w:wordWrap/>
        <w:overflowPunct/>
        <w:topLinePunct w:val="0"/>
        <w:autoSpaceDE/>
        <w:autoSpaceDN/>
        <w:bidi w:val="0"/>
        <w:adjustRightInd/>
        <w:spacing w:line="560" w:lineRule="atLeas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1.隐患排查需全面、细致、专业。</w:t>
      </w:r>
    </w:p>
    <w:p w14:paraId="3F350A46">
      <w:pPr>
        <w:pStyle w:val="26"/>
        <w:keepNext w:val="0"/>
        <w:keepLines w:val="0"/>
        <w:pageBreakBefore w:val="0"/>
        <w:widowControl w:val="0"/>
        <w:kinsoku/>
        <w:wordWrap/>
        <w:overflowPunct/>
        <w:topLinePunct w:val="0"/>
        <w:autoSpaceDE/>
        <w:autoSpaceDN/>
        <w:bidi w:val="0"/>
        <w:adjustRightInd/>
        <w:spacing w:line="560" w:lineRule="atLeas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2.隐患描述精准、整改建议科学可行、风险判定准确，排查报告内容完整、数据详实、格式规范，按时提交。</w:t>
      </w:r>
    </w:p>
    <w:p w14:paraId="642062E6">
      <w:pPr>
        <w:pStyle w:val="26"/>
        <w:keepNext w:val="0"/>
        <w:keepLines w:val="0"/>
        <w:pageBreakBefore w:val="0"/>
        <w:widowControl w:val="0"/>
        <w:kinsoku/>
        <w:wordWrap/>
        <w:overflowPunct/>
        <w:topLinePunct w:val="0"/>
        <w:autoSpaceDE/>
        <w:autoSpaceDN/>
        <w:bidi w:val="0"/>
        <w:adjustRightInd/>
        <w:spacing w:line="560" w:lineRule="atLeas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3.严格遵守工作纪律，保守工作秘密，不得泄露排查涉及的单位信息、数据资料；服务过程中遵守现场安全管理规定，确保自身安全。</w:t>
      </w:r>
    </w:p>
    <w:p w14:paraId="296CDF93">
      <w:pPr>
        <w:pStyle w:val="26"/>
        <w:keepNext w:val="0"/>
        <w:keepLines w:val="0"/>
        <w:pageBreakBefore w:val="0"/>
        <w:widowControl w:val="0"/>
        <w:kinsoku/>
        <w:wordWrap/>
        <w:overflowPunct/>
        <w:topLinePunct w:val="0"/>
        <w:autoSpaceDE/>
        <w:autoSpaceDN/>
        <w:bidi w:val="0"/>
        <w:adjustRightInd/>
        <w:spacing w:line="560" w:lineRule="atLeas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4.服务响应及时，针对采购人提出的咨询、整改指导等需求，及时予以回应和解决，保障隐患排查整改工作高效推进。</w:t>
      </w:r>
    </w:p>
    <w:p w14:paraId="32970519">
      <w:pPr>
        <w:pStyle w:val="26"/>
        <w:keepNext w:val="0"/>
        <w:keepLines w:val="0"/>
        <w:pageBreakBefore w:val="0"/>
        <w:widowControl w:val="0"/>
        <w:kinsoku/>
        <w:wordWrap/>
        <w:overflowPunct/>
        <w:topLinePunct w:val="0"/>
        <w:autoSpaceDE/>
        <w:autoSpaceDN/>
        <w:bidi w:val="0"/>
        <w:adjustRightInd/>
        <w:spacing w:line="560" w:lineRule="atLeast"/>
        <w:ind w:firstLine="640" w:firstLineChars="200"/>
        <w:textAlignment w:val="auto"/>
        <w:rPr>
          <w:rFonts w:hint="eastAsia" w:ascii="仿宋_GB2312" w:hAnsi="仿宋_GB2312" w:eastAsia="仿宋_GB2312" w:cs="仿宋_GB2312"/>
          <w:kern w:val="2"/>
          <w:sz w:val="32"/>
          <w:szCs w:val="32"/>
          <w:lang w:val="en-US" w:eastAsia="zh-CN" w:bidi="ar-SA"/>
        </w:rPr>
      </w:pPr>
      <w:bookmarkStart w:id="142" w:name="heading_5"/>
    </w:p>
    <w:p w14:paraId="05616DDE">
      <w:pPr>
        <w:pStyle w:val="26"/>
        <w:keepNext w:val="0"/>
        <w:keepLines w:val="0"/>
        <w:pageBreakBefore w:val="0"/>
        <w:widowControl w:val="0"/>
        <w:kinsoku/>
        <w:wordWrap/>
        <w:overflowPunct/>
        <w:topLinePunct w:val="0"/>
        <w:autoSpaceDE/>
        <w:autoSpaceDN/>
        <w:bidi w:val="0"/>
        <w:adjustRightInd/>
        <w:spacing w:line="560" w:lineRule="atLeas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w:t>
      </w:r>
      <w:bookmarkEnd w:id="142"/>
      <w:r>
        <w:rPr>
          <w:rFonts w:hint="eastAsia" w:ascii="仿宋_GB2312" w:hAnsi="仿宋_GB2312" w:eastAsia="仿宋_GB2312" w:cs="仿宋_GB2312"/>
          <w:kern w:val="2"/>
          <w:sz w:val="32"/>
          <w:szCs w:val="32"/>
          <w:lang w:val="en-US" w:eastAsia="zh-CN" w:bidi="ar-SA"/>
        </w:rPr>
        <w:t>项目成果</w:t>
      </w:r>
    </w:p>
    <w:p w14:paraId="207F19CD">
      <w:pPr>
        <w:pStyle w:val="26"/>
        <w:keepNext w:val="0"/>
        <w:keepLines w:val="0"/>
        <w:pageBreakBefore w:val="0"/>
        <w:widowControl w:val="0"/>
        <w:kinsoku/>
        <w:wordWrap/>
        <w:overflowPunct/>
        <w:topLinePunct w:val="0"/>
        <w:autoSpaceDE/>
        <w:autoSpaceDN/>
        <w:bidi w:val="0"/>
        <w:adjustRightInd/>
        <w:spacing w:line="560" w:lineRule="atLeas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提交成果：《安全隐患排查清单》《安全隐患排查专项报告》等，纸质版一式1份、电子版1份，符合档案管理要求。</w:t>
      </w:r>
    </w:p>
    <w:p w14:paraId="60AB93BB">
      <w:pPr>
        <w:pStyle w:val="26"/>
        <w:keepNext w:val="0"/>
        <w:keepLines w:val="0"/>
        <w:pageBreakBefore w:val="0"/>
        <w:widowControl w:val="0"/>
        <w:kinsoku/>
        <w:wordWrap/>
        <w:overflowPunct/>
        <w:topLinePunct w:val="0"/>
        <w:autoSpaceDE/>
        <w:autoSpaceDN/>
        <w:bidi w:val="0"/>
        <w:adjustRightInd/>
        <w:spacing w:line="560" w:lineRule="atLeast"/>
        <w:ind w:firstLine="640" w:firstLineChars="200"/>
        <w:textAlignment w:val="auto"/>
        <w:rPr>
          <w:rFonts w:hint="eastAsia" w:ascii="仿宋_GB2312" w:hAnsi="仿宋_GB2312" w:eastAsia="仿宋_GB2312" w:cs="仿宋_GB2312"/>
          <w:kern w:val="2"/>
          <w:sz w:val="32"/>
          <w:szCs w:val="32"/>
          <w:lang w:val="en-US" w:eastAsia="zh-CN" w:bidi="ar-SA"/>
        </w:rPr>
      </w:pPr>
      <w:bookmarkStart w:id="143" w:name="heading_6"/>
      <w:r>
        <w:rPr>
          <w:rFonts w:hint="eastAsia" w:ascii="仿宋_GB2312" w:hAnsi="仿宋_GB2312" w:eastAsia="仿宋_GB2312" w:cs="仿宋_GB2312"/>
          <w:kern w:val="2"/>
          <w:sz w:val="32"/>
          <w:szCs w:val="32"/>
          <w:lang w:val="en-US" w:eastAsia="zh-CN" w:bidi="ar-SA"/>
        </w:rPr>
        <w:t>（四）验收要求</w:t>
      </w:r>
      <w:bookmarkEnd w:id="143"/>
    </w:p>
    <w:p w14:paraId="4DFD243D">
      <w:pPr>
        <w:pStyle w:val="26"/>
        <w:keepNext w:val="0"/>
        <w:keepLines w:val="0"/>
        <w:pageBreakBefore w:val="0"/>
        <w:widowControl w:val="0"/>
        <w:kinsoku/>
        <w:wordWrap/>
        <w:overflowPunct/>
        <w:topLinePunct w:val="0"/>
        <w:autoSpaceDE/>
        <w:autoSpaceDN/>
        <w:bidi w:val="0"/>
        <w:adjustRightInd/>
        <w:spacing w:line="56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项目完成后，按照采购要求、合同约定及提交成果进行验收，隐患排查分类精准、整改建议合规可行、报告资料完整规范、满足安全监管工作需求。</w:t>
      </w:r>
    </w:p>
    <w:p w14:paraId="390AA9C3">
      <w:pPr>
        <w:rPr>
          <w:rFonts w:hint="eastAsia" w:ascii="仿宋_GB2312" w:hAnsi="仿宋_GB2312" w:eastAsia="仿宋_GB2312" w:cs="仿宋_GB2312"/>
          <w:sz w:val="32"/>
          <w:szCs w:val="32"/>
          <w:lang w:val="en-US" w:eastAsia="zh-CN"/>
        </w:rPr>
      </w:pPr>
    </w:p>
    <w:p w14:paraId="5A8C3A92">
      <w:pPr>
        <w:pStyle w:val="6"/>
        <w:numPr>
          <w:ilvl w:val="0"/>
          <w:numId w:val="0"/>
        </w:numPr>
        <w:spacing w:line="500" w:lineRule="exact"/>
        <w:ind w:leftChars="0"/>
        <w:jc w:val="both"/>
        <w:rPr>
          <w:rFonts w:hint="eastAsia" w:ascii="Times New Roman" w:hAnsi="Times New Roman" w:cs="Times New Roman" w:eastAsiaTheme="majorEastAsia"/>
          <w:bCs/>
          <w:color w:val="000000" w:themeColor="text1"/>
          <w:kern w:val="44"/>
          <w:sz w:val="44"/>
          <w:szCs w:val="44"/>
          <w:lang w:val="en-US" w:eastAsia="zh-CN" w:bidi="ar-SA"/>
          <w14:textFill>
            <w14:solidFill>
              <w14:schemeClr w14:val="tx1"/>
            </w14:solidFill>
          </w14:textFill>
        </w:rPr>
      </w:pPr>
    </w:p>
    <w:p w14:paraId="3021C69E">
      <w:pPr>
        <w:pStyle w:val="6"/>
        <w:numPr>
          <w:ilvl w:val="0"/>
          <w:numId w:val="0"/>
        </w:numPr>
        <w:spacing w:line="500" w:lineRule="exact"/>
        <w:ind w:leftChars="0"/>
        <w:jc w:val="both"/>
        <w:rPr>
          <w:rFonts w:hint="eastAsia" w:ascii="Times New Roman" w:hAnsi="Times New Roman" w:cs="Times New Roman" w:eastAsiaTheme="majorEastAsia"/>
          <w:bCs/>
          <w:color w:val="000000" w:themeColor="text1"/>
          <w:kern w:val="44"/>
          <w:sz w:val="44"/>
          <w:szCs w:val="44"/>
          <w:lang w:val="en-US" w:eastAsia="zh-CN" w:bidi="ar-SA"/>
          <w14:textFill>
            <w14:solidFill>
              <w14:schemeClr w14:val="tx1"/>
            </w14:solidFill>
          </w14:textFill>
        </w:rPr>
      </w:pPr>
    </w:p>
    <w:p w14:paraId="53F6AC60">
      <w:pPr>
        <w:pStyle w:val="85"/>
        <w:spacing w:line="360" w:lineRule="auto"/>
        <w:rPr>
          <w:rFonts w:hint="eastAsia"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注：</w:t>
      </w:r>
    </w:p>
    <w:p w14:paraId="45176266">
      <w:pPr>
        <w:pStyle w:val="85"/>
        <w:spacing w:line="360" w:lineRule="auto"/>
        <w:ind w:firstLine="602" w:firstLineChars="200"/>
        <w:rPr>
          <w:rFonts w:hint="eastAsia"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1、以上加“★”的条款内容为本项目</w:t>
      </w:r>
      <w:r>
        <w:rPr>
          <w:rFonts w:hint="eastAsia" w:ascii="仿宋_GB2312" w:hAnsi="仿宋_GB2312" w:eastAsia="仿宋_GB2312" w:cs="仿宋_GB2312"/>
          <w:b/>
          <w:color w:val="000000"/>
          <w:sz w:val="30"/>
          <w:szCs w:val="30"/>
          <w:lang w:eastAsia="zh-CN"/>
        </w:rPr>
        <w:t>不允许负偏离</w:t>
      </w:r>
      <w:r>
        <w:rPr>
          <w:rFonts w:hint="eastAsia" w:ascii="仿宋_GB2312" w:hAnsi="仿宋_GB2312" w:eastAsia="仿宋_GB2312" w:cs="仿宋_GB2312"/>
          <w:b/>
          <w:color w:val="000000"/>
          <w:sz w:val="30"/>
          <w:szCs w:val="30"/>
        </w:rPr>
        <w:t>的实质性技术或服务要求，如不满足，按无效投标处理。</w:t>
      </w:r>
    </w:p>
    <w:p w14:paraId="165AD5EA">
      <w:pPr>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2、投标人应当在投标文件中列出完成本项目并通过验收所需的所有各项服务等明细表及全部费用。中标人必须确保整体通过用户方及有关主管部门验收，所发生的验收费用由中标人承担</w:t>
      </w:r>
      <w:r>
        <w:rPr>
          <w:rFonts w:hint="eastAsia" w:ascii="仿宋_GB2312" w:hAnsi="仿宋_GB2312" w:eastAsia="仿宋_GB2312" w:cs="仿宋_GB2312"/>
          <w:color w:val="000000"/>
          <w:sz w:val="30"/>
          <w:szCs w:val="30"/>
          <w:lang w:eastAsia="zh-CN"/>
        </w:rPr>
        <w:t>。</w:t>
      </w:r>
      <w:r>
        <w:rPr>
          <w:rFonts w:hint="eastAsia" w:ascii="仿宋_GB2312" w:hAnsi="仿宋_GB2312" w:eastAsia="仿宋_GB2312" w:cs="仿宋_GB2312"/>
          <w:color w:val="000000"/>
          <w:sz w:val="30"/>
          <w:szCs w:val="30"/>
        </w:rPr>
        <w:cr/>
      </w:r>
      <w:r>
        <w:rPr>
          <w:rFonts w:hint="eastAsia" w:ascii="仿宋_GB2312" w:hAnsi="仿宋_GB2312" w:eastAsia="仿宋_GB2312" w:cs="仿宋_GB2312"/>
          <w:color w:val="000000"/>
          <w:sz w:val="30"/>
          <w:szCs w:val="30"/>
          <w:lang w:val="en-US" w:eastAsia="zh-CN"/>
        </w:rPr>
        <w:t xml:space="preserve">    3</w:t>
      </w:r>
      <w:r>
        <w:rPr>
          <w:rFonts w:hint="eastAsia" w:ascii="仿宋_GB2312" w:hAnsi="仿宋_GB2312" w:eastAsia="仿宋_GB2312" w:cs="仿宋_GB2312"/>
          <w:color w:val="000000"/>
          <w:sz w:val="30"/>
          <w:szCs w:val="30"/>
        </w:rPr>
        <w:t>、如对本招标文件有任何疑问或要求澄清，请按本招标文件的规定提出，否则视同理解和接受。</w:t>
      </w:r>
    </w:p>
    <w:p w14:paraId="0EDB580C">
      <w:pPr>
        <w:pStyle w:val="6"/>
        <w:numPr>
          <w:ilvl w:val="0"/>
          <w:numId w:val="0"/>
        </w:numPr>
        <w:spacing w:line="500" w:lineRule="exact"/>
        <w:ind w:leftChars="0"/>
        <w:jc w:val="both"/>
        <w:rPr>
          <w:rFonts w:hint="eastAsia" w:ascii="仿宋_GB2312" w:hAnsi="仿宋_GB2312" w:eastAsia="仿宋_GB2312" w:cs="仿宋_GB2312"/>
          <w:bCs/>
          <w:color w:val="000000" w:themeColor="text1"/>
          <w:kern w:val="44"/>
          <w:sz w:val="30"/>
          <w:szCs w:val="30"/>
          <w:lang w:val="en-US" w:eastAsia="zh-CN" w:bidi="ar-SA"/>
          <w14:textFill>
            <w14:solidFill>
              <w14:schemeClr w14:val="tx1"/>
            </w14:solidFill>
          </w14:textFill>
        </w:rPr>
      </w:pPr>
    </w:p>
    <w:p w14:paraId="49B6DDF6">
      <w:pPr>
        <w:pStyle w:val="6"/>
        <w:numPr>
          <w:ilvl w:val="0"/>
          <w:numId w:val="0"/>
        </w:numPr>
        <w:spacing w:line="500" w:lineRule="exact"/>
        <w:ind w:leftChars="0"/>
        <w:jc w:val="both"/>
        <w:rPr>
          <w:rFonts w:hint="eastAsia" w:ascii="仿宋_GB2312" w:hAnsi="仿宋_GB2312" w:eastAsia="仿宋_GB2312" w:cs="仿宋_GB2312"/>
          <w:bCs/>
          <w:color w:val="000000" w:themeColor="text1"/>
          <w:kern w:val="44"/>
          <w:sz w:val="30"/>
          <w:szCs w:val="30"/>
          <w:lang w:val="en-US" w:eastAsia="zh-CN" w:bidi="ar-SA"/>
          <w14:textFill>
            <w14:solidFill>
              <w14:schemeClr w14:val="tx1"/>
            </w14:solidFill>
          </w14:textFill>
        </w:rPr>
      </w:pPr>
    </w:p>
    <w:bookmarkEnd w:id="135"/>
    <w:bookmarkEnd w:id="136"/>
    <w:bookmarkEnd w:id="137"/>
    <w:bookmarkEnd w:id="138"/>
    <w:bookmarkEnd w:id="139"/>
    <w:p w14:paraId="1EA68D01">
      <w:pPr>
        <w:pStyle w:val="6"/>
        <w:spacing w:line="500" w:lineRule="exact"/>
        <w:ind w:left="0" w:leftChars="0" w:firstLine="1500" w:firstLineChars="500"/>
        <w:jc w:val="both"/>
        <w:rPr>
          <w:rFonts w:hint="eastAsia" w:ascii="仿宋_GB2312" w:hAnsi="仿宋_GB2312" w:eastAsia="仿宋_GB2312" w:cs="仿宋_GB2312"/>
          <w:bCs/>
          <w:color w:val="000000" w:themeColor="text1"/>
          <w:kern w:val="44"/>
          <w:sz w:val="30"/>
          <w:szCs w:val="30"/>
          <w:lang w:val="en-US" w:eastAsia="zh-CN" w:bidi="ar-SA"/>
          <w14:textFill>
            <w14:solidFill>
              <w14:schemeClr w14:val="tx1"/>
            </w14:solidFill>
          </w14:textFill>
        </w:rPr>
      </w:pPr>
    </w:p>
    <w:p w14:paraId="72B52976">
      <w:pPr>
        <w:pStyle w:val="6"/>
        <w:spacing w:line="500" w:lineRule="exact"/>
        <w:ind w:left="0" w:leftChars="0" w:firstLine="0" w:firstLineChars="0"/>
        <w:jc w:val="both"/>
        <w:rPr>
          <w:rFonts w:hint="eastAsia" w:ascii="仿宋_GB2312" w:hAnsi="仿宋_GB2312" w:eastAsia="仿宋_GB2312" w:cs="仿宋_GB2312"/>
          <w:bCs/>
          <w:color w:val="000000" w:themeColor="text1"/>
          <w:kern w:val="44"/>
          <w:sz w:val="44"/>
          <w:szCs w:val="44"/>
          <w:lang w:val="en-US" w:eastAsia="zh-CN" w:bidi="ar-SA"/>
          <w14:textFill>
            <w14:solidFill>
              <w14:schemeClr w14:val="tx1"/>
            </w14:solidFill>
          </w14:textFill>
        </w:rPr>
      </w:pPr>
    </w:p>
    <w:p w14:paraId="0A6969A0">
      <w:pPr>
        <w:pStyle w:val="6"/>
        <w:spacing w:line="500" w:lineRule="exact"/>
        <w:ind w:left="0" w:leftChars="0" w:firstLine="0" w:firstLineChars="0"/>
        <w:jc w:val="both"/>
        <w:rPr>
          <w:rFonts w:hint="eastAsia" w:ascii="仿宋_GB2312" w:hAnsi="仿宋_GB2312" w:eastAsia="仿宋_GB2312" w:cs="仿宋_GB2312"/>
          <w:bCs/>
          <w:color w:val="000000" w:themeColor="text1"/>
          <w:kern w:val="44"/>
          <w:sz w:val="44"/>
          <w:szCs w:val="44"/>
          <w:lang w:val="en-US" w:eastAsia="zh-CN" w:bidi="ar-SA"/>
          <w14:textFill>
            <w14:solidFill>
              <w14:schemeClr w14:val="tx1"/>
            </w14:solidFill>
          </w14:textFill>
        </w:rPr>
      </w:pPr>
    </w:p>
    <w:p w14:paraId="441744C5">
      <w:pPr>
        <w:pStyle w:val="6"/>
        <w:spacing w:line="500" w:lineRule="exact"/>
        <w:ind w:left="0" w:leftChars="0" w:firstLine="0" w:firstLineChars="0"/>
        <w:jc w:val="both"/>
        <w:rPr>
          <w:rFonts w:hint="eastAsia" w:ascii="仿宋_GB2312" w:hAnsi="仿宋_GB2312" w:eastAsia="仿宋_GB2312" w:cs="仿宋_GB2312"/>
          <w:bCs/>
          <w:color w:val="000000" w:themeColor="text1"/>
          <w:kern w:val="44"/>
          <w:sz w:val="44"/>
          <w:szCs w:val="44"/>
          <w:lang w:val="en-US" w:eastAsia="zh-CN" w:bidi="ar-SA"/>
          <w14:textFill>
            <w14:solidFill>
              <w14:schemeClr w14:val="tx1"/>
            </w14:solidFill>
          </w14:textFill>
        </w:rPr>
      </w:pPr>
    </w:p>
    <w:p w14:paraId="53B54B21">
      <w:pPr>
        <w:pStyle w:val="6"/>
        <w:spacing w:line="500" w:lineRule="exact"/>
        <w:ind w:left="0" w:leftChars="0" w:firstLine="0" w:firstLineChars="0"/>
        <w:jc w:val="both"/>
        <w:rPr>
          <w:rFonts w:hint="eastAsia" w:ascii="仿宋_GB2312" w:hAnsi="仿宋_GB2312" w:eastAsia="仿宋_GB2312" w:cs="仿宋_GB2312"/>
          <w:bCs/>
          <w:color w:val="000000" w:themeColor="text1"/>
          <w:kern w:val="44"/>
          <w:sz w:val="44"/>
          <w:szCs w:val="44"/>
          <w:lang w:val="en-US" w:eastAsia="zh-CN" w:bidi="ar-SA"/>
          <w14:textFill>
            <w14:solidFill>
              <w14:schemeClr w14:val="tx1"/>
            </w14:solidFill>
          </w14:textFill>
        </w:rPr>
      </w:pPr>
    </w:p>
    <w:p w14:paraId="568135C0">
      <w:pPr>
        <w:pStyle w:val="6"/>
        <w:spacing w:line="500" w:lineRule="exact"/>
        <w:ind w:left="0" w:leftChars="0" w:firstLine="0" w:firstLineChars="0"/>
        <w:jc w:val="both"/>
        <w:rPr>
          <w:rFonts w:hint="eastAsia" w:ascii="仿宋_GB2312" w:hAnsi="仿宋_GB2312" w:eastAsia="仿宋_GB2312" w:cs="仿宋_GB2312"/>
          <w:bCs/>
          <w:color w:val="000000" w:themeColor="text1"/>
          <w:kern w:val="44"/>
          <w:sz w:val="44"/>
          <w:szCs w:val="44"/>
          <w:lang w:val="en-US" w:eastAsia="zh-CN" w:bidi="ar-SA"/>
          <w14:textFill>
            <w14:solidFill>
              <w14:schemeClr w14:val="tx1"/>
            </w14:solidFill>
          </w14:textFill>
        </w:rPr>
      </w:pPr>
    </w:p>
    <w:p w14:paraId="39096FC3">
      <w:pPr>
        <w:pStyle w:val="6"/>
        <w:spacing w:line="500" w:lineRule="exact"/>
        <w:ind w:left="0" w:leftChars="0" w:firstLine="0" w:firstLineChars="0"/>
        <w:jc w:val="both"/>
        <w:rPr>
          <w:rFonts w:hint="eastAsia" w:ascii="仿宋_GB2312" w:hAnsi="仿宋_GB2312" w:eastAsia="仿宋_GB2312" w:cs="仿宋_GB2312"/>
          <w:bCs/>
          <w:color w:val="000000" w:themeColor="text1"/>
          <w:kern w:val="44"/>
          <w:sz w:val="44"/>
          <w:szCs w:val="44"/>
          <w:lang w:val="en-US" w:eastAsia="zh-CN" w:bidi="ar-SA"/>
          <w14:textFill>
            <w14:solidFill>
              <w14:schemeClr w14:val="tx1"/>
            </w14:solidFill>
          </w14:textFill>
        </w:rPr>
      </w:pPr>
    </w:p>
    <w:p w14:paraId="415F6DCC">
      <w:pPr>
        <w:pStyle w:val="6"/>
        <w:spacing w:line="500" w:lineRule="exact"/>
        <w:ind w:left="0" w:leftChars="0" w:firstLine="0" w:firstLineChars="0"/>
        <w:jc w:val="center"/>
        <w:rPr>
          <w:rFonts w:hint="eastAsia" w:ascii="仿宋_GB2312" w:hAnsi="仿宋_GB2312" w:eastAsia="仿宋_GB2312" w:cs="仿宋_GB2312"/>
          <w:b/>
          <w:bCs w:val="0"/>
          <w:color w:val="000000" w:themeColor="text1"/>
          <w:kern w:val="44"/>
          <w:sz w:val="44"/>
          <w:szCs w:val="44"/>
          <w:lang w:val="en-US" w:eastAsia="zh-CN" w:bidi="ar-SA"/>
          <w14:textFill>
            <w14:solidFill>
              <w14:schemeClr w14:val="tx1"/>
            </w14:solidFill>
          </w14:textFill>
        </w:rPr>
      </w:pPr>
      <w:r>
        <w:rPr>
          <w:rFonts w:hint="eastAsia" w:ascii="仿宋_GB2312" w:hAnsi="仿宋_GB2312" w:eastAsia="仿宋_GB2312" w:cs="仿宋_GB2312"/>
          <w:b/>
          <w:bCs w:val="0"/>
          <w:color w:val="000000" w:themeColor="text1"/>
          <w:kern w:val="44"/>
          <w:sz w:val="44"/>
          <w:szCs w:val="44"/>
          <w:lang w:val="en-US" w:eastAsia="zh-CN" w:bidi="ar-SA"/>
          <w14:textFill>
            <w14:solidFill>
              <w14:schemeClr w14:val="tx1"/>
            </w14:solidFill>
          </w14:textFill>
        </w:rPr>
        <w:t>第四章 评分方法</w:t>
      </w:r>
    </w:p>
    <w:p w14:paraId="45D5E6F5">
      <w:pPr>
        <w:pStyle w:val="6"/>
        <w:spacing w:line="500" w:lineRule="exact"/>
        <w:ind w:firstLine="606" w:firstLineChars="202"/>
        <w:jc w:val="left"/>
        <w:rPr>
          <w:rFonts w:hint="eastAsia" w:ascii="仿宋_GB2312" w:hAnsi="仿宋_GB2312" w:eastAsia="仿宋_GB2312" w:cs="仿宋_GB2312"/>
          <w:color w:val="000000" w:themeColor="text1"/>
          <w:kern w:val="0"/>
          <w:sz w:val="30"/>
          <w:szCs w:val="30"/>
          <w:lang w:val="zh-CN"/>
          <w14:textFill>
            <w14:solidFill>
              <w14:schemeClr w14:val="tx1"/>
            </w14:solidFill>
          </w14:textFill>
        </w:rPr>
      </w:pPr>
      <w:r>
        <w:rPr>
          <w:rFonts w:hint="eastAsia" w:ascii="仿宋_GB2312" w:hAnsi="仿宋_GB2312" w:eastAsia="仿宋_GB2312" w:cs="仿宋_GB2312"/>
          <w:color w:val="000000" w:themeColor="text1"/>
          <w:kern w:val="0"/>
          <w:sz w:val="30"/>
          <w:szCs w:val="30"/>
          <w:lang w:val="zh-CN"/>
          <w14:textFill>
            <w14:solidFill>
              <w14:schemeClr w14:val="tx1"/>
            </w14:solidFill>
          </w14:textFill>
        </w:rPr>
        <w:t>一、综合评分</w:t>
      </w:r>
    </w:p>
    <w:p w14:paraId="25E8A0BE">
      <w:pPr>
        <w:pStyle w:val="6"/>
        <w:spacing w:line="500" w:lineRule="exact"/>
        <w:ind w:firstLine="606" w:firstLineChars="202"/>
        <w:jc w:val="left"/>
        <w:rPr>
          <w:rFonts w:hint="eastAsia" w:ascii="仿宋_GB2312" w:hAnsi="仿宋_GB2312" w:eastAsia="仿宋_GB2312" w:cs="仿宋_GB2312"/>
          <w:color w:val="000000" w:themeColor="text1"/>
          <w:kern w:val="0"/>
          <w:sz w:val="30"/>
          <w:szCs w:val="30"/>
          <w:lang w:val="zh-CN"/>
          <w14:textFill>
            <w14:solidFill>
              <w14:schemeClr w14:val="tx1"/>
            </w14:solidFill>
          </w14:textFill>
        </w:rPr>
      </w:pPr>
      <w:r>
        <w:rPr>
          <w:rFonts w:hint="eastAsia" w:ascii="仿宋_GB2312" w:hAnsi="仿宋_GB2312" w:eastAsia="仿宋_GB2312" w:cs="仿宋_GB2312"/>
          <w:color w:val="000000" w:themeColor="text1"/>
          <w:kern w:val="0"/>
          <w:sz w:val="30"/>
          <w:szCs w:val="30"/>
          <w:lang w:val="zh-CN"/>
          <w14:textFill>
            <w14:solidFill>
              <w14:schemeClr w14:val="tx1"/>
            </w14:solidFill>
          </w14:textFill>
        </w:rPr>
        <w:t>1.经磋商确定最终采购需求和提交最后报价的供应商后，由磋商小组采用综合评分法对提交最后报价的供应商的响应文件和最后报价进行综合评分。</w:t>
      </w:r>
    </w:p>
    <w:p w14:paraId="40ABD3E2">
      <w:pPr>
        <w:pStyle w:val="6"/>
        <w:spacing w:line="500" w:lineRule="exact"/>
        <w:ind w:firstLine="606" w:firstLineChars="202"/>
        <w:jc w:val="left"/>
        <w:rPr>
          <w:rFonts w:hint="eastAsia" w:ascii="仿宋_GB2312" w:hAnsi="仿宋_GB2312" w:eastAsia="仿宋_GB2312" w:cs="仿宋_GB2312"/>
          <w:color w:val="000000" w:themeColor="text1"/>
          <w:kern w:val="0"/>
          <w:sz w:val="30"/>
          <w:szCs w:val="30"/>
          <w:lang w:val="zh-CN"/>
          <w14:textFill>
            <w14:solidFill>
              <w14:schemeClr w14:val="tx1"/>
            </w14:solidFill>
          </w14:textFill>
        </w:rPr>
      </w:pPr>
      <w:r>
        <w:rPr>
          <w:rFonts w:hint="eastAsia" w:ascii="仿宋_GB2312" w:hAnsi="仿宋_GB2312" w:eastAsia="仿宋_GB2312" w:cs="仿宋_GB2312"/>
          <w:color w:val="000000" w:themeColor="text1"/>
          <w:kern w:val="0"/>
          <w:sz w:val="30"/>
          <w:szCs w:val="30"/>
          <w:lang w:val="zh-CN"/>
          <w14:textFill>
            <w14:solidFill>
              <w14:schemeClr w14:val="tx1"/>
            </w14:solidFill>
          </w14:textFill>
        </w:rPr>
        <w:t>综合评分法，是指响应文件满足磋商文件全部实质性要求且按评审因素的量化指标评审得分最高的供应商为成交候选供应商的评审方法。</w:t>
      </w:r>
    </w:p>
    <w:p w14:paraId="5FF97913">
      <w:pPr>
        <w:pStyle w:val="6"/>
        <w:spacing w:line="500" w:lineRule="exact"/>
        <w:ind w:firstLine="606" w:firstLineChars="202"/>
        <w:jc w:val="left"/>
        <w:rPr>
          <w:rFonts w:hint="eastAsia" w:ascii="仿宋_GB2312" w:hAnsi="仿宋_GB2312" w:eastAsia="仿宋_GB2312" w:cs="仿宋_GB2312"/>
          <w:color w:val="000000" w:themeColor="text1"/>
          <w:kern w:val="0"/>
          <w:sz w:val="30"/>
          <w:szCs w:val="30"/>
          <w:lang w:val="zh-CN"/>
          <w14:textFill>
            <w14:solidFill>
              <w14:schemeClr w14:val="tx1"/>
            </w14:solidFill>
          </w14:textFill>
        </w:rPr>
      </w:pPr>
      <w:r>
        <w:rPr>
          <w:rFonts w:hint="eastAsia" w:ascii="仿宋_GB2312" w:hAnsi="仿宋_GB2312" w:eastAsia="仿宋_GB2312" w:cs="仿宋_GB2312"/>
          <w:color w:val="000000" w:themeColor="text1"/>
          <w:kern w:val="0"/>
          <w:sz w:val="30"/>
          <w:szCs w:val="30"/>
          <w:lang w:val="zh-CN"/>
          <w14:textFill>
            <w14:solidFill>
              <w14:schemeClr w14:val="tx1"/>
            </w14:solidFill>
          </w14:textFill>
        </w:rPr>
        <w:t>评审时，磋商小组各成员应当独立对每个有效响应的文件进行评价、打分，然后汇总每个供应商每项评分因素的得分。</w:t>
      </w:r>
    </w:p>
    <w:p w14:paraId="7D70D2CA">
      <w:pPr>
        <w:pStyle w:val="6"/>
        <w:numPr>
          <w:ilvl w:val="0"/>
          <w:numId w:val="2"/>
        </w:numPr>
        <w:spacing w:line="500" w:lineRule="exact"/>
        <w:ind w:left="0" w:leftChars="0" w:firstLine="600" w:firstLineChars="200"/>
        <w:jc w:val="left"/>
        <w:rPr>
          <w:rFonts w:hint="eastAsia" w:ascii="仿宋_GB2312" w:hAnsi="仿宋_GB2312" w:eastAsia="仿宋_GB2312" w:cs="仿宋_GB2312"/>
          <w:color w:val="000000" w:themeColor="text1"/>
          <w:kern w:val="0"/>
          <w:sz w:val="30"/>
          <w:szCs w:val="30"/>
          <w:lang w:val="zh-CN"/>
          <w14:textFill>
            <w14:solidFill>
              <w14:schemeClr w14:val="tx1"/>
            </w14:solidFill>
          </w14:textFill>
        </w:rPr>
      </w:pPr>
      <w:bookmarkStart w:id="144" w:name="_Toc293739005"/>
      <w:bookmarkStart w:id="145" w:name="_Toc293736024"/>
      <w:bookmarkStart w:id="146" w:name="_Toc446599330"/>
      <w:bookmarkStart w:id="147" w:name="_Toc293736067"/>
      <w:r>
        <w:rPr>
          <w:rFonts w:hint="eastAsia" w:ascii="仿宋_GB2312" w:hAnsi="仿宋_GB2312" w:eastAsia="仿宋_GB2312" w:cs="仿宋_GB2312"/>
          <w:color w:val="000000" w:themeColor="text1"/>
          <w:kern w:val="0"/>
          <w:sz w:val="30"/>
          <w:szCs w:val="30"/>
          <w:lang w:val="zh-CN"/>
          <w14:textFill>
            <w14:solidFill>
              <w14:schemeClr w14:val="tx1"/>
            </w14:solidFill>
          </w14:textFill>
        </w:rPr>
        <w:t>综合评分细则表</w:t>
      </w:r>
    </w:p>
    <w:tbl>
      <w:tblPr>
        <w:tblStyle w:val="36"/>
        <w:tblpPr w:leftFromText="180" w:rightFromText="180" w:vertAnchor="text" w:horzAnchor="page" w:tblpX="1799" w:tblpY="320"/>
        <w:tblOverlap w:val="never"/>
        <w:tblW w:w="8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09"/>
        <w:gridCol w:w="1186"/>
        <w:gridCol w:w="1050"/>
        <w:gridCol w:w="4155"/>
        <w:gridCol w:w="345"/>
        <w:gridCol w:w="300"/>
      </w:tblGrid>
      <w:tr w14:paraId="2CB55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2295" w:type="dxa"/>
            <w:gridSpan w:val="2"/>
            <w:vMerge w:val="restart"/>
          </w:tcPr>
          <w:p w14:paraId="7F8C7E31">
            <w:pPr>
              <w:spacing w:line="360" w:lineRule="auto"/>
              <w:ind w:firstLine="826" w:firstLineChars="294"/>
              <w:rPr>
                <w:rFonts w:hint="eastAsia" w:ascii="仿宋_GB2312" w:hAnsi="仿宋_GB2312" w:eastAsia="仿宋_GB2312" w:cs="仿宋_GB2312"/>
                <w:b/>
                <w:color w:val="000000" w:themeColor="text1"/>
                <w:sz w:val="28"/>
                <w:szCs w:val="28"/>
                <w14:textFill>
                  <w14:solidFill>
                    <w14:schemeClr w14:val="tx1"/>
                  </w14:solidFill>
                </w14:textFill>
              </w:rPr>
            </w:pPr>
          </w:p>
          <w:p w14:paraId="7EFD292D">
            <w:pPr>
              <w:spacing w:line="360" w:lineRule="auto"/>
              <w:ind w:firstLine="826" w:firstLineChars="294"/>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评分因素</w:t>
            </w:r>
          </w:p>
        </w:tc>
        <w:tc>
          <w:tcPr>
            <w:tcW w:w="1050" w:type="dxa"/>
            <w:vMerge w:val="restart"/>
            <w:vAlign w:val="center"/>
          </w:tcPr>
          <w:p w14:paraId="0E96CAA6">
            <w:pPr>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评分点</w:t>
            </w:r>
          </w:p>
        </w:tc>
        <w:tc>
          <w:tcPr>
            <w:tcW w:w="4155" w:type="dxa"/>
            <w:vMerge w:val="restart"/>
            <w:vAlign w:val="center"/>
          </w:tcPr>
          <w:p w14:paraId="71629275">
            <w:pPr>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评分标准</w:t>
            </w:r>
          </w:p>
        </w:tc>
        <w:tc>
          <w:tcPr>
            <w:tcW w:w="645" w:type="dxa"/>
            <w:gridSpan w:val="2"/>
          </w:tcPr>
          <w:p w14:paraId="5ABE9873">
            <w:pPr>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评审意见</w:t>
            </w:r>
          </w:p>
        </w:tc>
      </w:tr>
      <w:tr w14:paraId="48CAA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8" w:hRule="atLeast"/>
        </w:trPr>
        <w:tc>
          <w:tcPr>
            <w:tcW w:w="2295" w:type="dxa"/>
            <w:gridSpan w:val="2"/>
            <w:vMerge w:val="continue"/>
          </w:tcPr>
          <w:p w14:paraId="4DBFD36F">
            <w:pPr>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tc>
        <w:tc>
          <w:tcPr>
            <w:tcW w:w="1050" w:type="dxa"/>
            <w:vMerge w:val="continue"/>
            <w:vAlign w:val="center"/>
          </w:tcPr>
          <w:p w14:paraId="72DB2C30">
            <w:pPr>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tc>
        <w:tc>
          <w:tcPr>
            <w:tcW w:w="4155" w:type="dxa"/>
            <w:vMerge w:val="continue"/>
            <w:vAlign w:val="center"/>
          </w:tcPr>
          <w:p w14:paraId="136E17FE">
            <w:pPr>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tc>
        <w:tc>
          <w:tcPr>
            <w:tcW w:w="345" w:type="dxa"/>
          </w:tcPr>
          <w:p w14:paraId="23454E9C">
            <w:pPr>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是</w:t>
            </w:r>
          </w:p>
        </w:tc>
        <w:tc>
          <w:tcPr>
            <w:tcW w:w="300" w:type="dxa"/>
          </w:tcPr>
          <w:p w14:paraId="06B21FBC">
            <w:pPr>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否</w:t>
            </w:r>
          </w:p>
        </w:tc>
      </w:tr>
      <w:tr w14:paraId="3D74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8" w:hRule="atLeast"/>
        </w:trPr>
        <w:tc>
          <w:tcPr>
            <w:tcW w:w="1109" w:type="dxa"/>
            <w:vMerge w:val="restart"/>
          </w:tcPr>
          <w:p w14:paraId="36FF4EFF">
            <w:pPr>
              <w:spacing w:line="360" w:lineRule="auto"/>
              <w:ind w:firstLine="140" w:firstLineChars="50"/>
              <w:rPr>
                <w:rFonts w:hint="eastAsia" w:ascii="仿宋_GB2312" w:hAnsi="仿宋_GB2312" w:eastAsia="仿宋_GB2312" w:cs="仿宋_GB2312"/>
                <w:color w:val="000000" w:themeColor="text1"/>
                <w:sz w:val="28"/>
                <w:szCs w:val="28"/>
                <w14:textFill>
                  <w14:solidFill>
                    <w14:schemeClr w14:val="tx1"/>
                  </w14:solidFill>
                </w14:textFill>
              </w:rPr>
            </w:pPr>
          </w:p>
          <w:p w14:paraId="3AC4357A">
            <w:pPr>
              <w:spacing w:line="360" w:lineRule="auto"/>
              <w:ind w:firstLine="140" w:firstLineChars="50"/>
              <w:rPr>
                <w:rFonts w:hint="eastAsia" w:ascii="仿宋_GB2312" w:hAnsi="仿宋_GB2312" w:eastAsia="仿宋_GB2312" w:cs="仿宋_GB2312"/>
                <w:color w:val="000000" w:themeColor="text1"/>
                <w:sz w:val="28"/>
                <w:szCs w:val="28"/>
                <w14:textFill>
                  <w14:solidFill>
                    <w14:schemeClr w14:val="tx1"/>
                  </w14:solidFill>
                </w14:textFill>
              </w:rPr>
            </w:pPr>
          </w:p>
          <w:p w14:paraId="60B6F6FF">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p w14:paraId="7FDFE7E4">
            <w:pPr>
              <w:spacing w:line="360" w:lineRule="auto"/>
              <w:ind w:firstLine="140" w:firstLineChars="50"/>
              <w:rPr>
                <w:rFonts w:hint="eastAsia" w:ascii="仿宋_GB2312" w:hAnsi="仿宋_GB2312" w:eastAsia="仿宋_GB2312" w:cs="仿宋_GB2312"/>
                <w:color w:val="000000" w:themeColor="text1"/>
                <w:sz w:val="28"/>
                <w:szCs w:val="28"/>
                <w14:textFill>
                  <w14:solidFill>
                    <w14:schemeClr w14:val="tx1"/>
                  </w14:solidFill>
                </w14:textFill>
              </w:rPr>
            </w:pPr>
          </w:p>
          <w:p w14:paraId="2D81A117">
            <w:pPr>
              <w:spacing w:line="360" w:lineRule="auto"/>
              <w:ind w:firstLine="140" w:firstLineChars="50"/>
              <w:rPr>
                <w:rFonts w:hint="eastAsia" w:ascii="仿宋_GB2312" w:hAnsi="仿宋_GB2312" w:eastAsia="仿宋_GB2312" w:cs="仿宋_GB2312"/>
                <w:color w:val="000000" w:themeColor="text1"/>
                <w:sz w:val="28"/>
                <w:szCs w:val="28"/>
                <w14:textFill>
                  <w14:solidFill>
                    <w14:schemeClr w14:val="tx1"/>
                  </w14:solidFill>
                </w14:textFill>
              </w:rPr>
            </w:pPr>
          </w:p>
          <w:p w14:paraId="5B9B4EEB">
            <w:pPr>
              <w:spacing w:line="360" w:lineRule="auto"/>
              <w:ind w:firstLine="140" w:firstLineChars="50"/>
              <w:rPr>
                <w:rFonts w:hint="eastAsia" w:ascii="仿宋_GB2312" w:hAnsi="仿宋_GB2312" w:eastAsia="仿宋_GB2312" w:cs="仿宋_GB2312"/>
                <w:color w:val="000000" w:themeColor="text1"/>
                <w:sz w:val="28"/>
                <w:szCs w:val="28"/>
                <w14:textFill>
                  <w14:solidFill>
                    <w14:schemeClr w14:val="tx1"/>
                  </w14:solidFill>
                </w14:textFill>
              </w:rPr>
            </w:pPr>
          </w:p>
          <w:p w14:paraId="2D957A39">
            <w:pPr>
              <w:spacing w:line="360" w:lineRule="auto"/>
              <w:ind w:firstLine="140" w:firstLineChars="50"/>
              <w:rPr>
                <w:rFonts w:hint="eastAsia" w:ascii="仿宋_GB2312" w:hAnsi="仿宋_GB2312" w:eastAsia="仿宋_GB2312" w:cs="仿宋_GB2312"/>
                <w:color w:val="000000" w:themeColor="text1"/>
                <w:sz w:val="28"/>
                <w:szCs w:val="28"/>
                <w14:textFill>
                  <w14:solidFill>
                    <w14:schemeClr w14:val="tx1"/>
                  </w14:solidFill>
                </w14:textFill>
              </w:rPr>
            </w:pPr>
          </w:p>
          <w:p w14:paraId="6055D83F">
            <w:pPr>
              <w:spacing w:line="360" w:lineRule="auto"/>
              <w:ind w:firstLine="140" w:firstLineChars="50"/>
              <w:rPr>
                <w:rFonts w:hint="eastAsia" w:ascii="仿宋_GB2312" w:hAnsi="仿宋_GB2312" w:eastAsia="仿宋_GB2312" w:cs="仿宋_GB2312"/>
                <w:color w:val="000000" w:themeColor="text1"/>
                <w:sz w:val="28"/>
                <w:szCs w:val="28"/>
                <w14:textFill>
                  <w14:solidFill>
                    <w14:schemeClr w14:val="tx1"/>
                  </w14:solidFill>
                </w14:textFill>
              </w:rPr>
            </w:pPr>
          </w:p>
          <w:p w14:paraId="73EAD2E9">
            <w:pPr>
              <w:spacing w:line="360" w:lineRule="auto"/>
              <w:ind w:firstLine="140" w:firstLineChars="5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初步评审（评审不合格的供应商的响应文件作无效文件处理）</w:t>
            </w:r>
          </w:p>
        </w:tc>
        <w:tc>
          <w:tcPr>
            <w:tcW w:w="1186" w:type="dxa"/>
            <w:vMerge w:val="restart"/>
            <w:vAlign w:val="center"/>
          </w:tcPr>
          <w:p w14:paraId="574079AF">
            <w:pPr>
              <w:spacing w:line="360" w:lineRule="auto"/>
              <w:ind w:firstLine="140" w:firstLineChars="50"/>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资格检查</w:t>
            </w:r>
          </w:p>
        </w:tc>
        <w:tc>
          <w:tcPr>
            <w:tcW w:w="1050" w:type="dxa"/>
            <w:vAlign w:val="center"/>
          </w:tcPr>
          <w:p w14:paraId="6E0D9122">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营业执照</w:t>
            </w:r>
          </w:p>
        </w:tc>
        <w:tc>
          <w:tcPr>
            <w:tcW w:w="4155" w:type="dxa"/>
            <w:vAlign w:val="center"/>
          </w:tcPr>
          <w:p w14:paraId="38DB5592">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是否具备有效的</w:t>
            </w:r>
            <w:r>
              <w:rPr>
                <w:rFonts w:hint="eastAsia" w:ascii="仿宋_GB2312" w:hAnsi="仿宋_GB2312" w:eastAsia="仿宋_GB2312" w:cs="仿宋_GB2312"/>
                <w:color w:val="000000" w:themeColor="text1"/>
                <w:sz w:val="28"/>
                <w:szCs w:val="28"/>
                <w:lang w:eastAsia="zh-CN"/>
                <w14:textFill>
                  <w14:solidFill>
                    <w14:schemeClr w14:val="tx1"/>
                  </w14:solidFill>
                </w14:textFill>
              </w:rPr>
              <w:t>营业执照、组织机构代码证、税务登记证（</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三证合一</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tc>
        <w:tc>
          <w:tcPr>
            <w:tcW w:w="345" w:type="dxa"/>
          </w:tcPr>
          <w:p w14:paraId="3E09F9ED">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300" w:type="dxa"/>
            <w:vAlign w:val="center"/>
          </w:tcPr>
          <w:p w14:paraId="60531B73">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7C947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1" w:hRule="atLeast"/>
        </w:trPr>
        <w:tc>
          <w:tcPr>
            <w:tcW w:w="1109" w:type="dxa"/>
            <w:vMerge w:val="continue"/>
          </w:tcPr>
          <w:p w14:paraId="5B9241E1">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86" w:type="dxa"/>
            <w:vMerge w:val="continue"/>
            <w:vAlign w:val="center"/>
          </w:tcPr>
          <w:p w14:paraId="41F55518">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050" w:type="dxa"/>
            <w:vAlign w:val="center"/>
          </w:tcPr>
          <w:p w14:paraId="1417DD05">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特殊资质证明（若本项目要求）</w:t>
            </w:r>
          </w:p>
        </w:tc>
        <w:tc>
          <w:tcPr>
            <w:tcW w:w="4155" w:type="dxa"/>
            <w:vAlign w:val="center"/>
          </w:tcPr>
          <w:p w14:paraId="3C99F8EC">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具备有效的资质证明</w:t>
            </w:r>
          </w:p>
        </w:tc>
        <w:tc>
          <w:tcPr>
            <w:tcW w:w="345" w:type="dxa"/>
          </w:tcPr>
          <w:p w14:paraId="42FB9F7A">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300" w:type="dxa"/>
            <w:vAlign w:val="center"/>
          </w:tcPr>
          <w:p w14:paraId="4E455597">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72D9F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1" w:hRule="atLeast"/>
        </w:trPr>
        <w:tc>
          <w:tcPr>
            <w:tcW w:w="1109" w:type="dxa"/>
            <w:vMerge w:val="continue"/>
          </w:tcPr>
          <w:p w14:paraId="64638BB0">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86" w:type="dxa"/>
            <w:vMerge w:val="continue"/>
            <w:vAlign w:val="center"/>
          </w:tcPr>
          <w:p w14:paraId="459B9599">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050" w:type="dxa"/>
            <w:vAlign w:val="center"/>
          </w:tcPr>
          <w:p w14:paraId="16E6FFDB">
            <w:pPr>
              <w:spacing w:line="360" w:lineRule="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法定要求</w:t>
            </w:r>
          </w:p>
        </w:tc>
        <w:tc>
          <w:tcPr>
            <w:tcW w:w="4155" w:type="dxa"/>
            <w:vAlign w:val="center"/>
          </w:tcPr>
          <w:p w14:paraId="59F55FDB">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lang w:eastAsia="zh-CN"/>
                <w14:textFill>
                  <w14:solidFill>
                    <w14:schemeClr w14:val="tx1"/>
                  </w14:solidFill>
                </w14:textFill>
              </w:rPr>
              <w:t>最近一个年度的财务状况报告（成立不满一年不需提供）</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具备履行合同所必须的设备和专业技术能力的书面证明3.依法缴纳税收和社会保障资金的相关材料（提供提交投标文件截止时间前一年内至少一个月依法缴纳税收及缴纳社会保障资金的证明材料。投标人依法享受缓缴、免缴税收、社会保障资金的提供证明材料。）4.参加政府采购活动前3年内在经营活动中没有重大违法记录的书面声明</w:t>
            </w:r>
          </w:p>
        </w:tc>
        <w:tc>
          <w:tcPr>
            <w:tcW w:w="345" w:type="dxa"/>
          </w:tcPr>
          <w:p w14:paraId="72EF56DA">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300" w:type="dxa"/>
            <w:vAlign w:val="center"/>
          </w:tcPr>
          <w:p w14:paraId="2203D8E5">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62250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1" w:hRule="atLeast"/>
        </w:trPr>
        <w:tc>
          <w:tcPr>
            <w:tcW w:w="1109" w:type="dxa"/>
            <w:vMerge w:val="continue"/>
          </w:tcPr>
          <w:p w14:paraId="16550F1E">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86" w:type="dxa"/>
            <w:vMerge w:val="continue"/>
            <w:vAlign w:val="center"/>
          </w:tcPr>
          <w:p w14:paraId="7C1C0458">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050" w:type="dxa"/>
            <w:vAlign w:val="center"/>
          </w:tcPr>
          <w:p w14:paraId="489491EA">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法定代表人身份证明及授权委托书</w:t>
            </w:r>
          </w:p>
        </w:tc>
        <w:tc>
          <w:tcPr>
            <w:tcW w:w="4155" w:type="dxa"/>
            <w:vAlign w:val="center"/>
          </w:tcPr>
          <w:p w14:paraId="26346AD7">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具有法定代表人身份证明及授权委托书</w:t>
            </w:r>
          </w:p>
        </w:tc>
        <w:tc>
          <w:tcPr>
            <w:tcW w:w="345" w:type="dxa"/>
          </w:tcPr>
          <w:p w14:paraId="23358EC4">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300" w:type="dxa"/>
            <w:vAlign w:val="center"/>
          </w:tcPr>
          <w:p w14:paraId="6FFDDADC">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1CBAF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3" w:hRule="atLeast"/>
        </w:trPr>
        <w:tc>
          <w:tcPr>
            <w:tcW w:w="1109" w:type="dxa"/>
            <w:vMerge w:val="continue"/>
          </w:tcPr>
          <w:p w14:paraId="5196BDDB">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86" w:type="dxa"/>
            <w:vMerge w:val="continue"/>
            <w:vAlign w:val="center"/>
          </w:tcPr>
          <w:p w14:paraId="67896E8E">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050" w:type="dxa"/>
            <w:vAlign w:val="center"/>
          </w:tcPr>
          <w:p w14:paraId="05051A09">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投标保证金缴纳凭证</w:t>
            </w:r>
          </w:p>
        </w:tc>
        <w:tc>
          <w:tcPr>
            <w:tcW w:w="4155" w:type="dxa"/>
            <w:vAlign w:val="center"/>
          </w:tcPr>
          <w:p w14:paraId="216CD862">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符合供应商须知前附表的规定</w:t>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lang w:val="zh-CN" w:eastAsia="zh-CN"/>
              </w:rPr>
              <w:t>以评审小组及监督人员查看</w:t>
            </w:r>
            <w:r>
              <w:rPr>
                <w:rFonts w:hint="eastAsia" w:ascii="仿宋_GB2312" w:hAnsi="仿宋_GB2312" w:eastAsia="仿宋_GB2312" w:cs="仿宋_GB2312"/>
                <w:sz w:val="28"/>
                <w:szCs w:val="28"/>
                <w:lang w:val="en-US" w:eastAsia="zh-CN"/>
              </w:rPr>
              <w:t>投标供应商上传的银行回执单电子件</w:t>
            </w:r>
            <w:r>
              <w:rPr>
                <w:rFonts w:hint="eastAsia" w:ascii="仿宋_GB2312" w:hAnsi="仿宋_GB2312" w:eastAsia="仿宋_GB2312" w:cs="仿宋_GB2312"/>
                <w:sz w:val="28"/>
                <w:szCs w:val="28"/>
                <w:lang w:val="zh-CN"/>
              </w:rPr>
              <w:t>明细</w:t>
            </w:r>
            <w:r>
              <w:rPr>
                <w:rFonts w:hint="eastAsia" w:ascii="仿宋_GB2312" w:hAnsi="仿宋_GB2312" w:eastAsia="仿宋_GB2312" w:cs="仿宋_GB2312"/>
                <w:sz w:val="28"/>
                <w:szCs w:val="28"/>
                <w:lang w:val="en-US" w:eastAsia="zh-CN"/>
              </w:rPr>
              <w:t>或电子</w:t>
            </w:r>
            <w:r>
              <w:rPr>
                <w:rFonts w:hint="eastAsia" w:ascii="仿宋_GB2312" w:hAnsi="仿宋_GB2312" w:eastAsia="仿宋_GB2312" w:cs="仿宋_GB2312"/>
                <w:sz w:val="28"/>
                <w:szCs w:val="28"/>
                <w:lang w:val="zh-CN"/>
              </w:rPr>
              <w:t>保函办理凭证</w:t>
            </w:r>
            <w:r>
              <w:rPr>
                <w:rFonts w:hint="eastAsia" w:ascii="仿宋_GB2312" w:hAnsi="仿宋_GB2312" w:eastAsia="仿宋_GB2312" w:cs="仿宋_GB2312"/>
                <w:sz w:val="28"/>
                <w:szCs w:val="28"/>
                <w:lang w:val="en-US" w:eastAsia="zh-CN"/>
              </w:rPr>
              <w:t>及缴费凭证</w:t>
            </w:r>
            <w:r>
              <w:rPr>
                <w:rFonts w:hint="eastAsia" w:ascii="仿宋_GB2312" w:hAnsi="仿宋_GB2312" w:eastAsia="仿宋_GB2312" w:cs="仿宋_GB2312"/>
                <w:sz w:val="28"/>
                <w:szCs w:val="28"/>
                <w:lang w:val="zh-CN" w:eastAsia="zh-CN"/>
              </w:rPr>
              <w:t>为准</w:t>
            </w:r>
            <w:r>
              <w:rPr>
                <w:rFonts w:hint="eastAsia" w:ascii="仿宋_GB2312" w:hAnsi="仿宋_GB2312" w:eastAsia="仿宋_GB2312" w:cs="仿宋_GB2312"/>
                <w:sz w:val="28"/>
                <w:szCs w:val="28"/>
                <w:lang w:val="zh-CN"/>
              </w:rPr>
              <w:t>）</w:t>
            </w:r>
          </w:p>
        </w:tc>
        <w:tc>
          <w:tcPr>
            <w:tcW w:w="345" w:type="dxa"/>
          </w:tcPr>
          <w:p w14:paraId="0F42CC4B">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300" w:type="dxa"/>
            <w:vAlign w:val="center"/>
          </w:tcPr>
          <w:p w14:paraId="2BFB09CE">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3D9C6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3" w:hRule="atLeast"/>
        </w:trPr>
        <w:tc>
          <w:tcPr>
            <w:tcW w:w="1109" w:type="dxa"/>
            <w:vMerge w:val="continue"/>
          </w:tcPr>
          <w:p w14:paraId="7C7C21D3">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86" w:type="dxa"/>
            <w:vMerge w:val="continue"/>
            <w:vAlign w:val="center"/>
          </w:tcPr>
          <w:p w14:paraId="63855A67">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050" w:type="dxa"/>
            <w:shd w:val="clear" w:color="auto" w:fill="auto"/>
            <w:vAlign w:val="center"/>
          </w:tcPr>
          <w:p w14:paraId="7A6691AB">
            <w:pPr>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中小企业声明函</w:t>
            </w:r>
            <w:r>
              <w:rPr>
                <w:rFonts w:hint="eastAsia" w:ascii="仿宋_GB2312" w:hAnsi="仿宋_GB2312" w:eastAsia="仿宋_GB2312" w:cs="仿宋_GB2312"/>
                <w:sz w:val="28"/>
                <w:szCs w:val="28"/>
                <w:lang w:eastAsia="zh-CN"/>
              </w:rPr>
              <w:t>（若本项目要求）</w:t>
            </w:r>
          </w:p>
        </w:tc>
        <w:tc>
          <w:tcPr>
            <w:tcW w:w="4155" w:type="dxa"/>
            <w:shd w:val="clear" w:color="auto" w:fill="auto"/>
            <w:vAlign w:val="center"/>
          </w:tcPr>
          <w:p w14:paraId="2FAB8399">
            <w:pPr>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请根据要求单独上传《中小企业声明函》。格式以采购文件要求为准。</w:t>
            </w:r>
          </w:p>
        </w:tc>
        <w:tc>
          <w:tcPr>
            <w:tcW w:w="345" w:type="dxa"/>
          </w:tcPr>
          <w:p w14:paraId="2C5D96DB">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300" w:type="dxa"/>
            <w:vAlign w:val="center"/>
          </w:tcPr>
          <w:p w14:paraId="1F3EBB92">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1D9A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3" w:hRule="atLeast"/>
        </w:trPr>
        <w:tc>
          <w:tcPr>
            <w:tcW w:w="1109" w:type="dxa"/>
            <w:vMerge w:val="continue"/>
          </w:tcPr>
          <w:p w14:paraId="0AD2E8A8">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86" w:type="dxa"/>
            <w:vMerge w:val="continue"/>
            <w:vAlign w:val="center"/>
          </w:tcPr>
          <w:p w14:paraId="7EFDE64E">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050" w:type="dxa"/>
            <w:vAlign w:val="center"/>
          </w:tcPr>
          <w:p w14:paraId="31415B54">
            <w:pPr>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sz w:val="28"/>
                <w:szCs w:val="28"/>
                <w:lang w:val="zh-CN"/>
              </w:rPr>
              <w:t>网上信用记录查询</w:t>
            </w:r>
          </w:p>
        </w:tc>
        <w:tc>
          <w:tcPr>
            <w:tcW w:w="4155" w:type="dxa"/>
            <w:vAlign w:val="center"/>
          </w:tcPr>
          <w:p w14:paraId="18350167">
            <w:pPr>
              <w:pStyle w:val="95"/>
              <w:outlineLvl w:val="2"/>
              <w:rPr>
                <w:rFonts w:hint="eastAsia" w:ascii="仿宋_GB2312" w:hAnsi="仿宋_GB2312" w:eastAsia="仿宋_GB2312" w:cs="仿宋_GB2312"/>
                <w:b w:val="0"/>
                <w:sz w:val="28"/>
                <w:szCs w:val="28"/>
                <w:lang w:val="en-US" w:eastAsia="zh-CN" w:bidi="ar-SA"/>
              </w:rPr>
            </w:pPr>
            <w:r>
              <w:rPr>
                <w:rFonts w:hint="eastAsia" w:ascii="仿宋_GB2312" w:hAnsi="仿宋_GB2312" w:eastAsia="仿宋_GB2312" w:cs="仿宋_GB2312"/>
                <w:b w:val="0"/>
                <w:sz w:val="28"/>
                <w:szCs w:val="28"/>
                <w:lang w:val="en-US" w:eastAsia="zh-CN" w:bidi="ar-SA"/>
              </w:rPr>
              <w:t>通过政采云平台关联“信用中国”网（www.creditchina.gov.cn）、“中国政府采购网"(www.ccgp.gov.cn)查询供应商是否被列入失信被执行人、重大税收违法案件当事人名单、政府采购严重失信行为记录名单。（提供网页截图）</w:t>
            </w:r>
          </w:p>
          <w:p w14:paraId="3ABFB8EE">
            <w:pPr>
              <w:jc w:val="left"/>
              <w:rPr>
                <w:rFonts w:hint="eastAsia" w:ascii="仿宋_GB2312" w:hAnsi="仿宋_GB2312" w:eastAsia="仿宋_GB2312" w:cs="仿宋_GB2312"/>
                <w:color w:val="000000" w:themeColor="text1"/>
                <w:sz w:val="28"/>
                <w:szCs w:val="28"/>
                <w14:textFill>
                  <w14:solidFill>
                    <w14:schemeClr w14:val="tx1"/>
                  </w14:solidFill>
                </w14:textFill>
              </w:rPr>
            </w:pPr>
          </w:p>
        </w:tc>
        <w:tc>
          <w:tcPr>
            <w:tcW w:w="345" w:type="dxa"/>
          </w:tcPr>
          <w:p w14:paraId="66E65987">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300" w:type="dxa"/>
            <w:vAlign w:val="center"/>
          </w:tcPr>
          <w:p w14:paraId="334F8742">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74FDD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3" w:hRule="atLeast"/>
        </w:trPr>
        <w:tc>
          <w:tcPr>
            <w:tcW w:w="1109" w:type="dxa"/>
            <w:vMerge w:val="continue"/>
          </w:tcPr>
          <w:p w14:paraId="7DA5BD73">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186" w:type="dxa"/>
            <w:vMerge w:val="restart"/>
            <w:vAlign w:val="center"/>
          </w:tcPr>
          <w:p w14:paraId="5133CEC8">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符合性检查</w:t>
            </w:r>
          </w:p>
        </w:tc>
        <w:tc>
          <w:tcPr>
            <w:tcW w:w="1050" w:type="dxa"/>
            <w:vAlign w:val="center"/>
          </w:tcPr>
          <w:p w14:paraId="03A61B22">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供应商名称</w:t>
            </w:r>
          </w:p>
        </w:tc>
        <w:tc>
          <w:tcPr>
            <w:tcW w:w="4155" w:type="dxa"/>
            <w:vAlign w:val="center"/>
          </w:tcPr>
          <w:p w14:paraId="0D4074FD">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是否与营业执照、税务登记证、资质证书一致</w:t>
            </w:r>
          </w:p>
        </w:tc>
        <w:tc>
          <w:tcPr>
            <w:tcW w:w="345" w:type="dxa"/>
          </w:tcPr>
          <w:p w14:paraId="714200BD">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300" w:type="dxa"/>
            <w:vAlign w:val="center"/>
          </w:tcPr>
          <w:p w14:paraId="10C62570">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79629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9" w:hRule="atLeast"/>
        </w:trPr>
        <w:tc>
          <w:tcPr>
            <w:tcW w:w="1109" w:type="dxa"/>
            <w:vMerge w:val="continue"/>
          </w:tcPr>
          <w:p w14:paraId="722991DD">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86" w:type="dxa"/>
            <w:vMerge w:val="continue"/>
            <w:vAlign w:val="center"/>
          </w:tcPr>
          <w:p w14:paraId="1BEA594E">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050" w:type="dxa"/>
            <w:vAlign w:val="center"/>
          </w:tcPr>
          <w:p w14:paraId="4ECA8A4E">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投标文件签署</w:t>
            </w:r>
          </w:p>
        </w:tc>
        <w:tc>
          <w:tcPr>
            <w:tcW w:w="4155" w:type="dxa"/>
            <w:vAlign w:val="center"/>
          </w:tcPr>
          <w:p w14:paraId="52158AA3">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符合响应文件要求在规定区域加盖单位电子公章</w:t>
            </w:r>
          </w:p>
        </w:tc>
        <w:tc>
          <w:tcPr>
            <w:tcW w:w="345" w:type="dxa"/>
          </w:tcPr>
          <w:p w14:paraId="797F74B9">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300" w:type="dxa"/>
            <w:vAlign w:val="center"/>
          </w:tcPr>
          <w:p w14:paraId="5E34E22D">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27494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3" w:hRule="atLeast"/>
        </w:trPr>
        <w:tc>
          <w:tcPr>
            <w:tcW w:w="1109" w:type="dxa"/>
            <w:vMerge w:val="continue"/>
          </w:tcPr>
          <w:p w14:paraId="3709FE9A">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86" w:type="dxa"/>
            <w:vMerge w:val="continue"/>
            <w:vAlign w:val="center"/>
          </w:tcPr>
          <w:p w14:paraId="0E2EE240">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050" w:type="dxa"/>
            <w:vAlign w:val="center"/>
          </w:tcPr>
          <w:p w14:paraId="225402EA">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投标有效期</w:t>
            </w:r>
          </w:p>
        </w:tc>
        <w:tc>
          <w:tcPr>
            <w:tcW w:w="4155" w:type="dxa"/>
            <w:vAlign w:val="center"/>
          </w:tcPr>
          <w:p w14:paraId="74D00DCD">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符合供应商须知前附表的规定</w:t>
            </w:r>
          </w:p>
        </w:tc>
        <w:tc>
          <w:tcPr>
            <w:tcW w:w="345" w:type="dxa"/>
          </w:tcPr>
          <w:p w14:paraId="4575A447">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300" w:type="dxa"/>
            <w:vAlign w:val="center"/>
          </w:tcPr>
          <w:p w14:paraId="30B049C9">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676FF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3" w:hRule="atLeast"/>
        </w:trPr>
        <w:tc>
          <w:tcPr>
            <w:tcW w:w="1109" w:type="dxa"/>
            <w:vMerge w:val="continue"/>
          </w:tcPr>
          <w:p w14:paraId="44DD09DA">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86" w:type="dxa"/>
            <w:vMerge w:val="continue"/>
            <w:vAlign w:val="center"/>
          </w:tcPr>
          <w:p w14:paraId="71818F16">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050" w:type="dxa"/>
            <w:vAlign w:val="center"/>
          </w:tcPr>
          <w:p w14:paraId="03A41B38">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响应报价</w:t>
            </w:r>
          </w:p>
        </w:tc>
        <w:tc>
          <w:tcPr>
            <w:tcW w:w="4155" w:type="dxa"/>
            <w:vAlign w:val="center"/>
          </w:tcPr>
          <w:p w14:paraId="1BDCC471">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只有一个有效报价且未超过政府采购预算金额</w:t>
            </w:r>
          </w:p>
        </w:tc>
        <w:tc>
          <w:tcPr>
            <w:tcW w:w="345" w:type="dxa"/>
          </w:tcPr>
          <w:p w14:paraId="3FA04EA5">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300" w:type="dxa"/>
            <w:vAlign w:val="center"/>
          </w:tcPr>
          <w:p w14:paraId="122BF909">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306AC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9" w:hRule="atLeast"/>
        </w:trPr>
        <w:tc>
          <w:tcPr>
            <w:tcW w:w="1109" w:type="dxa"/>
            <w:vMerge w:val="continue"/>
          </w:tcPr>
          <w:p w14:paraId="3363D37D">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86" w:type="dxa"/>
            <w:vMerge w:val="continue"/>
            <w:vAlign w:val="center"/>
          </w:tcPr>
          <w:p w14:paraId="5A39EC86">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050" w:type="dxa"/>
            <w:vAlign w:val="center"/>
          </w:tcPr>
          <w:p w14:paraId="029AD31A">
            <w:pPr>
              <w:spacing w:line="360" w:lineRule="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采购需求</w:t>
            </w:r>
          </w:p>
        </w:tc>
        <w:tc>
          <w:tcPr>
            <w:tcW w:w="4155" w:type="dxa"/>
            <w:vAlign w:val="center"/>
          </w:tcPr>
          <w:p w14:paraId="6B4D3A8D">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投标人所投产品（服务）内容、数量、核心产品技术指标（带★产品技术参数、规格、性能）是否满足招标文件实质性要求。</w:t>
            </w:r>
          </w:p>
        </w:tc>
        <w:tc>
          <w:tcPr>
            <w:tcW w:w="345" w:type="dxa"/>
          </w:tcPr>
          <w:p w14:paraId="6A93C576">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300" w:type="dxa"/>
            <w:vAlign w:val="center"/>
          </w:tcPr>
          <w:p w14:paraId="6537F6DB">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2FF1B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9" w:hRule="atLeast"/>
        </w:trPr>
        <w:tc>
          <w:tcPr>
            <w:tcW w:w="1109" w:type="dxa"/>
            <w:vMerge w:val="continue"/>
          </w:tcPr>
          <w:p w14:paraId="156A911E">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86" w:type="dxa"/>
            <w:vMerge w:val="continue"/>
            <w:vAlign w:val="center"/>
          </w:tcPr>
          <w:p w14:paraId="28EABEA0">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050" w:type="dxa"/>
            <w:vAlign w:val="center"/>
          </w:tcPr>
          <w:p w14:paraId="6E1213DC">
            <w:pPr>
              <w:spacing w:line="360" w:lineRule="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服务</w:t>
            </w:r>
            <w:r>
              <w:rPr>
                <w:rFonts w:hint="eastAsia" w:ascii="仿宋_GB2312" w:hAnsi="仿宋_GB2312" w:eastAsia="仿宋_GB2312" w:cs="仿宋_GB2312"/>
                <w:color w:val="000000" w:themeColor="text1"/>
                <w:sz w:val="28"/>
                <w:szCs w:val="28"/>
                <w14:textFill>
                  <w14:solidFill>
                    <w14:schemeClr w14:val="tx1"/>
                  </w14:solidFill>
                </w14:textFill>
              </w:rPr>
              <w:t>期</w:t>
            </w:r>
          </w:p>
        </w:tc>
        <w:tc>
          <w:tcPr>
            <w:tcW w:w="4155" w:type="dxa"/>
            <w:vAlign w:val="center"/>
          </w:tcPr>
          <w:p w14:paraId="1832CA59">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符合</w:t>
            </w:r>
            <w:r>
              <w:rPr>
                <w:rFonts w:hint="eastAsia" w:ascii="仿宋_GB2312" w:hAnsi="仿宋_GB2312" w:eastAsia="仿宋_GB2312" w:cs="仿宋_GB2312"/>
                <w:color w:val="000000" w:themeColor="text1"/>
                <w:sz w:val="28"/>
                <w:szCs w:val="28"/>
                <w:lang w:val="zh-CN"/>
                <w14:textFill>
                  <w14:solidFill>
                    <w14:schemeClr w14:val="tx1"/>
                  </w14:solidFill>
                </w14:textFill>
              </w:rPr>
              <w:t>招标文件要求</w:t>
            </w:r>
          </w:p>
        </w:tc>
        <w:tc>
          <w:tcPr>
            <w:tcW w:w="345" w:type="dxa"/>
          </w:tcPr>
          <w:p w14:paraId="7FC0B907">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300" w:type="dxa"/>
            <w:vAlign w:val="center"/>
          </w:tcPr>
          <w:p w14:paraId="3AA4684C">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bl>
    <w:p w14:paraId="74F44081">
      <w:pPr>
        <w:spacing w:line="360" w:lineRule="auto"/>
        <w:jc w:val="center"/>
        <w:rPr>
          <w:rFonts w:hint="eastAsia" w:asciiTheme="minorEastAsia" w:hAnsiTheme="minorEastAsia" w:eastAsiaTheme="minorEastAsia" w:cstheme="minorEastAsia"/>
          <w:color w:val="000000"/>
          <w:sz w:val="18"/>
          <w:szCs w:val="18"/>
          <w:lang w:val="en-US" w:eastAsia="zh-CN"/>
        </w:rPr>
      </w:pPr>
      <w:bookmarkStart w:id="148" w:name="EB727693b662f248a4a3607ff2f7c636d8"/>
      <w:bookmarkEnd w:id="148"/>
    </w:p>
    <w:p w14:paraId="4A55472E">
      <w:pP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xml:space="preserve">        </w:t>
      </w:r>
      <w:r>
        <w:rPr>
          <w:rFonts w:hint="eastAsia" w:asciiTheme="minorEastAsia" w:hAnsiTheme="minorEastAsia" w:eastAsiaTheme="minorEastAsia" w:cstheme="minorEastAsia"/>
          <w:color w:val="000000"/>
          <w:sz w:val="18"/>
          <w:szCs w:val="18"/>
          <w:lang w:val="en-US" w:eastAsia="zh-CN"/>
        </w:rPr>
        <w:br w:type="page"/>
      </w:r>
    </w:p>
    <w:p w14:paraId="67817AA7">
      <w:pPr>
        <w:spacing w:before="196" w:line="228" w:lineRule="auto"/>
        <w:jc w:val="center"/>
        <w:rPr>
          <w:rFonts w:hint="eastAsia" w:ascii="仿宋_GB2312" w:hAnsi="仿宋_GB2312" w:eastAsia="仿宋_GB2312" w:cs="仿宋_GB2312"/>
          <w:b/>
          <w:bCs/>
          <w:spacing w:val="7"/>
          <w:sz w:val="44"/>
          <w:szCs w:val="44"/>
          <w:lang w:eastAsia="zh-CN"/>
        </w:rPr>
      </w:pPr>
      <w:r>
        <w:rPr>
          <w:rFonts w:hint="eastAsia" w:ascii="仿宋_GB2312" w:hAnsi="仿宋_GB2312" w:eastAsia="仿宋_GB2312" w:cs="仿宋_GB2312"/>
          <w:b/>
          <w:bCs/>
          <w:spacing w:val="7"/>
          <w:sz w:val="44"/>
          <w:szCs w:val="44"/>
          <w:lang w:eastAsia="zh-CN"/>
        </w:rPr>
        <w:t>评分表</w:t>
      </w:r>
    </w:p>
    <w:tbl>
      <w:tblPr>
        <w:tblStyle w:val="37"/>
        <w:tblpPr w:leftFromText="180" w:rightFromText="180" w:vertAnchor="text" w:tblpXSpec="center" w:tblpY="1"/>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684"/>
        <w:gridCol w:w="1507"/>
        <w:gridCol w:w="4826"/>
        <w:gridCol w:w="563"/>
      </w:tblGrid>
      <w:tr w14:paraId="0D6FF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Align w:val="center"/>
          </w:tcPr>
          <w:p w14:paraId="3D44842B">
            <w:pPr>
              <w:pStyle w:val="26"/>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序号</w:t>
            </w:r>
          </w:p>
        </w:tc>
        <w:tc>
          <w:tcPr>
            <w:tcW w:w="1684" w:type="dxa"/>
            <w:vAlign w:val="center"/>
          </w:tcPr>
          <w:p w14:paraId="4826505A">
            <w:pPr>
              <w:pStyle w:val="26"/>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评分项目</w:t>
            </w:r>
          </w:p>
        </w:tc>
        <w:tc>
          <w:tcPr>
            <w:tcW w:w="1507" w:type="dxa"/>
            <w:vAlign w:val="center"/>
          </w:tcPr>
          <w:p w14:paraId="3AF73730">
            <w:pPr>
              <w:pStyle w:val="26"/>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评分因素</w:t>
            </w:r>
          </w:p>
        </w:tc>
        <w:tc>
          <w:tcPr>
            <w:tcW w:w="4826" w:type="dxa"/>
            <w:vAlign w:val="center"/>
          </w:tcPr>
          <w:p w14:paraId="319F62DF">
            <w:pPr>
              <w:pStyle w:val="26"/>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评审内容</w:t>
            </w:r>
          </w:p>
        </w:tc>
        <w:tc>
          <w:tcPr>
            <w:tcW w:w="563" w:type="dxa"/>
            <w:vAlign w:val="center"/>
          </w:tcPr>
          <w:p w14:paraId="28857D37">
            <w:pPr>
              <w:pStyle w:val="26"/>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分值</w:t>
            </w:r>
          </w:p>
        </w:tc>
      </w:tr>
      <w:tr w14:paraId="76C6A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2" w:hRule="atLeast"/>
        </w:trPr>
        <w:tc>
          <w:tcPr>
            <w:tcW w:w="480" w:type="dxa"/>
            <w:vAlign w:val="center"/>
          </w:tcPr>
          <w:p w14:paraId="3D6E48A0">
            <w:pPr>
              <w:pStyle w:val="26"/>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1</w:t>
            </w:r>
          </w:p>
        </w:tc>
        <w:tc>
          <w:tcPr>
            <w:tcW w:w="1684" w:type="dxa"/>
            <w:vAlign w:val="center"/>
          </w:tcPr>
          <w:p w14:paraId="45298CF1">
            <w:pPr>
              <w:pStyle w:val="26"/>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报价部分（15分）</w:t>
            </w:r>
          </w:p>
        </w:tc>
        <w:tc>
          <w:tcPr>
            <w:tcW w:w="1507" w:type="dxa"/>
            <w:vAlign w:val="center"/>
          </w:tcPr>
          <w:p w14:paraId="189488FC">
            <w:pPr>
              <w:pStyle w:val="26"/>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投标报价</w:t>
            </w:r>
          </w:p>
        </w:tc>
        <w:tc>
          <w:tcPr>
            <w:tcW w:w="4826" w:type="dxa"/>
            <w:vAlign w:val="center"/>
          </w:tcPr>
          <w:p w14:paraId="55DD087F">
            <w:pPr>
              <w:pStyle w:val="26"/>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kern w:val="2"/>
                <w:sz w:val="28"/>
                <w:szCs w:val="28"/>
                <w:lang w:val="en-US" w:eastAsia="zh-CN" w:bidi="ar-SA"/>
              </w:rPr>
              <w:t>采取低价优先计算，即满足招标文件要求且投标价格最低的投标报价为评标基准价，其价格得分为满分。其他投标人的价格得分统一按照下列公式计算：价格得分=（评标基准价/投标报价）*15%*100。未满足招标文件要求且投标价格最低的投标报价分为零分。</w:t>
            </w:r>
          </w:p>
        </w:tc>
        <w:tc>
          <w:tcPr>
            <w:tcW w:w="563" w:type="dxa"/>
            <w:vAlign w:val="center"/>
          </w:tcPr>
          <w:p w14:paraId="42A1D974">
            <w:pPr>
              <w:pStyle w:val="26"/>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15</w:t>
            </w:r>
          </w:p>
        </w:tc>
      </w:tr>
      <w:tr w14:paraId="2153C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0" w:type="dxa"/>
            <w:vMerge w:val="restart"/>
            <w:vAlign w:val="center"/>
          </w:tcPr>
          <w:p w14:paraId="1E80C5B9">
            <w:pPr>
              <w:pStyle w:val="26"/>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2</w:t>
            </w:r>
          </w:p>
          <w:p w14:paraId="63C217DE">
            <w:pPr>
              <w:pStyle w:val="26"/>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b/>
                <w:bCs/>
                <w:color w:val="auto"/>
                <w:sz w:val="28"/>
                <w:szCs w:val="28"/>
                <w:vertAlign w:val="baseline"/>
                <w:lang w:val="en-US" w:eastAsia="zh-CN"/>
              </w:rPr>
            </w:pPr>
          </w:p>
        </w:tc>
        <w:tc>
          <w:tcPr>
            <w:tcW w:w="1684" w:type="dxa"/>
            <w:vMerge w:val="restart"/>
            <w:vAlign w:val="center"/>
          </w:tcPr>
          <w:p w14:paraId="1A0BF1CD">
            <w:pPr>
              <w:pStyle w:val="26"/>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商务部分（24分）</w:t>
            </w:r>
          </w:p>
        </w:tc>
        <w:tc>
          <w:tcPr>
            <w:tcW w:w="1507" w:type="dxa"/>
            <w:vAlign w:val="center"/>
          </w:tcPr>
          <w:p w14:paraId="0B424867">
            <w:pPr>
              <w:pStyle w:val="26"/>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项目业绩</w:t>
            </w:r>
          </w:p>
        </w:tc>
        <w:tc>
          <w:tcPr>
            <w:tcW w:w="4826" w:type="dxa"/>
            <w:vAlign w:val="center"/>
          </w:tcPr>
          <w:p w14:paraId="16A8B466">
            <w:pPr>
              <w:pStyle w:val="26"/>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kern w:val="2"/>
                <w:sz w:val="28"/>
                <w:szCs w:val="28"/>
                <w:vertAlign w:val="baseline"/>
                <w:lang w:val="en-US" w:eastAsia="zh-CN" w:bidi="ar-SA"/>
              </w:rPr>
              <w:t>2023年-至今（以合同签订日期为准）具有类似</w:t>
            </w:r>
            <w:r>
              <w:rPr>
                <w:rFonts w:hint="eastAsia" w:ascii="仿宋_GB2312" w:hAnsi="仿宋_GB2312" w:eastAsia="仿宋_GB2312" w:cs="仿宋_GB2312"/>
                <w:color w:val="auto"/>
                <w:kern w:val="2"/>
                <w:sz w:val="28"/>
                <w:szCs w:val="28"/>
                <w:highlight w:val="none"/>
                <w:vertAlign w:val="baseline"/>
                <w:lang w:val="en-US" w:eastAsia="zh-CN" w:bidi="ar-SA"/>
              </w:rPr>
              <w:t>安全隐患排查</w:t>
            </w:r>
            <w:r>
              <w:rPr>
                <w:rFonts w:hint="eastAsia" w:ascii="仿宋_GB2312" w:hAnsi="仿宋_GB2312" w:eastAsia="仿宋_GB2312" w:cs="仿宋_GB2312"/>
                <w:color w:val="auto"/>
                <w:kern w:val="2"/>
                <w:sz w:val="28"/>
                <w:szCs w:val="28"/>
                <w:vertAlign w:val="baseline"/>
                <w:lang w:val="en-US" w:eastAsia="zh-CN" w:bidi="ar-SA"/>
              </w:rPr>
              <w:t>项目业绩，每提供1份有效业绩得2分，最多得6分，未提供不得分。</w:t>
            </w:r>
          </w:p>
          <w:p w14:paraId="4C480395">
            <w:pPr>
              <w:rPr>
                <w:rFonts w:hint="default"/>
                <w:color w:val="auto"/>
                <w:sz w:val="28"/>
                <w:szCs w:val="28"/>
                <w:lang w:val="en-US" w:eastAsia="zh-CN"/>
              </w:rPr>
            </w:pPr>
            <w:r>
              <w:rPr>
                <w:rFonts w:hint="eastAsia" w:ascii="仿宋_GB2312" w:hAnsi="仿宋_GB2312" w:eastAsia="仿宋_GB2312" w:cs="仿宋_GB2312"/>
                <w:color w:val="auto"/>
                <w:sz w:val="28"/>
                <w:szCs w:val="28"/>
                <w:vertAlign w:val="baseline"/>
                <w:lang w:val="en-US" w:eastAsia="zh-CN"/>
              </w:rPr>
              <w:t>注：需提供合同首页、项目信息页、尾页等关键页扫描件，并加盖投标人公章，未提供或提供不全不得分。</w:t>
            </w:r>
          </w:p>
        </w:tc>
        <w:tc>
          <w:tcPr>
            <w:tcW w:w="563" w:type="dxa"/>
            <w:vAlign w:val="center"/>
          </w:tcPr>
          <w:p w14:paraId="28F25726">
            <w:pPr>
              <w:pStyle w:val="26"/>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w:t>
            </w:r>
          </w:p>
        </w:tc>
      </w:tr>
      <w:tr w14:paraId="0DE55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0" w:type="dxa"/>
            <w:vMerge w:val="continue"/>
            <w:vAlign w:val="center"/>
          </w:tcPr>
          <w:p w14:paraId="77EAE21B">
            <w:pPr>
              <w:pStyle w:val="26"/>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b/>
                <w:bCs/>
                <w:sz w:val="28"/>
                <w:szCs w:val="28"/>
                <w:vertAlign w:val="baseline"/>
                <w:lang w:val="en-US" w:eastAsia="zh-CN"/>
              </w:rPr>
            </w:pPr>
          </w:p>
        </w:tc>
        <w:tc>
          <w:tcPr>
            <w:tcW w:w="1684" w:type="dxa"/>
            <w:vMerge w:val="continue"/>
            <w:vAlign w:val="center"/>
          </w:tcPr>
          <w:p w14:paraId="248A36B9">
            <w:pPr>
              <w:pStyle w:val="26"/>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b/>
                <w:bCs/>
                <w:sz w:val="28"/>
                <w:szCs w:val="28"/>
                <w:vertAlign w:val="baseline"/>
                <w:lang w:val="en-US" w:eastAsia="zh-CN"/>
              </w:rPr>
            </w:pPr>
          </w:p>
        </w:tc>
        <w:tc>
          <w:tcPr>
            <w:tcW w:w="1507" w:type="dxa"/>
            <w:vAlign w:val="center"/>
          </w:tcPr>
          <w:p w14:paraId="3570794C">
            <w:pPr>
              <w:pStyle w:val="26"/>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项目人员配置</w:t>
            </w:r>
            <w:r>
              <w:rPr>
                <w:rFonts w:hint="eastAsia" w:ascii="仿宋_GB2312" w:hAnsi="仿宋_GB2312" w:eastAsia="仿宋_GB2312" w:cs="仿宋_GB2312"/>
                <w:sz w:val="28"/>
                <w:szCs w:val="28"/>
                <w:vertAlign w:val="baseline"/>
                <w:lang w:val="en-US" w:eastAsia="zh-CN"/>
              </w:rPr>
              <w:br w:type="textWrapping"/>
            </w:r>
          </w:p>
        </w:tc>
        <w:tc>
          <w:tcPr>
            <w:tcW w:w="4826" w:type="dxa"/>
            <w:vAlign w:val="center"/>
          </w:tcPr>
          <w:p w14:paraId="42470A71">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拟投入本项目负责人1名，具备安全生产相关专业（安全工程、采矿工程、机械工程、化学工程、冶金工程、电气、油气储运等）高级职称得3分；具备安全生产相关专业（安全工程、采矿工程、机械工程、化学工程、冶金工程、电气、油气储运等）中级职称得1分。本项最高得3分。</w:t>
            </w:r>
          </w:p>
          <w:p w14:paraId="7D3D7791">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lang w:val="en-US" w:eastAsia="zh-CN"/>
              </w:rPr>
              <w:t>拟投入本项目团队成员（除项目负责人外）不少于10人。其中具备安全生产相关专业（安全工程、采矿工程、机械工程、化学工程、冶金工程、电气、油气储运等）高级职称，每提供1个得1.5分；具备安全生产相关专业（安全工程、采矿工程、机械工程、化学工程、冶金工程、电气、油气储运等）中级职称，每提供1个得0.5分。本项最高得15分。</w:t>
            </w:r>
          </w:p>
          <w:p w14:paraId="0DAE1F7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lang w:val="en-US" w:eastAsia="zh-CN"/>
              </w:rPr>
              <w:t>注：（以上成员需提供本单位为其缴纳的近2个月以上的社保证明，并加盖投标人公章，未提供或提供不全不得分。）</w:t>
            </w:r>
          </w:p>
        </w:tc>
        <w:tc>
          <w:tcPr>
            <w:tcW w:w="563" w:type="dxa"/>
            <w:vAlign w:val="center"/>
          </w:tcPr>
          <w:p w14:paraId="3D365BFA">
            <w:pPr>
              <w:pStyle w:val="26"/>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18</w:t>
            </w:r>
          </w:p>
        </w:tc>
      </w:tr>
      <w:tr w14:paraId="735E1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480" w:type="dxa"/>
            <w:vMerge w:val="restart"/>
            <w:vAlign w:val="center"/>
          </w:tcPr>
          <w:p w14:paraId="41C73820">
            <w:pPr>
              <w:pStyle w:val="26"/>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3</w:t>
            </w:r>
          </w:p>
          <w:p w14:paraId="63650780">
            <w:pPr>
              <w:pStyle w:val="26"/>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b/>
                <w:bCs/>
                <w:sz w:val="28"/>
                <w:szCs w:val="28"/>
                <w:vertAlign w:val="baseline"/>
                <w:lang w:val="en-US" w:eastAsia="zh-CN"/>
              </w:rPr>
            </w:pPr>
          </w:p>
          <w:p w14:paraId="26C69E7A">
            <w:pPr>
              <w:pStyle w:val="26"/>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b/>
                <w:bCs/>
                <w:sz w:val="28"/>
                <w:szCs w:val="28"/>
                <w:vertAlign w:val="baseline"/>
                <w:lang w:val="en-US" w:eastAsia="zh-CN"/>
              </w:rPr>
            </w:pPr>
          </w:p>
        </w:tc>
        <w:tc>
          <w:tcPr>
            <w:tcW w:w="1684" w:type="dxa"/>
            <w:vMerge w:val="restart"/>
            <w:vAlign w:val="center"/>
          </w:tcPr>
          <w:p w14:paraId="10F668BE">
            <w:pPr>
              <w:pStyle w:val="26"/>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技术部分（61分）</w:t>
            </w:r>
          </w:p>
        </w:tc>
        <w:tc>
          <w:tcPr>
            <w:tcW w:w="1507" w:type="dxa"/>
            <w:vAlign w:val="center"/>
          </w:tcPr>
          <w:p w14:paraId="257ADAC3">
            <w:pPr>
              <w:pStyle w:val="26"/>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项目实施方案</w:t>
            </w:r>
          </w:p>
          <w:p w14:paraId="6B5C03F1">
            <w:pPr>
              <w:pStyle w:val="26"/>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sz w:val="28"/>
                <w:szCs w:val="28"/>
                <w:vertAlign w:val="baseline"/>
                <w:lang w:val="en-US" w:eastAsia="zh-CN"/>
              </w:rPr>
            </w:pPr>
          </w:p>
        </w:tc>
        <w:tc>
          <w:tcPr>
            <w:tcW w:w="4826" w:type="dxa"/>
            <w:vAlign w:val="center"/>
          </w:tcPr>
          <w:p w14:paraId="08F05B4B">
            <w:pPr>
              <w:pStyle w:val="26"/>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根据投标人针对本项目提供的具体实施方案进行评分，方案内容包含但不限于；</w:t>
            </w:r>
          </w:p>
          <w:p w14:paraId="30E7590B">
            <w:pPr>
              <w:pStyle w:val="26"/>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①目标任务与需求分析</w:t>
            </w:r>
          </w:p>
          <w:p w14:paraId="3D491D2E">
            <w:pPr>
              <w:pStyle w:val="26"/>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②技术路线及方案</w:t>
            </w:r>
          </w:p>
          <w:p w14:paraId="5D32B5B6">
            <w:pPr>
              <w:pStyle w:val="26"/>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③重点难点问题分析及应对措施</w:t>
            </w:r>
          </w:p>
          <w:p w14:paraId="37E9877A">
            <w:pPr>
              <w:pStyle w:val="26"/>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④项目管理制度等内容。</w:t>
            </w:r>
          </w:p>
          <w:p w14:paraId="25FEDB36">
            <w:pPr>
              <w:pStyle w:val="26"/>
              <w:keepNext w:val="0"/>
              <w:keepLines w:val="0"/>
              <w:pageBreakBefore w:val="0"/>
              <w:widowControl w:val="0"/>
              <w:numPr>
                <w:ilvl w:val="0"/>
                <w:numId w:val="0"/>
              </w:numPr>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1.方案完整、针对性强，排查流程清晰、人员安排合理、完全满足项目需求，得15分；</w:t>
            </w:r>
          </w:p>
          <w:p w14:paraId="0BD4380C">
            <w:pPr>
              <w:pStyle w:val="26"/>
              <w:keepNext w:val="0"/>
              <w:keepLines w:val="0"/>
              <w:pageBreakBefore w:val="0"/>
              <w:widowControl w:val="0"/>
              <w:numPr>
                <w:ilvl w:val="0"/>
                <w:numId w:val="0"/>
              </w:numPr>
              <w:kinsoku/>
              <w:wordWrap/>
              <w:overflowPunct/>
              <w:topLinePunct w:val="0"/>
              <w:autoSpaceDE/>
              <w:autoSpaceDN/>
              <w:bidi w:val="0"/>
              <w:adjustRightInd/>
              <w:spacing w:line="560" w:lineRule="exact"/>
              <w:ind w:leftChars="0"/>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2.方案较完整，流程、安排基本合理，能满足项目基本需求，得10分；</w:t>
            </w:r>
          </w:p>
          <w:p w14:paraId="3BEDE970">
            <w:pPr>
              <w:pStyle w:val="26"/>
              <w:keepNext w:val="0"/>
              <w:keepLines w:val="0"/>
              <w:pageBreakBefore w:val="0"/>
              <w:widowControl w:val="0"/>
              <w:numPr>
                <w:ilvl w:val="0"/>
                <w:numId w:val="0"/>
              </w:numPr>
              <w:kinsoku/>
              <w:wordWrap/>
              <w:overflowPunct/>
              <w:topLinePunct w:val="0"/>
              <w:autoSpaceDE/>
              <w:autoSpaceDN/>
              <w:bidi w:val="0"/>
              <w:adjustRightInd/>
              <w:spacing w:line="560" w:lineRule="exact"/>
              <w:ind w:leftChars="0"/>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3.实施方案不完善，针对性、可行性较差，内容有明显缺失，难以适配项目需求，可操作性弱，得5分；</w:t>
            </w:r>
          </w:p>
          <w:p w14:paraId="1AD95D9A">
            <w:pPr>
              <w:pStyle w:val="26"/>
              <w:keepNext w:val="0"/>
              <w:keepLines w:val="0"/>
              <w:pageBreakBefore w:val="0"/>
              <w:widowControl w:val="0"/>
              <w:numPr>
                <w:ilvl w:val="0"/>
                <w:numId w:val="0"/>
              </w:numPr>
              <w:kinsoku/>
              <w:wordWrap/>
              <w:overflowPunct/>
              <w:topLinePunct w:val="0"/>
              <w:autoSpaceDE/>
              <w:autoSpaceDN/>
              <w:bidi w:val="0"/>
              <w:adjustRightInd/>
              <w:spacing w:line="560" w:lineRule="exact"/>
              <w:ind w:leftChars="0"/>
              <w:jc w:val="left"/>
              <w:textAlignment w:val="auto"/>
              <w:rPr>
                <w:rFonts w:hint="default" w:eastAsia="宋体"/>
                <w:sz w:val="28"/>
                <w:szCs w:val="28"/>
                <w:lang w:val="en-US" w:eastAsia="zh-CN"/>
              </w:rPr>
            </w:pPr>
            <w:r>
              <w:rPr>
                <w:rFonts w:hint="eastAsia" w:ascii="仿宋_GB2312" w:hAnsi="仿宋_GB2312" w:eastAsia="仿宋_GB2312" w:cs="仿宋_GB2312"/>
                <w:sz w:val="28"/>
                <w:szCs w:val="28"/>
                <w:vertAlign w:val="baseline"/>
                <w:lang w:val="en-US" w:eastAsia="zh-CN"/>
              </w:rPr>
              <w:t>4.未提供不得分。</w:t>
            </w:r>
          </w:p>
        </w:tc>
        <w:tc>
          <w:tcPr>
            <w:tcW w:w="563" w:type="dxa"/>
            <w:vAlign w:val="center"/>
          </w:tcPr>
          <w:p w14:paraId="70277214">
            <w:pPr>
              <w:pStyle w:val="26"/>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15</w:t>
            </w:r>
          </w:p>
        </w:tc>
      </w:tr>
      <w:tr w14:paraId="619DA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80" w:type="dxa"/>
            <w:vMerge w:val="continue"/>
            <w:vAlign w:val="center"/>
          </w:tcPr>
          <w:p w14:paraId="397D54DD">
            <w:pPr>
              <w:pStyle w:val="26"/>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b/>
                <w:bCs/>
                <w:sz w:val="28"/>
                <w:szCs w:val="28"/>
                <w:vertAlign w:val="baseline"/>
                <w:lang w:val="en-US" w:eastAsia="zh-CN"/>
              </w:rPr>
            </w:pPr>
            <w:bookmarkStart w:id="149" w:name="OLE_LINK1" w:colFirst="2" w:colLast="3"/>
          </w:p>
        </w:tc>
        <w:tc>
          <w:tcPr>
            <w:tcW w:w="1684" w:type="dxa"/>
            <w:vMerge w:val="continue"/>
            <w:vAlign w:val="center"/>
          </w:tcPr>
          <w:p w14:paraId="4CED7DD4">
            <w:pPr>
              <w:pStyle w:val="26"/>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b/>
                <w:bCs/>
                <w:sz w:val="28"/>
                <w:szCs w:val="28"/>
                <w:vertAlign w:val="baseline"/>
                <w:lang w:val="en-US" w:eastAsia="zh-CN"/>
              </w:rPr>
            </w:pPr>
          </w:p>
        </w:tc>
        <w:tc>
          <w:tcPr>
            <w:tcW w:w="1507" w:type="dxa"/>
            <w:vAlign w:val="center"/>
          </w:tcPr>
          <w:p w14:paraId="004D0DAF">
            <w:pPr>
              <w:pStyle w:val="26"/>
              <w:keepNext w:val="0"/>
              <w:keepLines w:val="0"/>
              <w:pageBreakBefore w:val="0"/>
              <w:widowControl w:val="0"/>
              <w:tabs>
                <w:tab w:val="left" w:pos="478"/>
              </w:tabs>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质量保障措施</w:t>
            </w:r>
          </w:p>
          <w:p w14:paraId="7EB3F684">
            <w:pPr>
              <w:pStyle w:val="26"/>
              <w:keepNext w:val="0"/>
              <w:keepLines w:val="0"/>
              <w:pageBreakBefore w:val="0"/>
              <w:widowControl w:val="0"/>
              <w:tabs>
                <w:tab w:val="left" w:pos="478"/>
              </w:tabs>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sz w:val="28"/>
                <w:szCs w:val="28"/>
                <w:vertAlign w:val="baseline"/>
                <w:lang w:val="en-US" w:eastAsia="zh-CN"/>
              </w:rPr>
            </w:pPr>
          </w:p>
        </w:tc>
        <w:tc>
          <w:tcPr>
            <w:tcW w:w="4826" w:type="dxa"/>
            <w:vAlign w:val="center"/>
          </w:tcPr>
          <w:p w14:paraId="09F51CB4">
            <w:pPr>
              <w:pStyle w:val="26"/>
              <w:keepNext w:val="0"/>
              <w:keepLines w:val="0"/>
              <w:pageBreakBefore w:val="0"/>
              <w:widowControl w:val="0"/>
              <w:numPr>
                <w:ilvl w:val="0"/>
                <w:numId w:val="0"/>
              </w:numPr>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针对本项目提供的服务质量保证进行综合评审，内容包含但不限于：①服务质量；②服务质量保证体系；③服务质量保证措施④隐患排查报告模板；</w:t>
            </w:r>
          </w:p>
          <w:p w14:paraId="7311981F">
            <w:pPr>
              <w:pStyle w:val="26"/>
              <w:keepNext w:val="0"/>
              <w:keepLines w:val="0"/>
              <w:pageBreakBefore w:val="0"/>
              <w:widowControl w:val="0"/>
              <w:numPr>
                <w:ilvl w:val="0"/>
                <w:numId w:val="0"/>
              </w:numPr>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1.保障体系健全、程序合理、制度完善且能落地，隐患排查报告模板完整可用；得15分； </w:t>
            </w:r>
          </w:p>
          <w:p w14:paraId="74CF833D">
            <w:pPr>
              <w:pStyle w:val="26"/>
              <w:keepNext w:val="0"/>
              <w:keepLines w:val="0"/>
              <w:pageBreakBefore w:val="0"/>
              <w:widowControl w:val="0"/>
              <w:numPr>
                <w:ilvl w:val="0"/>
                <w:numId w:val="0"/>
              </w:numPr>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2.体系、程序、制度基本合格，操作性一般，且隐患排查报告模板有缺失得8分； </w:t>
            </w:r>
          </w:p>
          <w:p w14:paraId="36ED9D5E">
            <w:pPr>
              <w:pStyle w:val="26"/>
              <w:keepNext w:val="0"/>
              <w:keepLines w:val="0"/>
              <w:pageBreakBefore w:val="0"/>
              <w:widowControl w:val="0"/>
              <w:numPr>
                <w:ilvl w:val="0"/>
                <w:numId w:val="0"/>
              </w:numPr>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sz w:val="28"/>
                <w:szCs w:val="28"/>
                <w:shd w:val="clear" w:color="auto" w:fill="auto"/>
                <w:vertAlign w:val="baseline"/>
                <w:lang w:val="en-US" w:eastAsia="zh-CN"/>
              </w:rPr>
            </w:pPr>
            <w:r>
              <w:rPr>
                <w:rFonts w:hint="eastAsia" w:ascii="仿宋_GB2312" w:hAnsi="仿宋_GB2312" w:eastAsia="仿宋_GB2312" w:cs="仿宋_GB2312"/>
                <w:sz w:val="28"/>
                <w:szCs w:val="28"/>
                <w:vertAlign w:val="baseline"/>
                <w:lang w:val="en-US" w:eastAsia="zh-CN"/>
              </w:rPr>
              <w:t>3.体系不健全，仅程序较合理、制度较详实，操作性弱，且未提供隐患排查</w:t>
            </w:r>
            <w:r>
              <w:rPr>
                <w:rFonts w:hint="eastAsia" w:ascii="仿宋_GB2312" w:hAnsi="仿宋_GB2312" w:eastAsia="仿宋_GB2312" w:cs="仿宋_GB2312"/>
                <w:color w:val="auto"/>
                <w:sz w:val="28"/>
                <w:szCs w:val="28"/>
                <w:shd w:val="clear" w:color="auto" w:fill="auto"/>
                <w:vertAlign w:val="baseline"/>
                <w:lang w:val="en-US" w:eastAsia="zh-CN"/>
              </w:rPr>
              <w:t>报告模板得4分。</w:t>
            </w:r>
          </w:p>
          <w:p w14:paraId="659DBA0A">
            <w:pPr>
              <w:pStyle w:val="26"/>
              <w:keepNext w:val="0"/>
              <w:keepLines w:val="0"/>
              <w:pageBreakBefore w:val="0"/>
              <w:widowControl w:val="0"/>
              <w:numPr>
                <w:ilvl w:val="0"/>
                <w:numId w:val="0"/>
              </w:numPr>
              <w:kinsoku/>
              <w:wordWrap/>
              <w:overflowPunct/>
              <w:topLinePunct w:val="0"/>
              <w:autoSpaceDE/>
              <w:autoSpaceDN/>
              <w:bidi w:val="0"/>
              <w:adjustRightInd/>
              <w:spacing w:line="560" w:lineRule="exact"/>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auto"/>
                <w:sz w:val="28"/>
                <w:szCs w:val="28"/>
                <w:shd w:val="clear" w:color="auto" w:fill="auto"/>
                <w:vertAlign w:val="baseline"/>
                <w:lang w:val="en-US" w:eastAsia="zh-CN"/>
              </w:rPr>
              <w:t>4.未提供不得分。</w:t>
            </w:r>
            <w:r>
              <w:rPr>
                <w:rFonts w:hint="eastAsia" w:ascii="仿宋_GB2312" w:hAnsi="仿宋_GB2312" w:eastAsia="仿宋_GB2312" w:cs="仿宋_GB2312"/>
                <w:color w:val="FF0000"/>
                <w:sz w:val="28"/>
                <w:szCs w:val="28"/>
                <w:vertAlign w:val="baseline"/>
                <w:lang w:val="en-US" w:eastAsia="zh-CN"/>
              </w:rPr>
              <w:t xml:space="preserve"> </w:t>
            </w:r>
          </w:p>
        </w:tc>
        <w:tc>
          <w:tcPr>
            <w:tcW w:w="563" w:type="dxa"/>
            <w:vAlign w:val="center"/>
          </w:tcPr>
          <w:p w14:paraId="2A9634BD">
            <w:pPr>
              <w:pStyle w:val="26"/>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15</w:t>
            </w:r>
          </w:p>
        </w:tc>
      </w:tr>
      <w:bookmarkEnd w:id="149"/>
      <w:tr w14:paraId="0D174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5" w:hRule="atLeast"/>
        </w:trPr>
        <w:tc>
          <w:tcPr>
            <w:tcW w:w="480" w:type="dxa"/>
            <w:vMerge w:val="continue"/>
            <w:vAlign w:val="center"/>
          </w:tcPr>
          <w:p w14:paraId="42B32E0C">
            <w:pPr>
              <w:pStyle w:val="26"/>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sz w:val="28"/>
                <w:szCs w:val="28"/>
                <w:vertAlign w:val="baseline"/>
                <w:lang w:val="en-US" w:eastAsia="zh-CN"/>
              </w:rPr>
            </w:pPr>
          </w:p>
        </w:tc>
        <w:tc>
          <w:tcPr>
            <w:tcW w:w="1684" w:type="dxa"/>
            <w:vMerge w:val="continue"/>
            <w:vAlign w:val="center"/>
          </w:tcPr>
          <w:p w14:paraId="770DC188">
            <w:pPr>
              <w:pStyle w:val="26"/>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sz w:val="28"/>
                <w:szCs w:val="28"/>
                <w:vertAlign w:val="baseline"/>
                <w:lang w:val="en-US" w:eastAsia="zh-CN"/>
              </w:rPr>
            </w:pPr>
          </w:p>
        </w:tc>
        <w:tc>
          <w:tcPr>
            <w:tcW w:w="1507" w:type="dxa"/>
            <w:vAlign w:val="center"/>
          </w:tcPr>
          <w:p w14:paraId="173041B0">
            <w:pPr>
              <w:pStyle w:val="26"/>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服务范围与目标</w:t>
            </w:r>
          </w:p>
        </w:tc>
        <w:tc>
          <w:tcPr>
            <w:tcW w:w="4826" w:type="dxa"/>
            <w:vAlign w:val="center"/>
          </w:tcPr>
          <w:p w14:paraId="338236C0">
            <w:pPr>
              <w:pStyle w:val="26"/>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针对本项目的服务范围与目标（含工作目标、主要任务分析、主要产出成果及要求）进行评审。</w:t>
            </w:r>
          </w:p>
          <w:p w14:paraId="71A55BFC">
            <w:pPr>
              <w:pStyle w:val="26"/>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1.内容全面、针对性强、切实可行，服务范围完整，目标明确，任务分析系统深入，成果齐全规范、标准清晰，方案贴合项目、可操作性强，得15分。</w:t>
            </w:r>
          </w:p>
          <w:p w14:paraId="04103602">
            <w:pPr>
              <w:pStyle w:val="26"/>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2.内容较全面、针对性较强，服务范围较完整，目标较明确，任务与成果阐述较清晰，基本满足项目需求，方案可行，得10分。</w:t>
            </w:r>
          </w:p>
          <w:p w14:paraId="4DC307E8">
            <w:pPr>
              <w:pStyle w:val="26"/>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3.内容不太全面、不太具有针对性，服务范围不够完整，目标笼统，任务与成果表述简略，针对性和可操作性一般，得5分。</w:t>
            </w:r>
          </w:p>
          <w:p w14:paraId="252096F3">
            <w:pPr>
              <w:pStyle w:val="26"/>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4.未提供不得分。</w:t>
            </w:r>
          </w:p>
        </w:tc>
        <w:tc>
          <w:tcPr>
            <w:tcW w:w="563" w:type="dxa"/>
            <w:vAlign w:val="center"/>
          </w:tcPr>
          <w:p w14:paraId="6626FDE0">
            <w:pPr>
              <w:pStyle w:val="26"/>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15</w:t>
            </w:r>
          </w:p>
        </w:tc>
      </w:tr>
      <w:tr w14:paraId="1DED7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480" w:type="dxa"/>
            <w:vMerge w:val="continue"/>
            <w:vAlign w:val="center"/>
          </w:tcPr>
          <w:p w14:paraId="34723692">
            <w:pPr>
              <w:pStyle w:val="26"/>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sz w:val="28"/>
                <w:szCs w:val="28"/>
                <w:vertAlign w:val="baseline"/>
                <w:lang w:val="en-US" w:eastAsia="zh-CN"/>
              </w:rPr>
            </w:pPr>
          </w:p>
        </w:tc>
        <w:tc>
          <w:tcPr>
            <w:tcW w:w="1684" w:type="dxa"/>
            <w:vMerge w:val="continue"/>
            <w:vAlign w:val="center"/>
          </w:tcPr>
          <w:p w14:paraId="143DA740">
            <w:pPr>
              <w:pStyle w:val="26"/>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sz w:val="28"/>
                <w:szCs w:val="28"/>
                <w:vertAlign w:val="baseline"/>
                <w:lang w:val="en-US" w:eastAsia="zh-CN"/>
              </w:rPr>
            </w:pPr>
          </w:p>
        </w:tc>
        <w:tc>
          <w:tcPr>
            <w:tcW w:w="1507" w:type="dxa"/>
            <w:vAlign w:val="center"/>
          </w:tcPr>
          <w:p w14:paraId="5C081E09">
            <w:pPr>
              <w:pStyle w:val="26"/>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应急响应</w:t>
            </w:r>
          </w:p>
        </w:tc>
        <w:tc>
          <w:tcPr>
            <w:tcW w:w="4826" w:type="dxa"/>
            <w:vAlign w:val="center"/>
          </w:tcPr>
          <w:p w14:paraId="0CEC2860">
            <w:pPr>
              <w:pStyle w:val="26"/>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现场应急响应时间:接到通知后12小时到达现场提供</w:t>
            </w:r>
            <w:r>
              <w:rPr>
                <w:rFonts w:hint="eastAsia" w:ascii="仿宋_GB2312" w:hAnsi="仿宋_GB2312" w:eastAsia="仿宋_GB2312" w:cs="仿宋_GB2312"/>
                <w:color w:val="auto"/>
                <w:sz w:val="28"/>
                <w:szCs w:val="28"/>
                <w:vertAlign w:val="baseline"/>
                <w:lang w:val="en-US" w:eastAsia="zh-CN"/>
              </w:rPr>
              <w:t>技术服务</w:t>
            </w:r>
            <w:r>
              <w:rPr>
                <w:rFonts w:hint="eastAsia" w:ascii="仿宋_GB2312" w:hAnsi="仿宋_GB2312" w:eastAsia="仿宋_GB2312" w:cs="仿宋_GB2312"/>
                <w:sz w:val="28"/>
                <w:szCs w:val="28"/>
                <w:vertAlign w:val="baseline"/>
                <w:lang w:val="en-US" w:eastAsia="zh-CN"/>
              </w:rPr>
              <w:t>，得2分;24小时到达现场得1分;未提供不得分。</w:t>
            </w:r>
          </w:p>
        </w:tc>
        <w:tc>
          <w:tcPr>
            <w:tcW w:w="563" w:type="dxa"/>
            <w:vAlign w:val="center"/>
          </w:tcPr>
          <w:p w14:paraId="43CD6B30">
            <w:pPr>
              <w:pStyle w:val="26"/>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r>
      <w:tr w14:paraId="4DFB3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480" w:type="dxa"/>
            <w:vMerge w:val="continue"/>
            <w:vAlign w:val="center"/>
          </w:tcPr>
          <w:p w14:paraId="3D2559E6">
            <w:pPr>
              <w:pStyle w:val="26"/>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仿宋_GB2312" w:hAnsi="仿宋_GB2312" w:eastAsia="仿宋_GB2312" w:cs="仿宋_GB2312"/>
                <w:b/>
                <w:bCs/>
                <w:sz w:val="28"/>
                <w:szCs w:val="28"/>
                <w:vertAlign w:val="baseline"/>
                <w:lang w:val="en-US" w:eastAsia="zh-CN"/>
              </w:rPr>
            </w:pPr>
          </w:p>
        </w:tc>
        <w:tc>
          <w:tcPr>
            <w:tcW w:w="1684" w:type="dxa"/>
            <w:vMerge w:val="continue"/>
            <w:vAlign w:val="center"/>
          </w:tcPr>
          <w:p w14:paraId="4BF35FA3">
            <w:pPr>
              <w:pStyle w:val="26"/>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仿宋_GB2312" w:hAnsi="仿宋_GB2312" w:eastAsia="仿宋_GB2312" w:cs="仿宋_GB2312"/>
                <w:b/>
                <w:bCs/>
                <w:sz w:val="28"/>
                <w:szCs w:val="28"/>
                <w:vertAlign w:val="baseline"/>
                <w:lang w:val="en-US" w:eastAsia="zh-CN"/>
              </w:rPr>
            </w:pPr>
          </w:p>
        </w:tc>
        <w:tc>
          <w:tcPr>
            <w:tcW w:w="1507" w:type="dxa"/>
            <w:vAlign w:val="center"/>
          </w:tcPr>
          <w:p w14:paraId="32E3E52C">
            <w:pPr>
              <w:pStyle w:val="26"/>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售后服务方案</w:t>
            </w:r>
          </w:p>
          <w:p w14:paraId="142D4FD1">
            <w:pPr>
              <w:pStyle w:val="26"/>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sz w:val="28"/>
                <w:szCs w:val="28"/>
                <w:vertAlign w:val="baseline"/>
                <w:lang w:val="en-US" w:eastAsia="zh-CN"/>
              </w:rPr>
            </w:pPr>
          </w:p>
        </w:tc>
        <w:tc>
          <w:tcPr>
            <w:tcW w:w="4826" w:type="dxa"/>
            <w:vAlign w:val="center"/>
          </w:tcPr>
          <w:p w14:paraId="66AD323B">
            <w:pPr>
              <w:pStyle w:val="26"/>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根据投标人提供的售后服务方案（含后续服务人员配备情况、结合隐患排查工作实际需要进行相关方面的技术支持、应急服务方案）进行评审。</w:t>
            </w:r>
          </w:p>
          <w:p w14:paraId="4C24A31A">
            <w:pPr>
              <w:pStyle w:val="26"/>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1.服务方案内容非常</w:t>
            </w:r>
            <w:r>
              <w:rPr>
                <w:rFonts w:hint="eastAsia" w:ascii="仿宋_GB2312" w:hAnsi="仿宋_GB2312" w:eastAsia="仿宋_GB2312" w:cs="仿宋_GB2312"/>
                <w:color w:val="auto"/>
                <w:sz w:val="28"/>
                <w:szCs w:val="28"/>
                <w:vertAlign w:val="baseline"/>
                <w:lang w:val="en-US" w:eastAsia="zh-CN"/>
              </w:rPr>
              <w:t>详</w:t>
            </w:r>
            <w:r>
              <w:rPr>
                <w:rFonts w:hint="eastAsia" w:ascii="仿宋_GB2312" w:hAnsi="仿宋_GB2312" w:eastAsia="仿宋_GB2312" w:cs="仿宋_GB2312"/>
                <w:sz w:val="28"/>
                <w:szCs w:val="28"/>
                <w:vertAlign w:val="baseline"/>
                <w:lang w:val="en-US" w:eastAsia="zh-CN"/>
              </w:rPr>
              <w:t>实完整，针对性、可操作性强，完全能满足项目需求，人员配置充足，技术支持全面，应急方案完善，保障有力，得14分。</w:t>
            </w:r>
          </w:p>
          <w:p w14:paraId="03026730">
            <w:pPr>
              <w:pStyle w:val="26"/>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2.内容针对性、可操作性较强，基本能满足项目需求，技术支持较到位，应急措施基本可行，得9分。</w:t>
            </w:r>
          </w:p>
          <w:p w14:paraId="1F038FD2">
            <w:pPr>
              <w:pStyle w:val="26"/>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3.内容针对性、可操作性差，基本不能满足项目需求，</w:t>
            </w:r>
            <w:r>
              <w:rPr>
                <w:rFonts w:hint="eastAsia" w:ascii="仿宋_GB2312" w:hAnsi="仿宋_GB2312" w:eastAsia="仿宋_GB2312" w:cs="仿宋_GB2312"/>
                <w:color w:val="auto"/>
                <w:sz w:val="28"/>
                <w:szCs w:val="28"/>
                <w:vertAlign w:val="baseline"/>
                <w:lang w:val="en-US" w:eastAsia="zh-CN"/>
              </w:rPr>
              <w:t>服务内</w:t>
            </w:r>
            <w:r>
              <w:rPr>
                <w:rFonts w:hint="eastAsia" w:ascii="仿宋_GB2312" w:hAnsi="仿宋_GB2312" w:eastAsia="仿宋_GB2312" w:cs="仿宋_GB2312"/>
                <w:sz w:val="28"/>
                <w:szCs w:val="28"/>
                <w:vertAlign w:val="baseline"/>
                <w:lang w:val="en-US" w:eastAsia="zh-CN"/>
              </w:rPr>
              <w:t>容简单，措施缺乏实用性，得4分。</w:t>
            </w:r>
          </w:p>
          <w:p w14:paraId="541BE321">
            <w:pPr>
              <w:pStyle w:val="26"/>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4.未提供不得分。</w:t>
            </w:r>
          </w:p>
        </w:tc>
        <w:tc>
          <w:tcPr>
            <w:tcW w:w="563" w:type="dxa"/>
            <w:vAlign w:val="center"/>
          </w:tcPr>
          <w:p w14:paraId="0D44B754">
            <w:pPr>
              <w:pStyle w:val="26"/>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14</w:t>
            </w:r>
          </w:p>
        </w:tc>
      </w:tr>
    </w:tbl>
    <w:p w14:paraId="1F4AD390">
      <w:pPr>
        <w:spacing w:line="360" w:lineRule="auto"/>
        <w:rPr>
          <w:rFonts w:hint="default" w:ascii="Times New Roman" w:hAnsi="Times New Roman" w:cs="Times New Roman"/>
          <w:color w:val="000000" w:themeColor="text1"/>
          <w:sz w:val="24"/>
          <w14:textFill>
            <w14:solidFill>
              <w14:schemeClr w14:val="tx1"/>
            </w14:solidFill>
          </w14:textFill>
        </w:rPr>
      </w:pPr>
    </w:p>
    <w:p w14:paraId="60C92BC0">
      <w:pPr>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说明：</w:t>
      </w:r>
    </w:p>
    <w:p w14:paraId="15E7E524">
      <w:pPr>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14:paraId="591A766C">
      <w:pPr>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14:paraId="60442678">
      <w:pPr>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、在任何评标环节中，需评标委员会就某项评审结论做出表决的，由评标委员会全体成员按照少数服从多数的原则，以记名投票方式表决。</w:t>
      </w:r>
    </w:p>
    <w:p w14:paraId="2370D6F9">
      <w:pPr>
        <w:widowControl/>
        <w:adjustRightInd w:val="0"/>
        <w:snapToGrid w:val="0"/>
        <w:spacing w:line="360" w:lineRule="auto"/>
        <w:rPr>
          <w:rFonts w:hint="eastAsia" w:ascii="仿宋_GB2312" w:hAnsi="仿宋_GB2312" w:eastAsia="仿宋_GB2312" w:cs="仿宋_GB2312"/>
          <w:bCs/>
          <w:color w:val="000000" w:themeColor="text1"/>
          <w:sz w:val="28"/>
          <w:szCs w:val="28"/>
          <w:highlight w:val="white"/>
          <w14:textFill>
            <w14:solidFill>
              <w14:schemeClr w14:val="tx1"/>
            </w14:solidFill>
          </w14:textFill>
        </w:rPr>
      </w:pPr>
    </w:p>
    <w:p w14:paraId="7BD47F81">
      <w:pPr>
        <w:keepNext w:val="0"/>
        <w:keepLines w:val="0"/>
        <w:pageBreakBefore w:val="0"/>
        <w:widowControl w:val="0"/>
        <w:kinsoku/>
        <w:wordWrap/>
        <w:overflowPunct/>
        <w:topLinePunct w:val="0"/>
        <w:autoSpaceDE/>
        <w:autoSpaceDN/>
        <w:bidi w:val="0"/>
        <w:adjustRightInd/>
        <w:snapToGrid/>
        <w:spacing w:line="560" w:lineRule="atLeas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三.推荐成交供应商</w:t>
      </w:r>
    </w:p>
    <w:p w14:paraId="3E99B221">
      <w:pPr>
        <w:keepNext w:val="0"/>
        <w:keepLines w:val="0"/>
        <w:pageBreakBefore w:val="0"/>
        <w:widowControl w:val="0"/>
        <w:kinsoku/>
        <w:wordWrap/>
        <w:overflowPunct/>
        <w:topLinePunct w:val="0"/>
        <w:autoSpaceDE/>
        <w:autoSpaceDN/>
        <w:bidi w:val="0"/>
        <w:adjustRightInd/>
        <w:snapToGrid/>
        <w:spacing w:line="560" w:lineRule="atLeas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14:paraId="29B4EF75">
      <w:pPr>
        <w:keepNext w:val="0"/>
        <w:keepLines w:val="0"/>
        <w:pageBreakBefore w:val="0"/>
        <w:widowControl w:val="0"/>
        <w:kinsoku/>
        <w:wordWrap/>
        <w:overflowPunct/>
        <w:topLinePunct w:val="0"/>
        <w:autoSpaceDE/>
        <w:autoSpaceDN/>
        <w:bidi w:val="0"/>
        <w:adjustRightInd/>
        <w:snapToGrid/>
        <w:spacing w:line="560" w:lineRule="atLeas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2.评分计算方法解释</w:t>
      </w:r>
    </w:p>
    <w:p w14:paraId="05A04030">
      <w:pPr>
        <w:keepNext w:val="0"/>
        <w:keepLines w:val="0"/>
        <w:pageBreakBefore w:val="0"/>
        <w:widowControl w:val="0"/>
        <w:kinsoku/>
        <w:wordWrap/>
        <w:overflowPunct/>
        <w:topLinePunct w:val="0"/>
        <w:autoSpaceDE/>
        <w:autoSpaceDN/>
        <w:bidi w:val="0"/>
        <w:adjustRightInd/>
        <w:snapToGrid/>
        <w:spacing w:line="560" w:lineRule="atLeas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（1）供应商的评审得分是指所有磋商小组成员对其评分的算术平均值。</w:t>
      </w:r>
    </w:p>
    <w:p w14:paraId="40508C0C">
      <w:pPr>
        <w:keepNext w:val="0"/>
        <w:keepLines w:val="0"/>
        <w:pageBreakBefore w:val="0"/>
        <w:widowControl w:val="0"/>
        <w:kinsoku/>
        <w:wordWrap/>
        <w:overflowPunct/>
        <w:topLinePunct w:val="0"/>
        <w:autoSpaceDE/>
        <w:autoSpaceDN/>
        <w:bidi w:val="0"/>
        <w:adjustRightInd/>
        <w:snapToGrid/>
        <w:spacing w:line="560" w:lineRule="atLeas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（2）计算过程中，算术平均值保留2位小数（百分比亦取2位小数），第三位小数四舍五入。</w:t>
      </w:r>
    </w:p>
    <w:p w14:paraId="1822BA48">
      <w:pPr>
        <w:keepNext w:val="0"/>
        <w:keepLines w:val="0"/>
        <w:pageBreakBefore w:val="0"/>
        <w:widowControl w:val="0"/>
        <w:kinsoku/>
        <w:wordWrap/>
        <w:overflowPunct/>
        <w:topLinePunct w:val="0"/>
        <w:autoSpaceDE/>
        <w:autoSpaceDN/>
        <w:bidi w:val="0"/>
        <w:adjustRightInd/>
        <w:snapToGrid/>
        <w:spacing w:line="560" w:lineRule="atLeas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四.确定成交供应商</w:t>
      </w:r>
    </w:p>
    <w:p w14:paraId="37278227">
      <w:pPr>
        <w:keepNext w:val="0"/>
        <w:keepLines w:val="0"/>
        <w:pageBreakBefore w:val="0"/>
        <w:widowControl w:val="0"/>
        <w:kinsoku/>
        <w:wordWrap/>
        <w:overflowPunct/>
        <w:topLinePunct w:val="0"/>
        <w:autoSpaceDE/>
        <w:autoSpaceDN/>
        <w:bidi w:val="0"/>
        <w:adjustRightInd/>
        <w:snapToGrid/>
        <w:spacing w:line="560" w:lineRule="atLeas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1.集中采购机构应当在评审结束后2个工作日内将评审报告送采购人确认。</w:t>
      </w:r>
    </w:p>
    <w:p w14:paraId="413A3DE1">
      <w:pPr>
        <w:keepNext w:val="0"/>
        <w:keepLines w:val="0"/>
        <w:pageBreakBefore w:val="0"/>
        <w:widowControl w:val="0"/>
        <w:kinsoku/>
        <w:wordWrap/>
        <w:overflowPunct/>
        <w:topLinePunct w:val="0"/>
        <w:autoSpaceDE/>
        <w:autoSpaceDN/>
        <w:bidi w:val="0"/>
        <w:adjustRightInd/>
        <w:snapToGrid/>
        <w:spacing w:line="560" w:lineRule="atLeast"/>
        <w:ind w:firstLine="560" w:firstLineChars="200"/>
        <w:textAlignment w:val="auto"/>
        <w:rPr>
          <w:rFonts w:hint="eastAsia" w:ascii="Times New Roman" w:hAnsi="Times New Roman" w:cs="Times New Roman" w:eastAsiaTheme="majorEastAsia"/>
          <w:bCs/>
          <w:color w:val="000000" w:themeColor="text1"/>
          <w:kern w:val="44"/>
          <w:sz w:val="44"/>
          <w:szCs w:val="44"/>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bookmarkEnd w:id="144"/>
      <w:bookmarkEnd w:id="145"/>
      <w:bookmarkEnd w:id="146"/>
      <w:bookmarkEnd w:id="147"/>
    </w:p>
    <w:p w14:paraId="3E95C4BF">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Times New Roman" w:hAnsi="Times New Roman" w:cs="Times New Roman" w:eastAsiaTheme="majorEastAsia"/>
          <w:bCs/>
          <w:color w:val="000000" w:themeColor="text1"/>
          <w:kern w:val="44"/>
          <w:sz w:val="44"/>
          <w:szCs w:val="44"/>
          <w:lang w:val="en-US" w:eastAsia="zh-CN" w:bidi="ar-SA"/>
          <w14:textFill>
            <w14:solidFill>
              <w14:schemeClr w14:val="tx1"/>
            </w14:solidFill>
          </w14:textFill>
        </w:rPr>
      </w:pPr>
    </w:p>
    <w:p w14:paraId="4C9C74EE">
      <w:pPr>
        <w:pStyle w:val="3"/>
        <w:numPr>
          <w:ilvl w:val="0"/>
          <w:numId w:val="0"/>
        </w:numPr>
        <w:spacing w:before="0" w:after="0" w:line="240" w:lineRule="auto"/>
        <w:jc w:val="both"/>
        <w:rPr>
          <w:rFonts w:hint="eastAsia" w:ascii="仿宋_GB2312" w:hAnsi="仿宋_GB2312" w:eastAsia="仿宋_GB2312" w:cs="仿宋_GB2312"/>
          <w:bCs/>
          <w:color w:val="000000" w:themeColor="text1"/>
          <w:kern w:val="44"/>
          <w:sz w:val="44"/>
          <w:szCs w:val="44"/>
          <w:lang w:val="en-US" w:eastAsia="zh-CN" w:bidi="ar-SA"/>
          <w14:textFill>
            <w14:solidFill>
              <w14:schemeClr w14:val="tx1"/>
            </w14:solidFill>
          </w14:textFill>
        </w:rPr>
      </w:pPr>
    </w:p>
    <w:p w14:paraId="3E752A0C">
      <w:pPr>
        <w:rPr>
          <w:rFonts w:hint="eastAsia" w:ascii="仿宋_GB2312" w:hAnsi="仿宋_GB2312" w:eastAsia="仿宋_GB2312" w:cs="仿宋_GB2312"/>
          <w:bCs/>
          <w:color w:val="000000" w:themeColor="text1"/>
          <w:kern w:val="44"/>
          <w:sz w:val="44"/>
          <w:szCs w:val="44"/>
          <w:lang w:val="en-US" w:eastAsia="zh-CN" w:bidi="ar-SA"/>
          <w14:textFill>
            <w14:solidFill>
              <w14:schemeClr w14:val="tx1"/>
            </w14:solidFill>
          </w14:textFill>
        </w:rPr>
      </w:pPr>
    </w:p>
    <w:p w14:paraId="1262F428">
      <w:pPr>
        <w:pStyle w:val="2"/>
        <w:rPr>
          <w:rFonts w:hint="eastAsia"/>
          <w:lang w:val="en-US" w:eastAsia="zh-CN"/>
        </w:rPr>
      </w:pPr>
    </w:p>
    <w:p w14:paraId="0CD1407D">
      <w:pPr>
        <w:pStyle w:val="3"/>
        <w:numPr>
          <w:ilvl w:val="0"/>
          <w:numId w:val="0"/>
        </w:numPr>
        <w:spacing w:before="0" w:after="0" w:line="240" w:lineRule="auto"/>
        <w:ind w:firstLine="2200" w:firstLineChars="500"/>
        <w:jc w:val="left"/>
        <w:rPr>
          <w:rFonts w:hint="eastAsia" w:ascii="仿宋_GB2312" w:hAnsi="仿宋_GB2312" w:eastAsia="仿宋_GB2312" w:cs="仿宋_GB2312"/>
          <w:bCs/>
          <w:color w:val="000000" w:themeColor="text1"/>
          <w:kern w:val="44"/>
          <w:sz w:val="44"/>
          <w:szCs w:val="44"/>
          <w:lang w:val="en-US" w:eastAsia="zh-CN" w:bidi="ar-SA"/>
          <w14:textFill>
            <w14:solidFill>
              <w14:schemeClr w14:val="tx1"/>
            </w14:solidFill>
          </w14:textFill>
        </w:rPr>
      </w:pPr>
    </w:p>
    <w:p w14:paraId="530030C0">
      <w:pPr>
        <w:pStyle w:val="3"/>
        <w:numPr>
          <w:ilvl w:val="0"/>
          <w:numId w:val="0"/>
        </w:numPr>
        <w:spacing w:before="0" w:after="0" w:line="240" w:lineRule="auto"/>
        <w:ind w:firstLine="2209" w:firstLineChars="500"/>
        <w:jc w:val="left"/>
        <w:rPr>
          <w:rFonts w:hint="eastAsia" w:ascii="仿宋_GB2312" w:hAnsi="仿宋_GB2312" w:eastAsia="仿宋_GB2312" w:cs="仿宋_GB2312"/>
          <w:b/>
          <w:bCs w:val="0"/>
          <w:color w:val="000000" w:themeColor="text1"/>
          <w14:textFill>
            <w14:solidFill>
              <w14:schemeClr w14:val="tx1"/>
            </w14:solidFill>
          </w14:textFill>
        </w:rPr>
      </w:pPr>
      <w:r>
        <w:rPr>
          <w:rFonts w:hint="eastAsia" w:ascii="仿宋_GB2312" w:hAnsi="仿宋_GB2312" w:eastAsia="仿宋_GB2312" w:cs="仿宋_GB2312"/>
          <w:b/>
          <w:bCs w:val="0"/>
          <w:color w:val="000000" w:themeColor="text1"/>
          <w:kern w:val="44"/>
          <w:sz w:val="44"/>
          <w:szCs w:val="44"/>
          <w:lang w:val="en-US" w:eastAsia="zh-CN" w:bidi="ar-SA"/>
          <w14:textFill>
            <w14:solidFill>
              <w14:schemeClr w14:val="tx1"/>
            </w14:solidFill>
          </w14:textFill>
        </w:rPr>
        <w:t xml:space="preserve">第五章 </w:t>
      </w:r>
      <w:r>
        <w:rPr>
          <w:rFonts w:hint="eastAsia" w:ascii="仿宋_GB2312" w:hAnsi="仿宋_GB2312" w:eastAsia="仿宋_GB2312" w:cs="仿宋_GB2312"/>
          <w:b/>
          <w:bCs w:val="0"/>
          <w:color w:val="000000" w:themeColor="text1"/>
          <w14:textFill>
            <w14:solidFill>
              <w14:schemeClr w14:val="tx1"/>
            </w14:solidFill>
          </w14:textFill>
        </w:rPr>
        <w:t>政府采购合同</w:t>
      </w:r>
    </w:p>
    <w:p w14:paraId="46D1F59F">
      <w:pPr>
        <w:pStyle w:val="32"/>
        <w:spacing w:before="76" w:line="23" w:lineRule="atLeast"/>
        <w:ind w:right="120" w:firstLine="2650" w:firstLineChars="11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政府采购拟签订的合同文本（范本）</w:t>
      </w:r>
    </w:p>
    <w:p w14:paraId="7A7869E2">
      <w:pPr>
        <w:pStyle w:val="32"/>
        <w:spacing w:before="76" w:line="23" w:lineRule="atLeas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政府采购合同编号：</w:t>
      </w:r>
      <w:r>
        <w:rPr>
          <w:rFonts w:hint="eastAsia" w:ascii="仿宋_GB2312" w:hAnsi="仿宋_GB2312" w:eastAsia="仿宋_GB2312" w:cs="仿宋_GB2312"/>
          <w:b/>
          <w:color w:val="000000" w:themeColor="text1"/>
          <w:sz w:val="24"/>
          <w:szCs w:val="24"/>
          <w14:textFill>
            <w14:solidFill>
              <w14:schemeClr w14:val="tx1"/>
            </w14:solidFill>
          </w14:textFill>
        </w:rPr>
        <w:t>........</w:t>
      </w:r>
    </w:p>
    <w:p w14:paraId="60283D70">
      <w:pPr>
        <w:pStyle w:val="32"/>
        <w:spacing w:before="76" w:line="23" w:lineRule="atLeas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政府采购编号：</w:t>
      </w:r>
      <w:r>
        <w:rPr>
          <w:rFonts w:hint="eastAsia" w:ascii="仿宋_GB2312" w:hAnsi="仿宋_GB2312" w:eastAsia="仿宋_GB2312" w:cs="仿宋_GB2312"/>
          <w:b/>
          <w:color w:val="000000" w:themeColor="text1"/>
          <w:sz w:val="24"/>
          <w:szCs w:val="24"/>
          <w14:textFill>
            <w14:solidFill>
              <w14:schemeClr w14:val="tx1"/>
            </w14:solidFill>
          </w14:textFill>
        </w:rPr>
        <w:t>........</w:t>
      </w:r>
    </w:p>
    <w:p w14:paraId="19C264F0">
      <w:pPr>
        <w:pStyle w:val="32"/>
        <w:spacing w:before="76" w:line="23" w:lineRule="atLeas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买方：</w:t>
      </w:r>
      <w:r>
        <w:rPr>
          <w:rFonts w:hint="eastAsia" w:ascii="仿宋_GB2312" w:hAnsi="仿宋_GB2312" w:eastAsia="仿宋_GB2312" w:cs="仿宋_GB2312"/>
          <w:b/>
          <w:color w:val="000000" w:themeColor="text1"/>
          <w:sz w:val="24"/>
          <w:szCs w:val="24"/>
          <w14:textFill>
            <w14:solidFill>
              <w14:schemeClr w14:val="tx1"/>
            </w14:solidFill>
          </w14:textFill>
        </w:rPr>
        <w:t>........</w:t>
      </w:r>
    </w:p>
    <w:p w14:paraId="171FA06F">
      <w:pPr>
        <w:pStyle w:val="32"/>
        <w:spacing w:before="76" w:line="23" w:lineRule="atLeas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卖方：</w:t>
      </w:r>
      <w:r>
        <w:rPr>
          <w:rFonts w:hint="eastAsia" w:ascii="仿宋_GB2312" w:hAnsi="仿宋_GB2312" w:eastAsia="仿宋_GB2312" w:cs="仿宋_GB2312"/>
          <w:b/>
          <w:color w:val="000000" w:themeColor="text1"/>
          <w:sz w:val="24"/>
          <w:szCs w:val="24"/>
          <w14:textFill>
            <w14:solidFill>
              <w14:schemeClr w14:val="tx1"/>
            </w14:solidFill>
          </w14:textFill>
        </w:rPr>
        <w:t>........</w:t>
      </w:r>
    </w:p>
    <w:p w14:paraId="6BF0E012">
      <w:pPr>
        <w:pStyle w:val="32"/>
        <w:spacing w:before="76" w:line="23" w:lineRule="atLeast"/>
        <w:ind w:right="120" w:firstLine="472" w:firstLineChars="20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经阿勒泰地区公共资源交易中心政府采购，买卖双方通过友好协商，就采购的有关事项达成如下协议，以资共同遵守。</w:t>
      </w:r>
    </w:p>
    <w:p w14:paraId="79197402">
      <w:pPr>
        <w:pStyle w:val="32"/>
        <w:numPr>
          <w:ilvl w:val="0"/>
          <w:numId w:val="4"/>
        </w:numPr>
        <w:spacing w:before="76" w:line="23" w:lineRule="atLeas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货物、工程或服务类内容（以下栏内容为参考，根据项目实际情况延伸扩展增加）</w:t>
      </w:r>
    </w:p>
    <w:tbl>
      <w:tblPr>
        <w:tblStyle w:val="36"/>
        <w:tblW w:w="8893" w:type="dxa"/>
        <w:tblInd w:w="0" w:type="dxa"/>
        <w:tblLayout w:type="fixed"/>
        <w:tblCellMar>
          <w:top w:w="15" w:type="dxa"/>
          <w:left w:w="15" w:type="dxa"/>
          <w:bottom w:w="15" w:type="dxa"/>
          <w:right w:w="15" w:type="dxa"/>
        </w:tblCellMar>
      </w:tblPr>
      <w:tblGrid>
        <w:gridCol w:w="591"/>
        <w:gridCol w:w="2042"/>
        <w:gridCol w:w="1812"/>
        <w:gridCol w:w="1538"/>
        <w:gridCol w:w="1466"/>
        <w:gridCol w:w="1444"/>
      </w:tblGrid>
      <w:tr w14:paraId="4D147C16">
        <w:tblPrEx>
          <w:tblCellMar>
            <w:top w:w="15" w:type="dxa"/>
            <w:left w:w="15" w:type="dxa"/>
            <w:bottom w:w="15" w:type="dxa"/>
            <w:right w:w="15" w:type="dxa"/>
          </w:tblCellMar>
        </w:tblPrEx>
        <w:trPr>
          <w:trHeight w:val="975" w:hRule="atLeast"/>
        </w:trPr>
        <w:tc>
          <w:tcPr>
            <w:tcW w:w="591" w:type="dxa"/>
            <w:tcBorders>
              <w:top w:val="single" w:color="000000" w:sz="12" w:space="0"/>
              <w:left w:val="single" w:color="000000" w:sz="12" w:space="0"/>
              <w:bottom w:val="single" w:color="000000" w:sz="12" w:space="0"/>
              <w:right w:val="single" w:color="000000" w:sz="12" w:space="0"/>
            </w:tcBorders>
            <w:vAlign w:val="center"/>
          </w:tcPr>
          <w:p w14:paraId="3892CB31">
            <w:pPr>
              <w:widowControl/>
              <w:jc w:val="center"/>
              <w:textAlignment w:val="center"/>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kern w:val="0"/>
                <w:sz w:val="24"/>
                <w:szCs w:val="24"/>
                <w14:textFill>
                  <w14:solidFill>
                    <w14:schemeClr w14:val="tx1"/>
                  </w14:solidFill>
                </w14:textFill>
              </w:rPr>
              <w:t>序号</w:t>
            </w:r>
          </w:p>
        </w:tc>
        <w:tc>
          <w:tcPr>
            <w:tcW w:w="2042" w:type="dxa"/>
            <w:tcBorders>
              <w:top w:val="single" w:color="000000" w:sz="12" w:space="0"/>
              <w:bottom w:val="single" w:color="000000" w:sz="12" w:space="0"/>
              <w:right w:val="single" w:color="000000" w:sz="12" w:space="0"/>
            </w:tcBorders>
            <w:vAlign w:val="center"/>
          </w:tcPr>
          <w:p w14:paraId="0839E9AD">
            <w:pPr>
              <w:widowControl/>
              <w:jc w:val="center"/>
              <w:textAlignment w:val="center"/>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kern w:val="0"/>
                <w:sz w:val="24"/>
                <w:szCs w:val="24"/>
                <w14:textFill>
                  <w14:solidFill>
                    <w14:schemeClr w14:val="tx1"/>
                  </w14:solidFill>
                </w14:textFill>
              </w:rPr>
              <w:t>项目名称</w:t>
            </w:r>
          </w:p>
        </w:tc>
        <w:tc>
          <w:tcPr>
            <w:tcW w:w="1812" w:type="dxa"/>
            <w:tcBorders>
              <w:top w:val="single" w:color="000000" w:sz="12" w:space="0"/>
              <w:bottom w:val="single" w:color="000000" w:sz="12" w:space="0"/>
              <w:right w:val="single" w:color="000000" w:sz="12" w:space="0"/>
            </w:tcBorders>
            <w:vAlign w:val="center"/>
          </w:tcPr>
          <w:p w14:paraId="4BB60914">
            <w:pPr>
              <w:widowControl/>
              <w:jc w:val="center"/>
              <w:textAlignment w:val="center"/>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kern w:val="0"/>
                <w:sz w:val="24"/>
                <w:szCs w:val="24"/>
                <w14:textFill>
                  <w14:solidFill>
                    <w14:schemeClr w14:val="tx1"/>
                  </w14:solidFill>
                </w14:textFill>
              </w:rPr>
              <w:t>........</w:t>
            </w:r>
          </w:p>
        </w:tc>
        <w:tc>
          <w:tcPr>
            <w:tcW w:w="1538" w:type="dxa"/>
            <w:tcBorders>
              <w:top w:val="single" w:color="000000" w:sz="12" w:space="0"/>
              <w:bottom w:val="single" w:color="000000" w:sz="12" w:space="0"/>
              <w:right w:val="single" w:color="000000" w:sz="12" w:space="0"/>
            </w:tcBorders>
            <w:vAlign w:val="center"/>
          </w:tcPr>
          <w:p w14:paraId="653842F1">
            <w:pPr>
              <w:widowControl/>
              <w:jc w:val="center"/>
              <w:textAlignment w:val="center"/>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kern w:val="0"/>
                <w:sz w:val="24"/>
                <w:szCs w:val="24"/>
                <w14:textFill>
                  <w14:solidFill>
                    <w14:schemeClr w14:val="tx1"/>
                  </w14:solidFill>
                </w14:textFill>
              </w:rPr>
              <w:t>单价（元）</w:t>
            </w:r>
          </w:p>
        </w:tc>
        <w:tc>
          <w:tcPr>
            <w:tcW w:w="1466" w:type="dxa"/>
            <w:tcBorders>
              <w:top w:val="single" w:color="000000" w:sz="12" w:space="0"/>
              <w:bottom w:val="single" w:color="000000" w:sz="12" w:space="0"/>
              <w:right w:val="single" w:color="000000" w:sz="12" w:space="0"/>
            </w:tcBorders>
            <w:vAlign w:val="center"/>
          </w:tcPr>
          <w:p w14:paraId="310F41DF">
            <w:pPr>
              <w:widowControl/>
              <w:jc w:val="center"/>
              <w:textAlignment w:val="center"/>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kern w:val="0"/>
                <w:sz w:val="24"/>
                <w:szCs w:val="24"/>
                <w14:textFill>
                  <w14:solidFill>
                    <w14:schemeClr w14:val="tx1"/>
                  </w14:solidFill>
                </w14:textFill>
              </w:rPr>
              <w:t>数量</w:t>
            </w:r>
          </w:p>
        </w:tc>
        <w:tc>
          <w:tcPr>
            <w:tcW w:w="1444" w:type="dxa"/>
            <w:tcBorders>
              <w:top w:val="single" w:color="000000" w:sz="12" w:space="0"/>
              <w:bottom w:val="single" w:color="000000" w:sz="12" w:space="0"/>
              <w:right w:val="single" w:color="000000" w:sz="12" w:space="0"/>
            </w:tcBorders>
            <w:vAlign w:val="center"/>
          </w:tcPr>
          <w:p w14:paraId="132A4416">
            <w:pPr>
              <w:widowControl/>
              <w:jc w:val="center"/>
              <w:textAlignment w:val="center"/>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kern w:val="0"/>
                <w:sz w:val="24"/>
                <w:szCs w:val="24"/>
                <w14:textFill>
                  <w14:solidFill>
                    <w14:schemeClr w14:val="tx1"/>
                  </w14:solidFill>
                </w14:textFill>
              </w:rPr>
              <w:t>合计</w:t>
            </w:r>
          </w:p>
        </w:tc>
      </w:tr>
      <w:tr w14:paraId="684FB356">
        <w:tblPrEx>
          <w:tblCellMar>
            <w:top w:w="15" w:type="dxa"/>
            <w:left w:w="15" w:type="dxa"/>
            <w:bottom w:w="15" w:type="dxa"/>
            <w:right w:w="15" w:type="dxa"/>
          </w:tblCellMar>
        </w:tblPrEx>
        <w:trPr>
          <w:trHeight w:val="420" w:hRule="atLeast"/>
        </w:trPr>
        <w:tc>
          <w:tcPr>
            <w:tcW w:w="591" w:type="dxa"/>
            <w:vMerge w:val="restart"/>
            <w:tcBorders>
              <w:left w:val="single" w:color="000000" w:sz="12" w:space="0"/>
              <w:bottom w:val="single" w:color="000000" w:sz="12" w:space="0"/>
              <w:right w:val="single" w:color="000000" w:sz="12" w:space="0"/>
            </w:tcBorders>
            <w:vAlign w:val="center"/>
          </w:tcPr>
          <w:p w14:paraId="751BE256">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42" w:type="dxa"/>
            <w:vMerge w:val="restart"/>
            <w:tcBorders>
              <w:bottom w:val="single" w:color="000000" w:sz="12" w:space="0"/>
              <w:right w:val="single" w:color="000000" w:sz="12" w:space="0"/>
            </w:tcBorders>
            <w:vAlign w:val="center"/>
          </w:tcPr>
          <w:p w14:paraId="0754F85C">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812" w:type="dxa"/>
            <w:vMerge w:val="restart"/>
            <w:tcBorders>
              <w:bottom w:val="single" w:color="000000" w:sz="12" w:space="0"/>
              <w:right w:val="single" w:color="000000" w:sz="12" w:space="0"/>
            </w:tcBorders>
            <w:vAlign w:val="center"/>
          </w:tcPr>
          <w:p w14:paraId="30494AEB">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538" w:type="dxa"/>
            <w:vMerge w:val="restart"/>
            <w:tcBorders>
              <w:bottom w:val="single" w:color="000000" w:sz="12" w:space="0"/>
              <w:right w:val="single" w:color="000000" w:sz="12" w:space="0"/>
            </w:tcBorders>
            <w:vAlign w:val="center"/>
          </w:tcPr>
          <w:p w14:paraId="1FCCE52D">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466" w:type="dxa"/>
            <w:vMerge w:val="restart"/>
            <w:tcBorders>
              <w:bottom w:val="single" w:color="000000" w:sz="12" w:space="0"/>
              <w:right w:val="single" w:color="000000" w:sz="12" w:space="0"/>
            </w:tcBorders>
            <w:vAlign w:val="center"/>
          </w:tcPr>
          <w:p w14:paraId="1F4D80C2">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444" w:type="dxa"/>
            <w:vMerge w:val="restart"/>
            <w:tcBorders>
              <w:bottom w:val="single" w:color="000000" w:sz="12" w:space="0"/>
              <w:right w:val="single" w:color="000000" w:sz="12" w:space="0"/>
            </w:tcBorders>
            <w:vAlign w:val="center"/>
          </w:tcPr>
          <w:p w14:paraId="3A857405">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4F90C552">
        <w:tblPrEx>
          <w:tblCellMar>
            <w:top w:w="15" w:type="dxa"/>
            <w:left w:w="15" w:type="dxa"/>
            <w:bottom w:w="15" w:type="dxa"/>
            <w:right w:w="15" w:type="dxa"/>
          </w:tblCellMar>
        </w:tblPrEx>
        <w:trPr>
          <w:trHeight w:val="312" w:hRule="atLeast"/>
        </w:trPr>
        <w:tc>
          <w:tcPr>
            <w:tcW w:w="591" w:type="dxa"/>
            <w:vMerge w:val="continue"/>
            <w:tcBorders>
              <w:left w:val="single" w:color="000000" w:sz="12" w:space="0"/>
              <w:bottom w:val="single" w:color="000000" w:sz="12" w:space="0"/>
              <w:right w:val="single" w:color="000000" w:sz="12" w:space="0"/>
            </w:tcBorders>
            <w:vAlign w:val="center"/>
          </w:tcPr>
          <w:p w14:paraId="38E55C5C">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42" w:type="dxa"/>
            <w:vMerge w:val="continue"/>
            <w:tcBorders>
              <w:bottom w:val="single" w:color="000000" w:sz="12" w:space="0"/>
              <w:right w:val="single" w:color="000000" w:sz="12" w:space="0"/>
            </w:tcBorders>
            <w:vAlign w:val="center"/>
          </w:tcPr>
          <w:p w14:paraId="649D0615">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812" w:type="dxa"/>
            <w:vMerge w:val="continue"/>
            <w:tcBorders>
              <w:bottom w:val="single" w:color="000000" w:sz="12" w:space="0"/>
              <w:right w:val="single" w:color="000000" w:sz="12" w:space="0"/>
            </w:tcBorders>
            <w:vAlign w:val="center"/>
          </w:tcPr>
          <w:p w14:paraId="3F554AFC">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538" w:type="dxa"/>
            <w:vMerge w:val="continue"/>
            <w:tcBorders>
              <w:bottom w:val="single" w:color="000000" w:sz="12" w:space="0"/>
              <w:right w:val="single" w:color="000000" w:sz="12" w:space="0"/>
            </w:tcBorders>
            <w:vAlign w:val="center"/>
          </w:tcPr>
          <w:p w14:paraId="24A9770F">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466" w:type="dxa"/>
            <w:vMerge w:val="continue"/>
            <w:tcBorders>
              <w:bottom w:val="single" w:color="000000" w:sz="12" w:space="0"/>
              <w:right w:val="single" w:color="000000" w:sz="12" w:space="0"/>
            </w:tcBorders>
            <w:vAlign w:val="center"/>
          </w:tcPr>
          <w:p w14:paraId="7A0AE9B2">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444" w:type="dxa"/>
            <w:vMerge w:val="continue"/>
            <w:tcBorders>
              <w:bottom w:val="single" w:color="000000" w:sz="12" w:space="0"/>
              <w:right w:val="single" w:color="000000" w:sz="12" w:space="0"/>
            </w:tcBorders>
            <w:vAlign w:val="center"/>
          </w:tcPr>
          <w:p w14:paraId="052D3C9A">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650E1A93">
        <w:tblPrEx>
          <w:tblCellMar>
            <w:top w:w="15" w:type="dxa"/>
            <w:left w:w="15" w:type="dxa"/>
            <w:bottom w:w="15" w:type="dxa"/>
            <w:right w:w="15" w:type="dxa"/>
          </w:tblCellMar>
        </w:tblPrEx>
        <w:trPr>
          <w:trHeight w:val="420" w:hRule="atLeast"/>
        </w:trPr>
        <w:tc>
          <w:tcPr>
            <w:tcW w:w="591" w:type="dxa"/>
            <w:vMerge w:val="restart"/>
            <w:tcBorders>
              <w:left w:val="single" w:color="000000" w:sz="12" w:space="0"/>
              <w:bottom w:val="single" w:color="000000" w:sz="12" w:space="0"/>
              <w:right w:val="single" w:color="000000" w:sz="12" w:space="0"/>
            </w:tcBorders>
            <w:vAlign w:val="center"/>
          </w:tcPr>
          <w:p w14:paraId="323FAAFF">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42" w:type="dxa"/>
            <w:vMerge w:val="restart"/>
            <w:tcBorders>
              <w:bottom w:val="single" w:color="000000" w:sz="12" w:space="0"/>
              <w:right w:val="single" w:color="000000" w:sz="12" w:space="0"/>
            </w:tcBorders>
            <w:vAlign w:val="center"/>
          </w:tcPr>
          <w:p w14:paraId="04805BAE">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812" w:type="dxa"/>
            <w:vMerge w:val="restart"/>
            <w:tcBorders>
              <w:bottom w:val="single" w:color="000000" w:sz="12" w:space="0"/>
              <w:right w:val="single" w:color="000000" w:sz="12" w:space="0"/>
            </w:tcBorders>
            <w:vAlign w:val="center"/>
          </w:tcPr>
          <w:p w14:paraId="01379310">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538" w:type="dxa"/>
            <w:vMerge w:val="restart"/>
            <w:tcBorders>
              <w:bottom w:val="single" w:color="000000" w:sz="12" w:space="0"/>
              <w:right w:val="single" w:color="000000" w:sz="12" w:space="0"/>
            </w:tcBorders>
            <w:vAlign w:val="center"/>
          </w:tcPr>
          <w:p w14:paraId="774D6F63">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466" w:type="dxa"/>
            <w:vMerge w:val="restart"/>
            <w:tcBorders>
              <w:bottom w:val="single" w:color="000000" w:sz="12" w:space="0"/>
              <w:right w:val="single" w:color="000000" w:sz="12" w:space="0"/>
            </w:tcBorders>
            <w:vAlign w:val="center"/>
          </w:tcPr>
          <w:p w14:paraId="1B487ACF">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444" w:type="dxa"/>
            <w:vMerge w:val="restart"/>
            <w:tcBorders>
              <w:bottom w:val="single" w:color="000000" w:sz="12" w:space="0"/>
              <w:right w:val="single" w:color="000000" w:sz="12" w:space="0"/>
            </w:tcBorders>
            <w:vAlign w:val="center"/>
          </w:tcPr>
          <w:p w14:paraId="050FA3A3">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14E8C9A3">
        <w:tblPrEx>
          <w:tblCellMar>
            <w:top w:w="15" w:type="dxa"/>
            <w:left w:w="15" w:type="dxa"/>
            <w:bottom w:w="15" w:type="dxa"/>
            <w:right w:w="15" w:type="dxa"/>
          </w:tblCellMar>
        </w:tblPrEx>
        <w:trPr>
          <w:trHeight w:val="312" w:hRule="atLeast"/>
        </w:trPr>
        <w:tc>
          <w:tcPr>
            <w:tcW w:w="591" w:type="dxa"/>
            <w:vMerge w:val="continue"/>
            <w:tcBorders>
              <w:left w:val="single" w:color="000000" w:sz="12" w:space="0"/>
              <w:bottom w:val="single" w:color="000000" w:sz="12" w:space="0"/>
              <w:right w:val="single" w:color="000000" w:sz="12" w:space="0"/>
            </w:tcBorders>
            <w:vAlign w:val="center"/>
          </w:tcPr>
          <w:p w14:paraId="45951613">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42" w:type="dxa"/>
            <w:vMerge w:val="continue"/>
            <w:tcBorders>
              <w:bottom w:val="single" w:color="000000" w:sz="12" w:space="0"/>
              <w:right w:val="single" w:color="000000" w:sz="12" w:space="0"/>
            </w:tcBorders>
            <w:vAlign w:val="center"/>
          </w:tcPr>
          <w:p w14:paraId="42B05611">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812" w:type="dxa"/>
            <w:vMerge w:val="continue"/>
            <w:tcBorders>
              <w:bottom w:val="single" w:color="000000" w:sz="12" w:space="0"/>
              <w:right w:val="single" w:color="000000" w:sz="12" w:space="0"/>
            </w:tcBorders>
            <w:vAlign w:val="center"/>
          </w:tcPr>
          <w:p w14:paraId="3455550B">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538" w:type="dxa"/>
            <w:vMerge w:val="continue"/>
            <w:tcBorders>
              <w:bottom w:val="single" w:color="000000" w:sz="12" w:space="0"/>
              <w:right w:val="single" w:color="000000" w:sz="12" w:space="0"/>
            </w:tcBorders>
            <w:vAlign w:val="center"/>
          </w:tcPr>
          <w:p w14:paraId="30CB33D8">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466" w:type="dxa"/>
            <w:vMerge w:val="continue"/>
            <w:tcBorders>
              <w:bottom w:val="single" w:color="000000" w:sz="12" w:space="0"/>
              <w:right w:val="single" w:color="000000" w:sz="12" w:space="0"/>
            </w:tcBorders>
            <w:vAlign w:val="center"/>
          </w:tcPr>
          <w:p w14:paraId="33015865">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444" w:type="dxa"/>
            <w:vMerge w:val="continue"/>
            <w:tcBorders>
              <w:bottom w:val="single" w:color="000000" w:sz="12" w:space="0"/>
              <w:right w:val="single" w:color="000000" w:sz="12" w:space="0"/>
            </w:tcBorders>
            <w:vAlign w:val="center"/>
          </w:tcPr>
          <w:p w14:paraId="7FF37556">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65799506">
        <w:tblPrEx>
          <w:tblCellMar>
            <w:top w:w="15" w:type="dxa"/>
            <w:left w:w="15" w:type="dxa"/>
            <w:bottom w:w="15" w:type="dxa"/>
            <w:right w:w="15" w:type="dxa"/>
          </w:tblCellMar>
        </w:tblPrEx>
        <w:trPr>
          <w:trHeight w:val="333" w:hRule="atLeast"/>
        </w:trPr>
        <w:tc>
          <w:tcPr>
            <w:tcW w:w="591" w:type="dxa"/>
            <w:vMerge w:val="restart"/>
            <w:tcBorders>
              <w:left w:val="single" w:color="000000" w:sz="12" w:space="0"/>
              <w:bottom w:val="single" w:color="000000" w:sz="12" w:space="0"/>
              <w:right w:val="single" w:color="000000" w:sz="12" w:space="0"/>
            </w:tcBorders>
            <w:vAlign w:val="center"/>
          </w:tcPr>
          <w:p w14:paraId="72BC5DFE">
            <w:pPr>
              <w:widowControl/>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合同总金额</w:t>
            </w:r>
          </w:p>
        </w:tc>
        <w:tc>
          <w:tcPr>
            <w:tcW w:w="8302" w:type="dxa"/>
            <w:gridSpan w:val="5"/>
            <w:vMerge w:val="restart"/>
            <w:tcBorders>
              <w:bottom w:val="single" w:color="000000" w:sz="12" w:space="0"/>
              <w:right w:val="single" w:color="000000" w:sz="12" w:space="0"/>
            </w:tcBorders>
            <w:vAlign w:val="center"/>
          </w:tcPr>
          <w:p w14:paraId="2A4640FE">
            <w:pPr>
              <w:widowControl/>
              <w:jc w:val="left"/>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大写（人民币）                 元、角、分、佰、仟、万、亿</w:t>
            </w:r>
          </w:p>
        </w:tc>
      </w:tr>
      <w:tr w14:paraId="7A638B81">
        <w:tblPrEx>
          <w:tblCellMar>
            <w:top w:w="15" w:type="dxa"/>
            <w:left w:w="15" w:type="dxa"/>
            <w:bottom w:w="15" w:type="dxa"/>
            <w:right w:w="15" w:type="dxa"/>
          </w:tblCellMar>
        </w:tblPrEx>
        <w:trPr>
          <w:trHeight w:val="333" w:hRule="atLeast"/>
        </w:trPr>
        <w:tc>
          <w:tcPr>
            <w:tcW w:w="591" w:type="dxa"/>
            <w:vMerge w:val="continue"/>
            <w:tcBorders>
              <w:left w:val="single" w:color="000000" w:sz="12" w:space="0"/>
              <w:bottom w:val="single" w:color="000000" w:sz="12" w:space="0"/>
              <w:right w:val="single" w:color="000000" w:sz="12" w:space="0"/>
            </w:tcBorders>
            <w:vAlign w:val="center"/>
          </w:tcPr>
          <w:p w14:paraId="4AC1410E">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8302" w:type="dxa"/>
            <w:gridSpan w:val="5"/>
            <w:vMerge w:val="continue"/>
            <w:tcBorders>
              <w:bottom w:val="single" w:color="000000" w:sz="12" w:space="0"/>
              <w:right w:val="single" w:color="000000" w:sz="12" w:space="0"/>
            </w:tcBorders>
            <w:vAlign w:val="center"/>
          </w:tcPr>
          <w:p w14:paraId="726A2DDC">
            <w:pPr>
              <w:jc w:val="left"/>
              <w:rPr>
                <w:rFonts w:hint="eastAsia" w:ascii="仿宋_GB2312" w:hAnsi="仿宋_GB2312" w:eastAsia="仿宋_GB2312" w:cs="仿宋_GB2312"/>
                <w:color w:val="000000" w:themeColor="text1"/>
                <w:sz w:val="24"/>
                <w:szCs w:val="24"/>
                <w14:textFill>
                  <w14:solidFill>
                    <w14:schemeClr w14:val="tx1"/>
                  </w14:solidFill>
                </w14:textFill>
              </w:rPr>
            </w:pPr>
          </w:p>
        </w:tc>
      </w:tr>
      <w:tr w14:paraId="080967F9">
        <w:tblPrEx>
          <w:tblCellMar>
            <w:top w:w="15" w:type="dxa"/>
            <w:left w:w="15" w:type="dxa"/>
            <w:bottom w:w="15" w:type="dxa"/>
            <w:right w:w="15" w:type="dxa"/>
          </w:tblCellMar>
        </w:tblPrEx>
        <w:trPr>
          <w:trHeight w:val="333" w:hRule="atLeast"/>
        </w:trPr>
        <w:tc>
          <w:tcPr>
            <w:tcW w:w="591" w:type="dxa"/>
            <w:vMerge w:val="continue"/>
            <w:tcBorders>
              <w:left w:val="single" w:color="000000" w:sz="12" w:space="0"/>
              <w:bottom w:val="single" w:color="000000" w:sz="12" w:space="0"/>
              <w:right w:val="single" w:color="000000" w:sz="12" w:space="0"/>
            </w:tcBorders>
            <w:vAlign w:val="center"/>
          </w:tcPr>
          <w:p w14:paraId="57EE554C">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8302" w:type="dxa"/>
            <w:gridSpan w:val="5"/>
            <w:vMerge w:val="restart"/>
            <w:tcBorders>
              <w:bottom w:val="single" w:color="000000" w:sz="12" w:space="0"/>
              <w:right w:val="single" w:color="000000" w:sz="12" w:space="0"/>
            </w:tcBorders>
            <w:vAlign w:val="center"/>
          </w:tcPr>
          <w:p w14:paraId="7CF34C10">
            <w:pPr>
              <w:widowControl/>
              <w:jc w:val="left"/>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小写（人民币）                           元</w:t>
            </w:r>
          </w:p>
        </w:tc>
      </w:tr>
      <w:tr w14:paraId="2349EFD3">
        <w:tblPrEx>
          <w:tblCellMar>
            <w:top w:w="15" w:type="dxa"/>
            <w:left w:w="15" w:type="dxa"/>
            <w:bottom w:w="15" w:type="dxa"/>
            <w:right w:w="15" w:type="dxa"/>
          </w:tblCellMar>
        </w:tblPrEx>
        <w:trPr>
          <w:trHeight w:val="333" w:hRule="atLeast"/>
        </w:trPr>
        <w:tc>
          <w:tcPr>
            <w:tcW w:w="591" w:type="dxa"/>
            <w:vMerge w:val="continue"/>
            <w:tcBorders>
              <w:left w:val="single" w:color="000000" w:sz="12" w:space="0"/>
              <w:bottom w:val="single" w:color="000000" w:sz="12" w:space="0"/>
              <w:right w:val="single" w:color="000000" w:sz="12" w:space="0"/>
            </w:tcBorders>
            <w:vAlign w:val="center"/>
          </w:tcPr>
          <w:p w14:paraId="32C254B1">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8302" w:type="dxa"/>
            <w:gridSpan w:val="5"/>
            <w:vMerge w:val="continue"/>
            <w:tcBorders>
              <w:bottom w:val="single" w:color="000000" w:sz="12" w:space="0"/>
              <w:right w:val="single" w:color="000000" w:sz="12" w:space="0"/>
            </w:tcBorders>
            <w:vAlign w:val="center"/>
          </w:tcPr>
          <w:p w14:paraId="4D8E2976">
            <w:pPr>
              <w:jc w:val="left"/>
              <w:rPr>
                <w:rFonts w:hint="eastAsia" w:ascii="仿宋_GB2312" w:hAnsi="仿宋_GB2312" w:eastAsia="仿宋_GB2312" w:cs="仿宋_GB2312"/>
                <w:color w:val="000000" w:themeColor="text1"/>
                <w:sz w:val="24"/>
                <w:szCs w:val="24"/>
                <w14:textFill>
                  <w14:solidFill>
                    <w14:schemeClr w14:val="tx1"/>
                  </w14:solidFill>
                </w14:textFill>
              </w:rPr>
            </w:pPr>
          </w:p>
        </w:tc>
      </w:tr>
    </w:tbl>
    <w:p w14:paraId="7EAE7214">
      <w:pPr>
        <w:pStyle w:val="32"/>
        <w:spacing w:before="76" w:line="23" w:lineRule="atLeas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p>
    <w:p w14:paraId="654A8577">
      <w:pPr>
        <w:pStyle w:val="32"/>
        <w:spacing w:before="76" w:line="23" w:lineRule="atLeas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二、付款</w:t>
      </w:r>
    </w:p>
    <w:p w14:paraId="40FE8922">
      <w:pPr>
        <w:pStyle w:val="32"/>
        <w:spacing w:before="76" w:line="23" w:lineRule="atLeas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1、付款单位：</w:t>
      </w:r>
    </w:p>
    <w:p w14:paraId="0382EB26">
      <w:pPr>
        <w:pStyle w:val="32"/>
        <w:spacing w:before="76" w:line="23" w:lineRule="atLeas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2、付款方式：</w:t>
      </w:r>
    </w:p>
    <w:p w14:paraId="0F4EBF47">
      <w:pPr>
        <w:pStyle w:val="32"/>
        <w:spacing w:before="76" w:line="23" w:lineRule="atLeas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三、交货</w:t>
      </w:r>
    </w:p>
    <w:p w14:paraId="3892ED61">
      <w:pPr>
        <w:pStyle w:val="32"/>
        <w:spacing w:before="76" w:line="23" w:lineRule="atLeas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1、交货时间：</w:t>
      </w:r>
    </w:p>
    <w:p w14:paraId="1DD736DE">
      <w:pPr>
        <w:pStyle w:val="32"/>
        <w:spacing w:before="76" w:line="23" w:lineRule="atLeast"/>
        <w:ind w:right="120"/>
        <w:rPr>
          <w:rFonts w:hint="eastAsia" w:ascii="仿宋_GB2312" w:hAnsi="仿宋_GB2312" w:eastAsia="仿宋_GB2312" w:cs="仿宋_GB2312"/>
          <w:color w:val="000000" w:themeColor="text1"/>
          <w:spacing w:val="-2"/>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2、交货地点：</w:t>
      </w:r>
    </w:p>
    <w:p w14:paraId="3220ABDB">
      <w:pPr>
        <w:pStyle w:val="32"/>
        <w:spacing w:before="76" w:line="23" w:lineRule="atLeast"/>
        <w:ind w:right="120"/>
        <w:rPr>
          <w:rFonts w:hint="eastAsia" w:ascii="仿宋_GB2312" w:hAnsi="仿宋_GB2312" w:eastAsia="仿宋_GB2312" w:cs="仿宋_GB2312"/>
          <w:color w:val="000000" w:themeColor="text1"/>
          <w:spacing w:val="-2"/>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四、货物、工程或服务类标准</w:t>
      </w:r>
    </w:p>
    <w:p w14:paraId="1EFF12C9">
      <w:pPr>
        <w:pStyle w:val="32"/>
        <w:spacing w:before="76" w:line="23" w:lineRule="atLeast"/>
        <w:ind w:right="120"/>
        <w:rPr>
          <w:rFonts w:hint="eastAsia" w:ascii="仿宋_GB2312" w:hAnsi="仿宋_GB2312" w:eastAsia="仿宋_GB2312" w:cs="仿宋_GB2312"/>
          <w:color w:val="000000" w:themeColor="text1"/>
          <w:spacing w:val="-2"/>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1、卖方提供的</w:t>
      </w:r>
      <w:r>
        <w:rPr>
          <w:rFonts w:hint="eastAsia" w:ascii="仿宋_GB2312" w:hAnsi="仿宋_GB2312" w:eastAsia="仿宋_GB2312" w:cs="仿宋_GB2312"/>
          <w:b/>
          <w:color w:val="000000" w:themeColor="text1"/>
          <w14:textFill>
            <w14:solidFill>
              <w14:schemeClr w14:val="tx1"/>
            </w14:solidFill>
          </w14:textFill>
        </w:rPr>
        <w:t>........</w:t>
      </w:r>
      <w:r>
        <w:rPr>
          <w:rFonts w:hint="eastAsia" w:ascii="仿宋_GB2312" w:hAnsi="仿宋_GB2312" w:eastAsia="仿宋_GB2312" w:cs="仿宋_GB2312"/>
          <w:color w:val="000000" w:themeColor="text1"/>
          <w:spacing w:val="-2"/>
          <w14:textFill>
            <w14:solidFill>
              <w14:schemeClr w14:val="tx1"/>
            </w14:solidFill>
          </w14:textFill>
        </w:rPr>
        <w:t>必须符合国家标准、行业标准、地方标准，没有国家标准、行业标准、地方标准的，可以按照企业标准执行，也可按双方商定标准执行。</w:t>
      </w:r>
    </w:p>
    <w:p w14:paraId="3F08154F">
      <w:pPr>
        <w:pStyle w:val="32"/>
        <w:spacing w:before="76" w:line="23" w:lineRule="atLeast"/>
        <w:ind w:right="120"/>
        <w:rPr>
          <w:rFonts w:hint="eastAsia" w:ascii="仿宋_GB2312" w:hAnsi="仿宋_GB2312" w:eastAsia="仿宋_GB2312" w:cs="仿宋_GB2312"/>
          <w:color w:val="000000" w:themeColor="text1"/>
          <w:spacing w:val="-2"/>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2、卖方在质保期必须按照投标承诺执行。</w:t>
      </w:r>
    </w:p>
    <w:p w14:paraId="143EC45E">
      <w:pPr>
        <w:pStyle w:val="32"/>
        <w:spacing w:line="600" w:lineRule="exact"/>
        <w:ind w:right="120"/>
        <w:rPr>
          <w:rFonts w:hint="eastAsia" w:ascii="仿宋_GB2312" w:hAnsi="仿宋_GB2312" w:eastAsia="仿宋_GB2312" w:cs="仿宋_GB2312"/>
          <w:color w:val="000000" w:themeColor="text1"/>
          <w:spacing w:val="-2"/>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3、卖方所交付的</w:t>
      </w:r>
      <w:r>
        <w:rPr>
          <w:rFonts w:hint="eastAsia" w:ascii="仿宋_GB2312" w:hAnsi="仿宋_GB2312" w:eastAsia="仿宋_GB2312" w:cs="仿宋_GB2312"/>
          <w:b/>
          <w:color w:val="000000" w:themeColor="text1"/>
          <w14:textFill>
            <w14:solidFill>
              <w14:schemeClr w14:val="tx1"/>
            </w14:solidFill>
          </w14:textFill>
        </w:rPr>
        <w:t>........</w:t>
      </w:r>
      <w:r>
        <w:rPr>
          <w:rFonts w:hint="eastAsia" w:ascii="仿宋_GB2312" w:hAnsi="仿宋_GB2312" w:eastAsia="仿宋_GB2312" w:cs="仿宋_GB2312"/>
          <w:color w:val="000000" w:themeColor="text1"/>
          <w:spacing w:val="-2"/>
          <w14:textFill>
            <w14:solidFill>
              <w14:schemeClr w14:val="tx1"/>
            </w14:solidFill>
          </w14:textFill>
        </w:rPr>
        <w:t>（附属或格式、备件）应按照</w:t>
      </w:r>
      <w:r>
        <w:rPr>
          <w:rFonts w:hint="eastAsia" w:ascii="仿宋_GB2312" w:hAnsi="仿宋_GB2312" w:eastAsia="仿宋_GB2312" w:cs="仿宋_GB2312"/>
          <w:b/>
          <w:color w:val="000000" w:themeColor="text1"/>
          <w14:textFill>
            <w14:solidFill>
              <w14:schemeClr w14:val="tx1"/>
            </w14:solidFill>
          </w14:textFill>
        </w:rPr>
        <w:t>........</w:t>
      </w:r>
      <w:r>
        <w:rPr>
          <w:rFonts w:hint="eastAsia" w:ascii="仿宋_GB2312" w:hAnsi="仿宋_GB2312" w:eastAsia="仿宋_GB2312" w:cs="仿宋_GB2312"/>
          <w:color w:val="000000" w:themeColor="text1"/>
          <w:spacing w:val="-2"/>
          <w14:textFill>
            <w14:solidFill>
              <w14:schemeClr w14:val="tx1"/>
            </w14:solidFill>
          </w14:textFill>
        </w:rPr>
        <w:t>所附使用说明书及清单执行</w:t>
      </w:r>
    </w:p>
    <w:p w14:paraId="561E5FCE">
      <w:pPr>
        <w:pStyle w:val="32"/>
        <w:spacing w:line="600" w:lineRule="exact"/>
        <w:ind w:right="120"/>
        <w:rPr>
          <w:rFonts w:hint="eastAsia" w:ascii="仿宋_GB2312" w:hAnsi="仿宋_GB2312" w:eastAsia="仿宋_GB2312" w:cs="仿宋_GB2312"/>
          <w:color w:val="000000" w:themeColor="text1"/>
          <w:spacing w:val="-2"/>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五、验收及提出异议期限</w:t>
      </w:r>
    </w:p>
    <w:p w14:paraId="4216AE5A">
      <w:pPr>
        <w:pStyle w:val="32"/>
        <w:spacing w:line="600" w:lineRule="exact"/>
        <w:ind w:right="120"/>
        <w:rPr>
          <w:rFonts w:hint="eastAsia" w:ascii="仿宋_GB2312" w:hAnsi="仿宋_GB2312" w:eastAsia="仿宋_GB2312" w:cs="仿宋_GB2312"/>
          <w:color w:val="000000" w:themeColor="text1"/>
          <w:spacing w:val="-2"/>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1、</w:t>
      </w:r>
      <w:r>
        <w:rPr>
          <w:rFonts w:hint="eastAsia" w:ascii="仿宋_GB2312" w:hAnsi="仿宋_GB2312" w:eastAsia="仿宋_GB2312" w:cs="仿宋_GB2312"/>
          <w:b/>
          <w:color w:val="000000" w:themeColor="text1"/>
          <w14:textFill>
            <w14:solidFill>
              <w14:schemeClr w14:val="tx1"/>
            </w14:solidFill>
          </w14:textFill>
        </w:rPr>
        <w:t>........</w:t>
      </w:r>
      <w:r>
        <w:rPr>
          <w:rFonts w:hint="eastAsia" w:ascii="仿宋_GB2312" w:hAnsi="仿宋_GB2312" w:eastAsia="仿宋_GB2312" w:cs="仿宋_GB2312"/>
          <w:color w:val="000000" w:themeColor="text1"/>
          <w:spacing w:val="-2"/>
          <w14:textFill>
            <w14:solidFill>
              <w14:schemeClr w14:val="tx1"/>
            </w14:solidFill>
          </w14:textFill>
        </w:rPr>
        <w:t>完毕后</w:t>
      </w:r>
      <w:r>
        <w:rPr>
          <w:rFonts w:hint="eastAsia" w:ascii="仿宋_GB2312" w:hAnsi="仿宋_GB2312" w:eastAsia="仿宋_GB2312" w:cs="仿宋_GB2312"/>
          <w:b/>
          <w:color w:val="000000" w:themeColor="text1"/>
          <w14:textFill>
            <w14:solidFill>
              <w14:schemeClr w14:val="tx1"/>
            </w14:solidFill>
          </w14:textFill>
        </w:rPr>
        <w:t>........</w:t>
      </w:r>
      <w:r>
        <w:rPr>
          <w:rFonts w:hint="eastAsia" w:ascii="仿宋_GB2312" w:hAnsi="仿宋_GB2312" w:eastAsia="仿宋_GB2312" w:cs="仿宋_GB2312"/>
          <w:color w:val="000000" w:themeColor="text1"/>
          <w:spacing w:val="-2"/>
          <w14:textFill>
            <w14:solidFill>
              <w14:schemeClr w14:val="tx1"/>
            </w14:solidFill>
          </w14:textFill>
        </w:rPr>
        <w:t>个工作日内，买方进行验收。</w:t>
      </w:r>
    </w:p>
    <w:p w14:paraId="6DE71CBB">
      <w:pPr>
        <w:pStyle w:val="32"/>
        <w:spacing w:line="600" w:lineRule="exact"/>
        <w:ind w:right="120"/>
        <w:rPr>
          <w:rFonts w:hint="eastAsia" w:ascii="仿宋_GB2312" w:hAnsi="仿宋_GB2312" w:eastAsia="仿宋_GB2312" w:cs="仿宋_GB2312"/>
          <w:color w:val="000000" w:themeColor="text1"/>
          <w:spacing w:val="-2"/>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2、买方在验收中，如果发现有与合同约定不符的，应在</w:t>
      </w:r>
      <w:r>
        <w:rPr>
          <w:rFonts w:hint="eastAsia" w:ascii="仿宋_GB2312" w:hAnsi="仿宋_GB2312" w:eastAsia="仿宋_GB2312" w:cs="仿宋_GB2312"/>
          <w:b/>
          <w:color w:val="000000" w:themeColor="text1"/>
          <w14:textFill>
            <w14:solidFill>
              <w14:schemeClr w14:val="tx1"/>
            </w14:solidFill>
          </w14:textFill>
        </w:rPr>
        <w:t>........</w:t>
      </w:r>
      <w:r>
        <w:rPr>
          <w:rFonts w:hint="eastAsia" w:ascii="仿宋_GB2312" w:hAnsi="仿宋_GB2312" w:eastAsia="仿宋_GB2312" w:cs="仿宋_GB2312"/>
          <w:color w:val="000000" w:themeColor="text1"/>
          <w:spacing w:val="-2"/>
          <w14:textFill>
            <w14:solidFill>
              <w14:schemeClr w14:val="tx1"/>
            </w14:solidFill>
          </w14:textFill>
        </w:rPr>
        <w:t>个工作日内向卖方</w:t>
      </w:r>
    </w:p>
    <w:p w14:paraId="51A66738">
      <w:pPr>
        <w:pStyle w:val="32"/>
        <w:spacing w:line="600" w:lineRule="exact"/>
        <w:ind w:right="120"/>
        <w:rPr>
          <w:rFonts w:hint="eastAsia" w:ascii="仿宋_GB2312" w:hAnsi="仿宋_GB2312" w:eastAsia="仿宋_GB2312" w:cs="仿宋_GB2312"/>
          <w:color w:val="000000" w:themeColor="text1"/>
          <w:spacing w:val="-2"/>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提出书面异议，并同时将该书面异议送阿勒泰地区公共资源交易中心。</w:t>
      </w:r>
    </w:p>
    <w:p w14:paraId="5FD308F1">
      <w:pPr>
        <w:pStyle w:val="32"/>
        <w:spacing w:line="600" w:lineRule="exact"/>
        <w:ind w:right="120"/>
        <w:rPr>
          <w:rFonts w:hint="eastAsia" w:ascii="仿宋_GB2312" w:hAnsi="仿宋_GB2312" w:eastAsia="仿宋_GB2312" w:cs="仿宋_GB2312"/>
          <w:color w:val="000000" w:themeColor="text1"/>
          <w:spacing w:val="-2"/>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3、卖方在接到买方书面异议后，应在</w:t>
      </w:r>
      <w:r>
        <w:rPr>
          <w:rFonts w:hint="eastAsia" w:ascii="仿宋_GB2312" w:hAnsi="仿宋_GB2312" w:eastAsia="仿宋_GB2312" w:cs="仿宋_GB2312"/>
          <w:b/>
          <w:color w:val="000000" w:themeColor="text1"/>
          <w14:textFill>
            <w14:solidFill>
              <w14:schemeClr w14:val="tx1"/>
            </w14:solidFill>
          </w14:textFill>
        </w:rPr>
        <w:t>........</w:t>
      </w:r>
      <w:r>
        <w:rPr>
          <w:rFonts w:hint="eastAsia" w:ascii="仿宋_GB2312" w:hAnsi="仿宋_GB2312" w:eastAsia="仿宋_GB2312" w:cs="仿宋_GB2312"/>
          <w:color w:val="000000" w:themeColor="text1"/>
          <w:spacing w:val="-2"/>
          <w14:textFill>
            <w14:solidFill>
              <w14:schemeClr w14:val="tx1"/>
            </w14:solidFill>
          </w14:textFill>
        </w:rPr>
        <w:t>个工作日内负责处理，否则，即视为默认买方提出的异议和处理意见。卖方处理完后</w:t>
      </w:r>
      <w:r>
        <w:rPr>
          <w:rFonts w:hint="eastAsia" w:ascii="仿宋_GB2312" w:hAnsi="仿宋_GB2312" w:eastAsia="仿宋_GB2312" w:cs="仿宋_GB2312"/>
          <w:b/>
          <w:color w:val="000000" w:themeColor="text1"/>
          <w14:textFill>
            <w14:solidFill>
              <w14:schemeClr w14:val="tx1"/>
            </w14:solidFill>
          </w14:textFill>
        </w:rPr>
        <w:t>........</w:t>
      </w:r>
      <w:r>
        <w:rPr>
          <w:rFonts w:hint="eastAsia" w:ascii="仿宋_GB2312" w:hAnsi="仿宋_GB2312" w:eastAsia="仿宋_GB2312" w:cs="仿宋_GB2312"/>
          <w:color w:val="000000" w:themeColor="text1"/>
          <w:spacing w:val="-2"/>
          <w14:textFill>
            <w14:solidFill>
              <w14:schemeClr w14:val="tx1"/>
            </w14:solidFill>
          </w14:textFill>
        </w:rPr>
        <w:t>个工作日内，应将情况以书面形式告知阿勒泰地区</w:t>
      </w:r>
      <w:r>
        <w:rPr>
          <w:rFonts w:hint="eastAsia" w:ascii="仿宋_GB2312" w:hAnsi="仿宋_GB2312" w:eastAsia="仿宋_GB2312" w:cs="仿宋_GB2312"/>
          <w:color w:val="000000" w:themeColor="text1"/>
          <w:spacing w:val="-2"/>
          <w:lang w:val="en-US" w:eastAsia="zh-CN"/>
          <w14:textFill>
            <w14:solidFill>
              <w14:schemeClr w14:val="tx1"/>
            </w14:solidFill>
          </w14:textFill>
        </w:rPr>
        <w:t>公共资源交易</w:t>
      </w:r>
      <w:r>
        <w:rPr>
          <w:rFonts w:hint="eastAsia" w:ascii="仿宋_GB2312" w:hAnsi="仿宋_GB2312" w:eastAsia="仿宋_GB2312" w:cs="仿宋_GB2312"/>
          <w:color w:val="000000" w:themeColor="text1"/>
          <w:spacing w:val="-2"/>
          <w14:textFill>
            <w14:solidFill>
              <w14:schemeClr w14:val="tx1"/>
            </w14:solidFill>
          </w14:textFill>
        </w:rPr>
        <w:t>中心。</w:t>
      </w:r>
    </w:p>
    <w:p w14:paraId="56D5687D">
      <w:pPr>
        <w:pStyle w:val="32"/>
        <w:spacing w:line="600" w:lineRule="exact"/>
        <w:ind w:right="120"/>
        <w:rPr>
          <w:rFonts w:hint="eastAsia" w:ascii="仿宋_GB2312" w:hAnsi="仿宋_GB2312" w:eastAsia="仿宋_GB2312" w:cs="仿宋_GB2312"/>
          <w:color w:val="000000" w:themeColor="text1"/>
          <w:spacing w:val="-2"/>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六、货物、工程或服务类交付与售后服务</w:t>
      </w:r>
    </w:p>
    <w:p w14:paraId="721BBA41">
      <w:pPr>
        <w:pStyle w:val="32"/>
        <w:spacing w:line="600" w:lineRule="exact"/>
        <w:ind w:right="120"/>
        <w:rPr>
          <w:rFonts w:hint="eastAsia" w:ascii="仿宋_GB2312" w:hAnsi="仿宋_GB2312" w:eastAsia="仿宋_GB2312" w:cs="仿宋_GB2312"/>
          <w:color w:val="000000" w:themeColor="text1"/>
          <w:spacing w:val="-2"/>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1、卖方在交付</w:t>
      </w:r>
      <w:r>
        <w:rPr>
          <w:rFonts w:hint="eastAsia" w:ascii="仿宋_GB2312" w:hAnsi="仿宋_GB2312" w:eastAsia="仿宋_GB2312" w:cs="仿宋_GB2312"/>
          <w:b/>
          <w:color w:val="000000" w:themeColor="text1"/>
          <w14:textFill>
            <w14:solidFill>
              <w14:schemeClr w14:val="tx1"/>
            </w14:solidFill>
          </w14:textFill>
        </w:rPr>
        <w:t>........</w:t>
      </w:r>
      <w:r>
        <w:rPr>
          <w:rFonts w:hint="eastAsia" w:ascii="仿宋_GB2312" w:hAnsi="仿宋_GB2312" w:eastAsia="仿宋_GB2312" w:cs="仿宋_GB2312"/>
          <w:color w:val="000000" w:themeColor="text1"/>
          <w:spacing w:val="-2"/>
          <w14:textFill>
            <w14:solidFill>
              <w14:schemeClr w14:val="tx1"/>
            </w14:solidFill>
          </w14:textFill>
        </w:rPr>
        <w:t>后</w:t>
      </w:r>
      <w:r>
        <w:rPr>
          <w:rFonts w:hint="eastAsia" w:ascii="仿宋_GB2312" w:hAnsi="仿宋_GB2312" w:eastAsia="仿宋_GB2312" w:cs="仿宋_GB2312"/>
          <w:b/>
          <w:color w:val="000000" w:themeColor="text1"/>
          <w14:textFill>
            <w14:solidFill>
              <w14:schemeClr w14:val="tx1"/>
            </w14:solidFill>
          </w14:textFill>
        </w:rPr>
        <w:t>........</w:t>
      </w:r>
      <w:r>
        <w:rPr>
          <w:rFonts w:hint="eastAsia" w:ascii="仿宋_GB2312" w:hAnsi="仿宋_GB2312" w:eastAsia="仿宋_GB2312" w:cs="仿宋_GB2312"/>
          <w:color w:val="000000" w:themeColor="text1"/>
          <w:spacing w:val="-2"/>
          <w14:textFill>
            <w14:solidFill>
              <w14:schemeClr w14:val="tx1"/>
            </w14:solidFill>
          </w14:textFill>
        </w:rPr>
        <w:t>天应负责</w:t>
      </w:r>
      <w:r>
        <w:rPr>
          <w:rFonts w:hint="eastAsia" w:ascii="仿宋_GB2312" w:hAnsi="仿宋_GB2312" w:eastAsia="仿宋_GB2312" w:cs="仿宋_GB2312"/>
          <w:b/>
          <w:color w:val="000000" w:themeColor="text1"/>
          <w14:textFill>
            <w14:solidFill>
              <w14:schemeClr w14:val="tx1"/>
            </w14:solidFill>
          </w14:textFill>
        </w:rPr>
        <w:t>........</w:t>
      </w:r>
      <w:r>
        <w:rPr>
          <w:rFonts w:hint="eastAsia" w:ascii="仿宋_GB2312" w:hAnsi="仿宋_GB2312" w:eastAsia="仿宋_GB2312" w:cs="仿宋_GB2312"/>
          <w:color w:val="000000" w:themeColor="text1"/>
          <w:spacing w:val="-2"/>
          <w14:textFill>
            <w14:solidFill>
              <w14:schemeClr w14:val="tx1"/>
            </w14:solidFill>
          </w14:textFill>
        </w:rPr>
        <w:t>项目最终完成所有工作程序，如有需要，卖方必须对买方</w:t>
      </w:r>
      <w:r>
        <w:rPr>
          <w:rFonts w:hint="eastAsia" w:ascii="仿宋_GB2312" w:hAnsi="仿宋_GB2312" w:eastAsia="仿宋_GB2312" w:cs="仿宋_GB2312"/>
          <w:b/>
          <w:color w:val="000000" w:themeColor="text1"/>
          <w14:textFill>
            <w14:solidFill>
              <w14:schemeClr w14:val="tx1"/>
            </w14:solidFill>
          </w14:textFill>
        </w:rPr>
        <w:t>........</w:t>
      </w:r>
      <w:r>
        <w:rPr>
          <w:rFonts w:hint="eastAsia" w:ascii="仿宋_GB2312" w:hAnsi="仿宋_GB2312" w:eastAsia="仿宋_GB2312" w:cs="仿宋_GB2312"/>
          <w:color w:val="000000" w:themeColor="text1"/>
          <w:spacing w:val="-2"/>
          <w14:textFill>
            <w14:solidFill>
              <w14:schemeClr w14:val="tx1"/>
            </w14:solidFill>
          </w14:textFill>
        </w:rPr>
        <w:t>人进行培训，培训费用由卖方承担。</w:t>
      </w:r>
    </w:p>
    <w:p w14:paraId="18666675">
      <w:pPr>
        <w:pStyle w:val="32"/>
        <w:spacing w:line="600" w:lineRule="exact"/>
        <w:ind w:right="120"/>
        <w:rPr>
          <w:rFonts w:hint="eastAsia" w:ascii="仿宋_GB2312" w:hAnsi="仿宋_GB2312" w:eastAsia="仿宋_GB2312" w:cs="仿宋_GB2312"/>
          <w:color w:val="000000" w:themeColor="text1"/>
          <w:spacing w:val="-2"/>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 xml:space="preserve">2、 </w:t>
      </w:r>
      <w:r>
        <w:rPr>
          <w:rFonts w:hint="eastAsia" w:ascii="仿宋_GB2312" w:hAnsi="仿宋_GB2312" w:eastAsia="仿宋_GB2312" w:cs="仿宋_GB2312"/>
          <w:b/>
          <w:color w:val="000000" w:themeColor="text1"/>
          <w14:textFill>
            <w14:solidFill>
              <w14:schemeClr w14:val="tx1"/>
            </w14:solidFill>
          </w14:textFill>
        </w:rPr>
        <w:t>........</w:t>
      </w:r>
      <w:r>
        <w:rPr>
          <w:rFonts w:hint="eastAsia" w:ascii="仿宋_GB2312" w:hAnsi="仿宋_GB2312" w:eastAsia="仿宋_GB2312" w:cs="仿宋_GB2312"/>
          <w:color w:val="000000" w:themeColor="text1"/>
          <w:spacing w:val="-2"/>
          <w14:textFill>
            <w14:solidFill>
              <w14:schemeClr w14:val="tx1"/>
            </w14:solidFill>
          </w14:textFill>
        </w:rPr>
        <w:t>的质保期内，应在按投标承诺</w:t>
      </w:r>
      <w:r>
        <w:rPr>
          <w:rFonts w:hint="eastAsia" w:ascii="仿宋_GB2312" w:hAnsi="仿宋_GB2312" w:eastAsia="仿宋_GB2312" w:cs="仿宋_GB2312"/>
          <w:b/>
          <w:color w:val="000000" w:themeColor="text1"/>
          <w14:textFill>
            <w14:solidFill>
              <w14:schemeClr w14:val="tx1"/>
            </w14:solidFill>
          </w14:textFill>
        </w:rPr>
        <w:t>........</w:t>
      </w:r>
      <w:r>
        <w:rPr>
          <w:rFonts w:hint="eastAsia" w:ascii="仿宋_GB2312" w:hAnsi="仿宋_GB2312" w:eastAsia="仿宋_GB2312" w:cs="仿宋_GB2312"/>
          <w:color w:val="000000" w:themeColor="text1"/>
          <w:spacing w:val="-2"/>
          <w14:textFill>
            <w14:solidFill>
              <w14:schemeClr w14:val="tx1"/>
            </w14:solidFill>
          </w14:textFill>
        </w:rPr>
        <w:t>小时内上门服务。</w:t>
      </w:r>
    </w:p>
    <w:p w14:paraId="74048CCA">
      <w:pPr>
        <w:pStyle w:val="32"/>
        <w:spacing w:line="600" w:lineRule="exact"/>
        <w:ind w:right="120"/>
        <w:rPr>
          <w:rFonts w:hint="eastAsia" w:ascii="仿宋_GB2312" w:hAnsi="仿宋_GB2312" w:eastAsia="仿宋_GB2312" w:cs="仿宋_GB2312"/>
          <w:color w:val="000000" w:themeColor="text1"/>
          <w:spacing w:val="-2"/>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七、不可抗力因素</w:t>
      </w:r>
    </w:p>
    <w:p w14:paraId="15D215D1">
      <w:pPr>
        <w:pStyle w:val="32"/>
        <w:spacing w:line="600" w:lineRule="exact"/>
        <w:ind w:right="120"/>
        <w:rPr>
          <w:rFonts w:hint="eastAsia" w:ascii="仿宋_GB2312" w:hAnsi="仿宋_GB2312" w:eastAsia="仿宋_GB2312" w:cs="仿宋_GB2312"/>
          <w:color w:val="000000" w:themeColor="text1"/>
          <w:spacing w:val="-2"/>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任何一方由于不可抗力原因不能履行合同时，应在不可抗力事件结束后</w:t>
      </w:r>
      <w:r>
        <w:rPr>
          <w:rFonts w:hint="eastAsia" w:ascii="仿宋_GB2312" w:hAnsi="仿宋_GB2312" w:eastAsia="仿宋_GB2312" w:cs="仿宋_GB2312"/>
          <w:b/>
          <w:color w:val="000000" w:themeColor="text1"/>
          <w14:textFill>
            <w14:solidFill>
              <w14:schemeClr w14:val="tx1"/>
            </w14:solidFill>
          </w14:textFill>
        </w:rPr>
        <w:t>........</w:t>
      </w:r>
      <w:r>
        <w:rPr>
          <w:rFonts w:hint="eastAsia" w:ascii="仿宋_GB2312" w:hAnsi="仿宋_GB2312" w:eastAsia="仿宋_GB2312" w:cs="仿宋_GB2312"/>
          <w:color w:val="000000" w:themeColor="text1"/>
          <w:spacing w:val="-2"/>
          <w14:textFill>
            <w14:solidFill>
              <w14:schemeClr w14:val="tx1"/>
            </w14:solidFill>
          </w14:textFill>
        </w:rPr>
        <w:t>天内向对方通报，以减轻可能给对方造成的损失，在取得有关机构的不可抗力证明或双方谅解确认后，允许延期履行或修订合同，并根据情况可部分或全部免于承担违约责任。</w:t>
      </w:r>
    </w:p>
    <w:p w14:paraId="13FD1703">
      <w:pPr>
        <w:pStyle w:val="32"/>
        <w:spacing w:line="600" w:lineRule="exact"/>
        <w:ind w:right="120"/>
        <w:rPr>
          <w:rFonts w:hint="eastAsia" w:ascii="仿宋_GB2312" w:hAnsi="仿宋_GB2312" w:eastAsia="仿宋_GB2312" w:cs="仿宋_GB2312"/>
          <w:color w:val="000000" w:themeColor="text1"/>
          <w:spacing w:val="-2"/>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八、违约责任</w:t>
      </w:r>
    </w:p>
    <w:p w14:paraId="1995AF9B">
      <w:pPr>
        <w:pStyle w:val="32"/>
        <w:spacing w:line="600" w:lineRule="exact"/>
        <w:ind w:right="120"/>
        <w:rPr>
          <w:rFonts w:hint="eastAsia" w:ascii="仿宋_GB2312" w:hAnsi="仿宋_GB2312" w:eastAsia="仿宋_GB2312" w:cs="仿宋_GB2312"/>
          <w:color w:val="000000" w:themeColor="text1"/>
          <w:spacing w:val="-2"/>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1、卖方延期交付</w:t>
      </w:r>
      <w:r>
        <w:rPr>
          <w:rFonts w:hint="eastAsia" w:ascii="仿宋_GB2312" w:hAnsi="仿宋_GB2312" w:eastAsia="仿宋_GB2312" w:cs="仿宋_GB2312"/>
          <w:b/>
          <w:color w:val="000000" w:themeColor="text1"/>
          <w14:textFill>
            <w14:solidFill>
              <w14:schemeClr w14:val="tx1"/>
            </w14:solidFill>
          </w14:textFill>
        </w:rPr>
        <w:t>........</w:t>
      </w:r>
      <w:r>
        <w:rPr>
          <w:rFonts w:hint="eastAsia" w:ascii="仿宋_GB2312" w:hAnsi="仿宋_GB2312" w:eastAsia="仿宋_GB2312" w:cs="仿宋_GB2312"/>
          <w:color w:val="000000" w:themeColor="text1"/>
          <w:spacing w:val="-2"/>
          <w14:textFill>
            <w14:solidFill>
              <w14:schemeClr w14:val="tx1"/>
            </w14:solidFill>
          </w14:textFill>
        </w:rPr>
        <w:t xml:space="preserve">的，应当承担违约责任。卖方延期交付 </w:t>
      </w:r>
      <w:r>
        <w:rPr>
          <w:rFonts w:hint="eastAsia" w:ascii="仿宋_GB2312" w:hAnsi="仿宋_GB2312" w:eastAsia="仿宋_GB2312" w:cs="仿宋_GB2312"/>
          <w:b/>
          <w:color w:val="000000" w:themeColor="text1"/>
          <w14:textFill>
            <w14:solidFill>
              <w14:schemeClr w14:val="tx1"/>
            </w14:solidFill>
          </w14:textFill>
        </w:rPr>
        <w:t>........</w:t>
      </w:r>
      <w:r>
        <w:rPr>
          <w:rFonts w:hint="eastAsia" w:ascii="仿宋_GB2312" w:hAnsi="仿宋_GB2312" w:eastAsia="仿宋_GB2312" w:cs="仿宋_GB2312"/>
          <w:color w:val="000000" w:themeColor="text1"/>
          <w:spacing w:val="-2"/>
          <w14:textFill>
            <w14:solidFill>
              <w14:schemeClr w14:val="tx1"/>
            </w14:solidFill>
          </w14:textFill>
        </w:rPr>
        <w:t>不超过</w:t>
      </w:r>
      <w:r>
        <w:rPr>
          <w:rFonts w:hint="eastAsia" w:ascii="仿宋_GB2312" w:hAnsi="仿宋_GB2312" w:eastAsia="仿宋_GB2312" w:cs="仿宋_GB2312"/>
          <w:b/>
          <w:color w:val="000000" w:themeColor="text1"/>
          <w14:textFill>
            <w14:solidFill>
              <w14:schemeClr w14:val="tx1"/>
            </w14:solidFill>
          </w14:textFill>
        </w:rPr>
        <w:t>........</w:t>
      </w:r>
      <w:r>
        <w:rPr>
          <w:rFonts w:hint="eastAsia" w:ascii="仿宋_GB2312" w:hAnsi="仿宋_GB2312" w:eastAsia="仿宋_GB2312" w:cs="仿宋_GB2312"/>
          <w:color w:val="000000" w:themeColor="text1"/>
          <w:spacing w:val="-2"/>
          <w14:textFill>
            <w14:solidFill>
              <w14:schemeClr w14:val="tx1"/>
            </w14:solidFill>
          </w14:textFill>
        </w:rPr>
        <w:t>天的，应向买方偿付延期交付</w:t>
      </w:r>
      <w:r>
        <w:rPr>
          <w:rFonts w:hint="eastAsia" w:ascii="仿宋_GB2312" w:hAnsi="仿宋_GB2312" w:eastAsia="仿宋_GB2312" w:cs="仿宋_GB2312"/>
          <w:b/>
          <w:color w:val="000000" w:themeColor="text1"/>
          <w14:textFill>
            <w14:solidFill>
              <w14:schemeClr w14:val="tx1"/>
            </w14:solidFill>
          </w14:textFill>
        </w:rPr>
        <w:t>........</w:t>
      </w:r>
      <w:r>
        <w:rPr>
          <w:rFonts w:hint="eastAsia" w:ascii="仿宋_GB2312" w:hAnsi="仿宋_GB2312" w:eastAsia="仿宋_GB2312" w:cs="仿宋_GB2312"/>
          <w:color w:val="000000" w:themeColor="text1"/>
          <w:spacing w:val="-2"/>
          <w14:textFill>
            <w14:solidFill>
              <w14:schemeClr w14:val="tx1"/>
            </w14:solidFill>
          </w14:textFill>
        </w:rPr>
        <w:t>金额的违约金，并承担买方因此所受的损失费用。</w:t>
      </w:r>
    </w:p>
    <w:p w14:paraId="7F734738">
      <w:pPr>
        <w:pStyle w:val="32"/>
        <w:spacing w:line="600" w:lineRule="exact"/>
        <w:ind w:right="120"/>
        <w:rPr>
          <w:rFonts w:hint="eastAsia" w:ascii="仿宋_GB2312" w:hAnsi="仿宋_GB2312" w:eastAsia="仿宋_GB2312" w:cs="仿宋_GB2312"/>
          <w:color w:val="000000" w:themeColor="text1"/>
          <w:spacing w:val="-2"/>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卖方延期交付</w:t>
      </w:r>
      <w:r>
        <w:rPr>
          <w:rFonts w:hint="eastAsia" w:ascii="仿宋_GB2312" w:hAnsi="仿宋_GB2312" w:eastAsia="仿宋_GB2312" w:cs="仿宋_GB2312"/>
          <w:b/>
          <w:color w:val="000000" w:themeColor="text1"/>
          <w14:textFill>
            <w14:solidFill>
              <w14:schemeClr w14:val="tx1"/>
            </w14:solidFill>
          </w14:textFill>
        </w:rPr>
        <w:t>........</w:t>
      </w:r>
      <w:r>
        <w:rPr>
          <w:rFonts w:hint="eastAsia" w:ascii="仿宋_GB2312" w:hAnsi="仿宋_GB2312" w:eastAsia="仿宋_GB2312" w:cs="仿宋_GB2312"/>
          <w:color w:val="000000" w:themeColor="text1"/>
          <w:spacing w:val="-2"/>
          <w14:textFill>
            <w14:solidFill>
              <w14:schemeClr w14:val="tx1"/>
            </w14:solidFill>
          </w14:textFill>
        </w:rPr>
        <w:t xml:space="preserve">超过 </w:t>
      </w:r>
      <w:r>
        <w:rPr>
          <w:rFonts w:hint="eastAsia" w:ascii="仿宋_GB2312" w:hAnsi="仿宋_GB2312" w:eastAsia="仿宋_GB2312" w:cs="仿宋_GB2312"/>
          <w:b/>
          <w:color w:val="000000" w:themeColor="text1"/>
          <w14:textFill>
            <w14:solidFill>
              <w14:schemeClr w14:val="tx1"/>
            </w14:solidFill>
          </w14:textFill>
        </w:rPr>
        <w:t>........</w:t>
      </w:r>
      <w:r>
        <w:rPr>
          <w:rFonts w:hint="eastAsia" w:ascii="仿宋_GB2312" w:hAnsi="仿宋_GB2312" w:eastAsia="仿宋_GB2312" w:cs="仿宋_GB2312"/>
          <w:color w:val="000000" w:themeColor="text1"/>
          <w:spacing w:val="-2"/>
          <w14:textFill>
            <w14:solidFill>
              <w14:schemeClr w14:val="tx1"/>
            </w14:solidFill>
          </w14:textFill>
        </w:rPr>
        <w:t>天的，买方有权解除合同，买方不解除合同的，卖方向买方支付延期交付金额</w:t>
      </w:r>
      <w:r>
        <w:rPr>
          <w:rFonts w:hint="eastAsia" w:ascii="仿宋_GB2312" w:hAnsi="仿宋_GB2312" w:eastAsia="仿宋_GB2312" w:cs="仿宋_GB2312"/>
          <w:b/>
          <w:color w:val="000000" w:themeColor="text1"/>
          <w14:textFill>
            <w14:solidFill>
              <w14:schemeClr w14:val="tx1"/>
            </w14:solidFill>
          </w14:textFill>
        </w:rPr>
        <w:t>........</w:t>
      </w:r>
      <w:r>
        <w:rPr>
          <w:rFonts w:hint="eastAsia" w:ascii="仿宋_GB2312" w:hAnsi="仿宋_GB2312" w:eastAsia="仿宋_GB2312" w:cs="仿宋_GB2312"/>
          <w:color w:val="000000" w:themeColor="text1"/>
          <w:spacing w:val="-2"/>
          <w14:textFill>
            <w14:solidFill>
              <w14:schemeClr w14:val="tx1"/>
            </w14:solidFill>
          </w14:textFill>
        </w:rPr>
        <w:t>的违约金，并承担买方因此所受的损失费用。</w:t>
      </w:r>
    </w:p>
    <w:p w14:paraId="36D1387A">
      <w:pPr>
        <w:pStyle w:val="32"/>
        <w:spacing w:line="600" w:lineRule="exact"/>
        <w:ind w:right="120"/>
        <w:rPr>
          <w:rFonts w:hint="eastAsia" w:ascii="仿宋_GB2312" w:hAnsi="仿宋_GB2312" w:eastAsia="仿宋_GB2312" w:cs="仿宋_GB2312"/>
          <w:color w:val="000000" w:themeColor="text1"/>
          <w:spacing w:val="-2"/>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2、卖方所提供的</w:t>
      </w:r>
      <w:r>
        <w:rPr>
          <w:rFonts w:hint="eastAsia" w:ascii="仿宋_GB2312" w:hAnsi="仿宋_GB2312" w:eastAsia="仿宋_GB2312" w:cs="仿宋_GB2312"/>
          <w:b/>
          <w:color w:val="000000" w:themeColor="text1"/>
          <w14:textFill>
            <w14:solidFill>
              <w14:schemeClr w14:val="tx1"/>
            </w14:solidFill>
          </w14:textFill>
        </w:rPr>
        <w:t>........</w:t>
      </w:r>
      <w:r>
        <w:rPr>
          <w:rFonts w:hint="eastAsia" w:ascii="仿宋_GB2312" w:hAnsi="仿宋_GB2312" w:eastAsia="仿宋_GB2312" w:cs="仿宋_GB2312"/>
          <w:color w:val="000000" w:themeColor="text1"/>
          <w:spacing w:val="-2"/>
          <w14:textFill>
            <w14:solidFill>
              <w14:schemeClr w14:val="tx1"/>
            </w14:solidFill>
          </w14:textFill>
        </w:rPr>
        <w:t>不符合合同约定的（假一罚十），买方有权拒收，而卖方应按本合同第五条第3点及时处理，并承担买方因此所受的损失费用。</w:t>
      </w:r>
    </w:p>
    <w:p w14:paraId="21DDE40C">
      <w:pPr>
        <w:pStyle w:val="32"/>
        <w:spacing w:line="600" w:lineRule="exact"/>
        <w:ind w:right="120"/>
        <w:rPr>
          <w:rFonts w:hint="eastAsia" w:ascii="仿宋_GB2312" w:hAnsi="仿宋_GB2312" w:eastAsia="仿宋_GB2312" w:cs="仿宋_GB2312"/>
          <w:color w:val="000000" w:themeColor="text1"/>
          <w:spacing w:val="-2"/>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3、卖方应按本合同第六条第2点承诺履行售后服务，否则，卖方应向买方支付该项</w:t>
      </w:r>
      <w:r>
        <w:rPr>
          <w:rFonts w:hint="eastAsia" w:ascii="仿宋_GB2312" w:hAnsi="仿宋_GB2312" w:eastAsia="仿宋_GB2312" w:cs="仿宋_GB2312"/>
          <w:b/>
          <w:color w:val="000000" w:themeColor="text1"/>
          <w14:textFill>
            <w14:solidFill>
              <w14:schemeClr w14:val="tx1"/>
            </w14:solidFill>
          </w14:textFill>
        </w:rPr>
        <w:t>........</w:t>
      </w:r>
      <w:r>
        <w:rPr>
          <w:rFonts w:hint="eastAsia" w:ascii="仿宋_GB2312" w:hAnsi="仿宋_GB2312" w:eastAsia="仿宋_GB2312" w:cs="仿宋_GB2312"/>
          <w:color w:val="000000" w:themeColor="text1"/>
          <w:spacing w:val="-2"/>
          <w14:textFill>
            <w14:solidFill>
              <w14:schemeClr w14:val="tx1"/>
            </w14:solidFill>
          </w14:textFill>
        </w:rPr>
        <w:t>的违约金。</w:t>
      </w:r>
    </w:p>
    <w:p w14:paraId="3D63EE39">
      <w:pPr>
        <w:pStyle w:val="32"/>
        <w:spacing w:line="600" w:lineRule="exact"/>
        <w:ind w:right="120"/>
        <w:rPr>
          <w:rFonts w:hint="eastAsia" w:ascii="仿宋_GB2312" w:hAnsi="仿宋_GB2312" w:eastAsia="仿宋_GB2312" w:cs="仿宋_GB2312"/>
          <w:color w:val="000000" w:themeColor="text1"/>
          <w:spacing w:val="-2"/>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4、卖方验收合格后</w:t>
      </w:r>
      <w:r>
        <w:rPr>
          <w:rFonts w:hint="eastAsia" w:ascii="仿宋_GB2312" w:hAnsi="仿宋_GB2312" w:eastAsia="仿宋_GB2312" w:cs="仿宋_GB2312"/>
          <w:b/>
          <w:color w:val="000000" w:themeColor="text1"/>
          <w14:textFill>
            <w14:solidFill>
              <w14:schemeClr w14:val="tx1"/>
            </w14:solidFill>
          </w14:textFill>
        </w:rPr>
        <w:t>........</w:t>
      </w:r>
      <w:r>
        <w:rPr>
          <w:rFonts w:hint="eastAsia" w:ascii="仿宋_GB2312" w:hAnsi="仿宋_GB2312" w:eastAsia="仿宋_GB2312" w:cs="仿宋_GB2312"/>
          <w:color w:val="000000" w:themeColor="text1"/>
          <w:spacing w:val="-2"/>
          <w14:textFill>
            <w14:solidFill>
              <w14:schemeClr w14:val="tx1"/>
            </w14:solidFill>
          </w14:textFill>
        </w:rPr>
        <w:t>天内按合同付款，每延期一天按合同总额的</w:t>
      </w:r>
      <w:r>
        <w:rPr>
          <w:rFonts w:hint="eastAsia" w:ascii="仿宋_GB2312" w:hAnsi="仿宋_GB2312" w:eastAsia="仿宋_GB2312" w:cs="仿宋_GB2312"/>
          <w:b/>
          <w:color w:val="000000" w:themeColor="text1"/>
          <w14:textFill>
            <w14:solidFill>
              <w14:schemeClr w14:val="tx1"/>
            </w14:solidFill>
          </w14:textFill>
        </w:rPr>
        <w:t>........</w:t>
      </w:r>
      <w:r>
        <w:rPr>
          <w:rFonts w:hint="eastAsia" w:ascii="仿宋_GB2312" w:hAnsi="仿宋_GB2312" w:eastAsia="仿宋_GB2312" w:cs="仿宋_GB2312"/>
          <w:color w:val="000000" w:themeColor="text1"/>
          <w:spacing w:val="-2"/>
          <w14:textFill>
            <w14:solidFill>
              <w14:schemeClr w14:val="tx1"/>
            </w14:solidFill>
          </w14:textFill>
        </w:rPr>
        <w:t>缴纳滞纳金，最多不超过合同总额的 。</w:t>
      </w:r>
    </w:p>
    <w:p w14:paraId="30B6B185">
      <w:pPr>
        <w:pStyle w:val="32"/>
        <w:spacing w:line="600" w:lineRule="exact"/>
        <w:ind w:right="120"/>
        <w:rPr>
          <w:rFonts w:hint="eastAsia" w:ascii="仿宋_GB2312" w:hAnsi="仿宋_GB2312" w:eastAsia="仿宋_GB2312" w:cs="仿宋_GB2312"/>
          <w:color w:val="000000" w:themeColor="text1"/>
          <w:spacing w:val="-2"/>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5、买方未按合同约定验收并签发验收单的，由买方支付延期验收货款</w:t>
      </w:r>
      <w:r>
        <w:rPr>
          <w:rFonts w:hint="eastAsia" w:ascii="仿宋_GB2312" w:hAnsi="仿宋_GB2312" w:eastAsia="仿宋_GB2312" w:cs="仿宋_GB2312"/>
          <w:b/>
          <w:color w:val="000000" w:themeColor="text1"/>
          <w14:textFill>
            <w14:solidFill>
              <w14:schemeClr w14:val="tx1"/>
            </w14:solidFill>
          </w14:textFill>
        </w:rPr>
        <w:t>........</w:t>
      </w:r>
      <w:r>
        <w:rPr>
          <w:rFonts w:hint="eastAsia" w:ascii="仿宋_GB2312" w:hAnsi="仿宋_GB2312" w:eastAsia="仿宋_GB2312" w:cs="仿宋_GB2312"/>
          <w:color w:val="000000" w:themeColor="text1"/>
          <w:spacing w:val="-2"/>
          <w14:textFill>
            <w14:solidFill>
              <w14:schemeClr w14:val="tx1"/>
            </w14:solidFill>
          </w14:textFill>
        </w:rPr>
        <w:t>的违约金。</w:t>
      </w:r>
    </w:p>
    <w:p w14:paraId="3A160A63">
      <w:pPr>
        <w:pStyle w:val="32"/>
        <w:spacing w:line="600" w:lineRule="exact"/>
        <w:ind w:right="120"/>
        <w:rPr>
          <w:rFonts w:hint="eastAsia" w:ascii="仿宋_GB2312" w:hAnsi="仿宋_GB2312" w:eastAsia="仿宋_GB2312" w:cs="仿宋_GB2312"/>
          <w:color w:val="000000" w:themeColor="text1"/>
          <w:spacing w:val="-2"/>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6、在质保期内，由于卖方的原因造成直接经济损失由卖方负责赔偿。由于买方操作人员失误所造成的直接经济损失由买方负责。</w:t>
      </w:r>
    </w:p>
    <w:p w14:paraId="2504258A">
      <w:pPr>
        <w:pStyle w:val="32"/>
        <w:spacing w:line="600" w:lineRule="exact"/>
        <w:ind w:right="120"/>
        <w:rPr>
          <w:rFonts w:hint="eastAsia" w:ascii="仿宋_GB2312" w:hAnsi="仿宋_GB2312" w:eastAsia="仿宋_GB2312" w:cs="仿宋_GB2312"/>
          <w:color w:val="000000" w:themeColor="text1"/>
          <w:spacing w:val="-2"/>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九、合同纠纷解决方式</w:t>
      </w:r>
    </w:p>
    <w:p w14:paraId="0251E816">
      <w:pPr>
        <w:pStyle w:val="32"/>
        <w:spacing w:line="600" w:lineRule="exact"/>
        <w:ind w:right="120"/>
        <w:rPr>
          <w:rFonts w:hint="eastAsia" w:ascii="仿宋_GB2312" w:hAnsi="仿宋_GB2312" w:eastAsia="仿宋_GB2312" w:cs="仿宋_GB2312"/>
          <w:color w:val="000000" w:themeColor="text1"/>
          <w:spacing w:val="-2"/>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合同执行过程中发生争执，由双方协商解决。协商不成时，按下列第</w:t>
      </w:r>
      <w:r>
        <w:rPr>
          <w:rFonts w:hint="eastAsia" w:ascii="仿宋_GB2312" w:hAnsi="仿宋_GB2312" w:eastAsia="仿宋_GB2312" w:cs="仿宋_GB2312"/>
          <w:b/>
          <w:color w:val="000000" w:themeColor="text1"/>
          <w14:textFill>
            <w14:solidFill>
              <w14:schemeClr w14:val="tx1"/>
            </w14:solidFill>
          </w14:textFill>
        </w:rPr>
        <w:t>........</w:t>
      </w:r>
      <w:r>
        <w:rPr>
          <w:rFonts w:hint="eastAsia" w:ascii="仿宋_GB2312" w:hAnsi="仿宋_GB2312" w:eastAsia="仿宋_GB2312" w:cs="仿宋_GB2312"/>
          <w:color w:val="000000" w:themeColor="text1"/>
          <w:spacing w:val="-2"/>
          <w14:textFill>
            <w14:solidFill>
              <w14:schemeClr w14:val="tx1"/>
            </w14:solidFill>
          </w14:textFill>
        </w:rPr>
        <w:t>种方式解决：</w:t>
      </w:r>
    </w:p>
    <w:p w14:paraId="7128F334">
      <w:pPr>
        <w:pStyle w:val="32"/>
        <w:spacing w:line="600" w:lineRule="exact"/>
        <w:ind w:right="120"/>
        <w:rPr>
          <w:rFonts w:hint="eastAsia" w:ascii="仿宋_GB2312" w:hAnsi="仿宋_GB2312" w:eastAsia="仿宋_GB2312" w:cs="仿宋_GB2312"/>
          <w:color w:val="000000" w:themeColor="text1"/>
          <w:spacing w:val="-2"/>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1、提交阿勒泰仲裁委员会仲裁。</w:t>
      </w:r>
    </w:p>
    <w:p w14:paraId="7E26C50A">
      <w:pPr>
        <w:pStyle w:val="32"/>
        <w:spacing w:line="600" w:lineRule="exact"/>
        <w:ind w:right="120"/>
        <w:rPr>
          <w:rFonts w:hint="eastAsia" w:ascii="仿宋_GB2312" w:hAnsi="仿宋_GB2312" w:eastAsia="仿宋_GB2312" w:cs="仿宋_GB2312"/>
          <w:color w:val="000000" w:themeColor="text1"/>
          <w:spacing w:val="-2"/>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2、依法向买方当地人民法院起诉。</w:t>
      </w:r>
    </w:p>
    <w:p w14:paraId="7CE76963">
      <w:pPr>
        <w:pStyle w:val="32"/>
        <w:spacing w:line="600" w:lineRule="exact"/>
        <w:ind w:right="120"/>
        <w:rPr>
          <w:rFonts w:hint="eastAsia" w:ascii="仿宋_GB2312" w:hAnsi="仿宋_GB2312" w:eastAsia="仿宋_GB2312" w:cs="仿宋_GB2312"/>
          <w:color w:val="000000" w:themeColor="text1"/>
          <w:spacing w:val="-2"/>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十、其他</w:t>
      </w:r>
    </w:p>
    <w:p w14:paraId="10BF064D">
      <w:pPr>
        <w:pStyle w:val="32"/>
        <w:spacing w:line="600" w:lineRule="exact"/>
        <w:ind w:right="120"/>
        <w:rPr>
          <w:rFonts w:hint="eastAsia" w:ascii="仿宋_GB2312" w:hAnsi="仿宋_GB2312" w:eastAsia="仿宋_GB2312" w:cs="仿宋_GB2312"/>
          <w:color w:val="000000" w:themeColor="text1"/>
          <w:spacing w:val="-2"/>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1、合同未尽事宜，须经双方协商做出补充规定，补充规定与合同具有同等效力。</w:t>
      </w:r>
    </w:p>
    <w:p w14:paraId="55C276FB">
      <w:pPr>
        <w:pStyle w:val="32"/>
        <w:spacing w:line="600" w:lineRule="exact"/>
        <w:ind w:right="120"/>
        <w:rPr>
          <w:rFonts w:hint="eastAsia" w:ascii="仿宋_GB2312" w:hAnsi="仿宋_GB2312" w:eastAsia="仿宋_GB2312" w:cs="仿宋_GB2312"/>
          <w:color w:val="000000" w:themeColor="text1"/>
          <w:spacing w:val="-2"/>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2、下列文件属合同的依据：投标文件、承诺。</w:t>
      </w:r>
    </w:p>
    <w:p w14:paraId="4213AA43">
      <w:pPr>
        <w:pStyle w:val="32"/>
        <w:spacing w:line="600" w:lineRule="exact"/>
        <w:ind w:right="120"/>
        <w:rPr>
          <w:rFonts w:hint="eastAsia" w:ascii="仿宋_GB2312" w:hAnsi="仿宋_GB2312" w:eastAsia="仿宋_GB2312" w:cs="仿宋_GB2312"/>
          <w:color w:val="000000" w:themeColor="text1"/>
          <w:spacing w:val="-2"/>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3、下列文件属合同的格式：补充规定、补充合同。</w:t>
      </w:r>
    </w:p>
    <w:p w14:paraId="44BEE2FD">
      <w:pPr>
        <w:pStyle w:val="32"/>
        <w:spacing w:line="600" w:lineRule="exact"/>
        <w:ind w:right="120"/>
        <w:rPr>
          <w:rFonts w:hint="eastAsia" w:ascii="仿宋_GB2312" w:hAnsi="仿宋_GB2312" w:eastAsia="仿宋_GB2312" w:cs="仿宋_GB2312"/>
          <w:color w:val="000000" w:themeColor="text1"/>
          <w:spacing w:val="-2"/>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4、本合同经双方签字盖章生效。</w:t>
      </w:r>
    </w:p>
    <w:p w14:paraId="5069EBEF">
      <w:pPr>
        <w:pStyle w:val="32"/>
        <w:spacing w:line="600" w:lineRule="exact"/>
        <w:ind w:right="120"/>
        <w:rPr>
          <w:rFonts w:hint="eastAsia" w:ascii="仿宋_GB2312" w:hAnsi="仿宋_GB2312" w:eastAsia="仿宋_GB2312" w:cs="仿宋_GB2312"/>
          <w:color w:val="000000" w:themeColor="text1"/>
          <w:spacing w:val="-2"/>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5、未经买方书面同意，卖方不得擅自向第三方转让其应履行的合同项下的义务。</w:t>
      </w:r>
    </w:p>
    <w:p w14:paraId="1F988C27">
      <w:pPr>
        <w:pStyle w:val="32"/>
        <w:spacing w:line="600" w:lineRule="exact"/>
        <w:ind w:right="120"/>
        <w:rPr>
          <w:rFonts w:hint="eastAsia" w:ascii="仿宋_GB2312" w:hAnsi="仿宋_GB2312" w:eastAsia="仿宋_GB2312" w:cs="仿宋_GB2312"/>
          <w:color w:val="000000" w:themeColor="text1"/>
          <w:spacing w:val="-2"/>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6、本合同共计</w:t>
      </w:r>
      <w:r>
        <w:rPr>
          <w:rFonts w:hint="eastAsia" w:ascii="仿宋_GB2312" w:hAnsi="仿宋_GB2312" w:eastAsia="仿宋_GB2312" w:cs="仿宋_GB2312"/>
          <w:b/>
          <w:color w:val="000000" w:themeColor="text1"/>
          <w14:textFill>
            <w14:solidFill>
              <w14:schemeClr w14:val="tx1"/>
            </w14:solidFill>
          </w14:textFill>
        </w:rPr>
        <w:t>........</w:t>
      </w:r>
      <w:r>
        <w:rPr>
          <w:rFonts w:hint="eastAsia" w:ascii="仿宋_GB2312" w:hAnsi="仿宋_GB2312" w:eastAsia="仿宋_GB2312" w:cs="仿宋_GB2312"/>
          <w:color w:val="000000" w:themeColor="text1"/>
          <w:spacing w:val="-2"/>
          <w14:textFill>
            <w14:solidFill>
              <w14:schemeClr w14:val="tx1"/>
            </w14:solidFill>
          </w14:textFill>
        </w:rPr>
        <w:t>页A4纸张，缺页之合同为无效合同。</w:t>
      </w:r>
    </w:p>
    <w:p w14:paraId="5AB798DA">
      <w:pPr>
        <w:pStyle w:val="32"/>
        <w:spacing w:line="600" w:lineRule="exact"/>
        <w:ind w:right="120"/>
        <w:rPr>
          <w:rFonts w:hint="eastAsia" w:ascii="仿宋_GB2312" w:hAnsi="仿宋_GB2312" w:eastAsia="仿宋_GB2312" w:cs="仿宋_GB2312"/>
          <w:color w:val="000000" w:themeColor="text1"/>
          <w:spacing w:val="-2"/>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7、本合同一式</w:t>
      </w:r>
      <w:r>
        <w:rPr>
          <w:rFonts w:hint="eastAsia" w:ascii="仿宋_GB2312" w:hAnsi="仿宋_GB2312" w:eastAsia="仿宋_GB2312" w:cs="仿宋_GB2312"/>
          <w:b/>
          <w:color w:val="000000" w:themeColor="text1"/>
          <w14:textFill>
            <w14:solidFill>
              <w14:schemeClr w14:val="tx1"/>
            </w14:solidFill>
          </w14:textFill>
        </w:rPr>
        <w:t>........</w:t>
      </w:r>
      <w:r>
        <w:rPr>
          <w:rFonts w:hint="eastAsia" w:ascii="仿宋_GB2312" w:hAnsi="仿宋_GB2312" w:eastAsia="仿宋_GB2312" w:cs="仿宋_GB2312"/>
          <w:color w:val="000000" w:themeColor="text1"/>
          <w:spacing w:val="-2"/>
          <w14:textFill>
            <w14:solidFill>
              <w14:schemeClr w14:val="tx1"/>
            </w14:solidFill>
          </w14:textFill>
        </w:rPr>
        <w:t>份，阿勒泰地区政府采购办</w:t>
      </w:r>
      <w:r>
        <w:rPr>
          <w:rFonts w:hint="eastAsia" w:ascii="仿宋_GB2312" w:hAnsi="仿宋_GB2312" w:eastAsia="仿宋_GB2312" w:cs="仿宋_GB2312"/>
          <w:b/>
          <w:color w:val="000000" w:themeColor="text1"/>
          <w14:textFill>
            <w14:solidFill>
              <w14:schemeClr w14:val="tx1"/>
            </w14:solidFill>
          </w14:textFill>
        </w:rPr>
        <w:t>........</w:t>
      </w:r>
      <w:r>
        <w:rPr>
          <w:rFonts w:hint="eastAsia" w:ascii="仿宋_GB2312" w:hAnsi="仿宋_GB2312" w:eastAsia="仿宋_GB2312" w:cs="仿宋_GB2312"/>
          <w:color w:val="000000" w:themeColor="text1"/>
          <w:spacing w:val="-2"/>
          <w14:textFill>
            <w14:solidFill>
              <w14:schemeClr w14:val="tx1"/>
            </w14:solidFill>
          </w14:textFill>
        </w:rPr>
        <w:t>份，买方、卖方各</w:t>
      </w:r>
      <w:r>
        <w:rPr>
          <w:rFonts w:hint="eastAsia" w:ascii="仿宋_GB2312" w:hAnsi="仿宋_GB2312" w:eastAsia="仿宋_GB2312" w:cs="仿宋_GB2312"/>
          <w:b/>
          <w:color w:val="000000" w:themeColor="text1"/>
          <w14:textFill>
            <w14:solidFill>
              <w14:schemeClr w14:val="tx1"/>
            </w14:solidFill>
          </w14:textFill>
        </w:rPr>
        <w:t>........</w:t>
      </w:r>
      <w:r>
        <w:rPr>
          <w:rFonts w:hint="eastAsia" w:ascii="仿宋_GB2312" w:hAnsi="仿宋_GB2312" w:eastAsia="仿宋_GB2312" w:cs="仿宋_GB2312"/>
          <w:color w:val="000000" w:themeColor="text1"/>
          <w:spacing w:val="-2"/>
          <w14:textFill>
            <w14:solidFill>
              <w14:schemeClr w14:val="tx1"/>
            </w14:solidFill>
          </w14:textFill>
        </w:rPr>
        <w:t>份，阿勒泰地区公共资源交易中心一份。</w:t>
      </w:r>
    </w:p>
    <w:p w14:paraId="7ABA510B">
      <w:pPr>
        <w:pStyle w:val="32"/>
        <w:spacing w:line="600" w:lineRule="exact"/>
        <w:ind w:right="120"/>
        <w:rPr>
          <w:rFonts w:hint="eastAsia" w:ascii="仿宋_GB2312" w:hAnsi="仿宋_GB2312" w:eastAsia="仿宋_GB2312" w:cs="仿宋_GB2312"/>
          <w:color w:val="000000" w:themeColor="text1"/>
          <w:spacing w:val="-2"/>
          <w14:textFill>
            <w14:solidFill>
              <w14:schemeClr w14:val="tx1"/>
            </w14:solidFill>
          </w14:textFill>
        </w:rPr>
      </w:pPr>
    </w:p>
    <w:p w14:paraId="1F7B458E">
      <w:pPr>
        <w:pStyle w:val="32"/>
        <w:spacing w:line="600" w:lineRule="exact"/>
        <w:ind w:right="120"/>
        <w:rPr>
          <w:rFonts w:hint="eastAsia" w:ascii="仿宋_GB2312" w:hAnsi="仿宋_GB2312" w:eastAsia="仿宋_GB2312" w:cs="仿宋_GB2312"/>
          <w:color w:val="000000" w:themeColor="text1"/>
          <w:spacing w:val="-2"/>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买方（签章）： 卖方（签章）：</w:t>
      </w:r>
    </w:p>
    <w:p w14:paraId="388C826E">
      <w:pPr>
        <w:pStyle w:val="32"/>
        <w:spacing w:line="600" w:lineRule="exact"/>
        <w:ind w:right="120"/>
        <w:rPr>
          <w:rFonts w:hint="eastAsia" w:ascii="仿宋_GB2312" w:hAnsi="仿宋_GB2312" w:eastAsia="仿宋_GB2312" w:cs="仿宋_GB2312"/>
          <w:color w:val="000000" w:themeColor="text1"/>
          <w:spacing w:val="-2"/>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法定代表人： 法定代表人：</w:t>
      </w:r>
    </w:p>
    <w:p w14:paraId="17C3F840">
      <w:pPr>
        <w:pStyle w:val="32"/>
        <w:spacing w:line="600" w:lineRule="exact"/>
        <w:ind w:right="120"/>
        <w:rPr>
          <w:rFonts w:hint="eastAsia" w:ascii="仿宋_GB2312" w:hAnsi="仿宋_GB2312" w:eastAsia="仿宋_GB2312" w:cs="仿宋_GB2312"/>
          <w:color w:val="000000" w:themeColor="text1"/>
          <w:spacing w:val="-2"/>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委托代理人： 委托代理人：</w:t>
      </w:r>
    </w:p>
    <w:p w14:paraId="396D0078">
      <w:pPr>
        <w:pStyle w:val="32"/>
        <w:spacing w:line="600" w:lineRule="exact"/>
        <w:ind w:right="120"/>
        <w:rPr>
          <w:rFonts w:hint="eastAsia" w:ascii="仿宋_GB2312" w:hAnsi="仿宋_GB2312" w:eastAsia="仿宋_GB2312" w:cs="仿宋_GB2312"/>
          <w:color w:val="000000" w:themeColor="text1"/>
          <w:spacing w:val="-2"/>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电话： 电话：</w:t>
      </w:r>
    </w:p>
    <w:p w14:paraId="5F28C8F6">
      <w:pPr>
        <w:pStyle w:val="32"/>
        <w:spacing w:line="600" w:lineRule="exact"/>
        <w:ind w:right="120"/>
        <w:rPr>
          <w:rFonts w:hint="eastAsia" w:ascii="仿宋_GB2312" w:hAnsi="仿宋_GB2312" w:eastAsia="仿宋_GB2312" w:cs="仿宋_GB2312"/>
          <w:color w:val="000000" w:themeColor="text1"/>
          <w:spacing w:val="-2"/>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单位地址： 单位地址：</w:t>
      </w:r>
    </w:p>
    <w:p w14:paraId="3D33C548">
      <w:pPr>
        <w:pStyle w:val="32"/>
        <w:spacing w:line="600" w:lineRule="exact"/>
        <w:ind w:right="120"/>
        <w:rPr>
          <w:rFonts w:hint="eastAsia" w:ascii="仿宋_GB2312" w:hAnsi="仿宋_GB2312" w:eastAsia="仿宋_GB2312" w:cs="仿宋_GB2312"/>
          <w:color w:val="000000" w:themeColor="text1"/>
          <w:spacing w:val="-2"/>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签订日期： 开户银行：</w:t>
      </w:r>
    </w:p>
    <w:p w14:paraId="559A3510">
      <w:pPr>
        <w:pStyle w:val="32"/>
        <w:spacing w:line="600" w:lineRule="exact"/>
        <w:ind w:right="120"/>
        <w:rPr>
          <w:rFonts w:hint="eastAsia" w:ascii="仿宋_GB2312" w:hAnsi="仿宋_GB2312" w:eastAsia="仿宋_GB2312" w:cs="仿宋_GB2312"/>
          <w:color w:val="000000" w:themeColor="text1"/>
          <w:spacing w:val="-2"/>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签订地点： 户名：</w:t>
      </w:r>
    </w:p>
    <w:p w14:paraId="11153F92">
      <w:pPr>
        <w:pStyle w:val="32"/>
        <w:spacing w:line="600" w:lineRule="exact"/>
        <w:ind w:right="120" w:firstLine="1180" w:firstLineChars="500"/>
        <w:rPr>
          <w:rFonts w:hint="eastAsia" w:ascii="仿宋_GB2312" w:hAnsi="仿宋_GB2312" w:eastAsia="仿宋_GB2312" w:cs="仿宋_GB2312"/>
          <w:color w:val="000000" w:themeColor="text1"/>
          <w:spacing w:val="-2"/>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账号：</w:t>
      </w:r>
    </w:p>
    <w:p w14:paraId="63D8279A">
      <w:pPr>
        <w:pStyle w:val="32"/>
        <w:spacing w:line="600" w:lineRule="exact"/>
        <w:ind w:right="120" w:firstLine="5192" w:firstLineChars="2200"/>
        <w:rPr>
          <w:rFonts w:hint="eastAsia" w:ascii="仿宋_GB2312" w:hAnsi="仿宋_GB2312" w:eastAsia="仿宋_GB2312" w:cs="仿宋_GB2312"/>
          <w:color w:val="000000" w:themeColor="text1"/>
          <w:spacing w:val="-2"/>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邮编：</w:t>
      </w:r>
    </w:p>
    <w:p w14:paraId="0584544B">
      <w:pPr>
        <w:pStyle w:val="32"/>
        <w:spacing w:line="600" w:lineRule="exact"/>
        <w:ind w:right="120" w:firstLine="5192" w:firstLineChars="2200"/>
        <w:rPr>
          <w:rFonts w:hint="eastAsia" w:ascii="仿宋_GB2312" w:hAnsi="仿宋_GB2312" w:eastAsia="仿宋_GB2312" w:cs="仿宋_GB2312"/>
          <w:color w:val="000000" w:themeColor="text1"/>
          <w:spacing w:val="-2"/>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签订日期:</w:t>
      </w:r>
    </w:p>
    <w:p w14:paraId="62828DD1">
      <w:pPr>
        <w:pStyle w:val="32"/>
        <w:spacing w:line="600" w:lineRule="exact"/>
        <w:ind w:right="120" w:firstLine="5192" w:firstLineChars="2200"/>
        <w:rPr>
          <w:rFonts w:hint="eastAsia" w:ascii="仿宋_GB2312" w:hAnsi="仿宋_GB2312" w:eastAsia="仿宋_GB2312" w:cs="仿宋_GB2312"/>
          <w:color w:val="000000" w:themeColor="text1"/>
          <w:spacing w:val="-2"/>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签订地点：</w:t>
      </w:r>
    </w:p>
    <w:p w14:paraId="61630B79">
      <w:pPr>
        <w:pStyle w:val="32"/>
        <w:spacing w:line="600" w:lineRule="exact"/>
        <w:ind w:right="120"/>
        <w:rPr>
          <w:rFonts w:hint="eastAsia" w:ascii="仿宋_GB2312" w:hAnsi="仿宋_GB2312" w:eastAsia="仿宋_GB2312" w:cs="仿宋_GB2312"/>
          <w:color w:val="000000" w:themeColor="text1"/>
          <w:spacing w:val="-2"/>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（注：本章提供的拟签订的合同文本为一般格式范本，仅供参考。合同双方可根据项目实际情况进行补充修订或依法另行签订补充合同）</w:t>
      </w:r>
    </w:p>
    <w:p w14:paraId="020E336D">
      <w:pPr>
        <w:jc w:val="left"/>
        <w:rPr>
          <w:rFonts w:hint="eastAsia" w:ascii="仿宋_GB2312" w:hAnsi="仿宋_GB2312" w:eastAsia="仿宋_GB2312" w:cs="仿宋_GB2312"/>
          <w:bCs/>
          <w:color w:val="000000" w:themeColor="text1"/>
          <w:sz w:val="28"/>
          <w:szCs w:val="28"/>
          <w:shd w:val="clear" w:color="auto" w:fill="92D050"/>
          <w14:textFill>
            <w14:solidFill>
              <w14:schemeClr w14:val="tx1"/>
            </w14:solidFill>
          </w14:textFill>
        </w:rPr>
      </w:pPr>
    </w:p>
    <w:p w14:paraId="055053D3">
      <w:pPr>
        <w:widowControl/>
        <w:jc w:val="left"/>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br w:type="page"/>
      </w:r>
    </w:p>
    <w:p w14:paraId="77D1154A">
      <w:pPr>
        <w:widowControl/>
        <w:jc w:val="left"/>
        <w:rPr>
          <w:rFonts w:hint="default" w:ascii="Times New Roman" w:hAnsi="Times New Roman" w:cs="Times New Roman" w:eastAsiaTheme="majorEastAsia"/>
          <w:bCs/>
          <w:color w:val="000000" w:themeColor="text1"/>
          <w:sz w:val="28"/>
          <w:szCs w:val="28"/>
          <w14:textFill>
            <w14:solidFill>
              <w14:schemeClr w14:val="tx1"/>
            </w14:solidFill>
          </w14:textFill>
        </w:rPr>
      </w:pPr>
    </w:p>
    <w:p w14:paraId="2D174E63">
      <w:pPr>
        <w:pStyle w:val="3"/>
        <w:numPr>
          <w:ilvl w:val="0"/>
          <w:numId w:val="0"/>
        </w:numPr>
        <w:spacing w:before="0" w:after="0" w:line="240" w:lineRule="auto"/>
        <w:rPr>
          <w:rFonts w:hint="eastAsia" w:ascii="仿宋_GB2312" w:hAnsi="仿宋_GB2312" w:eastAsia="仿宋_GB2312" w:cs="仿宋_GB2312"/>
          <w:b/>
          <w:bCs w:val="0"/>
          <w:color w:val="000000" w:themeColor="text1"/>
          <w14:textFill>
            <w14:solidFill>
              <w14:schemeClr w14:val="tx1"/>
            </w14:solidFill>
          </w14:textFill>
        </w:rPr>
      </w:pPr>
      <w:bookmarkStart w:id="150" w:name="_Toc19992"/>
      <w:bookmarkStart w:id="151" w:name="_Toc257633148"/>
      <w:r>
        <w:rPr>
          <w:rFonts w:hint="eastAsia" w:ascii="仿宋_GB2312" w:hAnsi="仿宋_GB2312" w:eastAsia="仿宋_GB2312" w:cs="仿宋_GB2312"/>
          <w:b/>
          <w:bCs w:val="0"/>
          <w:color w:val="000000" w:themeColor="text1"/>
          <w:kern w:val="44"/>
          <w:sz w:val="44"/>
          <w:szCs w:val="44"/>
          <w:lang w:val="en-US" w:eastAsia="zh-CN" w:bidi="ar-SA"/>
          <w14:textFill>
            <w14:solidFill>
              <w14:schemeClr w14:val="tx1"/>
            </w14:solidFill>
          </w14:textFill>
        </w:rPr>
        <w:t xml:space="preserve">第六章 </w:t>
      </w:r>
      <w:r>
        <w:rPr>
          <w:rFonts w:hint="eastAsia" w:ascii="仿宋_GB2312" w:hAnsi="仿宋_GB2312" w:eastAsia="仿宋_GB2312" w:cs="仿宋_GB2312"/>
          <w:b/>
          <w:bCs w:val="0"/>
          <w:color w:val="000000" w:themeColor="text1"/>
          <w14:textFill>
            <w14:solidFill>
              <w14:schemeClr w14:val="tx1"/>
            </w14:solidFill>
          </w14:textFill>
        </w:rPr>
        <w:t>竞争性磋商响应文件格式</w:t>
      </w:r>
      <w:bookmarkEnd w:id="150"/>
    </w:p>
    <w:p w14:paraId="2F010E23">
      <w:pPr>
        <w:rPr>
          <w:rFonts w:hint="default" w:ascii="Times New Roman" w:hAnsi="Times New Roman" w:cs="Times New Roman"/>
          <w:color w:val="000000" w:themeColor="text1"/>
          <w14:textFill>
            <w14:solidFill>
              <w14:schemeClr w14:val="tx1"/>
            </w14:solidFill>
          </w14:textFill>
        </w:rPr>
      </w:pPr>
    </w:p>
    <w:p w14:paraId="4ACDA29B">
      <w:pPr>
        <w:spacing w:line="360" w:lineRule="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一、封面</w:t>
      </w:r>
    </w:p>
    <w:p w14:paraId="3534A684">
      <w:pPr>
        <w:spacing w:line="360" w:lineRule="auto"/>
        <w:rPr>
          <w:rFonts w:hint="eastAsia"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（一）响应文件封面</w:t>
      </w:r>
    </w:p>
    <w:p w14:paraId="026DDDD3">
      <w:pPr>
        <w:spacing w:line="360" w:lineRule="auto"/>
        <w:rPr>
          <w:rFonts w:hint="eastAsia" w:ascii="仿宋_GB2312" w:hAnsi="仿宋_GB2312" w:eastAsia="仿宋_GB2312" w:cs="仿宋_GB2312"/>
          <w:b/>
          <w:color w:val="000000" w:themeColor="text1"/>
          <w:sz w:val="24"/>
          <w14:textFill>
            <w14:solidFill>
              <w14:schemeClr w14:val="tx1"/>
            </w14:solidFill>
          </w14:textFill>
        </w:rPr>
      </w:pPr>
    </w:p>
    <w:p w14:paraId="733F381C">
      <w:pPr>
        <w:spacing w:line="360" w:lineRule="auto"/>
        <w:jc w:val="center"/>
        <w:rPr>
          <w:rFonts w:hint="eastAsia" w:ascii="仿宋_GB2312" w:hAnsi="仿宋_GB2312" w:eastAsia="仿宋_GB2312" w:cs="仿宋_GB2312"/>
          <w:color w:val="000000" w:themeColor="text1"/>
          <w:sz w:val="24"/>
          <w14:textFill>
            <w14:solidFill>
              <w14:schemeClr w14:val="tx1"/>
            </w14:solidFill>
          </w14:textFill>
        </w:rPr>
      </w:pPr>
    </w:p>
    <w:p w14:paraId="25C12D86">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（项目名称）</w:t>
      </w:r>
    </w:p>
    <w:p w14:paraId="06913D3A">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p w14:paraId="39076978">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（项目编号）</w:t>
      </w:r>
    </w:p>
    <w:p w14:paraId="571EDAF5">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p w14:paraId="20B35AC5">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（包号）</w:t>
      </w:r>
    </w:p>
    <w:p w14:paraId="769BE5E9">
      <w:pPr>
        <w:spacing w:line="360" w:lineRule="auto"/>
        <w:jc w:val="center"/>
        <w:rPr>
          <w:rFonts w:hint="eastAsia" w:ascii="仿宋_GB2312" w:hAnsi="仿宋_GB2312" w:eastAsia="仿宋_GB2312" w:cs="仿宋_GB2312"/>
          <w:color w:val="000000" w:themeColor="text1"/>
          <w:sz w:val="24"/>
          <w14:textFill>
            <w14:solidFill>
              <w14:schemeClr w14:val="tx1"/>
            </w14:solidFill>
          </w14:textFill>
        </w:rPr>
      </w:pPr>
    </w:p>
    <w:p w14:paraId="368D9DA6">
      <w:pPr>
        <w:spacing w:line="360" w:lineRule="auto"/>
        <w:jc w:val="center"/>
        <w:rPr>
          <w:rFonts w:hint="eastAsia" w:ascii="仿宋_GB2312" w:hAnsi="仿宋_GB2312" w:eastAsia="仿宋_GB2312" w:cs="仿宋_GB2312"/>
          <w:color w:val="000000" w:themeColor="text1"/>
          <w:sz w:val="24"/>
          <w14:textFill>
            <w14:solidFill>
              <w14:schemeClr w14:val="tx1"/>
            </w14:solidFill>
          </w14:textFill>
        </w:rPr>
      </w:pPr>
    </w:p>
    <w:p w14:paraId="78B7B24B">
      <w:pPr>
        <w:spacing w:line="360" w:lineRule="auto"/>
        <w:jc w:val="center"/>
        <w:rPr>
          <w:rFonts w:hint="eastAsia" w:ascii="仿宋_GB2312" w:hAnsi="仿宋_GB2312" w:eastAsia="仿宋_GB2312" w:cs="仿宋_GB2312"/>
          <w:b/>
          <w:color w:val="000000" w:themeColor="text1"/>
          <w:sz w:val="72"/>
          <w:szCs w:val="72"/>
          <w14:textFill>
            <w14:solidFill>
              <w14:schemeClr w14:val="tx1"/>
            </w14:solidFill>
          </w14:textFill>
        </w:rPr>
      </w:pPr>
      <w:r>
        <w:rPr>
          <w:rFonts w:hint="eastAsia" w:ascii="仿宋_GB2312" w:hAnsi="仿宋_GB2312" w:eastAsia="仿宋_GB2312" w:cs="仿宋_GB2312"/>
          <w:b/>
          <w:color w:val="000000" w:themeColor="text1"/>
          <w:sz w:val="72"/>
          <w:szCs w:val="72"/>
          <w14:textFill>
            <w14:solidFill>
              <w14:schemeClr w14:val="tx1"/>
            </w14:solidFill>
          </w14:textFill>
        </w:rPr>
        <w:t>响应文件</w:t>
      </w:r>
    </w:p>
    <w:p w14:paraId="56A4ECE3">
      <w:pPr>
        <w:spacing w:line="360" w:lineRule="auto"/>
        <w:jc w:val="center"/>
        <w:rPr>
          <w:rFonts w:hint="eastAsia" w:ascii="仿宋_GB2312" w:hAnsi="仿宋_GB2312" w:eastAsia="仿宋_GB2312" w:cs="仿宋_GB2312"/>
          <w:color w:val="000000" w:themeColor="text1"/>
          <w:sz w:val="24"/>
          <w14:textFill>
            <w14:solidFill>
              <w14:schemeClr w14:val="tx1"/>
            </w14:solidFill>
          </w14:textFill>
        </w:rPr>
      </w:pPr>
    </w:p>
    <w:p w14:paraId="24B91470">
      <w:pPr>
        <w:spacing w:line="360" w:lineRule="auto"/>
        <w:rPr>
          <w:rFonts w:hint="eastAsia" w:ascii="仿宋_GB2312" w:hAnsi="仿宋_GB2312" w:eastAsia="仿宋_GB2312" w:cs="仿宋_GB2312"/>
          <w:b/>
          <w:color w:val="000000" w:themeColor="text1"/>
          <w:sz w:val="24"/>
          <w14:textFill>
            <w14:solidFill>
              <w14:schemeClr w14:val="tx1"/>
            </w14:solidFill>
          </w14:textFill>
        </w:rPr>
      </w:pPr>
    </w:p>
    <w:p w14:paraId="6775C415">
      <w:pPr>
        <w:spacing w:line="360" w:lineRule="auto"/>
        <w:jc w:val="center"/>
        <w:rPr>
          <w:rFonts w:hint="eastAsia" w:ascii="仿宋_GB2312" w:hAnsi="仿宋_GB2312" w:eastAsia="仿宋_GB2312" w:cs="仿宋_GB2312"/>
          <w:b/>
          <w:color w:val="000000" w:themeColor="text1"/>
          <w:sz w:val="24"/>
          <w14:textFill>
            <w14:solidFill>
              <w14:schemeClr w14:val="tx1"/>
            </w14:solidFill>
          </w14:textFill>
        </w:rPr>
      </w:pPr>
    </w:p>
    <w:p w14:paraId="0BBE4C46">
      <w:pPr>
        <w:spacing w:line="360" w:lineRule="auto"/>
        <w:jc w:val="center"/>
        <w:rPr>
          <w:rFonts w:hint="eastAsia" w:ascii="仿宋_GB2312" w:hAnsi="仿宋_GB2312" w:eastAsia="仿宋_GB2312" w:cs="仿宋_GB2312"/>
          <w:b/>
          <w:color w:val="000000" w:themeColor="text1"/>
          <w:sz w:val="24"/>
          <w14:textFill>
            <w14:solidFill>
              <w14:schemeClr w14:val="tx1"/>
            </w14:solidFill>
          </w14:textFill>
        </w:rPr>
      </w:pPr>
    </w:p>
    <w:p w14:paraId="7CBE6F8B">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供应商（供应商电子公章）</w:t>
      </w:r>
    </w:p>
    <w:p w14:paraId="37286D0A">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法定代表人（电子签章）</w:t>
      </w:r>
    </w:p>
    <w:p w14:paraId="24B03153">
      <w:pPr>
        <w:spacing w:line="360" w:lineRule="auto"/>
        <w:ind w:firstLine="2520" w:firstLineChars="9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日期（年/月/日）</w:t>
      </w:r>
    </w:p>
    <w:p w14:paraId="5274AE47">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p w14:paraId="790718D1">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p w14:paraId="1F4D75F0">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p w14:paraId="71AD9329">
      <w:pPr>
        <w:spacing w:line="360" w:lineRule="auto"/>
        <w:jc w:val="center"/>
        <w:rPr>
          <w:rFonts w:hint="default" w:ascii="Times New Roman" w:hAnsi="Times New Roman" w:cs="Times New Roman"/>
          <w:color w:val="000000" w:themeColor="text1"/>
          <w:sz w:val="28"/>
          <w:szCs w:val="28"/>
          <w14:textFill>
            <w14:solidFill>
              <w14:schemeClr w14:val="tx1"/>
            </w14:solidFill>
          </w14:textFill>
        </w:rPr>
      </w:pPr>
    </w:p>
    <w:p w14:paraId="7C3B998F">
      <w:pPr>
        <w:spacing w:line="360" w:lineRule="auto"/>
        <w:jc w:val="both"/>
        <w:rPr>
          <w:rFonts w:hint="default" w:ascii="Times New Roman" w:hAnsi="Times New Roman" w:cs="Times New Roman"/>
          <w:color w:val="000000" w:themeColor="text1"/>
          <w:sz w:val="28"/>
          <w:szCs w:val="28"/>
          <w14:textFill>
            <w14:solidFill>
              <w14:schemeClr w14:val="tx1"/>
            </w14:solidFill>
          </w14:textFill>
        </w:rPr>
      </w:pPr>
    </w:p>
    <w:p w14:paraId="7500BE4A">
      <w:pPr>
        <w:jc w:val="center"/>
        <w:rPr>
          <w:rFonts w:hint="eastAsia" w:ascii="仿宋_GB2312" w:hAnsi="仿宋_GB2312" w:eastAsia="仿宋_GB2312" w:cs="仿宋_GB2312"/>
          <w:b/>
          <w:bCs/>
          <w:color w:val="000000" w:themeColor="text1"/>
          <w:sz w:val="36"/>
          <w:szCs w:val="36"/>
          <w:lang w:eastAsia="zh-CN"/>
          <w14:textFill>
            <w14:solidFill>
              <w14:schemeClr w14:val="tx1"/>
            </w14:solidFill>
          </w14:textFill>
        </w:rPr>
      </w:pPr>
      <w:r>
        <w:rPr>
          <w:rFonts w:hint="eastAsia" w:ascii="仿宋_GB2312" w:hAnsi="仿宋_GB2312" w:eastAsia="仿宋_GB2312" w:cs="仿宋_GB2312"/>
          <w:b/>
          <w:bCs/>
          <w:color w:val="000000" w:themeColor="text1"/>
          <w:sz w:val="36"/>
          <w:szCs w:val="36"/>
          <w:lang w:eastAsia="zh-CN"/>
          <w14:textFill>
            <w14:solidFill>
              <w14:schemeClr w14:val="tx1"/>
            </w14:solidFill>
          </w14:textFill>
        </w:rPr>
        <w:t>评分索引表</w:t>
      </w:r>
    </w:p>
    <w:tbl>
      <w:tblPr>
        <w:tblStyle w:val="37"/>
        <w:tblpPr w:leftFromText="180" w:rightFromText="180" w:vertAnchor="text" w:horzAnchor="page" w:tblpX="1988" w:tblpY="771"/>
        <w:tblOverlap w:val="never"/>
        <w:tblW w:w="83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2"/>
        <w:gridCol w:w="4192"/>
      </w:tblGrid>
      <w:tr w14:paraId="281F1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vAlign w:val="center"/>
          </w:tcPr>
          <w:p w14:paraId="197810A2">
            <w:pPr>
              <w:jc w:val="center"/>
              <w:rPr>
                <w:rFonts w:hint="eastAsia" w:ascii="仿宋_GB2312" w:hAnsi="仿宋_GB2312" w:eastAsia="仿宋_GB2312" w:cs="仿宋_GB2312"/>
                <w:color w:val="000000" w:themeColor="text1"/>
                <w:sz w:val="24"/>
                <w:szCs w:val="24"/>
                <w:lang w:eastAsia="zh-CN"/>
                <w14:textFill>
                  <w14:solidFill>
                    <w14:schemeClr w14:val="tx1"/>
                  </w14:solidFill>
                </w14:textFill>
              </w:rPr>
            </w:pPr>
          </w:p>
          <w:p w14:paraId="3B5EDB9C">
            <w:pPr>
              <w:jc w:val="center"/>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评分项目</w:t>
            </w:r>
          </w:p>
        </w:tc>
        <w:tc>
          <w:tcPr>
            <w:tcW w:w="4192" w:type="dxa"/>
          </w:tcPr>
          <w:p w14:paraId="6BBDDFB7">
            <w:pPr>
              <w:pStyle w:val="17"/>
              <w:ind w:left="0" w:leftChars="0" w:firstLine="0" w:firstLineChars="0"/>
              <w:jc w:val="left"/>
              <w:rPr>
                <w:rFonts w:hint="eastAsia" w:ascii="仿宋_GB2312" w:hAnsi="仿宋_GB2312" w:eastAsia="仿宋_GB2312" w:cs="仿宋_GB2312"/>
                <w:color w:val="000000" w:themeColor="text1"/>
                <w:sz w:val="24"/>
                <w:szCs w:val="24"/>
                <w14:textFill>
                  <w14:solidFill>
                    <w14:schemeClr w14:val="tx1"/>
                  </w14:solidFill>
                </w14:textFill>
              </w:rPr>
            </w:pPr>
          </w:p>
          <w:p w14:paraId="0FEB1981">
            <w:pPr>
              <w:pStyle w:val="17"/>
              <w:ind w:left="0" w:leftChars="0" w:firstLine="0" w:firstLineChars="0"/>
              <w:jc w:val="lef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在投标文件中的页码位置（注明在**节点下第**页，如“技术参数响应及偏离表I”第**页</w:t>
            </w:r>
          </w:p>
          <w:p w14:paraId="592ABED9">
            <w:pPr>
              <w:rPr>
                <w:rFonts w:hint="eastAsia" w:ascii="仿宋_GB2312" w:hAnsi="仿宋_GB2312" w:eastAsia="仿宋_GB2312" w:cs="仿宋_GB2312"/>
                <w:color w:val="000000" w:themeColor="text1"/>
                <w:sz w:val="24"/>
                <w:szCs w:val="24"/>
                <w14:textFill>
                  <w14:solidFill>
                    <w14:schemeClr w14:val="tx1"/>
                  </w14:solidFill>
                </w14:textFill>
              </w:rPr>
            </w:pPr>
          </w:p>
          <w:p w14:paraId="0730F4EF">
            <w:pPr>
              <w:pStyle w:val="17"/>
              <w:rPr>
                <w:rFonts w:hint="eastAsia" w:ascii="仿宋_GB2312" w:hAnsi="仿宋_GB2312" w:eastAsia="仿宋_GB2312" w:cs="仿宋_GB2312"/>
                <w:color w:val="000000" w:themeColor="text1"/>
                <w:sz w:val="24"/>
                <w:szCs w:val="24"/>
                <w14:textFill>
                  <w14:solidFill>
                    <w14:schemeClr w14:val="tx1"/>
                  </w14:solidFill>
                </w14:textFill>
              </w:rPr>
            </w:pPr>
          </w:p>
        </w:tc>
      </w:tr>
      <w:tr w14:paraId="270DF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5774F7BB">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416000E6">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3A7F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563E0B5E">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19633A5B">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5A582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784D239B">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74C6FE79">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09733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01A65A31">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675CA23C">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22E4C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53460DBC">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0DE2D1D1">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5AC85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130EC897">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41A9BA00">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3389C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15DCFD4C">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28459716">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60B00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7AFD7860">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5C34E040">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04D9B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795E001B">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4B547AD0">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3116B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01FC83E5">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599161F7">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4955B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31A1BE88">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72B1CB17">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21B8F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066F277E">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246E8F2D">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39C5B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71E97247">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7B94179A">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bl>
    <w:p w14:paraId="4CCC748D">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color w:val="000000" w:themeColor="text1"/>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br w:type="page"/>
      </w:r>
    </w:p>
    <w:p w14:paraId="33EDE3E2">
      <w:pPr>
        <w:rPr>
          <w:rFonts w:hint="default"/>
          <w:color w:val="000000" w:themeColor="text1"/>
          <w:sz w:val="36"/>
          <w:szCs w:val="36"/>
          <w14:textFill>
            <w14:solidFill>
              <w14:schemeClr w14:val="tx1"/>
            </w14:solidFill>
          </w14:textFill>
        </w:rPr>
      </w:pPr>
    </w:p>
    <w:bookmarkEnd w:id="151"/>
    <w:p w14:paraId="0F4EB951">
      <w:pPr>
        <w:pStyle w:val="18"/>
        <w:tabs>
          <w:tab w:val="left" w:pos="8786"/>
        </w:tabs>
        <w:spacing w:after="0" w:line="360" w:lineRule="auto"/>
        <w:outlineLvl w:val="1"/>
        <w:rPr>
          <w:rFonts w:hint="eastAsia" w:ascii="仿宋_GB2312" w:hAnsi="仿宋_GB2312" w:eastAsia="仿宋_GB2312" w:cs="仿宋_GB2312"/>
          <w:b/>
          <w:color w:val="000000" w:themeColor="text1"/>
          <w:sz w:val="36"/>
          <w:szCs w:val="36"/>
          <w14:textFill>
            <w14:solidFill>
              <w14:schemeClr w14:val="tx1"/>
            </w14:solidFill>
          </w14:textFill>
        </w:rPr>
      </w:pPr>
      <w:bookmarkStart w:id="152" w:name="_Toc492921359"/>
      <w:bookmarkStart w:id="153" w:name="_Toc480368421"/>
      <w:bookmarkStart w:id="154" w:name="_Toc519111290"/>
      <w:r>
        <w:rPr>
          <w:rFonts w:hint="eastAsia" w:ascii="仿宋_GB2312" w:hAnsi="仿宋_GB2312" w:eastAsia="仿宋_GB2312" w:cs="仿宋_GB2312"/>
          <w:b/>
          <w:color w:val="000000"/>
          <w:kern w:val="2"/>
          <w:sz w:val="36"/>
          <w:szCs w:val="36"/>
          <w:lang w:val="en-US" w:eastAsia="zh-CN" w:bidi="ar-SA"/>
        </w:rPr>
        <w:t>☆</w:t>
      </w:r>
      <w:r>
        <w:rPr>
          <w:rFonts w:hint="eastAsia" w:ascii="仿宋_GB2312" w:hAnsi="仿宋_GB2312" w:eastAsia="仿宋_GB2312" w:cs="仿宋_GB2312"/>
          <w:b/>
          <w:color w:val="000000" w:themeColor="text1"/>
          <w:sz w:val="36"/>
          <w:szCs w:val="36"/>
          <w14:textFill>
            <w14:solidFill>
              <w14:schemeClr w14:val="tx1"/>
            </w14:solidFill>
          </w14:textFill>
        </w:rPr>
        <w:t>二、资格审查材料</w:t>
      </w:r>
    </w:p>
    <w:p w14:paraId="477988EF">
      <w:pPr>
        <w:pStyle w:val="95"/>
        <w:outlineLvl w:val="2"/>
        <w:rPr>
          <w:rFonts w:hint="eastAsia" w:ascii="仿宋_GB2312" w:hAnsi="仿宋_GB2312" w:eastAsia="仿宋_GB2312" w:cs="仿宋_GB2312"/>
          <w:b w:val="0"/>
          <w:bCs/>
          <w:color w:val="000000" w:themeColor="text1"/>
          <w:kern w:val="2"/>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2"/>
          <w:sz w:val="28"/>
          <w:szCs w:val="28"/>
          <w14:textFill>
            <w14:solidFill>
              <w14:schemeClr w14:val="tx1"/>
            </w14:solidFill>
          </w14:textFill>
        </w:rPr>
        <w:t>（一）</w:t>
      </w:r>
      <w:r>
        <w:rPr>
          <w:rFonts w:hint="eastAsia" w:ascii="仿宋_GB2312" w:hAnsi="仿宋_GB2312" w:eastAsia="仿宋_GB2312" w:cs="仿宋_GB2312"/>
          <w:b w:val="0"/>
          <w:bCs/>
          <w:color w:val="000000" w:themeColor="text1"/>
          <w:kern w:val="2"/>
          <w:sz w:val="28"/>
          <w:szCs w:val="28"/>
          <w14:textFill>
            <w14:solidFill>
              <w14:schemeClr w14:val="tx1"/>
            </w14:solidFill>
          </w14:textFill>
        </w:rPr>
        <w:t>营业执照、组织机构代码证、税务登记证</w:t>
      </w:r>
      <w:r>
        <w:rPr>
          <w:rFonts w:hint="eastAsia" w:ascii="仿宋_GB2312" w:hAnsi="仿宋_GB2312" w:eastAsia="仿宋_GB2312" w:cs="仿宋_GB2312"/>
          <w:b w:val="0"/>
          <w:bCs/>
          <w:color w:val="000000" w:themeColor="text1"/>
          <w:kern w:val="2"/>
          <w:sz w:val="28"/>
          <w:szCs w:val="28"/>
          <w:lang w:eastAsia="zh-CN"/>
          <w14:textFill>
            <w14:solidFill>
              <w14:schemeClr w14:val="tx1"/>
            </w14:solidFill>
          </w14:textFill>
        </w:rPr>
        <w:t>（</w:t>
      </w:r>
      <w:r>
        <w:rPr>
          <w:rFonts w:hint="eastAsia" w:ascii="仿宋_GB2312" w:hAnsi="仿宋_GB2312" w:eastAsia="仿宋_GB2312" w:cs="仿宋_GB2312"/>
          <w:b w:val="0"/>
          <w:bCs/>
          <w:color w:val="000000" w:themeColor="text1"/>
          <w:kern w:val="2"/>
          <w:sz w:val="28"/>
          <w:szCs w:val="28"/>
          <w:lang w:val="en-US" w:eastAsia="zh-CN"/>
          <w14:textFill>
            <w14:solidFill>
              <w14:schemeClr w14:val="tx1"/>
            </w14:solidFill>
          </w14:textFill>
        </w:rPr>
        <w:t>三证合一</w:t>
      </w:r>
      <w:r>
        <w:rPr>
          <w:rFonts w:hint="eastAsia" w:ascii="仿宋_GB2312" w:hAnsi="仿宋_GB2312" w:eastAsia="仿宋_GB2312" w:cs="仿宋_GB2312"/>
          <w:b w:val="0"/>
          <w:bCs/>
          <w:color w:val="000000" w:themeColor="text1"/>
          <w:kern w:val="2"/>
          <w:sz w:val="28"/>
          <w:szCs w:val="28"/>
          <w:lang w:eastAsia="zh-CN"/>
          <w14:textFill>
            <w14:solidFill>
              <w14:schemeClr w14:val="tx1"/>
            </w14:solidFill>
          </w14:textFill>
        </w:rPr>
        <w:t>）</w:t>
      </w:r>
    </w:p>
    <w:p w14:paraId="216C20ED">
      <w:pPr>
        <w:spacing w:line="360" w:lineRule="auto"/>
        <w:rPr>
          <w:rFonts w:hint="eastAsia" w:ascii="仿宋_GB2312" w:hAnsi="仿宋_GB2312" w:eastAsia="仿宋_GB2312" w:cs="仿宋_GB2312"/>
          <w:b w:val="0"/>
          <w:bCs/>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2"/>
          <w:sz w:val="28"/>
          <w:szCs w:val="28"/>
          <w:lang w:val="en-US" w:eastAsia="zh-CN" w:bidi="ar-SA"/>
          <w14:textFill>
            <w14:solidFill>
              <w14:schemeClr w14:val="tx1"/>
            </w14:solidFill>
          </w14:textFill>
        </w:rPr>
        <w:t>最近一个年度的财务状况报告（成立不满一年不需提供）</w:t>
      </w:r>
    </w:p>
    <w:p w14:paraId="17D3D73D">
      <w:pPr>
        <w:spacing w:line="360" w:lineRule="auto"/>
        <w:rPr>
          <w:rFonts w:hint="eastAsia" w:ascii="仿宋_GB2312" w:hAnsi="仿宋_GB2312" w:eastAsia="仿宋_GB2312" w:cs="仿宋_GB2312"/>
          <w:b w:val="0"/>
          <w:bCs/>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2"/>
          <w:sz w:val="28"/>
          <w:szCs w:val="28"/>
          <w:lang w:val="en-US" w:eastAsia="zh-CN" w:bidi="ar-SA"/>
          <w14:textFill>
            <w14:solidFill>
              <w14:schemeClr w14:val="tx1"/>
            </w14:solidFill>
          </w14:textFill>
        </w:rPr>
        <w:t>具备履行合同所必须的设备和专业技术能力的书面证明</w:t>
      </w:r>
    </w:p>
    <w:p w14:paraId="13D0C7C6">
      <w:pPr>
        <w:pStyle w:val="18"/>
        <w:tabs>
          <w:tab w:val="left" w:pos="8786"/>
        </w:tabs>
        <w:spacing w:after="0" w:line="360" w:lineRule="auto"/>
        <w:outlineLvl w:val="1"/>
        <w:rPr>
          <w:rFonts w:hint="eastAsia" w:ascii="仿宋_GB2312" w:hAnsi="仿宋_GB2312" w:eastAsia="仿宋_GB2312" w:cs="仿宋_GB2312"/>
          <w:b w:val="0"/>
          <w:bCs/>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2"/>
          <w:sz w:val="28"/>
          <w:szCs w:val="28"/>
          <w:lang w:val="en-US" w:eastAsia="zh-CN" w:bidi="ar-SA"/>
          <w14:textFill>
            <w14:solidFill>
              <w14:schemeClr w14:val="tx1"/>
            </w14:solidFill>
          </w14:textFill>
        </w:rPr>
        <w:t xml:space="preserve">依法缴纳税收和社会保障资金的相关材料（提供提交投标文件截止时间前一年内至少一个月依法缴纳税收及缴纳社会保障资金的证明材料。投标人依法享受缓缴、免缴税收、社会保障资金的提供证明材料。） </w:t>
      </w:r>
    </w:p>
    <w:p w14:paraId="4601ED80">
      <w:pPr>
        <w:rPr>
          <w:rFonts w:hint="eastAsia" w:ascii="仿宋_GB2312" w:hAnsi="仿宋_GB2312" w:eastAsia="仿宋_GB2312" w:cs="仿宋_GB2312"/>
          <w:b w:val="0"/>
          <w:bCs/>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2"/>
          <w:sz w:val="28"/>
          <w:szCs w:val="28"/>
          <w:lang w:val="en-US" w:eastAsia="zh-CN" w:bidi="ar-SA"/>
          <w14:textFill>
            <w14:solidFill>
              <w14:schemeClr w14:val="tx1"/>
            </w14:solidFill>
          </w14:textFill>
        </w:rPr>
        <w:t>参加政府采购活动前3年内在经营活动中没有重大违法记录的书面声明</w:t>
      </w:r>
    </w:p>
    <w:p w14:paraId="40AD2801">
      <w:pPr>
        <w:pStyle w:val="18"/>
        <w:tabs>
          <w:tab w:val="left" w:pos="8786"/>
        </w:tabs>
        <w:spacing w:after="0" w:line="360" w:lineRule="auto"/>
        <w:outlineLvl w:val="1"/>
        <w:rPr>
          <w:rFonts w:hint="eastAsia" w:ascii="仿宋_GB2312" w:hAnsi="仿宋_GB2312" w:eastAsia="仿宋_GB2312" w:cs="仿宋_GB2312"/>
          <w:b w:val="0"/>
          <w:bCs/>
          <w:color w:val="000000" w:themeColor="text1"/>
          <w:sz w:val="28"/>
          <w:szCs w:val="28"/>
          <w14:textFill>
            <w14:solidFill>
              <w14:schemeClr w14:val="tx1"/>
            </w14:solidFill>
          </w14:textFill>
        </w:rPr>
      </w:pPr>
    </w:p>
    <w:p w14:paraId="41F9E6DF">
      <w:pPr>
        <w:pStyle w:val="18"/>
        <w:tabs>
          <w:tab w:val="left" w:pos="8786"/>
        </w:tabs>
        <w:spacing w:after="0" w:line="360" w:lineRule="auto"/>
        <w:outlineLvl w:val="1"/>
        <w:rPr>
          <w:rFonts w:hint="eastAsia" w:ascii="宋体" w:hAnsi="宋体" w:eastAsia="宋体" w:cs="宋体"/>
          <w:b w:val="0"/>
          <w:bCs/>
          <w:color w:val="000000" w:themeColor="text1"/>
          <w:sz w:val="32"/>
          <w:szCs w:val="32"/>
          <w14:textFill>
            <w14:solidFill>
              <w14:schemeClr w14:val="tx1"/>
            </w14:solidFill>
          </w14:textFill>
        </w:rPr>
      </w:pPr>
    </w:p>
    <w:p w14:paraId="4429E53D">
      <w:pPr>
        <w:pStyle w:val="18"/>
        <w:tabs>
          <w:tab w:val="left" w:pos="8786"/>
        </w:tabs>
        <w:spacing w:after="0" w:line="360" w:lineRule="auto"/>
        <w:outlineLvl w:val="1"/>
        <w:rPr>
          <w:rFonts w:hint="default" w:ascii="Times New Roman" w:hAnsi="Times New Roman" w:cs="Times New Roman"/>
          <w:b/>
          <w:color w:val="000000" w:themeColor="text1"/>
          <w:sz w:val="24"/>
          <w14:textFill>
            <w14:solidFill>
              <w14:schemeClr w14:val="tx1"/>
            </w14:solidFill>
          </w14:textFill>
        </w:rPr>
      </w:pPr>
    </w:p>
    <w:p w14:paraId="274F2079">
      <w:pPr>
        <w:pStyle w:val="18"/>
        <w:tabs>
          <w:tab w:val="left" w:pos="8786"/>
        </w:tabs>
        <w:spacing w:after="0" w:line="360" w:lineRule="auto"/>
        <w:outlineLvl w:val="1"/>
        <w:rPr>
          <w:rFonts w:hint="default" w:ascii="Times New Roman" w:hAnsi="Times New Roman" w:cs="Times New Roman"/>
          <w:b/>
          <w:color w:val="000000" w:themeColor="text1"/>
          <w:sz w:val="24"/>
          <w14:textFill>
            <w14:solidFill>
              <w14:schemeClr w14:val="tx1"/>
            </w14:solidFill>
          </w14:textFill>
        </w:rPr>
      </w:pPr>
    </w:p>
    <w:p w14:paraId="278EBA55">
      <w:pPr>
        <w:pStyle w:val="18"/>
        <w:tabs>
          <w:tab w:val="left" w:pos="8786"/>
        </w:tabs>
        <w:spacing w:after="0" w:line="360" w:lineRule="auto"/>
        <w:outlineLvl w:val="1"/>
        <w:rPr>
          <w:rFonts w:hint="default" w:ascii="Times New Roman" w:hAnsi="Times New Roman" w:cs="Times New Roman"/>
          <w:b/>
          <w:color w:val="000000" w:themeColor="text1"/>
          <w:sz w:val="24"/>
          <w14:textFill>
            <w14:solidFill>
              <w14:schemeClr w14:val="tx1"/>
            </w14:solidFill>
          </w14:textFill>
        </w:rPr>
      </w:pPr>
    </w:p>
    <w:p w14:paraId="2B726F0F">
      <w:pPr>
        <w:pStyle w:val="18"/>
        <w:tabs>
          <w:tab w:val="left" w:pos="8786"/>
        </w:tabs>
        <w:spacing w:after="0" w:line="360" w:lineRule="auto"/>
        <w:outlineLvl w:val="1"/>
        <w:rPr>
          <w:rFonts w:hint="default" w:ascii="Times New Roman" w:hAnsi="Times New Roman" w:cs="Times New Roman"/>
          <w:b/>
          <w:color w:val="000000" w:themeColor="text1"/>
          <w:sz w:val="24"/>
          <w14:textFill>
            <w14:solidFill>
              <w14:schemeClr w14:val="tx1"/>
            </w14:solidFill>
          </w14:textFill>
        </w:rPr>
      </w:pPr>
    </w:p>
    <w:p w14:paraId="7C5E8E4A">
      <w:pPr>
        <w:pStyle w:val="18"/>
        <w:tabs>
          <w:tab w:val="left" w:pos="8786"/>
        </w:tabs>
        <w:spacing w:after="0" w:line="360" w:lineRule="auto"/>
        <w:outlineLvl w:val="1"/>
        <w:rPr>
          <w:rFonts w:hint="default" w:ascii="Times New Roman" w:hAnsi="Times New Roman" w:cs="Times New Roman"/>
          <w:b/>
          <w:color w:val="000000" w:themeColor="text1"/>
          <w:sz w:val="24"/>
          <w14:textFill>
            <w14:solidFill>
              <w14:schemeClr w14:val="tx1"/>
            </w14:solidFill>
          </w14:textFill>
        </w:rPr>
      </w:pPr>
    </w:p>
    <w:p w14:paraId="041CC817">
      <w:pPr>
        <w:pStyle w:val="18"/>
        <w:tabs>
          <w:tab w:val="left" w:pos="8786"/>
        </w:tabs>
        <w:spacing w:after="0" w:line="360" w:lineRule="auto"/>
        <w:outlineLvl w:val="1"/>
        <w:rPr>
          <w:rFonts w:hint="default" w:ascii="Times New Roman" w:hAnsi="Times New Roman" w:cs="Times New Roman"/>
          <w:b/>
          <w:color w:val="000000" w:themeColor="text1"/>
          <w:sz w:val="24"/>
          <w14:textFill>
            <w14:solidFill>
              <w14:schemeClr w14:val="tx1"/>
            </w14:solidFill>
          </w14:textFill>
        </w:rPr>
      </w:pPr>
    </w:p>
    <w:p w14:paraId="3D2D9CA2">
      <w:pPr>
        <w:pStyle w:val="18"/>
        <w:tabs>
          <w:tab w:val="left" w:pos="8786"/>
        </w:tabs>
        <w:spacing w:after="0" w:line="360" w:lineRule="auto"/>
        <w:outlineLvl w:val="1"/>
        <w:rPr>
          <w:rFonts w:hint="default" w:ascii="Times New Roman" w:hAnsi="Times New Roman" w:cs="Times New Roman"/>
          <w:b/>
          <w:color w:val="000000" w:themeColor="text1"/>
          <w:sz w:val="24"/>
          <w14:textFill>
            <w14:solidFill>
              <w14:schemeClr w14:val="tx1"/>
            </w14:solidFill>
          </w14:textFill>
        </w:rPr>
      </w:pPr>
    </w:p>
    <w:p w14:paraId="788EC843">
      <w:pPr>
        <w:pStyle w:val="18"/>
        <w:tabs>
          <w:tab w:val="left" w:pos="8786"/>
        </w:tabs>
        <w:spacing w:after="0" w:line="360" w:lineRule="auto"/>
        <w:outlineLvl w:val="1"/>
        <w:rPr>
          <w:rFonts w:hint="default" w:ascii="Times New Roman" w:hAnsi="Times New Roman" w:cs="Times New Roman"/>
          <w:b/>
          <w:color w:val="000000" w:themeColor="text1"/>
          <w:sz w:val="24"/>
          <w14:textFill>
            <w14:solidFill>
              <w14:schemeClr w14:val="tx1"/>
            </w14:solidFill>
          </w14:textFill>
        </w:rPr>
      </w:pPr>
    </w:p>
    <w:p w14:paraId="06062C34">
      <w:pPr>
        <w:pStyle w:val="18"/>
        <w:tabs>
          <w:tab w:val="left" w:pos="8786"/>
        </w:tabs>
        <w:spacing w:after="0" w:line="360" w:lineRule="auto"/>
        <w:outlineLvl w:val="1"/>
        <w:rPr>
          <w:rFonts w:hint="default" w:ascii="Times New Roman" w:hAnsi="Times New Roman" w:cs="Times New Roman"/>
          <w:b/>
          <w:color w:val="000000" w:themeColor="text1"/>
          <w:sz w:val="24"/>
          <w14:textFill>
            <w14:solidFill>
              <w14:schemeClr w14:val="tx1"/>
            </w14:solidFill>
          </w14:textFill>
        </w:rPr>
      </w:pPr>
    </w:p>
    <w:p w14:paraId="02B3F2F4">
      <w:pPr>
        <w:pStyle w:val="18"/>
        <w:tabs>
          <w:tab w:val="left" w:pos="8786"/>
        </w:tabs>
        <w:spacing w:after="0" w:line="360" w:lineRule="auto"/>
        <w:outlineLvl w:val="1"/>
        <w:rPr>
          <w:rFonts w:hint="default" w:ascii="Times New Roman" w:hAnsi="Times New Roman" w:cs="Times New Roman"/>
          <w:b/>
          <w:color w:val="000000" w:themeColor="text1"/>
          <w:sz w:val="24"/>
          <w14:textFill>
            <w14:solidFill>
              <w14:schemeClr w14:val="tx1"/>
            </w14:solidFill>
          </w14:textFill>
        </w:rPr>
      </w:pPr>
    </w:p>
    <w:p w14:paraId="051B9D9F">
      <w:pPr>
        <w:pStyle w:val="18"/>
        <w:tabs>
          <w:tab w:val="left" w:pos="8786"/>
        </w:tabs>
        <w:spacing w:after="0" w:line="360" w:lineRule="auto"/>
        <w:outlineLvl w:val="1"/>
        <w:rPr>
          <w:rFonts w:hint="default" w:ascii="Times New Roman" w:hAnsi="Times New Roman" w:cs="Times New Roman"/>
          <w:b/>
          <w:color w:val="000000" w:themeColor="text1"/>
          <w:sz w:val="24"/>
          <w14:textFill>
            <w14:solidFill>
              <w14:schemeClr w14:val="tx1"/>
            </w14:solidFill>
          </w14:textFill>
        </w:rPr>
      </w:pPr>
    </w:p>
    <w:p w14:paraId="574CD7E4">
      <w:pPr>
        <w:pStyle w:val="18"/>
        <w:tabs>
          <w:tab w:val="left" w:pos="8786"/>
        </w:tabs>
        <w:spacing w:after="0" w:line="360" w:lineRule="auto"/>
        <w:outlineLvl w:val="1"/>
        <w:rPr>
          <w:rFonts w:hint="default" w:ascii="Times New Roman" w:hAnsi="Times New Roman" w:cs="Times New Roman"/>
          <w:b/>
          <w:color w:val="000000" w:themeColor="text1"/>
          <w:sz w:val="24"/>
          <w14:textFill>
            <w14:solidFill>
              <w14:schemeClr w14:val="tx1"/>
            </w14:solidFill>
          </w14:textFill>
        </w:rPr>
      </w:pPr>
    </w:p>
    <w:p w14:paraId="0BF880B0">
      <w:pPr>
        <w:pStyle w:val="18"/>
        <w:tabs>
          <w:tab w:val="left" w:pos="8786"/>
        </w:tabs>
        <w:spacing w:after="0" w:line="360" w:lineRule="auto"/>
        <w:outlineLvl w:val="1"/>
        <w:rPr>
          <w:rFonts w:hint="default" w:ascii="Times New Roman" w:hAnsi="Times New Roman" w:cs="Times New Roman"/>
          <w:b/>
          <w:color w:val="000000" w:themeColor="text1"/>
          <w:sz w:val="24"/>
          <w14:textFill>
            <w14:solidFill>
              <w14:schemeClr w14:val="tx1"/>
            </w14:solidFill>
          </w14:textFill>
        </w:rPr>
      </w:pPr>
    </w:p>
    <w:p w14:paraId="7EBBFA45">
      <w:pPr>
        <w:pStyle w:val="18"/>
        <w:tabs>
          <w:tab w:val="left" w:pos="8786"/>
        </w:tabs>
        <w:spacing w:after="0" w:line="360" w:lineRule="auto"/>
        <w:outlineLvl w:val="1"/>
        <w:rPr>
          <w:rFonts w:hint="default" w:ascii="Times New Roman" w:hAnsi="Times New Roman" w:cs="Times New Roman"/>
          <w:b/>
          <w:color w:val="000000" w:themeColor="text1"/>
          <w:sz w:val="24"/>
          <w14:textFill>
            <w14:solidFill>
              <w14:schemeClr w14:val="tx1"/>
            </w14:solidFill>
          </w14:textFill>
        </w:rPr>
      </w:pPr>
    </w:p>
    <w:p w14:paraId="1EE46471">
      <w:pPr>
        <w:pStyle w:val="18"/>
        <w:tabs>
          <w:tab w:val="left" w:pos="8786"/>
        </w:tabs>
        <w:spacing w:after="0" w:line="360" w:lineRule="auto"/>
        <w:outlineLvl w:val="1"/>
        <w:rPr>
          <w:rFonts w:hint="default" w:ascii="Times New Roman" w:hAnsi="Times New Roman" w:cs="Times New Roman"/>
          <w:b/>
          <w:color w:val="000000" w:themeColor="text1"/>
          <w:sz w:val="24"/>
          <w14:textFill>
            <w14:solidFill>
              <w14:schemeClr w14:val="tx1"/>
            </w14:solidFill>
          </w14:textFill>
        </w:rPr>
      </w:pPr>
    </w:p>
    <w:p w14:paraId="1549E640">
      <w:pPr>
        <w:pStyle w:val="18"/>
        <w:tabs>
          <w:tab w:val="left" w:pos="8786"/>
        </w:tabs>
        <w:spacing w:after="0" w:line="360" w:lineRule="auto"/>
        <w:outlineLvl w:val="1"/>
        <w:rPr>
          <w:rFonts w:hint="default" w:ascii="Times New Roman" w:hAnsi="Times New Roman" w:cs="Times New Roman"/>
          <w:b/>
          <w:color w:val="000000" w:themeColor="text1"/>
          <w:sz w:val="24"/>
          <w14:textFill>
            <w14:solidFill>
              <w14:schemeClr w14:val="tx1"/>
            </w14:solidFill>
          </w14:textFill>
        </w:rPr>
      </w:pPr>
    </w:p>
    <w:p w14:paraId="616649E6">
      <w:pPr>
        <w:pStyle w:val="18"/>
        <w:tabs>
          <w:tab w:val="left" w:pos="8786"/>
        </w:tabs>
        <w:spacing w:after="0" w:line="360" w:lineRule="auto"/>
        <w:outlineLvl w:val="1"/>
        <w:rPr>
          <w:rFonts w:hint="default" w:ascii="Times New Roman" w:hAnsi="Times New Roman" w:cs="Times New Roman"/>
          <w:b/>
          <w:color w:val="000000" w:themeColor="text1"/>
          <w:sz w:val="24"/>
          <w14:textFill>
            <w14:solidFill>
              <w14:schemeClr w14:val="tx1"/>
            </w14:solidFill>
          </w14:textFill>
        </w:rPr>
      </w:pPr>
    </w:p>
    <w:p w14:paraId="321C9803">
      <w:pPr>
        <w:pStyle w:val="18"/>
        <w:tabs>
          <w:tab w:val="left" w:pos="8786"/>
        </w:tabs>
        <w:spacing w:after="0" w:line="360" w:lineRule="auto"/>
        <w:outlineLvl w:val="1"/>
        <w:rPr>
          <w:rFonts w:hint="default" w:ascii="Times New Roman" w:hAnsi="Times New Roman" w:cs="Times New Roman"/>
          <w:b/>
          <w:color w:val="000000" w:themeColor="text1"/>
          <w:sz w:val="24"/>
          <w14:textFill>
            <w14:solidFill>
              <w14:schemeClr w14:val="tx1"/>
            </w14:solidFill>
          </w14:textFill>
        </w:rPr>
      </w:pPr>
    </w:p>
    <w:p w14:paraId="2A807509">
      <w:pPr>
        <w:pStyle w:val="18"/>
        <w:tabs>
          <w:tab w:val="left" w:pos="8786"/>
        </w:tabs>
        <w:spacing w:after="0" w:line="360" w:lineRule="auto"/>
        <w:outlineLvl w:val="1"/>
        <w:rPr>
          <w:rFonts w:hint="default" w:ascii="Times New Roman" w:hAnsi="Times New Roman" w:cs="Times New Roman"/>
          <w:b/>
          <w:color w:val="000000" w:themeColor="text1"/>
          <w:sz w:val="24"/>
          <w14:textFill>
            <w14:solidFill>
              <w14:schemeClr w14:val="tx1"/>
            </w14:solidFill>
          </w14:textFill>
        </w:rPr>
      </w:pPr>
    </w:p>
    <w:p w14:paraId="4E552ABA">
      <w:pPr>
        <w:pStyle w:val="18"/>
        <w:tabs>
          <w:tab w:val="left" w:pos="8786"/>
        </w:tabs>
        <w:spacing w:after="0" w:line="360" w:lineRule="auto"/>
        <w:outlineLvl w:val="1"/>
        <w:rPr>
          <w:rFonts w:hint="default" w:ascii="Times New Roman" w:hAnsi="Times New Roman" w:cs="Times New Roman"/>
          <w:b/>
          <w:color w:val="000000" w:themeColor="text1"/>
          <w:sz w:val="24"/>
          <w14:textFill>
            <w14:solidFill>
              <w14:schemeClr w14:val="tx1"/>
            </w14:solidFill>
          </w14:textFill>
        </w:rPr>
      </w:pPr>
    </w:p>
    <w:p w14:paraId="1FA3B92F">
      <w:pPr>
        <w:pStyle w:val="18"/>
        <w:tabs>
          <w:tab w:val="left" w:pos="8786"/>
        </w:tabs>
        <w:spacing w:after="0" w:line="360" w:lineRule="auto"/>
        <w:outlineLvl w:val="1"/>
        <w:rPr>
          <w:rFonts w:hint="default" w:ascii="Times New Roman" w:hAnsi="Times New Roman" w:cs="Times New Roman"/>
          <w:b/>
          <w:color w:val="000000" w:themeColor="text1"/>
          <w:sz w:val="24"/>
          <w14:textFill>
            <w14:solidFill>
              <w14:schemeClr w14:val="tx1"/>
            </w14:solidFill>
          </w14:textFill>
        </w:rPr>
      </w:pPr>
    </w:p>
    <w:p w14:paraId="7B9AE746">
      <w:pPr>
        <w:pStyle w:val="18"/>
        <w:tabs>
          <w:tab w:val="left" w:pos="8786"/>
        </w:tabs>
        <w:spacing w:after="0" w:line="360" w:lineRule="auto"/>
        <w:outlineLvl w:val="1"/>
        <w:rPr>
          <w:rFonts w:hint="eastAsia" w:ascii="仿宋_GB2312" w:hAnsi="仿宋_GB2312" w:eastAsia="仿宋_GB2312" w:cs="仿宋_GB2312"/>
          <w:b/>
          <w:color w:val="000000" w:themeColor="text1"/>
          <w:sz w:val="36"/>
          <w:szCs w:val="36"/>
          <w14:textFill>
            <w14:solidFill>
              <w14:schemeClr w14:val="tx1"/>
            </w14:solidFill>
          </w14:textFill>
        </w:rPr>
      </w:pPr>
      <w:bookmarkStart w:id="155" w:name="_Toc480368423"/>
      <w:bookmarkStart w:id="156" w:name="_Toc492921361"/>
      <w:r>
        <w:rPr>
          <w:rFonts w:hint="eastAsia" w:ascii="仿宋_GB2312" w:hAnsi="仿宋_GB2312" w:eastAsia="仿宋_GB2312" w:cs="仿宋_GB2312"/>
          <w:b/>
          <w:color w:val="000000" w:themeColor="text1"/>
          <w:sz w:val="36"/>
          <w:szCs w:val="36"/>
          <w14:textFill>
            <w14:solidFill>
              <w14:schemeClr w14:val="tx1"/>
            </w14:solidFill>
          </w14:textFill>
        </w:rPr>
        <w:t>（二）法定代表人身份证明及授权委托书</w:t>
      </w:r>
      <w:bookmarkEnd w:id="155"/>
      <w:bookmarkEnd w:id="156"/>
    </w:p>
    <w:p w14:paraId="15FA18A8">
      <w:pPr>
        <w:pStyle w:val="86"/>
        <w:adjustRightInd w:val="0"/>
        <w:snapToGrid w:val="0"/>
        <w:spacing w:line="50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bookmarkStart w:id="157" w:name="_Toc487101376"/>
      <w:bookmarkEnd w:id="157"/>
      <w:bookmarkStart w:id="158" w:name="_Toc487101305"/>
      <w:bookmarkEnd w:id="158"/>
      <w:bookmarkStart w:id="159" w:name="_Toc487101447"/>
      <w:bookmarkEnd w:id="159"/>
      <w:r>
        <w:rPr>
          <w:rFonts w:hint="eastAsia" w:ascii="仿宋_GB2312" w:hAnsi="仿宋_GB2312" w:eastAsia="仿宋_GB2312" w:cs="仿宋_GB2312"/>
          <w:color w:val="000000" w:themeColor="text1"/>
          <w:sz w:val="28"/>
          <w:szCs w:val="28"/>
          <w14:textFill>
            <w14:solidFill>
              <w14:schemeClr w14:val="tx1"/>
            </w14:solidFill>
          </w14:textFill>
        </w:rPr>
        <w:t>法定代表人资格证明文件</w:t>
      </w:r>
    </w:p>
    <w:p w14:paraId="69F74E30">
      <w:pPr>
        <w:pStyle w:val="86"/>
        <w:adjustRightInd w:val="0"/>
        <w:snapToGrid w:val="0"/>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u w:val="single"/>
          <w14:textFill>
            <w14:solidFill>
              <w14:schemeClr w14:val="tx1"/>
            </w14:solidFill>
          </w14:textFill>
        </w:rPr>
        <w:t>（代理机构名称）</w:t>
      </w:r>
      <w:r>
        <w:rPr>
          <w:rFonts w:hint="eastAsia" w:ascii="仿宋_GB2312" w:hAnsi="仿宋_GB2312" w:eastAsia="仿宋_GB2312" w:cs="仿宋_GB2312"/>
          <w:color w:val="000000" w:themeColor="text1"/>
          <w:sz w:val="28"/>
          <w:szCs w:val="28"/>
          <w14:textFill>
            <w14:solidFill>
              <w14:schemeClr w14:val="tx1"/>
            </w14:solidFill>
          </w14:textFill>
        </w:rPr>
        <w:t>：</w:t>
      </w:r>
    </w:p>
    <w:p w14:paraId="7F1E2662">
      <w:pPr>
        <w:pStyle w:val="86"/>
        <w:adjustRightInd w:val="0"/>
        <w:snapToGrid w:val="0"/>
        <w:spacing w:line="50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兹有</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同志为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公司法定代表人，代表我公司办理一切社会公务事宜，具有法律效力。</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p>
    <w:p w14:paraId="54D84C59">
      <w:pPr>
        <w:pStyle w:val="86"/>
        <w:adjustRightInd w:val="0"/>
        <w:snapToGrid w:val="0"/>
        <w:spacing w:line="50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附法定代表人基本情况： </w:t>
      </w:r>
    </w:p>
    <w:p w14:paraId="0A0BC55A">
      <w:pPr>
        <w:pStyle w:val="86"/>
        <w:adjustRightInd w:val="0"/>
        <w:snapToGrid w:val="0"/>
        <w:spacing w:line="50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姓名：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性别：</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职务：</w:t>
      </w:r>
      <w:r>
        <w:rPr>
          <w:rFonts w:hint="eastAsia" w:ascii="仿宋_GB2312" w:hAnsi="仿宋_GB2312" w:eastAsia="仿宋_GB2312" w:cs="仿宋_GB2312"/>
          <w:sz w:val="28"/>
          <w:szCs w:val="28"/>
          <w:u w:val="single"/>
        </w:rPr>
        <w:t xml:space="preserve">         </w:t>
      </w:r>
    </w:p>
    <w:p w14:paraId="4714DBF8">
      <w:pPr>
        <w:pStyle w:val="86"/>
        <w:adjustRightInd w:val="0"/>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身份证号码：</w:t>
      </w:r>
      <w:r>
        <w:rPr>
          <w:rFonts w:hint="eastAsia" w:ascii="仿宋_GB2312" w:hAnsi="仿宋_GB2312" w:eastAsia="仿宋_GB2312" w:cs="仿宋_GB2312"/>
          <w:sz w:val="28"/>
          <w:szCs w:val="28"/>
          <w:u w:val="single"/>
        </w:rPr>
        <w:t xml:space="preserve">                     </w:t>
      </w:r>
    </w:p>
    <w:p w14:paraId="4BC281B7">
      <w:pPr>
        <w:pStyle w:val="86"/>
        <w:adjustRightInd w:val="0"/>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通讯地址：</w:t>
      </w:r>
      <w:r>
        <w:rPr>
          <w:rFonts w:hint="eastAsia" w:ascii="仿宋_GB2312" w:hAnsi="仿宋_GB2312" w:eastAsia="仿宋_GB2312" w:cs="仿宋_GB2312"/>
          <w:sz w:val="28"/>
          <w:szCs w:val="28"/>
          <w:u w:val="single"/>
        </w:rPr>
        <w:t xml:space="preserve">                       </w:t>
      </w:r>
    </w:p>
    <w:p w14:paraId="591E577A">
      <w:pPr>
        <w:pStyle w:val="86"/>
        <w:adjustRightInd w:val="0"/>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电话号码：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邮政编码：</w:t>
      </w:r>
      <w:r>
        <w:rPr>
          <w:rFonts w:hint="eastAsia" w:ascii="仿宋_GB2312" w:hAnsi="仿宋_GB2312" w:eastAsia="仿宋_GB2312" w:cs="仿宋_GB2312"/>
          <w:sz w:val="28"/>
          <w:szCs w:val="28"/>
          <w:u w:val="single"/>
        </w:rPr>
        <w:t xml:space="preserve">               </w:t>
      </w:r>
    </w:p>
    <w:p w14:paraId="7F0F9F7E">
      <w:pPr>
        <w:pStyle w:val="86"/>
        <w:adjustRightInd w:val="0"/>
        <w:snapToGrid w:val="0"/>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bl>
      <w:tblPr>
        <w:tblStyle w:val="36"/>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65CD1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748072B0">
            <w:pPr>
              <w:pStyle w:val="86"/>
              <w:adjustRightInd w:val="0"/>
              <w:snapToGrid w:val="0"/>
              <w:spacing w:line="50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p w14:paraId="764839CE">
            <w:pPr>
              <w:pStyle w:val="86"/>
              <w:adjustRightInd w:val="0"/>
              <w:snapToGrid w:val="0"/>
              <w:spacing w:line="50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p w14:paraId="25B9FD87">
            <w:pPr>
              <w:pStyle w:val="86"/>
              <w:adjustRightInd w:val="0"/>
              <w:snapToGrid w:val="0"/>
              <w:spacing w:line="50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法定代表人《居民身份证》扫描件</w:t>
            </w:r>
          </w:p>
        </w:tc>
      </w:tr>
    </w:tbl>
    <w:p w14:paraId="0B445C08">
      <w:pPr>
        <w:pStyle w:val="86"/>
        <w:adjustRightInd w:val="0"/>
        <w:snapToGrid w:val="0"/>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p w14:paraId="6DC0D05E">
      <w:pPr>
        <w:pStyle w:val="86"/>
        <w:tabs>
          <w:tab w:val="left" w:pos="750"/>
        </w:tabs>
        <w:adjustRightInd w:val="0"/>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ab/>
      </w:r>
      <w:r>
        <w:rPr>
          <w:rFonts w:hint="eastAsia" w:ascii="仿宋_GB2312" w:hAnsi="仿宋_GB2312" w:eastAsia="仿宋_GB2312" w:cs="仿宋_GB2312"/>
          <w:sz w:val="28"/>
          <w:szCs w:val="28"/>
        </w:rPr>
        <w:t>投标人名称（签章）：</w:t>
      </w:r>
      <w:r>
        <w:rPr>
          <w:rFonts w:hint="eastAsia" w:ascii="仿宋_GB2312" w:hAnsi="仿宋_GB2312" w:eastAsia="仿宋_GB2312" w:cs="仿宋_GB2312"/>
          <w:sz w:val="28"/>
          <w:szCs w:val="28"/>
          <w:u w:val="single"/>
        </w:rPr>
        <w:t xml:space="preserve">           </w:t>
      </w:r>
    </w:p>
    <w:p w14:paraId="5AD8BBB8">
      <w:pPr>
        <w:pStyle w:val="86"/>
        <w:tabs>
          <w:tab w:val="left" w:pos="750"/>
        </w:tabs>
        <w:adjustRightInd w:val="0"/>
        <w:snapToGrid w:val="0"/>
        <w:spacing w:line="500" w:lineRule="exact"/>
        <w:rPr>
          <w:rFonts w:hint="eastAsia" w:ascii="仿宋_GB2312" w:hAnsi="仿宋_GB2312" w:eastAsia="仿宋_GB2312" w:cs="仿宋_GB2312"/>
          <w:sz w:val="28"/>
          <w:szCs w:val="28"/>
        </w:rPr>
      </w:pPr>
    </w:p>
    <w:p w14:paraId="3C085DD1">
      <w:pPr>
        <w:pStyle w:val="86"/>
        <w:tabs>
          <w:tab w:val="left" w:pos="750"/>
        </w:tabs>
        <w:adjustRightInd w:val="0"/>
        <w:snapToGrid w:val="0"/>
        <w:spacing w:line="500" w:lineRule="exact"/>
        <w:ind w:firstLine="840" w:firstLineChars="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法定代表人（签章） ：</w:t>
      </w:r>
      <w:r>
        <w:rPr>
          <w:rFonts w:hint="eastAsia" w:ascii="仿宋_GB2312" w:hAnsi="仿宋_GB2312" w:eastAsia="仿宋_GB2312" w:cs="仿宋_GB2312"/>
          <w:sz w:val="28"/>
          <w:szCs w:val="28"/>
          <w:u w:val="single"/>
        </w:rPr>
        <w:t xml:space="preserve">           </w:t>
      </w:r>
    </w:p>
    <w:p w14:paraId="33EDB6AF">
      <w:pPr>
        <w:pStyle w:val="86"/>
        <w:tabs>
          <w:tab w:val="left" w:pos="750"/>
        </w:tabs>
        <w:adjustRightInd w:val="0"/>
        <w:snapToGrid w:val="0"/>
        <w:spacing w:line="500" w:lineRule="exact"/>
        <w:rPr>
          <w:rFonts w:hint="eastAsia" w:ascii="仿宋_GB2312" w:hAnsi="仿宋_GB2312" w:eastAsia="仿宋_GB2312" w:cs="仿宋_GB2312"/>
          <w:sz w:val="28"/>
          <w:szCs w:val="28"/>
        </w:rPr>
      </w:pPr>
    </w:p>
    <w:p w14:paraId="6AA5E44D">
      <w:pPr>
        <w:pStyle w:val="86"/>
        <w:tabs>
          <w:tab w:val="left" w:pos="750"/>
        </w:tabs>
        <w:adjustRightInd w:val="0"/>
        <w:snapToGrid w:val="0"/>
        <w:spacing w:line="500" w:lineRule="exact"/>
        <w:ind w:firstLine="840" w:firstLineChars="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14:paraId="2C8E5F78">
      <w:pPr>
        <w:pStyle w:val="86"/>
        <w:tabs>
          <w:tab w:val="left" w:pos="750"/>
        </w:tabs>
        <w:adjustRightInd w:val="0"/>
        <w:snapToGrid w:val="0"/>
        <w:spacing w:line="500" w:lineRule="exact"/>
        <w:ind w:firstLine="840" w:firstLineChars="300"/>
        <w:rPr>
          <w:rFonts w:hint="eastAsia" w:ascii="仿宋_GB2312" w:hAnsi="仿宋_GB2312" w:eastAsia="仿宋_GB2312" w:cs="仿宋_GB2312"/>
          <w:color w:val="000000" w:themeColor="text1"/>
          <w:sz w:val="28"/>
          <w:szCs w:val="28"/>
          <w14:textFill>
            <w14:solidFill>
              <w14:schemeClr w14:val="tx1"/>
            </w14:solidFill>
          </w14:textFill>
        </w:rPr>
      </w:pPr>
    </w:p>
    <w:p w14:paraId="2F30F9E8">
      <w:pPr>
        <w:pStyle w:val="96"/>
        <w:jc w:val="both"/>
        <w:outlineLvl w:val="9"/>
        <w:rPr>
          <w:rFonts w:hint="eastAsia" w:ascii="仿宋_GB2312" w:hAnsi="仿宋_GB2312" w:eastAsia="仿宋_GB2312" w:cs="仿宋_GB2312"/>
          <w:color w:val="000000" w:themeColor="text1"/>
          <w:sz w:val="28"/>
          <w:szCs w:val="28"/>
          <w14:textFill>
            <w14:solidFill>
              <w14:schemeClr w14:val="tx1"/>
            </w14:solidFill>
          </w14:textFill>
        </w:rPr>
      </w:pPr>
    </w:p>
    <w:p w14:paraId="56F74030">
      <w:pPr>
        <w:pStyle w:val="86"/>
        <w:rPr>
          <w:rFonts w:hint="default" w:ascii="Times New Roman" w:hAnsi="Times New Roman" w:cs="Times New Roman"/>
          <w:color w:val="000000" w:themeColor="text1"/>
          <w14:textFill>
            <w14:solidFill>
              <w14:schemeClr w14:val="tx1"/>
            </w14:solidFill>
          </w14:textFill>
        </w:rPr>
      </w:pPr>
    </w:p>
    <w:p w14:paraId="56C9EFFF">
      <w:pPr>
        <w:pStyle w:val="86"/>
        <w:spacing w:line="50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p w14:paraId="4F34991F">
      <w:pPr>
        <w:pStyle w:val="86"/>
        <w:spacing w:line="50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法定代表人授权书</w:t>
      </w:r>
    </w:p>
    <w:p w14:paraId="10904257">
      <w:pPr>
        <w:pStyle w:val="86"/>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u w:val="single"/>
          <w14:textFill>
            <w14:solidFill>
              <w14:schemeClr w14:val="tx1"/>
            </w14:solidFill>
          </w14:textFill>
        </w:rPr>
        <w:t>（代理机构名称）</w:t>
      </w:r>
      <w:r>
        <w:rPr>
          <w:rFonts w:hint="eastAsia" w:ascii="仿宋_GB2312" w:hAnsi="仿宋_GB2312" w:eastAsia="仿宋_GB2312" w:cs="仿宋_GB2312"/>
          <w:color w:val="000000" w:themeColor="text1"/>
          <w:sz w:val="28"/>
          <w:szCs w:val="28"/>
          <w14:textFill>
            <w14:solidFill>
              <w14:schemeClr w14:val="tx1"/>
            </w14:solidFill>
          </w14:textFill>
        </w:rPr>
        <w:t>：</w:t>
      </w:r>
    </w:p>
    <w:p w14:paraId="43AFF1F3">
      <w:pPr>
        <w:pStyle w:val="86"/>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兹授权</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同志为我公司参加贵单位组织的编号为</w:t>
      </w:r>
      <w:r>
        <w:rPr>
          <w:rFonts w:hint="eastAsia" w:ascii="仿宋_GB2312" w:hAnsi="仿宋_GB2312" w:eastAsia="仿宋_GB2312" w:cs="仿宋_GB2312"/>
          <w:sz w:val="28"/>
          <w:szCs w:val="28"/>
          <w:u w:val="single"/>
        </w:rPr>
        <w:t>（项目编号）</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u w:val="single"/>
        </w:rPr>
        <w:t>（项 目 名 称）</w:t>
      </w:r>
      <w:r>
        <w:rPr>
          <w:rFonts w:hint="eastAsia" w:ascii="仿宋_GB2312" w:hAnsi="仿宋_GB2312" w:eastAsia="仿宋_GB2312" w:cs="仿宋_GB2312"/>
          <w:sz w:val="28"/>
          <w:szCs w:val="28"/>
        </w:rPr>
        <w:t>采购活动的投标代表人，全权代表我公司处理在该项目采购活动中的一切事宜。代理期限从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日起至</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日止。 </w:t>
      </w:r>
    </w:p>
    <w:p w14:paraId="22DB10CD">
      <w:pPr>
        <w:pStyle w:val="86"/>
        <w:spacing w:line="500" w:lineRule="exact"/>
        <w:rPr>
          <w:rFonts w:hint="eastAsia" w:ascii="仿宋_GB2312" w:hAnsi="仿宋_GB2312" w:eastAsia="仿宋_GB2312" w:cs="仿宋_GB2312"/>
          <w:sz w:val="28"/>
          <w:szCs w:val="28"/>
        </w:rPr>
      </w:pPr>
    </w:p>
    <w:p w14:paraId="7ACDB525">
      <w:pPr>
        <w:pStyle w:val="86"/>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投标人（签章）：</w:t>
      </w:r>
      <w:r>
        <w:rPr>
          <w:rFonts w:hint="eastAsia" w:ascii="仿宋_GB2312" w:hAnsi="仿宋_GB2312" w:eastAsia="仿宋_GB2312" w:cs="仿宋_GB2312"/>
          <w:sz w:val="28"/>
          <w:szCs w:val="28"/>
          <w:u w:val="single"/>
        </w:rPr>
        <w:t xml:space="preserve">               </w:t>
      </w:r>
    </w:p>
    <w:p w14:paraId="67CD7E59">
      <w:pPr>
        <w:pStyle w:val="86"/>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法定代表人（签章）：</w:t>
      </w:r>
      <w:r>
        <w:rPr>
          <w:rFonts w:hint="eastAsia" w:ascii="仿宋_GB2312" w:hAnsi="仿宋_GB2312" w:eastAsia="仿宋_GB2312" w:cs="仿宋_GB2312"/>
          <w:sz w:val="28"/>
          <w:szCs w:val="28"/>
          <w:u w:val="single"/>
        </w:rPr>
        <w:t xml:space="preserve">       </w:t>
      </w:r>
    </w:p>
    <w:p w14:paraId="44EDEBB4">
      <w:pPr>
        <w:pStyle w:val="86"/>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签发日期：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14:paraId="525F1109">
      <w:pPr>
        <w:pStyle w:val="86"/>
        <w:spacing w:line="500" w:lineRule="exact"/>
        <w:rPr>
          <w:rFonts w:hint="eastAsia" w:ascii="仿宋_GB2312" w:hAnsi="仿宋_GB2312" w:eastAsia="仿宋_GB2312" w:cs="仿宋_GB2312"/>
          <w:sz w:val="28"/>
          <w:szCs w:val="28"/>
        </w:rPr>
      </w:pPr>
    </w:p>
    <w:p w14:paraId="2B8A7BBD">
      <w:pPr>
        <w:pStyle w:val="86"/>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w:t>
      </w:r>
    </w:p>
    <w:p w14:paraId="52E6A42E">
      <w:pPr>
        <w:pStyle w:val="86"/>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代理人工作单位：</w:t>
      </w:r>
      <w:r>
        <w:rPr>
          <w:rFonts w:hint="eastAsia" w:ascii="仿宋_GB2312" w:hAnsi="仿宋_GB2312" w:eastAsia="仿宋_GB2312" w:cs="仿宋_GB2312"/>
          <w:sz w:val="28"/>
          <w:szCs w:val="28"/>
          <w:u w:val="single"/>
        </w:rPr>
        <w:t xml:space="preserve">                          </w:t>
      </w:r>
    </w:p>
    <w:p w14:paraId="393BDE18">
      <w:pPr>
        <w:pStyle w:val="86"/>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职务：</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性别：</w:t>
      </w:r>
      <w:r>
        <w:rPr>
          <w:rFonts w:hint="eastAsia" w:ascii="仿宋_GB2312" w:hAnsi="仿宋_GB2312" w:eastAsia="仿宋_GB2312" w:cs="仿宋_GB2312"/>
          <w:sz w:val="28"/>
          <w:szCs w:val="28"/>
          <w:u w:val="single"/>
        </w:rPr>
        <w:t xml:space="preserve">      </w:t>
      </w:r>
    </w:p>
    <w:p w14:paraId="4F3EF679">
      <w:pPr>
        <w:pStyle w:val="86"/>
        <w:adjustRightInd w:val="0"/>
        <w:snapToGrid w:val="0"/>
        <w:spacing w:line="500" w:lineRule="exac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身份证号码：</w:t>
      </w:r>
      <w:r>
        <w:rPr>
          <w:rFonts w:hint="eastAsia" w:ascii="仿宋_GB2312" w:hAnsi="仿宋_GB2312" w:eastAsia="仿宋_GB2312" w:cs="仿宋_GB2312"/>
          <w:sz w:val="28"/>
          <w:szCs w:val="28"/>
          <w:u w:val="single"/>
        </w:rPr>
        <w:t xml:space="preserve">                              </w:t>
      </w:r>
    </w:p>
    <w:p w14:paraId="45D17422">
      <w:pPr>
        <w:pStyle w:val="86"/>
        <w:adjustRightInd w:val="0"/>
        <w:snapToGrid w:val="0"/>
        <w:spacing w:line="500" w:lineRule="exact"/>
        <w:ind w:left="-88" w:leftChars="-42" w:firstLine="700" w:firstLineChars="250"/>
        <w:rPr>
          <w:rFonts w:hint="eastAsia" w:ascii="仿宋_GB2312" w:hAnsi="仿宋_GB2312" w:eastAsia="仿宋_GB2312" w:cs="仿宋_GB2312"/>
          <w:color w:val="000000" w:themeColor="text1"/>
          <w:sz w:val="28"/>
          <w:szCs w:val="28"/>
          <w:u w:val="single"/>
          <w14:textFill>
            <w14:solidFill>
              <w14:schemeClr w14:val="tx1"/>
            </w14:solidFill>
          </w14:textFill>
        </w:rPr>
      </w:pPr>
    </w:p>
    <w:tbl>
      <w:tblPr>
        <w:tblStyle w:val="36"/>
        <w:tblW w:w="7668"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14:paraId="75D1B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8" w:type="dxa"/>
            <w:tcBorders>
              <w:top w:val="single" w:color="auto" w:sz="4" w:space="0"/>
              <w:left w:val="single" w:color="auto" w:sz="4" w:space="0"/>
              <w:bottom w:val="single" w:color="auto" w:sz="4" w:space="0"/>
              <w:right w:val="single" w:color="auto" w:sz="4" w:space="0"/>
            </w:tcBorders>
          </w:tcPr>
          <w:p w14:paraId="5F1B532C">
            <w:pPr>
              <w:pStyle w:val="86"/>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粘贴被授权人身份证（扫描件）</w:t>
            </w:r>
          </w:p>
        </w:tc>
      </w:tr>
    </w:tbl>
    <w:p w14:paraId="36D1974B">
      <w:pPr>
        <w:pStyle w:val="18"/>
        <w:tabs>
          <w:tab w:val="left" w:pos="8786"/>
        </w:tabs>
        <w:spacing w:after="0" w:line="360" w:lineRule="auto"/>
        <w:rPr>
          <w:rFonts w:hint="default" w:ascii="Times New Roman" w:hAnsi="Times New Roman" w:cs="Times New Roman"/>
          <w:b/>
          <w:color w:val="000000" w:themeColor="text1"/>
          <w:sz w:val="24"/>
          <w14:textFill>
            <w14:solidFill>
              <w14:schemeClr w14:val="tx1"/>
            </w14:solidFill>
          </w14:textFill>
        </w:rPr>
      </w:pPr>
    </w:p>
    <w:p w14:paraId="2BED3A75">
      <w:pPr>
        <w:pStyle w:val="19"/>
        <w:rPr>
          <w:rFonts w:hint="default" w:ascii="Times New Roman" w:hAnsi="Times New Roman" w:cs="Times New Roman"/>
          <w:b/>
          <w:color w:val="000000" w:themeColor="text1"/>
          <w:sz w:val="24"/>
          <w14:textFill>
            <w14:solidFill>
              <w14:schemeClr w14:val="tx1"/>
            </w14:solidFill>
          </w14:textFill>
        </w:rPr>
      </w:pPr>
    </w:p>
    <w:p w14:paraId="121EEF78">
      <w:pPr>
        <w:rPr>
          <w:rFonts w:hint="default" w:ascii="Times New Roman" w:hAnsi="Times New Roman" w:cs="Times New Roman"/>
          <w:b/>
          <w:color w:val="000000" w:themeColor="text1"/>
          <w:sz w:val="24"/>
          <w14:textFill>
            <w14:solidFill>
              <w14:schemeClr w14:val="tx1"/>
            </w14:solidFill>
          </w14:textFill>
        </w:rPr>
      </w:pPr>
    </w:p>
    <w:p w14:paraId="1FE7B4A7">
      <w:pPr>
        <w:pStyle w:val="6"/>
        <w:rPr>
          <w:rFonts w:hint="default"/>
        </w:rPr>
      </w:pPr>
    </w:p>
    <w:p w14:paraId="7A06FA93">
      <w:pPr>
        <w:pStyle w:val="18"/>
        <w:tabs>
          <w:tab w:val="left" w:pos="8786"/>
        </w:tabs>
        <w:spacing w:after="0" w:line="360" w:lineRule="auto"/>
        <w:rPr>
          <w:rFonts w:hint="default" w:ascii="Times New Roman" w:hAnsi="Times New Roman" w:cs="Times New Roman"/>
          <w:b/>
          <w:color w:val="000000" w:themeColor="text1"/>
          <w:sz w:val="24"/>
          <w14:textFill>
            <w14:solidFill>
              <w14:schemeClr w14:val="tx1"/>
            </w14:solidFill>
          </w14:textFill>
        </w:rPr>
      </w:pPr>
    </w:p>
    <w:bookmarkEnd w:id="152"/>
    <w:bookmarkEnd w:id="153"/>
    <w:p w14:paraId="3F3ACCEC">
      <w:pPr>
        <w:pStyle w:val="18"/>
        <w:tabs>
          <w:tab w:val="left" w:pos="8786"/>
        </w:tabs>
        <w:spacing w:after="0" w:line="360" w:lineRule="auto"/>
        <w:outlineLvl w:val="2"/>
        <w:rPr>
          <w:rFonts w:hint="eastAsia" w:ascii="仿宋_GB2312" w:hAnsi="仿宋_GB2312" w:eastAsia="仿宋_GB2312" w:cs="仿宋_GB2312"/>
          <w:b/>
          <w:color w:val="000000" w:themeColor="text1"/>
          <w:sz w:val="36"/>
          <w:szCs w:val="36"/>
          <w:lang w:eastAsia="zh-CN"/>
          <w14:textFill>
            <w14:solidFill>
              <w14:schemeClr w14:val="tx1"/>
            </w14:solidFill>
          </w14:textFill>
        </w:rPr>
      </w:pPr>
      <w:bookmarkStart w:id="160" w:name="_Toc480368426"/>
      <w:bookmarkStart w:id="161" w:name="_Toc492921362"/>
      <w:r>
        <w:rPr>
          <w:rFonts w:hint="eastAsia" w:ascii="仿宋_GB2312" w:hAnsi="仿宋_GB2312" w:eastAsia="仿宋_GB2312" w:cs="仿宋_GB2312"/>
          <w:b/>
          <w:color w:val="000000" w:themeColor="text1"/>
          <w:sz w:val="36"/>
          <w:szCs w:val="36"/>
          <w14:textFill>
            <w14:solidFill>
              <w14:schemeClr w14:val="tx1"/>
            </w14:solidFill>
          </w14:textFill>
        </w:rPr>
        <w:t>（三）投标保证金</w:t>
      </w:r>
      <w:bookmarkEnd w:id="160"/>
      <w:bookmarkEnd w:id="161"/>
      <w:r>
        <w:rPr>
          <w:rFonts w:hint="eastAsia" w:ascii="仿宋_GB2312" w:hAnsi="仿宋_GB2312" w:eastAsia="仿宋_GB2312" w:cs="仿宋_GB2312"/>
          <w:b/>
          <w:color w:val="000000" w:themeColor="text1"/>
          <w:sz w:val="36"/>
          <w:szCs w:val="36"/>
          <w:lang w:eastAsia="zh-CN"/>
          <w14:textFill>
            <w14:solidFill>
              <w14:schemeClr w14:val="tx1"/>
            </w14:solidFill>
          </w14:textFill>
        </w:rPr>
        <w:t>（如有需要）</w:t>
      </w:r>
    </w:p>
    <w:p w14:paraId="72B3A9D7">
      <w:pPr>
        <w:pStyle w:val="18"/>
        <w:tabs>
          <w:tab w:val="left" w:pos="8786"/>
        </w:tabs>
        <w:spacing w:after="0"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说明：此处上传投标保证金缴纳凭证；</w:t>
      </w:r>
    </w:p>
    <w:p w14:paraId="34DCBCFF">
      <w:pPr>
        <w:pStyle w:val="97"/>
        <w:spacing w:line="360" w:lineRule="auto"/>
        <w:rPr>
          <w:rFonts w:hint="default" w:ascii="Times New Roman" w:hAnsi="Times New Roman" w:cs="Times New Roman"/>
          <w:color w:val="000000" w:themeColor="text1"/>
          <w14:textFill>
            <w14:solidFill>
              <w14:schemeClr w14:val="tx1"/>
            </w14:solidFill>
          </w14:textFill>
        </w:rPr>
      </w:pPr>
    </w:p>
    <w:p w14:paraId="2803FC9A">
      <w:pPr>
        <w:pStyle w:val="97"/>
        <w:spacing w:line="360" w:lineRule="auto"/>
        <w:rPr>
          <w:rFonts w:hint="default" w:ascii="Times New Roman" w:hAnsi="Times New Roman" w:cs="Times New Roman"/>
          <w:color w:val="000000" w:themeColor="text1"/>
          <w14:textFill>
            <w14:solidFill>
              <w14:schemeClr w14:val="tx1"/>
            </w14:solidFill>
          </w14:textFill>
        </w:rPr>
      </w:pPr>
    </w:p>
    <w:p w14:paraId="670DBDB9">
      <w:pPr>
        <w:pStyle w:val="97"/>
        <w:spacing w:line="360" w:lineRule="auto"/>
        <w:rPr>
          <w:rFonts w:hint="default" w:ascii="Times New Roman" w:hAnsi="Times New Roman" w:cs="Times New Roman"/>
          <w:color w:val="000000" w:themeColor="text1"/>
          <w14:textFill>
            <w14:solidFill>
              <w14:schemeClr w14:val="tx1"/>
            </w14:solidFill>
          </w14:textFill>
        </w:rPr>
      </w:pPr>
    </w:p>
    <w:p w14:paraId="327C2AB3">
      <w:pPr>
        <w:pStyle w:val="97"/>
        <w:spacing w:line="360" w:lineRule="auto"/>
        <w:rPr>
          <w:rFonts w:hint="default" w:ascii="Times New Roman" w:hAnsi="Times New Roman" w:cs="Times New Roman"/>
          <w:color w:val="000000" w:themeColor="text1"/>
          <w14:textFill>
            <w14:solidFill>
              <w14:schemeClr w14:val="tx1"/>
            </w14:solidFill>
          </w14:textFill>
        </w:rPr>
      </w:pPr>
    </w:p>
    <w:p w14:paraId="4302787C">
      <w:pPr>
        <w:pStyle w:val="97"/>
        <w:spacing w:line="360" w:lineRule="auto"/>
        <w:rPr>
          <w:rFonts w:hint="default" w:ascii="Times New Roman" w:hAnsi="Times New Roman" w:cs="Times New Roman"/>
          <w:color w:val="000000" w:themeColor="text1"/>
          <w14:textFill>
            <w14:solidFill>
              <w14:schemeClr w14:val="tx1"/>
            </w14:solidFill>
          </w14:textFill>
        </w:rPr>
      </w:pPr>
    </w:p>
    <w:p w14:paraId="38DA5A52">
      <w:pPr>
        <w:pStyle w:val="97"/>
        <w:spacing w:line="360" w:lineRule="auto"/>
        <w:rPr>
          <w:rFonts w:hint="default" w:ascii="Times New Roman" w:hAnsi="Times New Roman" w:cs="Times New Roman"/>
          <w:color w:val="000000" w:themeColor="text1"/>
          <w14:textFill>
            <w14:solidFill>
              <w14:schemeClr w14:val="tx1"/>
            </w14:solidFill>
          </w14:textFill>
        </w:rPr>
      </w:pPr>
    </w:p>
    <w:p w14:paraId="0298AFDF">
      <w:pPr>
        <w:pStyle w:val="97"/>
        <w:spacing w:line="360" w:lineRule="auto"/>
        <w:rPr>
          <w:rFonts w:hint="default" w:ascii="Times New Roman" w:hAnsi="Times New Roman" w:cs="Times New Roman"/>
          <w:color w:val="000000" w:themeColor="text1"/>
          <w14:textFill>
            <w14:solidFill>
              <w14:schemeClr w14:val="tx1"/>
            </w14:solidFill>
          </w14:textFill>
        </w:rPr>
      </w:pPr>
    </w:p>
    <w:p w14:paraId="2443F7C8">
      <w:pPr>
        <w:pStyle w:val="97"/>
        <w:spacing w:line="360" w:lineRule="auto"/>
        <w:rPr>
          <w:rFonts w:hint="default" w:ascii="Times New Roman" w:hAnsi="Times New Roman" w:cs="Times New Roman"/>
          <w:color w:val="000000" w:themeColor="text1"/>
          <w14:textFill>
            <w14:solidFill>
              <w14:schemeClr w14:val="tx1"/>
            </w14:solidFill>
          </w14:textFill>
        </w:rPr>
      </w:pPr>
    </w:p>
    <w:p w14:paraId="42B1CD0A">
      <w:pPr>
        <w:pStyle w:val="97"/>
        <w:spacing w:line="360" w:lineRule="auto"/>
        <w:rPr>
          <w:rFonts w:hint="default" w:ascii="Times New Roman" w:hAnsi="Times New Roman" w:cs="Times New Roman"/>
          <w:color w:val="000000" w:themeColor="text1"/>
          <w14:textFill>
            <w14:solidFill>
              <w14:schemeClr w14:val="tx1"/>
            </w14:solidFill>
          </w14:textFill>
        </w:rPr>
      </w:pPr>
    </w:p>
    <w:p w14:paraId="2A5850AA">
      <w:pPr>
        <w:pStyle w:val="97"/>
        <w:spacing w:line="360" w:lineRule="auto"/>
        <w:rPr>
          <w:rFonts w:hint="default" w:ascii="Times New Roman" w:hAnsi="Times New Roman" w:cs="Times New Roman"/>
          <w:color w:val="000000" w:themeColor="text1"/>
          <w14:textFill>
            <w14:solidFill>
              <w14:schemeClr w14:val="tx1"/>
            </w14:solidFill>
          </w14:textFill>
        </w:rPr>
      </w:pPr>
    </w:p>
    <w:p w14:paraId="1DC9BC1C">
      <w:pPr>
        <w:pStyle w:val="97"/>
        <w:spacing w:line="360" w:lineRule="auto"/>
        <w:rPr>
          <w:rFonts w:hint="default" w:ascii="Times New Roman" w:hAnsi="Times New Roman" w:cs="Times New Roman"/>
          <w:color w:val="000000" w:themeColor="text1"/>
          <w14:textFill>
            <w14:solidFill>
              <w14:schemeClr w14:val="tx1"/>
            </w14:solidFill>
          </w14:textFill>
        </w:rPr>
      </w:pPr>
    </w:p>
    <w:p w14:paraId="6120839E">
      <w:pPr>
        <w:pStyle w:val="97"/>
        <w:spacing w:line="360" w:lineRule="auto"/>
        <w:rPr>
          <w:rFonts w:hint="default" w:ascii="Times New Roman" w:hAnsi="Times New Roman" w:cs="Times New Roman"/>
          <w:color w:val="000000" w:themeColor="text1"/>
          <w14:textFill>
            <w14:solidFill>
              <w14:schemeClr w14:val="tx1"/>
            </w14:solidFill>
          </w14:textFill>
        </w:rPr>
      </w:pPr>
    </w:p>
    <w:p w14:paraId="330DA08D">
      <w:pPr>
        <w:pStyle w:val="97"/>
        <w:spacing w:line="360" w:lineRule="auto"/>
        <w:rPr>
          <w:rFonts w:hint="default" w:ascii="Times New Roman" w:hAnsi="Times New Roman" w:cs="Times New Roman"/>
          <w:color w:val="000000" w:themeColor="text1"/>
          <w14:textFill>
            <w14:solidFill>
              <w14:schemeClr w14:val="tx1"/>
            </w14:solidFill>
          </w14:textFill>
        </w:rPr>
      </w:pPr>
    </w:p>
    <w:p w14:paraId="52BB294E">
      <w:pPr>
        <w:pStyle w:val="97"/>
        <w:spacing w:line="360" w:lineRule="auto"/>
        <w:rPr>
          <w:rFonts w:hint="default" w:ascii="Times New Roman" w:hAnsi="Times New Roman" w:cs="Times New Roman"/>
          <w:color w:val="000000" w:themeColor="text1"/>
          <w14:textFill>
            <w14:solidFill>
              <w14:schemeClr w14:val="tx1"/>
            </w14:solidFill>
          </w14:textFill>
        </w:rPr>
      </w:pPr>
    </w:p>
    <w:p w14:paraId="1FACFFD1">
      <w:pPr>
        <w:pStyle w:val="97"/>
        <w:spacing w:line="360" w:lineRule="auto"/>
        <w:rPr>
          <w:rFonts w:hint="default" w:ascii="Times New Roman" w:hAnsi="Times New Roman" w:cs="Times New Roman"/>
          <w:color w:val="000000" w:themeColor="text1"/>
          <w14:textFill>
            <w14:solidFill>
              <w14:schemeClr w14:val="tx1"/>
            </w14:solidFill>
          </w14:textFill>
        </w:rPr>
      </w:pPr>
    </w:p>
    <w:p w14:paraId="72636272">
      <w:pPr>
        <w:pStyle w:val="97"/>
        <w:spacing w:line="360" w:lineRule="auto"/>
        <w:rPr>
          <w:rFonts w:hint="default" w:ascii="Times New Roman" w:hAnsi="Times New Roman" w:cs="Times New Roman"/>
          <w:color w:val="000000" w:themeColor="text1"/>
          <w14:textFill>
            <w14:solidFill>
              <w14:schemeClr w14:val="tx1"/>
            </w14:solidFill>
          </w14:textFill>
        </w:rPr>
      </w:pPr>
    </w:p>
    <w:p w14:paraId="7FB38810">
      <w:pPr>
        <w:pStyle w:val="97"/>
        <w:spacing w:line="360" w:lineRule="auto"/>
        <w:rPr>
          <w:rFonts w:hint="default" w:ascii="Times New Roman" w:hAnsi="Times New Roman" w:cs="Times New Roman"/>
          <w:color w:val="000000" w:themeColor="text1"/>
          <w14:textFill>
            <w14:solidFill>
              <w14:schemeClr w14:val="tx1"/>
            </w14:solidFill>
          </w14:textFill>
        </w:rPr>
      </w:pPr>
    </w:p>
    <w:p w14:paraId="542E7DEF">
      <w:pPr>
        <w:pStyle w:val="97"/>
        <w:spacing w:line="360" w:lineRule="auto"/>
        <w:rPr>
          <w:rFonts w:hint="default" w:ascii="Times New Roman" w:hAnsi="Times New Roman" w:cs="Times New Roman"/>
          <w:color w:val="000000" w:themeColor="text1"/>
          <w14:textFill>
            <w14:solidFill>
              <w14:schemeClr w14:val="tx1"/>
            </w14:solidFill>
          </w14:textFill>
        </w:rPr>
      </w:pPr>
    </w:p>
    <w:p w14:paraId="68696E88">
      <w:pPr>
        <w:pStyle w:val="97"/>
        <w:spacing w:line="360" w:lineRule="auto"/>
        <w:rPr>
          <w:rFonts w:hint="default" w:ascii="Times New Roman" w:hAnsi="Times New Roman" w:cs="Times New Roman"/>
          <w:color w:val="000000" w:themeColor="text1"/>
          <w14:textFill>
            <w14:solidFill>
              <w14:schemeClr w14:val="tx1"/>
            </w14:solidFill>
          </w14:textFill>
        </w:rPr>
      </w:pPr>
    </w:p>
    <w:p w14:paraId="0CFFE354">
      <w:pPr>
        <w:pStyle w:val="97"/>
        <w:spacing w:line="360" w:lineRule="auto"/>
        <w:rPr>
          <w:rFonts w:hint="default" w:ascii="Times New Roman" w:hAnsi="Times New Roman" w:cs="Times New Roman"/>
          <w:color w:val="000000" w:themeColor="text1"/>
          <w14:textFill>
            <w14:solidFill>
              <w14:schemeClr w14:val="tx1"/>
            </w14:solidFill>
          </w14:textFill>
        </w:rPr>
      </w:pPr>
    </w:p>
    <w:p w14:paraId="6021ACA9">
      <w:pPr>
        <w:pStyle w:val="97"/>
        <w:spacing w:line="360" w:lineRule="auto"/>
        <w:rPr>
          <w:rFonts w:hint="default" w:ascii="Times New Roman" w:hAnsi="Times New Roman" w:cs="Times New Roman"/>
          <w:color w:val="000000" w:themeColor="text1"/>
          <w14:textFill>
            <w14:solidFill>
              <w14:schemeClr w14:val="tx1"/>
            </w14:solidFill>
          </w14:textFill>
        </w:rPr>
      </w:pPr>
    </w:p>
    <w:p w14:paraId="48BD57A5">
      <w:pPr>
        <w:pStyle w:val="97"/>
        <w:spacing w:line="360" w:lineRule="auto"/>
        <w:rPr>
          <w:rFonts w:hint="default" w:ascii="Times New Roman" w:hAnsi="Times New Roman" w:cs="Times New Roman"/>
          <w:color w:val="000000" w:themeColor="text1"/>
          <w14:textFill>
            <w14:solidFill>
              <w14:schemeClr w14:val="tx1"/>
            </w14:solidFill>
          </w14:textFill>
        </w:rPr>
      </w:pPr>
    </w:p>
    <w:p w14:paraId="58DBB328">
      <w:pPr>
        <w:pStyle w:val="97"/>
        <w:spacing w:line="360" w:lineRule="auto"/>
        <w:rPr>
          <w:rFonts w:hint="default" w:ascii="Times New Roman" w:hAnsi="Times New Roman" w:cs="Times New Roman"/>
          <w:color w:val="000000" w:themeColor="text1"/>
          <w14:textFill>
            <w14:solidFill>
              <w14:schemeClr w14:val="tx1"/>
            </w14:solidFill>
          </w14:textFill>
        </w:rPr>
      </w:pPr>
    </w:p>
    <w:p w14:paraId="4A840D97">
      <w:pPr>
        <w:pStyle w:val="97"/>
        <w:spacing w:line="360" w:lineRule="auto"/>
        <w:rPr>
          <w:rFonts w:hint="default" w:ascii="Times New Roman" w:hAnsi="Times New Roman" w:cs="Times New Roman"/>
          <w:color w:val="000000" w:themeColor="text1"/>
          <w14:textFill>
            <w14:solidFill>
              <w14:schemeClr w14:val="tx1"/>
            </w14:solidFill>
          </w14:textFill>
        </w:rPr>
      </w:pPr>
    </w:p>
    <w:p w14:paraId="4F0ACED6">
      <w:pPr>
        <w:pStyle w:val="97"/>
        <w:spacing w:line="360" w:lineRule="auto"/>
        <w:rPr>
          <w:rFonts w:hint="default" w:ascii="Times New Roman" w:hAnsi="Times New Roman" w:cs="Times New Roman"/>
          <w:color w:val="000000" w:themeColor="text1"/>
          <w14:textFill>
            <w14:solidFill>
              <w14:schemeClr w14:val="tx1"/>
            </w14:solidFill>
          </w14:textFill>
        </w:rPr>
      </w:pPr>
    </w:p>
    <w:p w14:paraId="732B3F71">
      <w:pPr>
        <w:pStyle w:val="97"/>
        <w:spacing w:line="360" w:lineRule="auto"/>
        <w:rPr>
          <w:rFonts w:hint="default" w:ascii="Times New Roman" w:hAnsi="Times New Roman" w:cs="Times New Roman"/>
          <w:color w:val="000000" w:themeColor="text1"/>
          <w14:textFill>
            <w14:solidFill>
              <w14:schemeClr w14:val="tx1"/>
            </w14:solidFill>
          </w14:textFill>
        </w:rPr>
      </w:pPr>
    </w:p>
    <w:p w14:paraId="424FAA3A">
      <w:pPr>
        <w:pStyle w:val="97"/>
        <w:spacing w:line="360" w:lineRule="auto"/>
        <w:rPr>
          <w:rFonts w:hint="default" w:ascii="Times New Roman" w:hAnsi="Times New Roman" w:cs="Times New Roman"/>
          <w:color w:val="000000" w:themeColor="text1"/>
          <w14:textFill>
            <w14:solidFill>
              <w14:schemeClr w14:val="tx1"/>
            </w14:solidFill>
          </w14:textFill>
        </w:rPr>
      </w:pPr>
    </w:p>
    <w:p w14:paraId="06C03B87">
      <w:pPr>
        <w:pStyle w:val="97"/>
        <w:spacing w:line="360" w:lineRule="auto"/>
        <w:rPr>
          <w:rFonts w:hint="default" w:ascii="Times New Roman" w:hAnsi="Times New Roman" w:cs="Times New Roman"/>
          <w:color w:val="000000" w:themeColor="text1"/>
          <w14:textFill>
            <w14:solidFill>
              <w14:schemeClr w14:val="tx1"/>
            </w14:solidFill>
          </w14:textFill>
        </w:rPr>
      </w:pPr>
    </w:p>
    <w:p w14:paraId="7089F9D9">
      <w:pPr>
        <w:pStyle w:val="97"/>
        <w:spacing w:line="360" w:lineRule="auto"/>
        <w:rPr>
          <w:rFonts w:hint="default" w:ascii="Times New Roman" w:hAnsi="Times New Roman" w:cs="Times New Roman"/>
          <w:color w:val="000000" w:themeColor="text1"/>
          <w14:textFill>
            <w14:solidFill>
              <w14:schemeClr w14:val="tx1"/>
            </w14:solidFill>
          </w14:textFill>
        </w:rPr>
      </w:pPr>
    </w:p>
    <w:p w14:paraId="24622596">
      <w:pPr>
        <w:pStyle w:val="97"/>
        <w:spacing w:line="360" w:lineRule="auto"/>
        <w:rPr>
          <w:rFonts w:hint="default" w:ascii="Times New Roman" w:hAnsi="Times New Roman" w:cs="Times New Roman"/>
          <w:color w:val="000000" w:themeColor="text1"/>
          <w14:textFill>
            <w14:solidFill>
              <w14:schemeClr w14:val="tx1"/>
            </w14:solidFill>
          </w14:textFill>
        </w:rPr>
      </w:pPr>
    </w:p>
    <w:p w14:paraId="7A152BE1">
      <w:pPr>
        <w:pStyle w:val="97"/>
        <w:spacing w:line="360" w:lineRule="auto"/>
        <w:rPr>
          <w:rFonts w:hint="default" w:ascii="Times New Roman" w:hAnsi="Times New Roman" w:cs="Times New Roman"/>
          <w:color w:val="000000" w:themeColor="text1"/>
          <w14:textFill>
            <w14:solidFill>
              <w14:schemeClr w14:val="tx1"/>
            </w14:solidFill>
          </w14:textFill>
        </w:rPr>
      </w:pPr>
    </w:p>
    <w:p w14:paraId="25F4B32A">
      <w:pPr>
        <w:pStyle w:val="97"/>
        <w:spacing w:line="360" w:lineRule="auto"/>
        <w:rPr>
          <w:rFonts w:hint="default" w:ascii="Times New Roman" w:hAnsi="Times New Roman" w:cs="Times New Roman"/>
          <w:color w:val="000000" w:themeColor="text1"/>
          <w14:textFill>
            <w14:solidFill>
              <w14:schemeClr w14:val="tx1"/>
            </w14:solidFill>
          </w14:textFill>
        </w:rPr>
      </w:pPr>
    </w:p>
    <w:p w14:paraId="5330F977">
      <w:pPr>
        <w:rPr>
          <w:rFonts w:hint="default" w:ascii="Times New Roman" w:hAnsi="Times New Roman" w:cs="Times New Roman"/>
          <w:color w:val="000000" w:themeColor="text1"/>
          <w14:textFill>
            <w14:solidFill>
              <w14:schemeClr w14:val="tx1"/>
            </w14:solidFill>
          </w14:textFill>
        </w:rPr>
      </w:pPr>
      <w:bookmarkStart w:id="162" w:name="_Toc519111288"/>
      <w:r>
        <w:rPr>
          <w:rFonts w:hint="default" w:ascii="Times New Roman" w:hAnsi="Times New Roman" w:cs="Times New Roman"/>
          <w:color w:val="000000" w:themeColor="text1"/>
          <w14:textFill>
            <w14:solidFill>
              <w14:schemeClr w14:val="tx1"/>
            </w14:solidFill>
          </w14:textFill>
        </w:rPr>
        <w:br w:type="page"/>
      </w:r>
    </w:p>
    <w:p w14:paraId="3E886C37">
      <w:pPr>
        <w:pStyle w:val="101"/>
        <w:outlineLvl w:val="2"/>
        <w:rPr>
          <w:rFonts w:hint="eastAsia"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w:t>
      </w:r>
      <w:r>
        <w:rPr>
          <w:rFonts w:hint="eastAsia" w:ascii="仿宋_GB2312" w:hAnsi="仿宋_GB2312" w:eastAsia="仿宋_GB2312" w:cs="仿宋_GB2312"/>
          <w:color w:val="000000" w:themeColor="text1"/>
          <w:sz w:val="36"/>
          <w:szCs w:val="36"/>
          <w:lang w:eastAsia="zh-CN"/>
          <w14:textFill>
            <w14:solidFill>
              <w14:schemeClr w14:val="tx1"/>
            </w14:solidFill>
          </w14:textFill>
        </w:rPr>
        <w:t>四</w:t>
      </w:r>
      <w:r>
        <w:rPr>
          <w:rFonts w:hint="eastAsia" w:ascii="仿宋_GB2312" w:hAnsi="仿宋_GB2312" w:eastAsia="仿宋_GB2312" w:cs="仿宋_GB2312"/>
          <w:color w:val="000000" w:themeColor="text1"/>
          <w:sz w:val="36"/>
          <w:szCs w:val="36"/>
          <w14:textFill>
            <w14:solidFill>
              <w14:schemeClr w14:val="tx1"/>
            </w14:solidFill>
          </w14:textFill>
        </w:rPr>
        <w:t>）</w:t>
      </w:r>
      <w:bookmarkStart w:id="163" w:name="_Toc480368602"/>
      <w:bookmarkStart w:id="164" w:name="_Toc480371728"/>
      <w:bookmarkStart w:id="165" w:name="_Toc519111289"/>
      <w:bookmarkStart w:id="166" w:name="_Toc480368431"/>
      <w:bookmarkStart w:id="167" w:name="_Toc468535489"/>
      <w:bookmarkStart w:id="168" w:name="_Toc480368660"/>
      <w:r>
        <w:rPr>
          <w:rFonts w:hint="eastAsia" w:ascii="仿宋_GB2312" w:hAnsi="仿宋_GB2312" w:eastAsia="仿宋_GB2312" w:cs="仿宋_GB2312"/>
          <w:color w:val="000000" w:themeColor="text1"/>
          <w:sz w:val="36"/>
          <w:szCs w:val="36"/>
          <w14:textFill>
            <w14:solidFill>
              <w14:schemeClr w14:val="tx1"/>
            </w14:solidFill>
          </w14:textFill>
        </w:rPr>
        <w:t>资质要求证明文件（若本项目要求）</w:t>
      </w:r>
    </w:p>
    <w:bookmarkEnd w:id="162"/>
    <w:bookmarkEnd w:id="163"/>
    <w:bookmarkEnd w:id="164"/>
    <w:bookmarkEnd w:id="165"/>
    <w:bookmarkEnd w:id="166"/>
    <w:bookmarkEnd w:id="167"/>
    <w:bookmarkEnd w:id="168"/>
    <w:p w14:paraId="1D59E4D7">
      <w:pPr>
        <w:rPr>
          <w:rFonts w:hint="eastAsia" w:eastAsia="黑体" w:cs="Times New Roman"/>
          <w:b/>
          <w:color w:val="000000" w:themeColor="text1"/>
          <w:kern w:val="0"/>
          <w:sz w:val="32"/>
          <w:lang w:eastAsia="zh-CN"/>
          <w14:textFill>
            <w14:solidFill>
              <w14:schemeClr w14:val="tx1"/>
            </w14:solidFill>
          </w14:textFill>
        </w:rPr>
      </w:pPr>
      <w:r>
        <w:rPr>
          <w:rFonts w:hint="eastAsia" w:eastAsia="黑体" w:cs="Times New Roman"/>
          <w:b/>
          <w:color w:val="000000" w:themeColor="text1"/>
          <w:kern w:val="0"/>
          <w:sz w:val="32"/>
          <w:lang w:eastAsia="zh-CN"/>
          <w14:textFill>
            <w14:solidFill>
              <w14:schemeClr w14:val="tx1"/>
            </w14:solidFill>
          </w14:textFill>
        </w:rPr>
        <w:br w:type="page"/>
      </w:r>
    </w:p>
    <w:p w14:paraId="40B8A090">
      <w:pPr>
        <w:pStyle w:val="97"/>
        <w:numPr>
          <w:ilvl w:val="0"/>
          <w:numId w:val="0"/>
        </w:numPr>
        <w:spacing w:line="360" w:lineRule="auto"/>
        <w:rPr>
          <w:rFonts w:hint="eastAsia" w:ascii="仿宋_GB2312" w:hAnsi="仿宋_GB2312" w:eastAsia="仿宋_GB2312" w:cs="仿宋_GB2312"/>
          <w:b/>
          <w:color w:val="000000" w:themeColor="text1"/>
          <w:kern w:val="0"/>
          <w:sz w:val="36"/>
          <w:szCs w:val="36"/>
          <w14:textFill>
            <w14:solidFill>
              <w14:schemeClr w14:val="tx1"/>
            </w14:solidFill>
          </w14:textFill>
        </w:rPr>
      </w:pPr>
      <w:r>
        <w:rPr>
          <w:rFonts w:hint="eastAsia" w:ascii="仿宋_GB2312" w:hAnsi="仿宋_GB2312" w:eastAsia="仿宋_GB2312" w:cs="仿宋_GB2312"/>
          <w:b/>
          <w:color w:val="000000" w:themeColor="text1"/>
          <w:kern w:val="0"/>
          <w:sz w:val="36"/>
          <w:szCs w:val="36"/>
          <w:lang w:eastAsia="zh-CN"/>
          <w14:textFill>
            <w14:solidFill>
              <w14:schemeClr w14:val="tx1"/>
            </w14:solidFill>
          </w14:textFill>
        </w:rPr>
        <w:t>（五）</w:t>
      </w:r>
      <w:r>
        <w:rPr>
          <w:rFonts w:hint="eastAsia" w:ascii="仿宋_GB2312" w:hAnsi="仿宋_GB2312" w:eastAsia="仿宋_GB2312" w:cs="仿宋_GB2312"/>
          <w:b/>
          <w:color w:val="000000" w:themeColor="text1"/>
          <w:kern w:val="0"/>
          <w:sz w:val="36"/>
          <w:szCs w:val="36"/>
          <w:lang w:val="zh-CN"/>
          <w14:textFill>
            <w14:solidFill>
              <w14:schemeClr w14:val="tx1"/>
            </w14:solidFill>
          </w14:textFill>
        </w:rPr>
        <w:t>网上信用记录证明</w:t>
      </w:r>
    </w:p>
    <w:p w14:paraId="39D92E2C">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iCs/>
          <w:sz w:val="28"/>
          <w:szCs w:val="28"/>
          <w:highlight w:val="none"/>
        </w:rPr>
        <w:t>未被“信用中国”网站（www.creditchina.gov.cn）</w:t>
      </w:r>
      <w:r>
        <w:rPr>
          <w:rFonts w:hint="eastAsia" w:ascii="仿宋_GB2312" w:hAnsi="仿宋_GB2312" w:eastAsia="仿宋_GB2312" w:cs="仿宋_GB2312"/>
          <w:iCs/>
          <w:sz w:val="28"/>
          <w:szCs w:val="28"/>
          <w:highlight w:val="none"/>
          <w:lang w:eastAsia="zh-CN"/>
        </w:rPr>
        <w:t>、“中国政府采购网"(www.ccgp.gov.cn)</w:t>
      </w:r>
      <w:r>
        <w:rPr>
          <w:rFonts w:hint="eastAsia" w:ascii="仿宋_GB2312" w:hAnsi="仿宋_GB2312" w:eastAsia="仿宋_GB2312" w:cs="仿宋_GB2312"/>
          <w:iCs/>
          <w:sz w:val="28"/>
          <w:szCs w:val="28"/>
          <w:highlight w:val="none"/>
        </w:rPr>
        <w:t>列入失信被执行人、重大税收违法案件当事人名单、政府采购严重失信行为记录名单</w:t>
      </w:r>
      <w:r>
        <w:rPr>
          <w:rFonts w:hint="eastAsia" w:ascii="仿宋_GB2312" w:hAnsi="仿宋_GB2312" w:eastAsia="仿宋_GB2312" w:cs="仿宋_GB2312"/>
          <w:iCs/>
          <w:sz w:val="28"/>
          <w:szCs w:val="28"/>
          <w:highlight w:val="none"/>
          <w:lang w:eastAsia="zh-CN"/>
        </w:rPr>
        <w:t>。</w:t>
      </w:r>
      <w:r>
        <w:rPr>
          <w:rFonts w:hint="eastAsia" w:ascii="仿宋_GB2312" w:hAnsi="仿宋_GB2312" w:eastAsia="仿宋_GB2312" w:cs="仿宋_GB2312"/>
          <w:iCs/>
          <w:sz w:val="28"/>
          <w:szCs w:val="28"/>
          <w:highlight w:val="none"/>
        </w:rPr>
        <w:t>（提供网页截图）</w:t>
      </w:r>
    </w:p>
    <w:p w14:paraId="71F20DCB">
      <w:pPr>
        <w:pStyle w:val="18"/>
        <w:tabs>
          <w:tab w:val="left" w:pos="8786"/>
        </w:tabs>
        <w:spacing w:after="0" w:line="360" w:lineRule="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br w:type="page"/>
      </w:r>
    </w:p>
    <w:p w14:paraId="19A63580">
      <w:pPr>
        <w:pStyle w:val="97"/>
        <w:numPr>
          <w:ilvl w:val="0"/>
          <w:numId w:val="0"/>
        </w:numPr>
        <w:spacing w:line="360" w:lineRule="auto"/>
        <w:rPr>
          <w:rFonts w:hint="eastAsia" w:ascii="仿宋_GB2312" w:hAnsi="仿宋_GB2312" w:eastAsia="仿宋_GB2312" w:cs="仿宋_GB2312"/>
          <w:b/>
          <w:color w:val="000000" w:themeColor="text1"/>
          <w:kern w:val="0"/>
          <w:sz w:val="36"/>
          <w:szCs w:val="36"/>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36"/>
          <w:szCs w:val="36"/>
          <w:lang w:val="en-US" w:eastAsia="zh-CN"/>
          <w14:textFill>
            <w14:solidFill>
              <w14:schemeClr w14:val="tx1"/>
            </w14:solidFill>
          </w14:textFill>
        </w:rPr>
        <w:t>（六）中小企业声函（若本项目要求）</w:t>
      </w:r>
    </w:p>
    <w:p w14:paraId="24A60180">
      <w:pPr>
        <w:pStyle w:val="19"/>
        <w:rPr>
          <w:rFonts w:hint="eastAsia" w:ascii="仿宋_GB2312" w:hAnsi="仿宋_GB2312" w:eastAsia="仿宋_GB2312" w:cs="仿宋_GB2312"/>
          <w:sz w:val="28"/>
          <w:szCs w:val="28"/>
        </w:rPr>
      </w:pPr>
    </w:p>
    <w:p w14:paraId="1B47602A">
      <w:pPr>
        <w:keepNext w:val="0"/>
        <w:keepLines w:val="0"/>
        <w:pageBreakBefore w:val="0"/>
        <w:widowControl/>
        <w:kinsoku/>
        <w:wordWrap/>
        <w:overflowPunct/>
        <w:topLinePunct w:val="0"/>
        <w:autoSpaceDE/>
        <w:autoSpaceDN/>
        <w:bidi w:val="0"/>
        <w:adjustRightInd/>
        <w:snapToGrid/>
        <w:spacing w:beforeLines="0" w:afterLines="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中小企业声明函（工程、服务）</w:t>
      </w:r>
    </w:p>
    <w:p w14:paraId="21456032">
      <w:pPr>
        <w:keepNext w:val="0"/>
        <w:keepLines w:val="0"/>
        <w:pageBreakBefore w:val="0"/>
        <w:widowControl/>
        <w:kinsoku/>
        <w:wordWrap/>
        <w:overflowPunct/>
        <w:topLinePunct w:val="0"/>
        <w:autoSpaceDE/>
        <w:autoSpaceDN/>
        <w:bidi w:val="0"/>
        <w:adjustRightInd/>
        <w:snapToGrid/>
        <w:spacing w:beforeLines="0" w:afterLines="0"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E887764">
      <w:pPr>
        <w:keepNext w:val="0"/>
        <w:keepLines w:val="0"/>
        <w:pageBreakBefore w:val="0"/>
        <w:widowControl/>
        <w:kinsoku/>
        <w:wordWrap/>
        <w:overflowPunct/>
        <w:topLinePunct w:val="0"/>
        <w:autoSpaceDE/>
        <w:autoSpaceDN/>
        <w:bidi w:val="0"/>
        <w:adjustRightInd/>
        <w:snapToGrid/>
        <w:spacing w:beforeLines="0" w:afterLines="0" w:line="560" w:lineRule="exact"/>
        <w:ind w:firstLine="560" w:firstLineChars="200"/>
        <w:jc w:val="left"/>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1. （标的名称） ，属于（采购文件中明确的所属行业）；承建（承接）企业为（企业名称），从业人员人，营业收入为万元，资产总额为万元，属于（中型企业、小型企业、微型企业）；</w:t>
      </w:r>
    </w:p>
    <w:p w14:paraId="4BC761E2">
      <w:pPr>
        <w:keepNext w:val="0"/>
        <w:keepLines w:val="0"/>
        <w:pageBreakBefore w:val="0"/>
        <w:widowControl/>
        <w:kinsoku/>
        <w:wordWrap/>
        <w:overflowPunct/>
        <w:topLinePunct w:val="0"/>
        <w:autoSpaceDE/>
        <w:autoSpaceDN/>
        <w:bidi w:val="0"/>
        <w:adjustRightInd/>
        <w:snapToGrid/>
        <w:spacing w:beforeLines="0" w:afterLines="0" w:line="560" w:lineRule="exact"/>
        <w:ind w:firstLine="560" w:firstLineChars="200"/>
        <w:jc w:val="left"/>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2. （标的名称） ，属于（采购文件中明确的所属行业）；承建（承接）企业为（企业名称），从业人员人，营业收入为万元，资产总额为万元，属于（中型企业、小型企业、微型企业）；</w:t>
      </w:r>
    </w:p>
    <w:p w14:paraId="2647071F">
      <w:pPr>
        <w:keepNext w:val="0"/>
        <w:keepLines w:val="0"/>
        <w:pageBreakBefore w:val="0"/>
        <w:widowControl/>
        <w:kinsoku/>
        <w:wordWrap/>
        <w:overflowPunct/>
        <w:topLinePunct w:val="0"/>
        <w:autoSpaceDE/>
        <w:autoSpaceDN/>
        <w:bidi w:val="0"/>
        <w:adjustRightInd/>
        <w:snapToGrid/>
        <w:spacing w:beforeLines="0" w:afterLines="0"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p w14:paraId="03D7B1D2">
      <w:pPr>
        <w:keepNext w:val="0"/>
        <w:keepLines w:val="0"/>
        <w:pageBreakBefore w:val="0"/>
        <w:widowControl/>
        <w:kinsoku/>
        <w:wordWrap/>
        <w:overflowPunct/>
        <w:topLinePunct w:val="0"/>
        <w:autoSpaceDE/>
        <w:autoSpaceDN/>
        <w:bidi w:val="0"/>
        <w:adjustRightInd/>
        <w:snapToGrid/>
        <w:spacing w:beforeLines="0" w:afterLines="0"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以上企业，不属于大企业的分支机构，不存在控股股东为大企业的情形，也不存在与大企业的负责人为同一人的情形。</w:t>
      </w:r>
    </w:p>
    <w:p w14:paraId="0D3D795B">
      <w:pPr>
        <w:keepNext w:val="0"/>
        <w:keepLines w:val="0"/>
        <w:pageBreakBefore w:val="0"/>
        <w:widowControl/>
        <w:kinsoku/>
        <w:wordWrap/>
        <w:overflowPunct/>
        <w:topLinePunct w:val="0"/>
        <w:autoSpaceDE/>
        <w:autoSpaceDN/>
        <w:bidi w:val="0"/>
        <w:adjustRightInd/>
        <w:snapToGrid/>
        <w:spacing w:beforeLines="0" w:afterLines="0"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本企业对上述声明内容的真实性负责。如有虚假，将依法承担相应责任。</w:t>
      </w:r>
    </w:p>
    <w:p w14:paraId="7B4B0568">
      <w:pPr>
        <w:keepNext w:val="0"/>
        <w:keepLines w:val="0"/>
        <w:pageBreakBefore w:val="0"/>
        <w:widowControl/>
        <w:kinsoku/>
        <w:wordWrap/>
        <w:overflowPunct/>
        <w:topLinePunct w:val="0"/>
        <w:autoSpaceDE/>
        <w:autoSpaceDN/>
        <w:bidi w:val="0"/>
        <w:adjustRightInd/>
        <w:snapToGrid/>
        <w:spacing w:beforeLines="0" w:afterLines="0" w:line="560" w:lineRule="exact"/>
        <w:ind w:firstLine="4200" w:firstLineChars="15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企业名称（盖章）：</w:t>
      </w:r>
    </w:p>
    <w:p w14:paraId="3BF62D3C">
      <w:pPr>
        <w:keepNext w:val="0"/>
        <w:keepLines w:val="0"/>
        <w:pageBreakBefore w:val="0"/>
        <w:widowControl/>
        <w:kinsoku/>
        <w:wordWrap/>
        <w:overflowPunct/>
        <w:topLinePunct w:val="0"/>
        <w:autoSpaceDE/>
        <w:autoSpaceDN/>
        <w:bidi w:val="0"/>
        <w:adjustRightInd/>
        <w:snapToGrid/>
        <w:spacing w:line="560" w:lineRule="exact"/>
        <w:ind w:firstLine="4200" w:firstLineChars="1500"/>
        <w:textAlignment w:val="auto"/>
        <w:rPr>
          <w:rFonts w:hint="eastAsia" w:ascii="仿宋_GB2312" w:hAnsi="仿宋_GB2312" w:eastAsia="仿宋_GB2312" w:cs="仿宋_GB2312"/>
          <w:sz w:val="28"/>
          <w:szCs w:val="28"/>
        </w:rPr>
      </w:pPr>
    </w:p>
    <w:p w14:paraId="41D90A8E">
      <w:pPr>
        <w:keepNext w:val="0"/>
        <w:keepLines w:val="0"/>
        <w:pageBreakBefore w:val="0"/>
        <w:widowControl/>
        <w:kinsoku/>
        <w:wordWrap/>
        <w:overflowPunct/>
        <w:topLinePunct w:val="0"/>
        <w:autoSpaceDE/>
        <w:autoSpaceDN/>
        <w:bidi w:val="0"/>
        <w:adjustRightInd/>
        <w:snapToGrid/>
        <w:spacing w:line="560" w:lineRule="exact"/>
        <w:ind w:firstLine="4200" w:firstLineChars="1500"/>
        <w:textAlignment w:val="auto"/>
        <w:rPr>
          <w:rFonts w:hint="eastAsia" w:ascii="仿宋_GB2312" w:hAnsi="仿宋_GB2312" w:eastAsia="仿宋_GB2312" w:cs="仿宋_GB2312"/>
          <w:sz w:val="28"/>
          <w:szCs w:val="28"/>
        </w:rPr>
      </w:pPr>
    </w:p>
    <w:p w14:paraId="3DB5D181">
      <w:pPr>
        <w:keepNext w:val="0"/>
        <w:keepLines w:val="0"/>
        <w:pageBreakBefore w:val="0"/>
        <w:widowControl/>
        <w:kinsoku/>
        <w:wordWrap/>
        <w:overflowPunct/>
        <w:topLinePunct w:val="0"/>
        <w:autoSpaceDE/>
        <w:autoSpaceDN/>
        <w:bidi w:val="0"/>
        <w:adjustRightInd/>
        <w:snapToGrid/>
        <w:spacing w:line="560" w:lineRule="exact"/>
        <w:ind w:firstLine="4200" w:firstLineChars="15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w:t>
      </w:r>
    </w:p>
    <w:p w14:paraId="237F38EA">
      <w:pPr>
        <w:pStyle w:val="87"/>
        <w:numPr>
          <w:ilvl w:val="0"/>
          <w:numId w:val="0"/>
        </w:numPr>
        <w:outlineLvl w:val="2"/>
        <w:rPr>
          <w:rFonts w:hint="eastAsia" w:ascii="仿宋_GB2312" w:hAnsi="仿宋_GB2312" w:eastAsia="仿宋_GB2312" w:cs="仿宋_GB2312"/>
          <w:sz w:val="28"/>
          <w:szCs w:val="28"/>
        </w:rPr>
      </w:pPr>
    </w:p>
    <w:p w14:paraId="4B105D68">
      <w:pPr>
        <w:keepNext w:val="0"/>
        <w:keepLines w:val="0"/>
        <w:pageBreakBefore w:val="0"/>
        <w:widowControl w:val="0"/>
        <w:numPr>
          <w:ilvl w:val="0"/>
          <w:numId w:val="5"/>
        </w:numPr>
        <w:kinsoku/>
        <w:wordWrap/>
        <w:overflowPunct/>
        <w:topLinePunct w:val="0"/>
        <w:autoSpaceDE/>
        <w:autoSpaceDN/>
        <w:bidi w:val="0"/>
        <w:adjustRightInd/>
        <w:snapToGrid/>
        <w:spacing w:line="560" w:lineRule="atLeast"/>
        <w:ind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kern w:val="2"/>
          <w:sz w:val="28"/>
          <w:szCs w:val="28"/>
          <w:lang w:val="en-US" w:eastAsia="zh-CN" w:bidi="ar-SA"/>
        </w:rPr>
        <w:t>针对不专门面向中小微企业采购的项目，投标企业请参照《关于印发中小企业划型标准规定的通知》（工信部联企业[2011]300号）文件规定自行确定并填写中、小微企业声明函，</w:t>
      </w:r>
      <w:r>
        <w:rPr>
          <w:rFonts w:hint="eastAsia" w:ascii="仿宋_GB2312" w:hAnsi="仿宋_GB2312" w:eastAsia="仿宋_GB2312" w:cs="仿宋_GB2312"/>
          <w:b w:val="0"/>
          <w:bCs w:val="0"/>
          <w:kern w:val="2"/>
          <w:sz w:val="28"/>
          <w:szCs w:val="28"/>
          <w:lang w:val="en-US" w:eastAsia="zh-CN" w:bidi="ar-SA"/>
        </w:rPr>
        <w:t>上传关联至项目商务文件中。</w:t>
      </w:r>
    </w:p>
    <w:p w14:paraId="32CDB75C">
      <w:pPr>
        <w:keepNext w:val="0"/>
        <w:keepLines w:val="0"/>
        <w:pageBreakBefore w:val="0"/>
        <w:widowControl w:val="0"/>
        <w:numPr>
          <w:ilvl w:val="0"/>
          <w:numId w:val="5"/>
        </w:numPr>
        <w:kinsoku/>
        <w:wordWrap/>
        <w:overflowPunct/>
        <w:topLinePunct w:val="0"/>
        <w:autoSpaceDE/>
        <w:autoSpaceDN/>
        <w:bidi w:val="0"/>
        <w:adjustRightInd/>
        <w:snapToGrid/>
        <w:spacing w:line="560" w:lineRule="atLeas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符合条件的残疾人福利性单位提供《残疾人福利性单位声明函》，无须提供《中小企业声明函》。</w:t>
      </w:r>
    </w:p>
    <w:p w14:paraId="0D837ABA">
      <w:pPr>
        <w:keepNext w:val="0"/>
        <w:keepLines w:val="0"/>
        <w:pageBreakBefore w:val="0"/>
        <w:widowControl w:val="0"/>
        <w:numPr>
          <w:ilvl w:val="0"/>
          <w:numId w:val="5"/>
        </w:numPr>
        <w:kinsoku/>
        <w:wordWrap/>
        <w:overflowPunct/>
        <w:topLinePunct w:val="0"/>
        <w:autoSpaceDE/>
        <w:autoSpaceDN/>
        <w:bidi w:val="0"/>
        <w:adjustRightInd/>
        <w:snapToGrid/>
        <w:spacing w:line="560" w:lineRule="atLeas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2"/>
          <w:sz w:val="28"/>
          <w:szCs w:val="28"/>
          <w:lang w:val="en-US" w:eastAsia="zh-CN" w:bidi="ar-SA"/>
        </w:rPr>
        <w:t>监狱企业参加政府采购活动时，提供由省级以上监狱管理局、戒毒管理局（含新疆生产建</w:t>
      </w:r>
      <w:r>
        <w:rPr>
          <w:rFonts w:hint="eastAsia" w:ascii="仿宋_GB2312" w:hAnsi="仿宋_GB2312" w:eastAsia="仿宋_GB2312" w:cs="仿宋_GB2312"/>
          <w:sz w:val="28"/>
          <w:szCs w:val="28"/>
          <w:lang w:val="en-US" w:eastAsia="zh-CN"/>
        </w:rPr>
        <w:t>设兵团）出具的属于监狱企业的证明文件，可不再提供《中小企业声明函》。</w:t>
      </w:r>
    </w:p>
    <w:p w14:paraId="42E3AFC0">
      <w:pPr>
        <w:pStyle w:val="97"/>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rPr>
        <w:t xml:space="preserve">  </w:t>
      </w:r>
    </w:p>
    <w:p w14:paraId="587D14ED">
      <w:pPr>
        <w:pStyle w:val="97"/>
        <w:spacing w:line="360" w:lineRule="auto"/>
        <w:rPr>
          <w:rFonts w:hint="eastAsia" w:ascii="仿宋_GB2312" w:hAnsi="仿宋_GB2312" w:eastAsia="仿宋_GB2312" w:cs="仿宋_GB2312"/>
          <w:b/>
          <w:kern w:val="0"/>
          <w:sz w:val="28"/>
          <w:szCs w:val="28"/>
          <w:lang w:eastAsia="zh-CN" w:bidi="ar-SA"/>
        </w:rPr>
      </w:pPr>
    </w:p>
    <w:p w14:paraId="3C405949">
      <w:pPr>
        <w:pStyle w:val="97"/>
        <w:spacing w:line="360" w:lineRule="auto"/>
        <w:rPr>
          <w:rFonts w:hint="eastAsia" w:ascii="仿宋_GB2312" w:hAnsi="仿宋_GB2312" w:eastAsia="仿宋_GB2312" w:cs="仿宋_GB2312"/>
          <w:b/>
          <w:color w:val="000000" w:themeColor="text1"/>
          <w:kern w:val="0"/>
          <w:sz w:val="28"/>
          <w:szCs w:val="28"/>
          <w14:textFill>
            <w14:solidFill>
              <w14:schemeClr w14:val="tx1"/>
            </w14:solidFill>
          </w14:textFill>
        </w:rPr>
      </w:pPr>
    </w:p>
    <w:p w14:paraId="0AC075B1">
      <w:pPr>
        <w:pStyle w:val="97"/>
        <w:spacing w:line="360" w:lineRule="auto"/>
        <w:rPr>
          <w:rFonts w:hint="eastAsia" w:ascii="仿宋_GB2312" w:hAnsi="仿宋_GB2312" w:eastAsia="仿宋_GB2312" w:cs="仿宋_GB2312"/>
          <w:b/>
          <w:color w:val="000000" w:themeColor="text1"/>
          <w:kern w:val="0"/>
          <w:sz w:val="28"/>
          <w:szCs w:val="28"/>
          <w14:textFill>
            <w14:solidFill>
              <w14:schemeClr w14:val="tx1"/>
            </w14:solidFill>
          </w14:textFill>
        </w:rPr>
      </w:pPr>
    </w:p>
    <w:p w14:paraId="7FDBB151">
      <w:pPr>
        <w:pStyle w:val="97"/>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3BF743F1">
      <w:pPr>
        <w:pStyle w:val="97"/>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383C25BC">
      <w:pPr>
        <w:pStyle w:val="97"/>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2A7AB1FE">
      <w:pPr>
        <w:pStyle w:val="97"/>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088C399C">
      <w:pPr>
        <w:pStyle w:val="97"/>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660535CE">
      <w:pPr>
        <w:pStyle w:val="97"/>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4C50BAD6">
      <w:pPr>
        <w:pStyle w:val="97"/>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2B966481">
      <w:pPr>
        <w:pStyle w:val="97"/>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0E26DD3E">
      <w:pPr>
        <w:pStyle w:val="97"/>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7A3E03B6">
      <w:pPr>
        <w:pStyle w:val="97"/>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0346EB5D">
      <w:pPr>
        <w:pStyle w:val="97"/>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357EF889">
      <w:pPr>
        <w:pStyle w:val="97"/>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36A0C0A1">
      <w:pPr>
        <w:pStyle w:val="97"/>
        <w:spacing w:line="360" w:lineRule="auto"/>
        <w:rPr>
          <w:rFonts w:hint="eastAsia"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b/>
          <w:color w:val="000000" w:themeColor="text1"/>
          <w:kern w:val="0"/>
          <w:sz w:val="36"/>
          <w:szCs w:val="36"/>
          <w14:textFill>
            <w14:solidFill>
              <w14:schemeClr w14:val="tx1"/>
            </w14:solidFill>
          </w14:textFill>
        </w:rPr>
        <w:t>三、商务文件</w:t>
      </w:r>
      <w:bookmarkEnd w:id="154"/>
    </w:p>
    <w:p w14:paraId="4BF0F591">
      <w:pPr>
        <w:pStyle w:val="105"/>
        <w:outlineLvl w:val="2"/>
        <w:rPr>
          <w:rFonts w:hint="eastAsia" w:ascii="仿宋_GB2312" w:hAnsi="仿宋_GB2312" w:eastAsia="仿宋_GB2312" w:cs="仿宋_GB2312"/>
          <w:color w:val="000000" w:themeColor="text1"/>
          <w:sz w:val="32"/>
          <w:szCs w:val="32"/>
          <w14:textFill>
            <w14:solidFill>
              <w14:schemeClr w14:val="tx1"/>
            </w14:solidFill>
          </w14:textFill>
        </w:rPr>
      </w:pPr>
      <w:bookmarkStart w:id="169" w:name="_Toc519111291"/>
      <w:r>
        <w:rPr>
          <w:rFonts w:hint="eastAsia" w:ascii="仿宋_GB2312" w:hAnsi="仿宋_GB2312" w:eastAsia="仿宋_GB2312" w:cs="仿宋_GB2312"/>
          <w:b/>
          <w:color w:val="000000"/>
          <w:kern w:val="2"/>
          <w:sz w:val="32"/>
          <w:szCs w:val="32"/>
          <w:lang w:val="en-US" w:eastAsia="zh-CN" w:bidi="ar-SA"/>
        </w:rPr>
        <w:t>☆</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七</w:t>
      </w:r>
      <w:r>
        <w:rPr>
          <w:rFonts w:hint="eastAsia" w:ascii="仿宋_GB2312" w:hAnsi="仿宋_GB2312" w:eastAsia="仿宋_GB2312" w:cs="仿宋_GB2312"/>
          <w:color w:val="000000" w:themeColor="text1"/>
          <w:sz w:val="32"/>
          <w:szCs w:val="32"/>
          <w14:textFill>
            <w14:solidFill>
              <w14:schemeClr w14:val="tx1"/>
            </w14:solidFill>
          </w14:textFill>
        </w:rPr>
        <w:t>）投标函</w:t>
      </w:r>
      <w:bookmarkEnd w:id="169"/>
    </w:p>
    <w:p w14:paraId="27594F78">
      <w:pPr>
        <w:pStyle w:val="106"/>
        <w:widowControl/>
        <w:spacing w:line="360" w:lineRule="auto"/>
        <w:ind w:left="0" w:leftChars="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w:t>
      </w:r>
    </w:p>
    <w:p w14:paraId="5F7453C2">
      <w:pPr>
        <w:pStyle w:val="24"/>
        <w:widowControl/>
        <w:spacing w:line="360" w:lineRule="auto"/>
        <w:ind w:left="0" w:leftChars="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 xml:space="preserve"> (投标人名称)授权</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(投标人授权代理人姓名)</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(职务、职称)为我方代表，参加贵方组织的</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 xml:space="preserve"> (项目名称、项目编号、包号)招标的有关活动，并对此项目进行投标。为此：</w:t>
      </w:r>
    </w:p>
    <w:p w14:paraId="18457B0C">
      <w:pPr>
        <w:pStyle w:val="106"/>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1、我方同意在本项目响应文件中规定的投标有效期内遵守本投标文件中的承诺且在此期限期满之前均具有约束力。</w:t>
      </w:r>
    </w:p>
    <w:p w14:paraId="72DF91C8">
      <w:pPr>
        <w:pStyle w:val="106"/>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2、我方承诺已经具备《中华人民共和国政府采购法》中规定的参加政府采购活动的供应商应当具备的条件：</w:t>
      </w:r>
    </w:p>
    <w:p w14:paraId="614F6551">
      <w:pPr>
        <w:pStyle w:val="106"/>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1）具有独立承担民事责任的能力；</w:t>
      </w:r>
    </w:p>
    <w:p w14:paraId="5127326D">
      <w:pPr>
        <w:pStyle w:val="106"/>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2）具有良好的商业信誉和健全的财务会计制度；</w:t>
      </w:r>
    </w:p>
    <w:p w14:paraId="6DF5939D">
      <w:pPr>
        <w:pStyle w:val="106"/>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3）具有履行合同所必需的设备和专业技术能力；</w:t>
      </w:r>
    </w:p>
    <w:p w14:paraId="58360929">
      <w:pPr>
        <w:pStyle w:val="106"/>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4）有依法缴纳税收和社会保障资金的良好记录；</w:t>
      </w:r>
    </w:p>
    <w:p w14:paraId="6969A2B3">
      <w:pPr>
        <w:pStyle w:val="106"/>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5）参加此项采购活动前三年内，在经营活动中没有重大违法记录；</w:t>
      </w:r>
    </w:p>
    <w:p w14:paraId="245275EC">
      <w:pPr>
        <w:pStyle w:val="97"/>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6）法律、行政法规规定的其他条件。</w:t>
      </w:r>
    </w:p>
    <w:p w14:paraId="6761BD85">
      <w:pPr>
        <w:pStyle w:val="106"/>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3、提供供应商须知规定的全部投标文件，</w:t>
      </w:r>
      <w:r>
        <w:rPr>
          <w:rFonts w:hint="eastAsia" w:ascii="仿宋_GB2312" w:hAnsi="仿宋_GB2312" w:eastAsia="仿宋_GB2312" w:cs="仿宋_GB2312"/>
          <w:color w:val="000000" w:themeColor="text1"/>
          <w:sz w:val="28"/>
          <w:szCs w:val="28"/>
          <w:lang w:eastAsia="zh-CN"/>
          <w14:textFill>
            <w14:solidFill>
              <w14:schemeClr w14:val="tx1"/>
            </w14:solidFill>
          </w14:textFill>
        </w:rPr>
        <w:t>为</w:t>
      </w:r>
      <w:r>
        <w:rPr>
          <w:rFonts w:hint="eastAsia" w:ascii="仿宋_GB2312" w:hAnsi="仿宋_GB2312" w:eastAsia="仿宋_GB2312" w:cs="仿宋_GB2312"/>
          <w:color w:val="000000" w:themeColor="text1"/>
          <w:sz w:val="28"/>
          <w:szCs w:val="28"/>
          <w14:textFill>
            <w14:solidFill>
              <w14:schemeClr w14:val="tx1"/>
            </w14:solidFill>
          </w14:textFill>
        </w:rPr>
        <w:t>在阿勒泰地区公共资源交易平台上传加密电子投标文件一份。</w:t>
      </w:r>
    </w:p>
    <w:p w14:paraId="2199955B">
      <w:pPr>
        <w:pStyle w:val="106"/>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4、按响应文件要求提供和交付的货物及相关服务的响应报价详见开标一览表。</w:t>
      </w:r>
    </w:p>
    <w:p w14:paraId="374D288B">
      <w:pPr>
        <w:pStyle w:val="106"/>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5、保证忠实地执行双方所签订的合同，并承担合同规定的责任和义务。</w:t>
      </w:r>
    </w:p>
    <w:p w14:paraId="0C27CDD9">
      <w:pPr>
        <w:pStyle w:val="106"/>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6、我方承诺完全满足和响应响应文件中的各项技术和服务要求，若有偏差，已在投标文件偏离表中予以明确特别说明。</w:t>
      </w:r>
    </w:p>
    <w:p w14:paraId="3AF1869F">
      <w:pPr>
        <w:pStyle w:val="106"/>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7、我方承诺：完全理解响应报价若超过项目预算时，投标将被拒绝。</w:t>
      </w:r>
    </w:p>
    <w:p w14:paraId="5A5FAEF2">
      <w:pPr>
        <w:pStyle w:val="106"/>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8、我方承诺：与在本项目中设计编制技术规格的机构及其附属机构无任何直接隶属关系和利益关联。</w:t>
      </w:r>
    </w:p>
    <w:p w14:paraId="2CA5FBCD">
      <w:pPr>
        <w:pStyle w:val="106"/>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9、如果在开标后规定的投标有效期内撤回投标，我方的投标保证金可被贵方没收。</w:t>
      </w:r>
    </w:p>
    <w:p w14:paraId="4CA4AFC2">
      <w:pPr>
        <w:pStyle w:val="106"/>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10、我方完全理解贵方不一定接受最低价的投标或收到的任何投标。</w:t>
      </w:r>
    </w:p>
    <w:p w14:paraId="28B134EB">
      <w:pPr>
        <w:pStyle w:val="106"/>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我方承诺：投标文件所提供的一切资料及阿勒泰地区公共资源交易平台申报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14:paraId="6BEBD213">
      <w:pPr>
        <w:pStyle w:val="106"/>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12、我方已详细审核全部投标文件，包括投标文件修改书（如有的话）、参考资料及有关附件，确认无误。</w:t>
      </w:r>
    </w:p>
    <w:p w14:paraId="0305B114">
      <w:pPr>
        <w:pStyle w:val="106"/>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13、我方承诺：采购人若需追加采购本项目响应文件所列货物及相关服务的，在不改变合同其他实质性条款的前提下，按相同或更优惠的折扣率保证供货。</w:t>
      </w:r>
    </w:p>
    <w:p w14:paraId="6894F647">
      <w:pPr>
        <w:pStyle w:val="106"/>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14、我方承诺：如所报货物属国家强制认证产品的，均已通过认证且在有效期内，否则，由此产生的一切法律责任由我方承担。</w:t>
      </w:r>
    </w:p>
    <w:p w14:paraId="0B975099">
      <w:pPr>
        <w:pStyle w:val="106"/>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15、我方承诺：接受响应文件中的全部条款且无任何异议，保证遵守响应文件的规定。</w:t>
      </w:r>
    </w:p>
    <w:p w14:paraId="6AB659CB">
      <w:pPr>
        <w:pStyle w:val="106"/>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B7F6D26">
      <w:pPr>
        <w:pStyle w:val="106"/>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1）提供虚假材料谋取中标、成交的；</w:t>
      </w:r>
    </w:p>
    <w:p w14:paraId="30143BB1">
      <w:pPr>
        <w:pStyle w:val="106"/>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2）采取不正当手段诋毁、排挤其他供应商的；</w:t>
      </w:r>
    </w:p>
    <w:p w14:paraId="14B73A14">
      <w:pPr>
        <w:pStyle w:val="106"/>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3）与采购人、其他供应商或者集中采购机构工作人员恶意串通的；</w:t>
      </w:r>
    </w:p>
    <w:p w14:paraId="1738AB86">
      <w:pPr>
        <w:pStyle w:val="106"/>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4）向采购人、集中采购机构工作人员行贿或者提供其他不正当利益的；</w:t>
      </w:r>
    </w:p>
    <w:p w14:paraId="2DF57D94">
      <w:pPr>
        <w:pStyle w:val="106"/>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5）在采购过程中与采购人进行协商谈判的；</w:t>
      </w:r>
    </w:p>
    <w:p w14:paraId="00B8C92A">
      <w:pPr>
        <w:pStyle w:val="106"/>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6）拒绝有关部门监督检查或提供虚假情况的。</w:t>
      </w:r>
    </w:p>
    <w:p w14:paraId="0B6D76E9">
      <w:pPr>
        <w:pStyle w:val="97"/>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17、</w:t>
      </w:r>
    </w:p>
    <w:p w14:paraId="106E2304">
      <w:pPr>
        <w:pStyle w:val="106"/>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与本投标有关的一切往来通讯请寄：</w:t>
      </w:r>
    </w:p>
    <w:p w14:paraId="097A0FF0">
      <w:pPr>
        <w:pStyle w:val="106"/>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地址：____________________________________________________</w:t>
      </w:r>
    </w:p>
    <w:p w14:paraId="7574C7F8">
      <w:pPr>
        <w:pStyle w:val="106"/>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邮编：____________　</w:t>
      </w:r>
    </w:p>
    <w:p w14:paraId="6BF49D6C">
      <w:pPr>
        <w:pStyle w:val="106"/>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电话：____________　</w:t>
      </w:r>
    </w:p>
    <w:p w14:paraId="3E0AE21E">
      <w:pPr>
        <w:pStyle w:val="106"/>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传真：____________</w:t>
      </w:r>
    </w:p>
    <w:p w14:paraId="2CF92216">
      <w:pPr>
        <w:pStyle w:val="106"/>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供应商法定代表人或授权代理人联系电话，e-mail：</w:t>
      </w:r>
    </w:p>
    <w:p w14:paraId="3604F393">
      <w:pPr>
        <w:pStyle w:val="106"/>
        <w:widowControl/>
        <w:spacing w:line="360" w:lineRule="auto"/>
        <w:ind w:left="0" w:leftChars="0"/>
        <w:rPr>
          <w:rFonts w:hint="eastAsia" w:ascii="仿宋_GB2312" w:hAnsi="仿宋_GB2312" w:eastAsia="仿宋_GB2312" w:cs="仿宋_GB2312"/>
          <w:color w:val="000000" w:themeColor="text1"/>
          <w:sz w:val="28"/>
          <w:szCs w:val="28"/>
          <w14:textFill>
            <w14:solidFill>
              <w14:schemeClr w14:val="tx1"/>
            </w14:solidFill>
          </w14:textFill>
        </w:rPr>
      </w:pPr>
    </w:p>
    <w:p w14:paraId="18FF48D0">
      <w:pPr>
        <w:pStyle w:val="106"/>
        <w:widowControl/>
        <w:spacing w:line="360" w:lineRule="auto"/>
        <w:ind w:left="101" w:leftChars="48" w:firstLine="422" w:firstLineChars="150"/>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供应商法定代表人电子签章：</w:t>
      </w:r>
    </w:p>
    <w:p w14:paraId="3AC64858">
      <w:pPr>
        <w:pStyle w:val="106"/>
        <w:widowControl/>
        <w:spacing w:line="360" w:lineRule="auto"/>
        <w:ind w:left="0" w:leftChars="0" w:firstLine="562" w:firstLineChars="200"/>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供应商公章：</w:t>
      </w:r>
    </w:p>
    <w:p w14:paraId="34FE328B">
      <w:pPr>
        <w:pStyle w:val="106"/>
        <w:widowControl/>
        <w:spacing w:line="360" w:lineRule="auto"/>
        <w:ind w:left="0" w:leftChars="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ab/>
      </w:r>
      <w:r>
        <w:rPr>
          <w:rFonts w:hint="eastAsia" w:ascii="仿宋_GB2312" w:hAnsi="仿宋_GB2312" w:eastAsia="仿宋_GB2312" w:cs="仿宋_GB2312"/>
          <w:color w:val="000000" w:themeColor="text1"/>
          <w:sz w:val="28"/>
          <w:szCs w:val="28"/>
          <w14:textFill>
            <w14:solidFill>
              <w14:schemeClr w14:val="tx1"/>
            </w14:solidFill>
          </w14:textFill>
        </w:rPr>
        <w:t xml:space="preserve"> 日　期：</w:t>
      </w:r>
    </w:p>
    <w:p w14:paraId="0BB4582E">
      <w:pPr>
        <w:pStyle w:val="106"/>
        <w:widowControl/>
        <w:spacing w:line="360" w:lineRule="auto"/>
        <w:ind w:left="0" w:leftChars="0"/>
        <w:rPr>
          <w:rFonts w:hint="eastAsia" w:ascii="仿宋_GB2312" w:hAnsi="仿宋_GB2312" w:eastAsia="仿宋_GB2312" w:cs="仿宋_GB2312"/>
          <w:color w:val="000000" w:themeColor="text1"/>
          <w:sz w:val="28"/>
          <w:szCs w:val="28"/>
          <w14:textFill>
            <w14:solidFill>
              <w14:schemeClr w14:val="tx1"/>
            </w14:solidFill>
          </w14:textFill>
        </w:rPr>
      </w:pPr>
    </w:p>
    <w:p w14:paraId="43339DD6">
      <w:pPr>
        <w:pStyle w:val="106"/>
        <w:widowControl/>
        <w:spacing w:line="360" w:lineRule="auto"/>
        <w:ind w:left="0" w:leftChars="0"/>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说明：除可填报项目外，对本投标函的任何修改将被视为非实质性响应投标，从而导致该投标被拒绝。</w:t>
      </w:r>
    </w:p>
    <w:p w14:paraId="58BAA22D">
      <w:pPr>
        <w:pStyle w:val="107"/>
        <w:spacing w:after="0" w:line="360" w:lineRule="auto"/>
        <w:rPr>
          <w:rFonts w:hint="eastAsia" w:ascii="仿宋_GB2312" w:hAnsi="仿宋_GB2312" w:eastAsia="仿宋_GB2312" w:cs="仿宋_GB2312"/>
          <w:b/>
          <w:color w:val="000000" w:themeColor="text1"/>
          <w:sz w:val="28"/>
          <w:szCs w:val="28"/>
          <w14:textFill>
            <w14:solidFill>
              <w14:schemeClr w14:val="tx1"/>
            </w14:solidFill>
          </w14:textFill>
        </w:rPr>
      </w:pPr>
    </w:p>
    <w:p w14:paraId="63C021C8">
      <w:pPr>
        <w:pStyle w:val="108"/>
        <w:outlineLvl w:val="2"/>
        <w:rPr>
          <w:rFonts w:hint="eastAsia" w:ascii="仿宋_GB2312" w:hAnsi="仿宋_GB2312" w:eastAsia="仿宋_GB2312" w:cs="仿宋_GB2312"/>
          <w:color w:val="000000" w:themeColor="text1"/>
          <w:sz w:val="28"/>
          <w:szCs w:val="28"/>
          <w14:textFill>
            <w14:solidFill>
              <w14:schemeClr w14:val="tx1"/>
            </w14:solidFill>
          </w14:textFill>
        </w:rPr>
      </w:pPr>
    </w:p>
    <w:p w14:paraId="3F367011">
      <w:pPr>
        <w:rPr>
          <w:rFonts w:hint="eastAsia" w:ascii="仿宋_GB2312" w:hAnsi="仿宋_GB2312" w:eastAsia="仿宋_GB2312" w:cs="仿宋_GB2312"/>
          <w:color w:val="000000" w:themeColor="text1"/>
          <w:sz w:val="28"/>
          <w:szCs w:val="28"/>
          <w14:textFill>
            <w14:solidFill>
              <w14:schemeClr w14:val="tx1"/>
            </w14:solidFill>
          </w14:textFill>
        </w:rPr>
      </w:pPr>
    </w:p>
    <w:p w14:paraId="4D9AC53D">
      <w:pPr>
        <w:rPr>
          <w:rFonts w:hint="eastAsia" w:ascii="仿宋_GB2312" w:hAnsi="仿宋_GB2312" w:eastAsia="仿宋_GB2312" w:cs="仿宋_GB2312"/>
          <w:color w:val="000000" w:themeColor="text1"/>
          <w:sz w:val="28"/>
          <w:szCs w:val="28"/>
          <w14:textFill>
            <w14:solidFill>
              <w14:schemeClr w14:val="tx1"/>
            </w14:solidFill>
          </w14:textFill>
        </w:rPr>
      </w:pPr>
    </w:p>
    <w:p w14:paraId="4D9CF85F">
      <w:pPr>
        <w:rPr>
          <w:rFonts w:hint="eastAsia" w:ascii="仿宋_GB2312" w:hAnsi="仿宋_GB2312" w:eastAsia="仿宋_GB2312" w:cs="仿宋_GB2312"/>
          <w:color w:val="000000" w:themeColor="text1"/>
          <w:sz w:val="28"/>
          <w:szCs w:val="28"/>
          <w14:textFill>
            <w14:solidFill>
              <w14:schemeClr w14:val="tx1"/>
            </w14:solidFill>
          </w14:textFill>
        </w:rPr>
      </w:pPr>
    </w:p>
    <w:p w14:paraId="3D750BF6">
      <w:pPr>
        <w:rPr>
          <w:rFonts w:hint="eastAsia" w:ascii="仿宋_GB2312" w:hAnsi="仿宋_GB2312" w:eastAsia="仿宋_GB2312" w:cs="仿宋_GB2312"/>
          <w:color w:val="000000" w:themeColor="text1"/>
          <w:sz w:val="28"/>
          <w:szCs w:val="28"/>
          <w14:textFill>
            <w14:solidFill>
              <w14:schemeClr w14:val="tx1"/>
            </w14:solidFill>
          </w14:textFill>
        </w:rPr>
      </w:pPr>
    </w:p>
    <w:p w14:paraId="2B082F77">
      <w:pPr>
        <w:rPr>
          <w:rFonts w:hint="eastAsia" w:ascii="仿宋_GB2312" w:hAnsi="仿宋_GB2312" w:eastAsia="仿宋_GB2312" w:cs="仿宋_GB2312"/>
          <w:color w:val="000000" w:themeColor="text1"/>
          <w:sz w:val="28"/>
          <w:szCs w:val="28"/>
          <w14:textFill>
            <w14:solidFill>
              <w14:schemeClr w14:val="tx1"/>
            </w14:solidFill>
          </w14:textFill>
        </w:rPr>
      </w:pPr>
    </w:p>
    <w:p w14:paraId="7A134FFD">
      <w:pPr>
        <w:rPr>
          <w:rFonts w:hint="eastAsia" w:ascii="仿宋_GB2312" w:hAnsi="仿宋_GB2312" w:eastAsia="仿宋_GB2312" w:cs="仿宋_GB2312"/>
          <w:color w:val="000000" w:themeColor="text1"/>
          <w:sz w:val="28"/>
          <w:szCs w:val="28"/>
          <w14:textFill>
            <w14:solidFill>
              <w14:schemeClr w14:val="tx1"/>
            </w14:solidFill>
          </w14:textFill>
        </w:rPr>
      </w:pPr>
    </w:p>
    <w:p w14:paraId="25DF023A">
      <w:pPr>
        <w:rPr>
          <w:rFonts w:hint="eastAsia" w:ascii="仿宋_GB2312" w:hAnsi="仿宋_GB2312" w:eastAsia="仿宋_GB2312" w:cs="仿宋_GB2312"/>
          <w:color w:val="000000" w:themeColor="text1"/>
          <w:sz w:val="28"/>
          <w:szCs w:val="28"/>
          <w14:textFill>
            <w14:solidFill>
              <w14:schemeClr w14:val="tx1"/>
            </w14:solidFill>
          </w14:textFill>
        </w:rPr>
      </w:pPr>
    </w:p>
    <w:p w14:paraId="7BB766EA">
      <w:pPr>
        <w:rPr>
          <w:rFonts w:hint="eastAsia" w:ascii="仿宋_GB2312" w:hAnsi="仿宋_GB2312" w:eastAsia="仿宋_GB2312" w:cs="仿宋_GB2312"/>
          <w:color w:val="000000" w:themeColor="text1"/>
          <w:sz w:val="28"/>
          <w:szCs w:val="28"/>
          <w14:textFill>
            <w14:solidFill>
              <w14:schemeClr w14:val="tx1"/>
            </w14:solidFill>
          </w14:textFill>
        </w:rPr>
      </w:pPr>
    </w:p>
    <w:p w14:paraId="5A7A1972">
      <w:pPr>
        <w:rPr>
          <w:rFonts w:hint="eastAsia" w:ascii="仿宋_GB2312" w:hAnsi="仿宋_GB2312" w:eastAsia="仿宋_GB2312" w:cs="仿宋_GB2312"/>
          <w:color w:val="000000" w:themeColor="text1"/>
          <w:sz w:val="28"/>
          <w:szCs w:val="28"/>
          <w14:textFill>
            <w14:solidFill>
              <w14:schemeClr w14:val="tx1"/>
            </w14:solidFill>
          </w14:textFill>
        </w:rPr>
      </w:pPr>
    </w:p>
    <w:p w14:paraId="60B44ABD">
      <w:pPr>
        <w:rPr>
          <w:rFonts w:hint="eastAsia" w:ascii="仿宋_GB2312" w:hAnsi="仿宋_GB2312" w:eastAsia="仿宋_GB2312" w:cs="仿宋_GB2312"/>
          <w:color w:val="000000" w:themeColor="text1"/>
          <w:sz w:val="28"/>
          <w:szCs w:val="28"/>
          <w14:textFill>
            <w14:solidFill>
              <w14:schemeClr w14:val="tx1"/>
            </w14:solidFill>
          </w14:textFill>
        </w:rPr>
      </w:pPr>
    </w:p>
    <w:p w14:paraId="04BE796B">
      <w:pPr>
        <w:rPr>
          <w:rFonts w:hint="eastAsia" w:ascii="仿宋_GB2312" w:hAnsi="仿宋_GB2312" w:eastAsia="仿宋_GB2312" w:cs="仿宋_GB2312"/>
          <w:color w:val="000000" w:themeColor="text1"/>
          <w:sz w:val="28"/>
          <w:szCs w:val="28"/>
          <w14:textFill>
            <w14:solidFill>
              <w14:schemeClr w14:val="tx1"/>
            </w14:solidFill>
          </w14:textFill>
        </w:rPr>
      </w:pPr>
    </w:p>
    <w:p w14:paraId="0DBB95A2">
      <w:pPr>
        <w:rPr>
          <w:rFonts w:hint="eastAsia" w:ascii="仿宋_GB2312" w:hAnsi="仿宋_GB2312" w:eastAsia="仿宋_GB2312" w:cs="仿宋_GB2312"/>
          <w:color w:val="000000" w:themeColor="text1"/>
          <w:sz w:val="28"/>
          <w:szCs w:val="28"/>
          <w14:textFill>
            <w14:solidFill>
              <w14:schemeClr w14:val="tx1"/>
            </w14:solidFill>
          </w14:textFill>
        </w:rPr>
      </w:pPr>
    </w:p>
    <w:p w14:paraId="7DDB76A7">
      <w:pPr>
        <w:rPr>
          <w:rFonts w:hint="eastAsia" w:ascii="仿宋_GB2312" w:hAnsi="仿宋_GB2312" w:eastAsia="仿宋_GB2312" w:cs="仿宋_GB2312"/>
          <w:color w:val="000000" w:themeColor="text1"/>
          <w:sz w:val="28"/>
          <w:szCs w:val="28"/>
          <w14:textFill>
            <w14:solidFill>
              <w14:schemeClr w14:val="tx1"/>
            </w14:solidFill>
          </w14:textFill>
        </w:rPr>
      </w:pPr>
    </w:p>
    <w:p w14:paraId="0581F327">
      <w:pPr>
        <w:rPr>
          <w:rFonts w:hint="eastAsia" w:ascii="仿宋_GB2312" w:hAnsi="仿宋_GB2312" w:eastAsia="仿宋_GB2312" w:cs="仿宋_GB2312"/>
          <w:color w:val="000000" w:themeColor="text1"/>
          <w:sz w:val="28"/>
          <w:szCs w:val="28"/>
          <w14:textFill>
            <w14:solidFill>
              <w14:schemeClr w14:val="tx1"/>
            </w14:solidFill>
          </w14:textFill>
        </w:rPr>
      </w:pPr>
    </w:p>
    <w:p w14:paraId="640BE01A">
      <w:pPr>
        <w:rPr>
          <w:rFonts w:hint="eastAsia" w:ascii="仿宋_GB2312" w:hAnsi="仿宋_GB2312" w:eastAsia="仿宋_GB2312" w:cs="仿宋_GB2312"/>
          <w:color w:val="000000" w:themeColor="text1"/>
          <w:sz w:val="28"/>
          <w:szCs w:val="28"/>
          <w14:textFill>
            <w14:solidFill>
              <w14:schemeClr w14:val="tx1"/>
            </w14:solidFill>
          </w14:textFill>
        </w:rPr>
      </w:pPr>
    </w:p>
    <w:p w14:paraId="486D552E">
      <w:pPr>
        <w:rPr>
          <w:rFonts w:hint="eastAsia" w:ascii="仿宋_GB2312" w:hAnsi="仿宋_GB2312" w:eastAsia="仿宋_GB2312" w:cs="仿宋_GB2312"/>
          <w:color w:val="000000" w:themeColor="text1"/>
          <w:sz w:val="28"/>
          <w:szCs w:val="28"/>
          <w14:textFill>
            <w14:solidFill>
              <w14:schemeClr w14:val="tx1"/>
            </w14:solidFill>
          </w14:textFill>
        </w:rPr>
      </w:pPr>
    </w:p>
    <w:p w14:paraId="7C105D57">
      <w:pPr>
        <w:rPr>
          <w:rFonts w:hint="eastAsia" w:ascii="仿宋_GB2312" w:hAnsi="仿宋_GB2312" w:eastAsia="仿宋_GB2312" w:cs="仿宋_GB2312"/>
          <w:color w:val="000000" w:themeColor="text1"/>
          <w:sz w:val="28"/>
          <w:szCs w:val="28"/>
          <w14:textFill>
            <w14:solidFill>
              <w14:schemeClr w14:val="tx1"/>
            </w14:solidFill>
          </w14:textFill>
        </w:rPr>
      </w:pPr>
    </w:p>
    <w:p w14:paraId="2321171A">
      <w:pPr>
        <w:rPr>
          <w:rFonts w:hint="eastAsia" w:ascii="仿宋_GB2312" w:hAnsi="仿宋_GB2312" w:eastAsia="仿宋_GB2312" w:cs="仿宋_GB2312"/>
          <w:color w:val="000000" w:themeColor="text1"/>
          <w:sz w:val="28"/>
          <w:szCs w:val="28"/>
          <w14:textFill>
            <w14:solidFill>
              <w14:schemeClr w14:val="tx1"/>
            </w14:solidFill>
          </w14:textFill>
        </w:rPr>
      </w:pPr>
    </w:p>
    <w:p w14:paraId="1D9EBB55">
      <w:pPr>
        <w:rPr>
          <w:rFonts w:hint="eastAsia" w:ascii="仿宋_GB2312" w:hAnsi="仿宋_GB2312" w:eastAsia="仿宋_GB2312" w:cs="仿宋_GB2312"/>
          <w:color w:val="000000" w:themeColor="text1"/>
          <w:sz w:val="28"/>
          <w:szCs w:val="28"/>
          <w14:textFill>
            <w14:solidFill>
              <w14:schemeClr w14:val="tx1"/>
            </w14:solidFill>
          </w14:textFill>
        </w:rPr>
      </w:pPr>
    </w:p>
    <w:p w14:paraId="32B779AD">
      <w:pPr>
        <w:rPr>
          <w:rFonts w:hint="eastAsia" w:ascii="仿宋_GB2312" w:hAnsi="仿宋_GB2312" w:eastAsia="仿宋_GB2312" w:cs="仿宋_GB2312"/>
          <w:color w:val="000000" w:themeColor="text1"/>
          <w:sz w:val="28"/>
          <w:szCs w:val="28"/>
          <w14:textFill>
            <w14:solidFill>
              <w14:schemeClr w14:val="tx1"/>
            </w14:solidFill>
          </w14:textFill>
        </w:rPr>
      </w:pPr>
    </w:p>
    <w:p w14:paraId="59B55EC5">
      <w:pPr>
        <w:rPr>
          <w:rFonts w:hint="eastAsia" w:ascii="仿宋_GB2312" w:hAnsi="仿宋_GB2312" w:eastAsia="仿宋_GB2312" w:cs="仿宋_GB2312"/>
          <w:color w:val="000000" w:themeColor="text1"/>
          <w:sz w:val="28"/>
          <w:szCs w:val="28"/>
          <w14:textFill>
            <w14:solidFill>
              <w14:schemeClr w14:val="tx1"/>
            </w14:solidFill>
          </w14:textFill>
        </w:rPr>
      </w:pPr>
    </w:p>
    <w:p w14:paraId="41A522EC">
      <w:pPr>
        <w:rPr>
          <w:rFonts w:hint="eastAsia" w:ascii="仿宋_GB2312" w:hAnsi="仿宋_GB2312" w:eastAsia="仿宋_GB2312" w:cs="仿宋_GB2312"/>
          <w:color w:val="000000" w:themeColor="text1"/>
          <w:sz w:val="28"/>
          <w:szCs w:val="28"/>
          <w14:textFill>
            <w14:solidFill>
              <w14:schemeClr w14:val="tx1"/>
            </w14:solidFill>
          </w14:textFill>
        </w:rPr>
      </w:pPr>
    </w:p>
    <w:p w14:paraId="5285E52D">
      <w:pPr>
        <w:rPr>
          <w:rFonts w:hint="eastAsia" w:ascii="仿宋_GB2312" w:hAnsi="仿宋_GB2312" w:eastAsia="仿宋_GB2312" w:cs="仿宋_GB2312"/>
          <w:color w:val="000000" w:themeColor="text1"/>
          <w:sz w:val="28"/>
          <w:szCs w:val="28"/>
          <w14:textFill>
            <w14:solidFill>
              <w14:schemeClr w14:val="tx1"/>
            </w14:solidFill>
          </w14:textFill>
        </w:rPr>
      </w:pPr>
    </w:p>
    <w:p w14:paraId="168C2B5B">
      <w:pPr>
        <w:rPr>
          <w:rFonts w:hint="eastAsia" w:ascii="仿宋_GB2312" w:hAnsi="仿宋_GB2312" w:eastAsia="仿宋_GB2312" w:cs="仿宋_GB2312"/>
          <w:color w:val="000000" w:themeColor="text1"/>
          <w:sz w:val="28"/>
          <w:szCs w:val="28"/>
          <w14:textFill>
            <w14:solidFill>
              <w14:schemeClr w14:val="tx1"/>
            </w14:solidFill>
          </w14:textFill>
        </w:rPr>
      </w:pPr>
    </w:p>
    <w:p w14:paraId="252B2EFA">
      <w:pPr>
        <w:rPr>
          <w:rFonts w:hint="eastAsia" w:ascii="仿宋_GB2312" w:hAnsi="仿宋_GB2312" w:eastAsia="仿宋_GB2312" w:cs="仿宋_GB2312"/>
          <w:color w:val="000000" w:themeColor="text1"/>
          <w:sz w:val="28"/>
          <w:szCs w:val="28"/>
          <w14:textFill>
            <w14:solidFill>
              <w14:schemeClr w14:val="tx1"/>
            </w14:solidFill>
          </w14:textFill>
        </w:rPr>
      </w:pPr>
    </w:p>
    <w:p w14:paraId="5EDFB719">
      <w:pPr>
        <w:jc w:val="left"/>
        <w:rPr>
          <w:rFonts w:hint="eastAsia" w:ascii="仿宋_GB2312" w:hAnsi="仿宋_GB2312" w:eastAsia="仿宋_GB2312" w:cs="仿宋_GB2312"/>
          <w:color w:val="000000" w:themeColor="text1"/>
          <w:sz w:val="28"/>
          <w:szCs w:val="28"/>
          <w14:textFill>
            <w14:solidFill>
              <w14:schemeClr w14:val="tx1"/>
            </w14:solidFill>
          </w14:textFill>
        </w:rPr>
      </w:pPr>
    </w:p>
    <w:p w14:paraId="514EE60D">
      <w:pPr>
        <w:jc w:val="left"/>
        <w:rPr>
          <w:rFonts w:hint="eastAsia" w:ascii="仿宋_GB2312" w:hAnsi="仿宋_GB2312" w:eastAsia="仿宋_GB2312" w:cs="仿宋_GB2312"/>
          <w:color w:val="000000" w:themeColor="text1"/>
          <w:sz w:val="28"/>
          <w:szCs w:val="28"/>
          <w14:textFill>
            <w14:solidFill>
              <w14:schemeClr w14:val="tx1"/>
            </w14:solidFill>
          </w14:textFill>
        </w:rPr>
      </w:pPr>
    </w:p>
    <w:p w14:paraId="1F3AB370">
      <w:pPr>
        <w:jc w:val="left"/>
        <w:rPr>
          <w:rFonts w:hint="eastAsia" w:ascii="仿宋_GB2312" w:hAnsi="仿宋_GB2312" w:eastAsia="仿宋_GB2312" w:cs="仿宋_GB2312"/>
          <w:color w:val="000000" w:themeColor="text1"/>
          <w:sz w:val="28"/>
          <w:szCs w:val="28"/>
          <w14:textFill>
            <w14:solidFill>
              <w14:schemeClr w14:val="tx1"/>
            </w14:solidFill>
          </w14:textFill>
        </w:rPr>
      </w:pPr>
    </w:p>
    <w:p w14:paraId="3802BA80">
      <w:pPr>
        <w:jc w:val="left"/>
        <w:rPr>
          <w:rFonts w:hint="eastAsia" w:ascii="仿宋_GB2312" w:hAnsi="仿宋_GB2312" w:eastAsia="仿宋_GB2312" w:cs="仿宋_GB2312"/>
          <w:color w:val="000000" w:themeColor="text1"/>
          <w:sz w:val="28"/>
          <w:szCs w:val="28"/>
          <w14:textFill>
            <w14:solidFill>
              <w14:schemeClr w14:val="tx1"/>
            </w14:solidFill>
          </w14:textFill>
        </w:rPr>
      </w:pPr>
    </w:p>
    <w:p w14:paraId="3095C5A9">
      <w:pPr>
        <w:jc w:val="left"/>
        <w:rPr>
          <w:rFonts w:hint="default" w:ascii="Times New Roman" w:hAnsi="Times New Roman" w:cs="Times New Roman"/>
          <w:color w:val="000000" w:themeColor="text1"/>
          <w14:textFill>
            <w14:solidFill>
              <w14:schemeClr w14:val="tx1"/>
            </w14:solidFill>
          </w14:textFill>
        </w:rPr>
      </w:pPr>
    </w:p>
    <w:p w14:paraId="3E92AF47">
      <w:pPr>
        <w:jc w:val="left"/>
        <w:rPr>
          <w:rFonts w:hint="default" w:ascii="Times New Roman" w:hAnsi="Times New Roman" w:cs="Times New Roman"/>
          <w:color w:val="000000" w:themeColor="text1"/>
          <w14:textFill>
            <w14:solidFill>
              <w14:schemeClr w14:val="tx1"/>
            </w14:solidFill>
          </w14:textFill>
        </w:rPr>
      </w:pPr>
    </w:p>
    <w:p w14:paraId="0B1E217B">
      <w:pPr>
        <w:jc w:val="left"/>
        <w:rPr>
          <w:rFonts w:hint="default" w:ascii="Times New Roman" w:hAnsi="Times New Roman" w:cs="Times New Roman"/>
          <w:color w:val="000000" w:themeColor="text1"/>
          <w14:textFill>
            <w14:solidFill>
              <w14:schemeClr w14:val="tx1"/>
            </w14:solidFill>
          </w14:textFill>
        </w:rPr>
      </w:pPr>
    </w:p>
    <w:p w14:paraId="7D426DA1">
      <w:pPr>
        <w:jc w:val="left"/>
        <w:rPr>
          <w:rFonts w:hint="default" w:ascii="Times New Roman" w:hAnsi="Times New Roman" w:cs="Times New Roman"/>
          <w:color w:val="000000" w:themeColor="text1"/>
          <w14:textFill>
            <w14:solidFill>
              <w14:schemeClr w14:val="tx1"/>
            </w14:solidFill>
          </w14:textFill>
        </w:rPr>
      </w:pPr>
    </w:p>
    <w:p w14:paraId="6D0E11E7">
      <w:pPr>
        <w:jc w:val="left"/>
        <w:rPr>
          <w:rFonts w:hint="default" w:ascii="Times New Roman" w:hAnsi="Times New Roman" w:cs="Times New Roman"/>
          <w:color w:val="000000" w:themeColor="text1"/>
          <w14:textFill>
            <w14:solidFill>
              <w14:schemeClr w14:val="tx1"/>
            </w14:solidFill>
          </w14:textFill>
        </w:rPr>
      </w:pPr>
    </w:p>
    <w:p w14:paraId="2A85D69A">
      <w:pPr>
        <w:pStyle w:val="109"/>
        <w:outlineLvl w:val="2"/>
        <w:rPr>
          <w:rFonts w:hint="default" w:ascii="Times New Roman" w:hAnsi="Times New Roman" w:cs="Times New Roman"/>
          <w:color w:val="000000" w:themeColor="text1"/>
          <w14:textFill>
            <w14:solidFill>
              <w14:schemeClr w14:val="tx1"/>
            </w14:solidFill>
          </w14:textFill>
        </w:rPr>
      </w:pPr>
    </w:p>
    <w:p w14:paraId="2BCDD5A7">
      <w:pPr>
        <w:pStyle w:val="109"/>
        <w:outlineLvl w:val="2"/>
        <w:rPr>
          <w:rFonts w:hint="eastAsia"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w:t>
      </w:r>
      <w:r>
        <w:rPr>
          <w:rFonts w:hint="eastAsia" w:ascii="仿宋_GB2312" w:hAnsi="仿宋_GB2312" w:eastAsia="仿宋_GB2312" w:cs="仿宋_GB2312"/>
          <w:color w:val="000000" w:themeColor="text1"/>
          <w:sz w:val="36"/>
          <w:szCs w:val="36"/>
          <w:lang w:eastAsia="zh-CN"/>
          <w14:textFill>
            <w14:solidFill>
              <w14:schemeClr w14:val="tx1"/>
            </w14:solidFill>
          </w14:textFill>
        </w:rPr>
        <w:t>八</w:t>
      </w:r>
      <w:r>
        <w:rPr>
          <w:rFonts w:hint="eastAsia" w:ascii="仿宋_GB2312" w:hAnsi="仿宋_GB2312" w:eastAsia="仿宋_GB2312" w:cs="仿宋_GB2312"/>
          <w:color w:val="000000" w:themeColor="text1"/>
          <w:sz w:val="36"/>
          <w:szCs w:val="36"/>
          <w14:textFill>
            <w14:solidFill>
              <w14:schemeClr w14:val="tx1"/>
            </w14:solidFill>
          </w14:textFill>
        </w:rPr>
        <w:t>）报价一览表</w:t>
      </w:r>
    </w:p>
    <w:p w14:paraId="6DA37006">
      <w:pPr>
        <w:pStyle w:val="110"/>
        <w:spacing w:after="0" w:line="360" w:lineRule="auto"/>
        <w:ind w:firstLine="482" w:firstLineChars="200"/>
        <w:rPr>
          <w:rFonts w:hint="default" w:ascii="Times New Roman" w:hAnsi="Times New Roman" w:cs="Times New Roman"/>
          <w:b/>
          <w:color w:val="000000" w:themeColor="text1"/>
          <w:sz w:val="24"/>
          <w14:textFill>
            <w14:solidFill>
              <w14:schemeClr w14:val="tx1"/>
            </w14:solidFill>
          </w14:textFill>
        </w:rPr>
      </w:pPr>
    </w:p>
    <w:p w14:paraId="17B5BCEA">
      <w:pPr>
        <w:pStyle w:val="20"/>
        <w:spacing w:line="360" w:lineRule="auto"/>
        <w:ind w:left="0" w:leftChars="0" w:firstLine="0" w:firstLineChars="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项目编号：</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p>
    <w:p w14:paraId="2FDC8EBA">
      <w:pPr>
        <w:pStyle w:val="20"/>
        <w:spacing w:line="360" w:lineRule="auto"/>
        <w:ind w:left="0" w:leftChars="0" w:firstLine="0" w:firstLineChars="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w:t>
      </w:r>
    </w:p>
    <w:tbl>
      <w:tblPr>
        <w:tblStyle w:val="3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435"/>
      </w:tblGrid>
      <w:tr w14:paraId="19ABA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093" w:type="dxa"/>
            <w:noWrap w:val="0"/>
            <w:vAlign w:val="top"/>
          </w:tcPr>
          <w:p w14:paraId="62A458BA">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标题</w:t>
            </w:r>
          </w:p>
        </w:tc>
        <w:tc>
          <w:tcPr>
            <w:tcW w:w="6435" w:type="dxa"/>
            <w:noWrap w:val="0"/>
            <w:vAlign w:val="top"/>
          </w:tcPr>
          <w:p w14:paraId="35849780">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内容</w:t>
            </w:r>
          </w:p>
        </w:tc>
      </w:tr>
      <w:tr w14:paraId="5B31B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093" w:type="dxa"/>
            <w:noWrap w:val="0"/>
            <w:vAlign w:val="top"/>
          </w:tcPr>
          <w:p w14:paraId="4B5B0185">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投标总价</w:t>
            </w:r>
          </w:p>
        </w:tc>
        <w:tc>
          <w:tcPr>
            <w:tcW w:w="6435" w:type="dxa"/>
            <w:noWrap w:val="0"/>
            <w:vAlign w:val="top"/>
          </w:tcPr>
          <w:p w14:paraId="0FA0E815">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元</w:t>
            </w:r>
          </w:p>
        </w:tc>
      </w:tr>
      <w:tr w14:paraId="6C3C6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top"/>
          </w:tcPr>
          <w:p w14:paraId="6A27FA38">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项目经理</w:t>
            </w:r>
          </w:p>
        </w:tc>
        <w:tc>
          <w:tcPr>
            <w:tcW w:w="6435" w:type="dxa"/>
            <w:noWrap w:val="0"/>
            <w:vAlign w:val="top"/>
          </w:tcPr>
          <w:p w14:paraId="0B50736C">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r>
      <w:tr w14:paraId="0CD3E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top"/>
          </w:tcPr>
          <w:p w14:paraId="14D3D257">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服务</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完成</w:t>
            </w:r>
            <w:r>
              <w:rPr>
                <w:rFonts w:hint="eastAsia" w:ascii="仿宋_GB2312" w:hAnsi="仿宋_GB2312" w:eastAsia="仿宋_GB2312" w:cs="仿宋_GB2312"/>
                <w:color w:val="000000" w:themeColor="text1"/>
                <w:sz w:val="28"/>
                <w:szCs w:val="28"/>
                <w14:textFill>
                  <w14:solidFill>
                    <w14:schemeClr w14:val="tx1"/>
                  </w14:solidFill>
                </w14:textFill>
              </w:rPr>
              <w:t>期限</w:t>
            </w:r>
          </w:p>
        </w:tc>
        <w:tc>
          <w:tcPr>
            <w:tcW w:w="6435" w:type="dxa"/>
            <w:noWrap w:val="0"/>
            <w:vAlign w:val="top"/>
          </w:tcPr>
          <w:p w14:paraId="2A14DBFE">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w:t>
            </w:r>
          </w:p>
        </w:tc>
      </w:tr>
      <w:tr w14:paraId="70F24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top"/>
          </w:tcPr>
          <w:p w14:paraId="69F7A320">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Cs/>
                <w:sz w:val="28"/>
                <w:szCs w:val="28"/>
              </w:rPr>
              <w:t>备注：</w:t>
            </w:r>
            <w:r>
              <w:rPr>
                <w:rFonts w:hint="eastAsia" w:ascii="仿宋_GB2312" w:hAnsi="仿宋_GB2312" w:eastAsia="仿宋_GB2312" w:cs="仿宋_GB2312"/>
                <w:bCs/>
                <w:sz w:val="28"/>
                <w:szCs w:val="28"/>
                <w:lang w:val="en-US" w:eastAsia="zh-CN"/>
              </w:rPr>
              <w:t xml:space="preserve">投标有效期    </w:t>
            </w:r>
            <w:r>
              <w:rPr>
                <w:rFonts w:hint="eastAsia" w:ascii="仿宋_GB2312" w:hAnsi="仿宋_GB2312" w:eastAsia="仿宋_GB2312" w:cs="仿宋_GB2312"/>
                <w:color w:val="000000"/>
                <w:sz w:val="28"/>
                <w:szCs w:val="28"/>
                <w:highlight w:val="none"/>
                <w:lang w:val="zh-CN"/>
              </w:rPr>
              <w:t>日</w:t>
            </w:r>
            <w:r>
              <w:rPr>
                <w:rFonts w:hint="eastAsia" w:ascii="仿宋_GB2312" w:hAnsi="仿宋_GB2312" w:eastAsia="仿宋_GB2312" w:cs="仿宋_GB2312"/>
                <w:color w:val="000000"/>
                <w:sz w:val="28"/>
                <w:szCs w:val="28"/>
                <w:lang w:val="zh-CN"/>
              </w:rPr>
              <w:t>历天</w:t>
            </w:r>
          </w:p>
        </w:tc>
        <w:tc>
          <w:tcPr>
            <w:tcW w:w="6435" w:type="dxa"/>
            <w:noWrap w:val="0"/>
            <w:vAlign w:val="top"/>
          </w:tcPr>
          <w:p w14:paraId="3FF5DFB8">
            <w:pPr>
              <w:tabs>
                <w:tab w:val="left" w:pos="3638"/>
              </w:tabs>
              <w:spacing w:line="360" w:lineRule="auto"/>
              <w:rPr>
                <w:rFonts w:hint="eastAsia" w:ascii="仿宋_GB2312" w:hAnsi="仿宋_GB2312" w:eastAsia="仿宋_GB2312" w:cs="仿宋_GB2312"/>
                <w:color w:val="000000" w:themeColor="text1"/>
                <w:sz w:val="28"/>
                <w:szCs w:val="28"/>
                <w:lang w:eastAsia="zh-CN"/>
                <w14:textFill>
                  <w14:solidFill>
                    <w14:schemeClr w14:val="tx1"/>
                  </w14:solidFill>
                </w14:textFill>
              </w:rPr>
            </w:pPr>
          </w:p>
        </w:tc>
      </w:tr>
    </w:tbl>
    <w:p w14:paraId="34BE44CA">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p w14:paraId="550BB491">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说明：1、投标人严格按照规定的格式填写。投标总价为优惠后报价，并作为评审及定标的依据。</w:t>
      </w:r>
    </w:p>
    <w:p w14:paraId="1D6806E5">
      <w:pPr>
        <w:numPr>
          <w:ilvl w:val="0"/>
          <w:numId w:val="0"/>
        </w:numPr>
        <w:spacing w:line="360" w:lineRule="auto"/>
        <w:ind w:leftChars="0" w:firstLine="840" w:firstLineChars="3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任何有选择或有条件的投标总价或表中某一包填写多个报价，均将导致投标被拒绝。</w:t>
      </w:r>
    </w:p>
    <w:p w14:paraId="039F01A3">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p w14:paraId="1BDDF441">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p w14:paraId="29E58501">
      <w:pPr>
        <w:spacing w:line="360" w:lineRule="auto"/>
        <w:ind w:firstLine="560" w:firstLineChars="200"/>
        <w:rPr>
          <w:rFonts w:hint="eastAsia"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投标人电子公章：</w:t>
      </w:r>
    </w:p>
    <w:p w14:paraId="6098EE68">
      <w:pPr>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p>
    <w:p w14:paraId="359CBD0F">
      <w:pPr>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日   期：</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日</w:t>
      </w:r>
    </w:p>
    <w:p w14:paraId="3C8C13F6">
      <w:pPr>
        <w:pStyle w:val="112"/>
        <w:numPr>
          <w:ilvl w:val="0"/>
          <w:numId w:val="0"/>
        </w:numPr>
        <w:outlineLvl w:val="2"/>
        <w:rPr>
          <w:rFonts w:hint="eastAsia"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br w:type="page"/>
      </w:r>
      <w:bookmarkStart w:id="170" w:name="_Toc519111294"/>
      <w:bookmarkStart w:id="171" w:name="_Toc519111284"/>
      <w:bookmarkStart w:id="172" w:name="_Toc519111292"/>
      <w:r>
        <w:rPr>
          <w:rFonts w:hint="eastAsia" w:ascii="仿宋_GB2312" w:hAnsi="仿宋_GB2312" w:eastAsia="仿宋_GB2312" w:cs="仿宋_GB2312"/>
          <w:color w:val="000000" w:themeColor="text1"/>
          <w:sz w:val="36"/>
          <w:szCs w:val="36"/>
          <w14:textFill>
            <w14:solidFill>
              <w14:schemeClr w14:val="tx1"/>
            </w14:solidFill>
          </w14:textFill>
        </w:rPr>
        <w:t>☆</w:t>
      </w:r>
      <w:r>
        <w:rPr>
          <w:rFonts w:hint="eastAsia" w:ascii="仿宋_GB2312" w:hAnsi="仿宋_GB2312" w:eastAsia="仿宋_GB2312" w:cs="仿宋_GB2312"/>
          <w:color w:val="000000" w:themeColor="text1"/>
          <w:sz w:val="36"/>
          <w:szCs w:val="36"/>
          <w:lang w:eastAsia="zh-CN"/>
          <w14:textFill>
            <w14:solidFill>
              <w14:schemeClr w14:val="tx1"/>
            </w14:solidFill>
          </w14:textFill>
        </w:rPr>
        <w:t>（九）</w:t>
      </w:r>
      <w:r>
        <w:rPr>
          <w:rFonts w:hint="eastAsia" w:ascii="仿宋_GB2312" w:hAnsi="仿宋_GB2312" w:eastAsia="仿宋_GB2312" w:cs="仿宋_GB2312"/>
          <w:color w:val="000000" w:themeColor="text1"/>
          <w:sz w:val="36"/>
          <w:szCs w:val="36"/>
          <w14:textFill>
            <w14:solidFill>
              <w14:schemeClr w14:val="tx1"/>
            </w14:solidFill>
          </w14:textFill>
        </w:rPr>
        <w:t>报价明细表</w:t>
      </w:r>
      <w:bookmarkEnd w:id="170"/>
    </w:p>
    <w:p w14:paraId="735412D2">
      <w:pPr>
        <w:pStyle w:val="112"/>
        <w:numPr>
          <w:ilvl w:val="0"/>
          <w:numId w:val="0"/>
        </w:numPr>
        <w:outlineLvl w:val="2"/>
        <w:rPr>
          <w:rFonts w:hint="eastAsia" w:ascii="仿宋_GB2312" w:hAnsi="仿宋_GB2312" w:eastAsia="仿宋_GB2312" w:cs="仿宋_GB2312"/>
          <w:sz w:val="24"/>
          <w:szCs w:val="24"/>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项目编号：                                         价格单位：元</w:t>
      </w:r>
      <w:r>
        <w:rPr>
          <w:rFonts w:hint="eastAsia" w:ascii="仿宋_GB2312" w:hAnsi="仿宋_GB2312" w:eastAsia="仿宋_GB2312" w:cs="仿宋_GB2312"/>
          <w:sz w:val="24"/>
          <w:szCs w:val="24"/>
        </w:rPr>
        <w:t xml:space="preserve">                  </w:t>
      </w:r>
    </w:p>
    <w:tbl>
      <w:tblPr>
        <w:tblStyle w:val="36"/>
        <w:tblW w:w="9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162"/>
        <w:gridCol w:w="1407"/>
        <w:gridCol w:w="727"/>
        <w:gridCol w:w="877"/>
        <w:gridCol w:w="831"/>
        <w:gridCol w:w="969"/>
        <w:gridCol w:w="1812"/>
        <w:gridCol w:w="1380"/>
      </w:tblGrid>
      <w:tr w14:paraId="5BC0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noWrap w:val="0"/>
            <w:vAlign w:val="center"/>
          </w:tcPr>
          <w:p w14:paraId="1DC3412F">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162" w:type="dxa"/>
            <w:noWrap w:val="0"/>
            <w:vAlign w:val="center"/>
          </w:tcPr>
          <w:p w14:paraId="6CCFFF18">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报价项目</w:t>
            </w:r>
          </w:p>
        </w:tc>
        <w:tc>
          <w:tcPr>
            <w:tcW w:w="1407" w:type="dxa"/>
            <w:noWrap w:val="0"/>
            <w:vAlign w:val="center"/>
          </w:tcPr>
          <w:p w14:paraId="349C3AA1">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内容</w:t>
            </w:r>
          </w:p>
        </w:tc>
        <w:tc>
          <w:tcPr>
            <w:tcW w:w="727" w:type="dxa"/>
            <w:noWrap w:val="0"/>
            <w:vAlign w:val="center"/>
          </w:tcPr>
          <w:p w14:paraId="48F08BA4">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877" w:type="dxa"/>
            <w:noWrap w:val="0"/>
            <w:vAlign w:val="center"/>
          </w:tcPr>
          <w:p w14:paraId="6E57D886">
            <w:pPr>
              <w:spacing w:line="360" w:lineRule="auto"/>
              <w:ind w:firstLine="120" w:firstLineChars="5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单位</w:t>
            </w:r>
          </w:p>
        </w:tc>
        <w:tc>
          <w:tcPr>
            <w:tcW w:w="831" w:type="dxa"/>
            <w:noWrap w:val="0"/>
            <w:vAlign w:val="center"/>
          </w:tcPr>
          <w:p w14:paraId="008F8955">
            <w:pPr>
              <w:spacing w:line="360" w:lineRule="auto"/>
              <w:ind w:firstLine="120" w:firstLineChars="5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单价</w:t>
            </w:r>
          </w:p>
        </w:tc>
        <w:tc>
          <w:tcPr>
            <w:tcW w:w="969" w:type="dxa"/>
            <w:noWrap w:val="0"/>
            <w:vAlign w:val="center"/>
          </w:tcPr>
          <w:p w14:paraId="5C0FD722">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w:t>
            </w:r>
          </w:p>
        </w:tc>
        <w:tc>
          <w:tcPr>
            <w:tcW w:w="1812" w:type="dxa"/>
            <w:noWrap w:val="0"/>
            <w:vAlign w:val="center"/>
          </w:tcPr>
          <w:p w14:paraId="0E3CCAFC">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取费标准</w:t>
            </w:r>
          </w:p>
          <w:p w14:paraId="5AA52DCA">
            <w:pPr>
              <w:spacing w:line="360" w:lineRule="auto"/>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rPr>
              <w:t>说明</w:t>
            </w:r>
          </w:p>
        </w:tc>
        <w:tc>
          <w:tcPr>
            <w:tcW w:w="1380" w:type="dxa"/>
            <w:noWrap w:val="0"/>
            <w:vAlign w:val="center"/>
          </w:tcPr>
          <w:p w14:paraId="2D8227F2">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14:paraId="2C71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noWrap w:val="0"/>
            <w:vAlign w:val="top"/>
          </w:tcPr>
          <w:p w14:paraId="726E7EEE">
            <w:pPr>
              <w:spacing w:line="360" w:lineRule="auto"/>
              <w:rPr>
                <w:rFonts w:hint="eastAsia" w:ascii="仿宋_GB2312" w:hAnsi="仿宋_GB2312" w:eastAsia="仿宋_GB2312" w:cs="仿宋_GB2312"/>
                <w:b/>
                <w:sz w:val="24"/>
                <w:szCs w:val="24"/>
              </w:rPr>
            </w:pPr>
          </w:p>
        </w:tc>
        <w:tc>
          <w:tcPr>
            <w:tcW w:w="1162" w:type="dxa"/>
            <w:noWrap w:val="0"/>
            <w:vAlign w:val="top"/>
          </w:tcPr>
          <w:p w14:paraId="56C89F06">
            <w:pPr>
              <w:spacing w:line="360" w:lineRule="auto"/>
              <w:rPr>
                <w:rFonts w:hint="eastAsia" w:ascii="仿宋_GB2312" w:hAnsi="仿宋_GB2312" w:eastAsia="仿宋_GB2312" w:cs="仿宋_GB2312"/>
                <w:b/>
                <w:sz w:val="24"/>
                <w:szCs w:val="24"/>
              </w:rPr>
            </w:pPr>
          </w:p>
        </w:tc>
        <w:tc>
          <w:tcPr>
            <w:tcW w:w="1407" w:type="dxa"/>
            <w:noWrap w:val="0"/>
            <w:vAlign w:val="top"/>
          </w:tcPr>
          <w:p w14:paraId="64519B43">
            <w:pPr>
              <w:spacing w:line="360" w:lineRule="auto"/>
              <w:rPr>
                <w:rFonts w:hint="eastAsia" w:ascii="仿宋_GB2312" w:hAnsi="仿宋_GB2312" w:eastAsia="仿宋_GB2312" w:cs="仿宋_GB2312"/>
                <w:b/>
                <w:sz w:val="24"/>
                <w:szCs w:val="24"/>
              </w:rPr>
            </w:pPr>
          </w:p>
        </w:tc>
        <w:tc>
          <w:tcPr>
            <w:tcW w:w="727" w:type="dxa"/>
            <w:noWrap w:val="0"/>
            <w:vAlign w:val="top"/>
          </w:tcPr>
          <w:p w14:paraId="3D836071">
            <w:pPr>
              <w:spacing w:line="360" w:lineRule="auto"/>
              <w:rPr>
                <w:rFonts w:hint="eastAsia" w:ascii="仿宋_GB2312" w:hAnsi="仿宋_GB2312" w:eastAsia="仿宋_GB2312" w:cs="仿宋_GB2312"/>
                <w:b/>
                <w:sz w:val="24"/>
                <w:szCs w:val="24"/>
              </w:rPr>
            </w:pPr>
          </w:p>
        </w:tc>
        <w:tc>
          <w:tcPr>
            <w:tcW w:w="877" w:type="dxa"/>
            <w:noWrap w:val="0"/>
            <w:vAlign w:val="top"/>
          </w:tcPr>
          <w:p w14:paraId="361A03C9">
            <w:pPr>
              <w:spacing w:line="360" w:lineRule="auto"/>
              <w:rPr>
                <w:rFonts w:hint="eastAsia" w:ascii="仿宋_GB2312" w:hAnsi="仿宋_GB2312" w:eastAsia="仿宋_GB2312" w:cs="仿宋_GB2312"/>
                <w:b/>
                <w:sz w:val="24"/>
                <w:szCs w:val="24"/>
              </w:rPr>
            </w:pPr>
          </w:p>
        </w:tc>
        <w:tc>
          <w:tcPr>
            <w:tcW w:w="831" w:type="dxa"/>
            <w:noWrap w:val="0"/>
            <w:vAlign w:val="top"/>
          </w:tcPr>
          <w:p w14:paraId="13B9E942">
            <w:pPr>
              <w:spacing w:line="360" w:lineRule="auto"/>
              <w:rPr>
                <w:rFonts w:hint="eastAsia" w:ascii="仿宋_GB2312" w:hAnsi="仿宋_GB2312" w:eastAsia="仿宋_GB2312" w:cs="仿宋_GB2312"/>
                <w:b/>
                <w:sz w:val="24"/>
                <w:szCs w:val="24"/>
              </w:rPr>
            </w:pPr>
          </w:p>
        </w:tc>
        <w:tc>
          <w:tcPr>
            <w:tcW w:w="969" w:type="dxa"/>
            <w:noWrap w:val="0"/>
            <w:vAlign w:val="top"/>
          </w:tcPr>
          <w:p w14:paraId="604B0484">
            <w:pPr>
              <w:spacing w:line="360" w:lineRule="auto"/>
              <w:rPr>
                <w:rFonts w:hint="eastAsia" w:ascii="仿宋_GB2312" w:hAnsi="仿宋_GB2312" w:eastAsia="仿宋_GB2312" w:cs="仿宋_GB2312"/>
                <w:b/>
                <w:sz w:val="24"/>
                <w:szCs w:val="24"/>
              </w:rPr>
            </w:pPr>
          </w:p>
        </w:tc>
        <w:tc>
          <w:tcPr>
            <w:tcW w:w="1812" w:type="dxa"/>
            <w:noWrap w:val="0"/>
            <w:vAlign w:val="top"/>
          </w:tcPr>
          <w:p w14:paraId="28553B9F">
            <w:pPr>
              <w:spacing w:line="360" w:lineRule="auto"/>
              <w:rPr>
                <w:rFonts w:hint="eastAsia" w:ascii="仿宋_GB2312" w:hAnsi="仿宋_GB2312" w:eastAsia="仿宋_GB2312" w:cs="仿宋_GB2312"/>
                <w:b/>
                <w:sz w:val="24"/>
                <w:szCs w:val="24"/>
              </w:rPr>
            </w:pPr>
          </w:p>
        </w:tc>
        <w:tc>
          <w:tcPr>
            <w:tcW w:w="1380" w:type="dxa"/>
            <w:noWrap w:val="0"/>
            <w:vAlign w:val="top"/>
          </w:tcPr>
          <w:p w14:paraId="3E599D0D">
            <w:pPr>
              <w:spacing w:line="360" w:lineRule="auto"/>
              <w:jc w:val="center"/>
              <w:rPr>
                <w:rFonts w:hint="eastAsia" w:ascii="仿宋_GB2312" w:hAnsi="仿宋_GB2312" w:eastAsia="仿宋_GB2312" w:cs="仿宋_GB2312"/>
                <w:sz w:val="24"/>
                <w:szCs w:val="24"/>
              </w:rPr>
            </w:pPr>
          </w:p>
        </w:tc>
      </w:tr>
      <w:tr w14:paraId="579BC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noWrap w:val="0"/>
            <w:vAlign w:val="top"/>
          </w:tcPr>
          <w:p w14:paraId="755CA6E9">
            <w:pPr>
              <w:spacing w:line="360" w:lineRule="auto"/>
              <w:rPr>
                <w:rFonts w:hint="eastAsia" w:ascii="仿宋_GB2312" w:hAnsi="仿宋_GB2312" w:eastAsia="仿宋_GB2312" w:cs="仿宋_GB2312"/>
                <w:b/>
                <w:sz w:val="24"/>
                <w:szCs w:val="24"/>
              </w:rPr>
            </w:pPr>
          </w:p>
        </w:tc>
        <w:tc>
          <w:tcPr>
            <w:tcW w:w="1162" w:type="dxa"/>
            <w:noWrap w:val="0"/>
            <w:vAlign w:val="top"/>
          </w:tcPr>
          <w:p w14:paraId="39F702EC">
            <w:pPr>
              <w:spacing w:line="360" w:lineRule="auto"/>
              <w:rPr>
                <w:rFonts w:hint="eastAsia" w:ascii="仿宋_GB2312" w:hAnsi="仿宋_GB2312" w:eastAsia="仿宋_GB2312" w:cs="仿宋_GB2312"/>
                <w:b/>
                <w:sz w:val="24"/>
                <w:szCs w:val="24"/>
              </w:rPr>
            </w:pPr>
          </w:p>
        </w:tc>
        <w:tc>
          <w:tcPr>
            <w:tcW w:w="1407" w:type="dxa"/>
            <w:noWrap w:val="0"/>
            <w:vAlign w:val="top"/>
          </w:tcPr>
          <w:p w14:paraId="44D92019">
            <w:pPr>
              <w:spacing w:line="360" w:lineRule="auto"/>
              <w:rPr>
                <w:rFonts w:hint="eastAsia" w:ascii="仿宋_GB2312" w:hAnsi="仿宋_GB2312" w:eastAsia="仿宋_GB2312" w:cs="仿宋_GB2312"/>
                <w:b/>
                <w:sz w:val="24"/>
                <w:szCs w:val="24"/>
              </w:rPr>
            </w:pPr>
          </w:p>
        </w:tc>
        <w:tc>
          <w:tcPr>
            <w:tcW w:w="727" w:type="dxa"/>
            <w:noWrap w:val="0"/>
            <w:vAlign w:val="top"/>
          </w:tcPr>
          <w:p w14:paraId="5ABCAA30">
            <w:pPr>
              <w:spacing w:line="360" w:lineRule="auto"/>
              <w:rPr>
                <w:rFonts w:hint="eastAsia" w:ascii="仿宋_GB2312" w:hAnsi="仿宋_GB2312" w:eastAsia="仿宋_GB2312" w:cs="仿宋_GB2312"/>
                <w:b/>
                <w:sz w:val="24"/>
                <w:szCs w:val="24"/>
              </w:rPr>
            </w:pPr>
          </w:p>
        </w:tc>
        <w:tc>
          <w:tcPr>
            <w:tcW w:w="877" w:type="dxa"/>
            <w:noWrap w:val="0"/>
            <w:vAlign w:val="top"/>
          </w:tcPr>
          <w:p w14:paraId="75CED8D7">
            <w:pPr>
              <w:spacing w:line="360" w:lineRule="auto"/>
              <w:rPr>
                <w:rFonts w:hint="eastAsia" w:ascii="仿宋_GB2312" w:hAnsi="仿宋_GB2312" w:eastAsia="仿宋_GB2312" w:cs="仿宋_GB2312"/>
                <w:b/>
                <w:sz w:val="24"/>
                <w:szCs w:val="24"/>
              </w:rPr>
            </w:pPr>
          </w:p>
        </w:tc>
        <w:tc>
          <w:tcPr>
            <w:tcW w:w="831" w:type="dxa"/>
            <w:noWrap w:val="0"/>
            <w:vAlign w:val="top"/>
          </w:tcPr>
          <w:p w14:paraId="23128398">
            <w:pPr>
              <w:spacing w:line="360" w:lineRule="auto"/>
              <w:rPr>
                <w:rFonts w:hint="eastAsia" w:ascii="仿宋_GB2312" w:hAnsi="仿宋_GB2312" w:eastAsia="仿宋_GB2312" w:cs="仿宋_GB2312"/>
                <w:b/>
                <w:sz w:val="24"/>
                <w:szCs w:val="24"/>
              </w:rPr>
            </w:pPr>
          </w:p>
        </w:tc>
        <w:tc>
          <w:tcPr>
            <w:tcW w:w="969" w:type="dxa"/>
            <w:noWrap w:val="0"/>
            <w:vAlign w:val="top"/>
          </w:tcPr>
          <w:p w14:paraId="04DA6A29">
            <w:pPr>
              <w:spacing w:line="360" w:lineRule="auto"/>
              <w:rPr>
                <w:rFonts w:hint="eastAsia" w:ascii="仿宋_GB2312" w:hAnsi="仿宋_GB2312" w:eastAsia="仿宋_GB2312" w:cs="仿宋_GB2312"/>
                <w:b/>
                <w:sz w:val="24"/>
                <w:szCs w:val="24"/>
              </w:rPr>
            </w:pPr>
          </w:p>
        </w:tc>
        <w:tc>
          <w:tcPr>
            <w:tcW w:w="1812" w:type="dxa"/>
            <w:noWrap w:val="0"/>
            <w:vAlign w:val="top"/>
          </w:tcPr>
          <w:p w14:paraId="350AE5B8">
            <w:pPr>
              <w:spacing w:line="360" w:lineRule="auto"/>
              <w:rPr>
                <w:rFonts w:hint="eastAsia" w:ascii="仿宋_GB2312" w:hAnsi="仿宋_GB2312" w:eastAsia="仿宋_GB2312" w:cs="仿宋_GB2312"/>
                <w:b/>
                <w:sz w:val="24"/>
                <w:szCs w:val="24"/>
              </w:rPr>
            </w:pPr>
          </w:p>
        </w:tc>
        <w:tc>
          <w:tcPr>
            <w:tcW w:w="1380" w:type="dxa"/>
            <w:noWrap w:val="0"/>
            <w:vAlign w:val="top"/>
          </w:tcPr>
          <w:p w14:paraId="6F4C7BEE">
            <w:pPr>
              <w:spacing w:line="360" w:lineRule="auto"/>
              <w:jc w:val="center"/>
              <w:rPr>
                <w:rFonts w:hint="eastAsia" w:ascii="仿宋_GB2312" w:hAnsi="仿宋_GB2312" w:eastAsia="仿宋_GB2312" w:cs="仿宋_GB2312"/>
                <w:sz w:val="24"/>
                <w:szCs w:val="24"/>
              </w:rPr>
            </w:pPr>
          </w:p>
        </w:tc>
      </w:tr>
      <w:tr w14:paraId="1A7E6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noWrap w:val="0"/>
            <w:vAlign w:val="top"/>
          </w:tcPr>
          <w:p w14:paraId="1A9C6FA3">
            <w:pPr>
              <w:spacing w:line="360" w:lineRule="auto"/>
              <w:rPr>
                <w:rFonts w:hint="eastAsia" w:ascii="仿宋_GB2312" w:hAnsi="仿宋_GB2312" w:eastAsia="仿宋_GB2312" w:cs="仿宋_GB2312"/>
                <w:b/>
                <w:sz w:val="24"/>
                <w:szCs w:val="24"/>
              </w:rPr>
            </w:pPr>
          </w:p>
        </w:tc>
        <w:tc>
          <w:tcPr>
            <w:tcW w:w="1162" w:type="dxa"/>
            <w:noWrap w:val="0"/>
            <w:vAlign w:val="top"/>
          </w:tcPr>
          <w:p w14:paraId="3E86A502">
            <w:pPr>
              <w:spacing w:line="360" w:lineRule="auto"/>
              <w:rPr>
                <w:rFonts w:hint="eastAsia" w:ascii="仿宋_GB2312" w:hAnsi="仿宋_GB2312" w:eastAsia="仿宋_GB2312" w:cs="仿宋_GB2312"/>
                <w:b/>
                <w:sz w:val="24"/>
                <w:szCs w:val="24"/>
              </w:rPr>
            </w:pPr>
          </w:p>
        </w:tc>
        <w:tc>
          <w:tcPr>
            <w:tcW w:w="1407" w:type="dxa"/>
            <w:noWrap w:val="0"/>
            <w:vAlign w:val="top"/>
          </w:tcPr>
          <w:p w14:paraId="49C66938">
            <w:pPr>
              <w:spacing w:line="360" w:lineRule="auto"/>
              <w:rPr>
                <w:rFonts w:hint="eastAsia" w:ascii="仿宋_GB2312" w:hAnsi="仿宋_GB2312" w:eastAsia="仿宋_GB2312" w:cs="仿宋_GB2312"/>
                <w:b/>
                <w:sz w:val="24"/>
                <w:szCs w:val="24"/>
              </w:rPr>
            </w:pPr>
          </w:p>
        </w:tc>
        <w:tc>
          <w:tcPr>
            <w:tcW w:w="727" w:type="dxa"/>
            <w:noWrap w:val="0"/>
            <w:vAlign w:val="top"/>
          </w:tcPr>
          <w:p w14:paraId="37491F26">
            <w:pPr>
              <w:spacing w:line="360" w:lineRule="auto"/>
              <w:rPr>
                <w:rFonts w:hint="eastAsia" w:ascii="仿宋_GB2312" w:hAnsi="仿宋_GB2312" w:eastAsia="仿宋_GB2312" w:cs="仿宋_GB2312"/>
                <w:b/>
                <w:sz w:val="24"/>
                <w:szCs w:val="24"/>
              </w:rPr>
            </w:pPr>
          </w:p>
        </w:tc>
        <w:tc>
          <w:tcPr>
            <w:tcW w:w="877" w:type="dxa"/>
            <w:noWrap w:val="0"/>
            <w:vAlign w:val="top"/>
          </w:tcPr>
          <w:p w14:paraId="7A9EC21B">
            <w:pPr>
              <w:spacing w:line="360" w:lineRule="auto"/>
              <w:rPr>
                <w:rFonts w:hint="eastAsia" w:ascii="仿宋_GB2312" w:hAnsi="仿宋_GB2312" w:eastAsia="仿宋_GB2312" w:cs="仿宋_GB2312"/>
                <w:b/>
                <w:sz w:val="24"/>
                <w:szCs w:val="24"/>
              </w:rPr>
            </w:pPr>
          </w:p>
        </w:tc>
        <w:tc>
          <w:tcPr>
            <w:tcW w:w="831" w:type="dxa"/>
            <w:noWrap w:val="0"/>
            <w:vAlign w:val="top"/>
          </w:tcPr>
          <w:p w14:paraId="5CF8ABD8">
            <w:pPr>
              <w:spacing w:line="360" w:lineRule="auto"/>
              <w:rPr>
                <w:rFonts w:hint="eastAsia" w:ascii="仿宋_GB2312" w:hAnsi="仿宋_GB2312" w:eastAsia="仿宋_GB2312" w:cs="仿宋_GB2312"/>
                <w:b/>
                <w:sz w:val="24"/>
                <w:szCs w:val="24"/>
              </w:rPr>
            </w:pPr>
          </w:p>
        </w:tc>
        <w:tc>
          <w:tcPr>
            <w:tcW w:w="969" w:type="dxa"/>
            <w:noWrap w:val="0"/>
            <w:vAlign w:val="top"/>
          </w:tcPr>
          <w:p w14:paraId="7AD48903">
            <w:pPr>
              <w:spacing w:line="360" w:lineRule="auto"/>
              <w:rPr>
                <w:rFonts w:hint="eastAsia" w:ascii="仿宋_GB2312" w:hAnsi="仿宋_GB2312" w:eastAsia="仿宋_GB2312" w:cs="仿宋_GB2312"/>
                <w:b/>
                <w:sz w:val="24"/>
                <w:szCs w:val="24"/>
              </w:rPr>
            </w:pPr>
          </w:p>
        </w:tc>
        <w:tc>
          <w:tcPr>
            <w:tcW w:w="1812" w:type="dxa"/>
            <w:noWrap w:val="0"/>
            <w:vAlign w:val="top"/>
          </w:tcPr>
          <w:p w14:paraId="5957D2C3">
            <w:pPr>
              <w:spacing w:line="360" w:lineRule="auto"/>
              <w:rPr>
                <w:rFonts w:hint="eastAsia" w:ascii="仿宋_GB2312" w:hAnsi="仿宋_GB2312" w:eastAsia="仿宋_GB2312" w:cs="仿宋_GB2312"/>
                <w:b/>
                <w:sz w:val="24"/>
                <w:szCs w:val="24"/>
              </w:rPr>
            </w:pPr>
          </w:p>
        </w:tc>
        <w:tc>
          <w:tcPr>
            <w:tcW w:w="1380" w:type="dxa"/>
            <w:noWrap w:val="0"/>
            <w:vAlign w:val="top"/>
          </w:tcPr>
          <w:p w14:paraId="1B880E17">
            <w:pPr>
              <w:spacing w:line="360" w:lineRule="auto"/>
              <w:jc w:val="center"/>
              <w:rPr>
                <w:rFonts w:hint="eastAsia" w:ascii="仿宋_GB2312" w:hAnsi="仿宋_GB2312" w:eastAsia="仿宋_GB2312" w:cs="仿宋_GB2312"/>
                <w:sz w:val="24"/>
                <w:szCs w:val="24"/>
              </w:rPr>
            </w:pPr>
          </w:p>
        </w:tc>
      </w:tr>
      <w:tr w14:paraId="4837D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noWrap w:val="0"/>
            <w:vAlign w:val="top"/>
          </w:tcPr>
          <w:p w14:paraId="4C41716B">
            <w:pPr>
              <w:spacing w:line="360" w:lineRule="auto"/>
              <w:rPr>
                <w:rFonts w:hint="eastAsia" w:ascii="仿宋_GB2312" w:hAnsi="仿宋_GB2312" w:eastAsia="仿宋_GB2312" w:cs="仿宋_GB2312"/>
                <w:b/>
                <w:sz w:val="24"/>
                <w:szCs w:val="24"/>
              </w:rPr>
            </w:pPr>
          </w:p>
        </w:tc>
        <w:tc>
          <w:tcPr>
            <w:tcW w:w="1162" w:type="dxa"/>
            <w:noWrap w:val="0"/>
            <w:vAlign w:val="top"/>
          </w:tcPr>
          <w:p w14:paraId="3B90F8E0">
            <w:pPr>
              <w:spacing w:line="360" w:lineRule="auto"/>
              <w:rPr>
                <w:rFonts w:hint="eastAsia" w:ascii="仿宋_GB2312" w:hAnsi="仿宋_GB2312" w:eastAsia="仿宋_GB2312" w:cs="仿宋_GB2312"/>
                <w:b/>
                <w:sz w:val="24"/>
                <w:szCs w:val="24"/>
              </w:rPr>
            </w:pPr>
          </w:p>
        </w:tc>
        <w:tc>
          <w:tcPr>
            <w:tcW w:w="1407" w:type="dxa"/>
            <w:noWrap w:val="0"/>
            <w:vAlign w:val="top"/>
          </w:tcPr>
          <w:p w14:paraId="4E5BCD8D">
            <w:pPr>
              <w:spacing w:line="360" w:lineRule="auto"/>
              <w:rPr>
                <w:rFonts w:hint="eastAsia" w:ascii="仿宋_GB2312" w:hAnsi="仿宋_GB2312" w:eastAsia="仿宋_GB2312" w:cs="仿宋_GB2312"/>
                <w:b/>
                <w:sz w:val="24"/>
                <w:szCs w:val="24"/>
              </w:rPr>
            </w:pPr>
          </w:p>
        </w:tc>
        <w:tc>
          <w:tcPr>
            <w:tcW w:w="727" w:type="dxa"/>
            <w:noWrap w:val="0"/>
            <w:vAlign w:val="top"/>
          </w:tcPr>
          <w:p w14:paraId="33C0B468">
            <w:pPr>
              <w:spacing w:line="360" w:lineRule="auto"/>
              <w:rPr>
                <w:rFonts w:hint="eastAsia" w:ascii="仿宋_GB2312" w:hAnsi="仿宋_GB2312" w:eastAsia="仿宋_GB2312" w:cs="仿宋_GB2312"/>
                <w:b/>
                <w:sz w:val="24"/>
                <w:szCs w:val="24"/>
              </w:rPr>
            </w:pPr>
          </w:p>
        </w:tc>
        <w:tc>
          <w:tcPr>
            <w:tcW w:w="877" w:type="dxa"/>
            <w:noWrap w:val="0"/>
            <w:vAlign w:val="top"/>
          </w:tcPr>
          <w:p w14:paraId="6EAF6048">
            <w:pPr>
              <w:spacing w:line="360" w:lineRule="auto"/>
              <w:rPr>
                <w:rFonts w:hint="eastAsia" w:ascii="仿宋_GB2312" w:hAnsi="仿宋_GB2312" w:eastAsia="仿宋_GB2312" w:cs="仿宋_GB2312"/>
                <w:b/>
                <w:sz w:val="24"/>
                <w:szCs w:val="24"/>
              </w:rPr>
            </w:pPr>
          </w:p>
        </w:tc>
        <w:tc>
          <w:tcPr>
            <w:tcW w:w="831" w:type="dxa"/>
            <w:noWrap w:val="0"/>
            <w:vAlign w:val="top"/>
          </w:tcPr>
          <w:p w14:paraId="3DF7CADB">
            <w:pPr>
              <w:spacing w:line="360" w:lineRule="auto"/>
              <w:rPr>
                <w:rFonts w:hint="eastAsia" w:ascii="仿宋_GB2312" w:hAnsi="仿宋_GB2312" w:eastAsia="仿宋_GB2312" w:cs="仿宋_GB2312"/>
                <w:b/>
                <w:sz w:val="24"/>
                <w:szCs w:val="24"/>
              </w:rPr>
            </w:pPr>
          </w:p>
        </w:tc>
        <w:tc>
          <w:tcPr>
            <w:tcW w:w="969" w:type="dxa"/>
            <w:noWrap w:val="0"/>
            <w:vAlign w:val="top"/>
          </w:tcPr>
          <w:p w14:paraId="3027C248">
            <w:pPr>
              <w:spacing w:line="360" w:lineRule="auto"/>
              <w:rPr>
                <w:rFonts w:hint="eastAsia" w:ascii="仿宋_GB2312" w:hAnsi="仿宋_GB2312" w:eastAsia="仿宋_GB2312" w:cs="仿宋_GB2312"/>
                <w:b/>
                <w:sz w:val="24"/>
                <w:szCs w:val="24"/>
              </w:rPr>
            </w:pPr>
          </w:p>
        </w:tc>
        <w:tc>
          <w:tcPr>
            <w:tcW w:w="1812" w:type="dxa"/>
            <w:noWrap w:val="0"/>
            <w:vAlign w:val="top"/>
          </w:tcPr>
          <w:p w14:paraId="56594839">
            <w:pPr>
              <w:spacing w:line="360" w:lineRule="auto"/>
              <w:rPr>
                <w:rFonts w:hint="eastAsia" w:ascii="仿宋_GB2312" w:hAnsi="仿宋_GB2312" w:eastAsia="仿宋_GB2312" w:cs="仿宋_GB2312"/>
                <w:b/>
                <w:sz w:val="24"/>
                <w:szCs w:val="24"/>
              </w:rPr>
            </w:pPr>
          </w:p>
        </w:tc>
        <w:tc>
          <w:tcPr>
            <w:tcW w:w="1380" w:type="dxa"/>
            <w:noWrap w:val="0"/>
            <w:vAlign w:val="top"/>
          </w:tcPr>
          <w:p w14:paraId="5FBD2F50">
            <w:pPr>
              <w:spacing w:line="360" w:lineRule="auto"/>
              <w:jc w:val="center"/>
              <w:rPr>
                <w:rFonts w:hint="eastAsia" w:ascii="仿宋_GB2312" w:hAnsi="仿宋_GB2312" w:eastAsia="仿宋_GB2312" w:cs="仿宋_GB2312"/>
                <w:sz w:val="24"/>
                <w:szCs w:val="24"/>
              </w:rPr>
            </w:pPr>
          </w:p>
        </w:tc>
      </w:tr>
      <w:tr w14:paraId="6D927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noWrap w:val="0"/>
            <w:vAlign w:val="top"/>
          </w:tcPr>
          <w:p w14:paraId="2633B334">
            <w:pPr>
              <w:spacing w:line="360" w:lineRule="auto"/>
              <w:rPr>
                <w:rFonts w:hint="eastAsia" w:ascii="仿宋_GB2312" w:hAnsi="仿宋_GB2312" w:eastAsia="仿宋_GB2312" w:cs="仿宋_GB2312"/>
                <w:b/>
                <w:sz w:val="24"/>
                <w:szCs w:val="24"/>
              </w:rPr>
            </w:pPr>
          </w:p>
        </w:tc>
        <w:tc>
          <w:tcPr>
            <w:tcW w:w="1162" w:type="dxa"/>
            <w:noWrap w:val="0"/>
            <w:vAlign w:val="top"/>
          </w:tcPr>
          <w:p w14:paraId="782DC621">
            <w:pPr>
              <w:spacing w:line="360" w:lineRule="auto"/>
              <w:rPr>
                <w:rFonts w:hint="eastAsia" w:ascii="仿宋_GB2312" w:hAnsi="仿宋_GB2312" w:eastAsia="仿宋_GB2312" w:cs="仿宋_GB2312"/>
                <w:b/>
                <w:sz w:val="24"/>
                <w:szCs w:val="24"/>
              </w:rPr>
            </w:pPr>
          </w:p>
        </w:tc>
        <w:tc>
          <w:tcPr>
            <w:tcW w:w="1407" w:type="dxa"/>
            <w:noWrap w:val="0"/>
            <w:vAlign w:val="top"/>
          </w:tcPr>
          <w:p w14:paraId="6087EE83">
            <w:pPr>
              <w:spacing w:line="360" w:lineRule="auto"/>
              <w:rPr>
                <w:rFonts w:hint="eastAsia" w:ascii="仿宋_GB2312" w:hAnsi="仿宋_GB2312" w:eastAsia="仿宋_GB2312" w:cs="仿宋_GB2312"/>
                <w:b/>
                <w:sz w:val="24"/>
                <w:szCs w:val="24"/>
              </w:rPr>
            </w:pPr>
          </w:p>
        </w:tc>
        <w:tc>
          <w:tcPr>
            <w:tcW w:w="727" w:type="dxa"/>
            <w:noWrap w:val="0"/>
            <w:vAlign w:val="top"/>
          </w:tcPr>
          <w:p w14:paraId="3ECC8A09">
            <w:pPr>
              <w:spacing w:line="360" w:lineRule="auto"/>
              <w:rPr>
                <w:rFonts w:hint="eastAsia" w:ascii="仿宋_GB2312" w:hAnsi="仿宋_GB2312" w:eastAsia="仿宋_GB2312" w:cs="仿宋_GB2312"/>
                <w:b/>
                <w:sz w:val="24"/>
                <w:szCs w:val="24"/>
              </w:rPr>
            </w:pPr>
          </w:p>
        </w:tc>
        <w:tc>
          <w:tcPr>
            <w:tcW w:w="877" w:type="dxa"/>
            <w:noWrap w:val="0"/>
            <w:vAlign w:val="top"/>
          </w:tcPr>
          <w:p w14:paraId="6EA8E560">
            <w:pPr>
              <w:spacing w:line="360" w:lineRule="auto"/>
              <w:rPr>
                <w:rFonts w:hint="eastAsia" w:ascii="仿宋_GB2312" w:hAnsi="仿宋_GB2312" w:eastAsia="仿宋_GB2312" w:cs="仿宋_GB2312"/>
                <w:b/>
                <w:sz w:val="24"/>
                <w:szCs w:val="24"/>
              </w:rPr>
            </w:pPr>
          </w:p>
        </w:tc>
        <w:tc>
          <w:tcPr>
            <w:tcW w:w="831" w:type="dxa"/>
            <w:noWrap w:val="0"/>
            <w:vAlign w:val="top"/>
          </w:tcPr>
          <w:p w14:paraId="0C82DFA8">
            <w:pPr>
              <w:spacing w:line="360" w:lineRule="auto"/>
              <w:rPr>
                <w:rFonts w:hint="eastAsia" w:ascii="仿宋_GB2312" w:hAnsi="仿宋_GB2312" w:eastAsia="仿宋_GB2312" w:cs="仿宋_GB2312"/>
                <w:b/>
                <w:sz w:val="24"/>
                <w:szCs w:val="24"/>
              </w:rPr>
            </w:pPr>
          </w:p>
        </w:tc>
        <w:tc>
          <w:tcPr>
            <w:tcW w:w="969" w:type="dxa"/>
            <w:noWrap w:val="0"/>
            <w:vAlign w:val="top"/>
          </w:tcPr>
          <w:p w14:paraId="2A79C960">
            <w:pPr>
              <w:spacing w:line="360" w:lineRule="auto"/>
              <w:rPr>
                <w:rFonts w:hint="eastAsia" w:ascii="仿宋_GB2312" w:hAnsi="仿宋_GB2312" w:eastAsia="仿宋_GB2312" w:cs="仿宋_GB2312"/>
                <w:b/>
                <w:sz w:val="24"/>
                <w:szCs w:val="24"/>
              </w:rPr>
            </w:pPr>
          </w:p>
        </w:tc>
        <w:tc>
          <w:tcPr>
            <w:tcW w:w="1812" w:type="dxa"/>
            <w:noWrap w:val="0"/>
            <w:vAlign w:val="top"/>
          </w:tcPr>
          <w:p w14:paraId="12817256">
            <w:pPr>
              <w:spacing w:line="360" w:lineRule="auto"/>
              <w:rPr>
                <w:rFonts w:hint="eastAsia" w:ascii="仿宋_GB2312" w:hAnsi="仿宋_GB2312" w:eastAsia="仿宋_GB2312" w:cs="仿宋_GB2312"/>
                <w:b/>
                <w:sz w:val="24"/>
                <w:szCs w:val="24"/>
              </w:rPr>
            </w:pPr>
          </w:p>
        </w:tc>
        <w:tc>
          <w:tcPr>
            <w:tcW w:w="1380" w:type="dxa"/>
            <w:noWrap w:val="0"/>
            <w:vAlign w:val="top"/>
          </w:tcPr>
          <w:p w14:paraId="26D98884">
            <w:pPr>
              <w:spacing w:line="360" w:lineRule="auto"/>
              <w:jc w:val="center"/>
              <w:rPr>
                <w:rFonts w:hint="eastAsia" w:ascii="仿宋_GB2312" w:hAnsi="仿宋_GB2312" w:eastAsia="仿宋_GB2312" w:cs="仿宋_GB2312"/>
                <w:sz w:val="24"/>
                <w:szCs w:val="24"/>
              </w:rPr>
            </w:pPr>
          </w:p>
        </w:tc>
      </w:tr>
      <w:tr w14:paraId="72560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noWrap w:val="0"/>
            <w:vAlign w:val="top"/>
          </w:tcPr>
          <w:p w14:paraId="319B126F">
            <w:pPr>
              <w:spacing w:line="360" w:lineRule="auto"/>
              <w:rPr>
                <w:rFonts w:hint="eastAsia" w:ascii="仿宋_GB2312" w:hAnsi="仿宋_GB2312" w:eastAsia="仿宋_GB2312" w:cs="仿宋_GB2312"/>
                <w:b/>
                <w:sz w:val="24"/>
                <w:szCs w:val="24"/>
              </w:rPr>
            </w:pPr>
          </w:p>
        </w:tc>
        <w:tc>
          <w:tcPr>
            <w:tcW w:w="1162" w:type="dxa"/>
            <w:noWrap w:val="0"/>
            <w:vAlign w:val="top"/>
          </w:tcPr>
          <w:p w14:paraId="3F4B1680">
            <w:pPr>
              <w:spacing w:line="360" w:lineRule="auto"/>
              <w:rPr>
                <w:rFonts w:hint="eastAsia" w:ascii="仿宋_GB2312" w:hAnsi="仿宋_GB2312" w:eastAsia="仿宋_GB2312" w:cs="仿宋_GB2312"/>
                <w:b/>
                <w:sz w:val="24"/>
                <w:szCs w:val="24"/>
              </w:rPr>
            </w:pPr>
          </w:p>
        </w:tc>
        <w:tc>
          <w:tcPr>
            <w:tcW w:w="1407" w:type="dxa"/>
            <w:noWrap w:val="0"/>
            <w:vAlign w:val="top"/>
          </w:tcPr>
          <w:p w14:paraId="44C89703">
            <w:pPr>
              <w:spacing w:line="360" w:lineRule="auto"/>
              <w:rPr>
                <w:rFonts w:hint="eastAsia" w:ascii="仿宋_GB2312" w:hAnsi="仿宋_GB2312" w:eastAsia="仿宋_GB2312" w:cs="仿宋_GB2312"/>
                <w:b/>
                <w:sz w:val="24"/>
                <w:szCs w:val="24"/>
              </w:rPr>
            </w:pPr>
          </w:p>
        </w:tc>
        <w:tc>
          <w:tcPr>
            <w:tcW w:w="727" w:type="dxa"/>
            <w:noWrap w:val="0"/>
            <w:vAlign w:val="top"/>
          </w:tcPr>
          <w:p w14:paraId="0CEE3D70">
            <w:pPr>
              <w:spacing w:line="360" w:lineRule="auto"/>
              <w:rPr>
                <w:rFonts w:hint="eastAsia" w:ascii="仿宋_GB2312" w:hAnsi="仿宋_GB2312" w:eastAsia="仿宋_GB2312" w:cs="仿宋_GB2312"/>
                <w:b/>
                <w:sz w:val="24"/>
                <w:szCs w:val="24"/>
              </w:rPr>
            </w:pPr>
          </w:p>
        </w:tc>
        <w:tc>
          <w:tcPr>
            <w:tcW w:w="877" w:type="dxa"/>
            <w:noWrap w:val="0"/>
            <w:vAlign w:val="top"/>
          </w:tcPr>
          <w:p w14:paraId="5BE2A475">
            <w:pPr>
              <w:spacing w:line="360" w:lineRule="auto"/>
              <w:rPr>
                <w:rFonts w:hint="eastAsia" w:ascii="仿宋_GB2312" w:hAnsi="仿宋_GB2312" w:eastAsia="仿宋_GB2312" w:cs="仿宋_GB2312"/>
                <w:b/>
                <w:sz w:val="24"/>
                <w:szCs w:val="24"/>
              </w:rPr>
            </w:pPr>
          </w:p>
        </w:tc>
        <w:tc>
          <w:tcPr>
            <w:tcW w:w="831" w:type="dxa"/>
            <w:noWrap w:val="0"/>
            <w:vAlign w:val="top"/>
          </w:tcPr>
          <w:p w14:paraId="2F6E107C">
            <w:pPr>
              <w:spacing w:line="360" w:lineRule="auto"/>
              <w:rPr>
                <w:rFonts w:hint="eastAsia" w:ascii="仿宋_GB2312" w:hAnsi="仿宋_GB2312" w:eastAsia="仿宋_GB2312" w:cs="仿宋_GB2312"/>
                <w:b/>
                <w:sz w:val="24"/>
                <w:szCs w:val="24"/>
              </w:rPr>
            </w:pPr>
          </w:p>
        </w:tc>
        <w:tc>
          <w:tcPr>
            <w:tcW w:w="969" w:type="dxa"/>
            <w:noWrap w:val="0"/>
            <w:vAlign w:val="top"/>
          </w:tcPr>
          <w:p w14:paraId="18A727B2">
            <w:pPr>
              <w:spacing w:line="360" w:lineRule="auto"/>
              <w:rPr>
                <w:rFonts w:hint="eastAsia" w:ascii="仿宋_GB2312" w:hAnsi="仿宋_GB2312" w:eastAsia="仿宋_GB2312" w:cs="仿宋_GB2312"/>
                <w:b/>
                <w:sz w:val="24"/>
                <w:szCs w:val="24"/>
              </w:rPr>
            </w:pPr>
          </w:p>
        </w:tc>
        <w:tc>
          <w:tcPr>
            <w:tcW w:w="1812" w:type="dxa"/>
            <w:noWrap w:val="0"/>
            <w:vAlign w:val="top"/>
          </w:tcPr>
          <w:p w14:paraId="428B0790">
            <w:pPr>
              <w:spacing w:line="360" w:lineRule="auto"/>
              <w:rPr>
                <w:rFonts w:hint="eastAsia" w:ascii="仿宋_GB2312" w:hAnsi="仿宋_GB2312" w:eastAsia="仿宋_GB2312" w:cs="仿宋_GB2312"/>
                <w:b/>
                <w:sz w:val="24"/>
                <w:szCs w:val="24"/>
              </w:rPr>
            </w:pPr>
          </w:p>
        </w:tc>
        <w:tc>
          <w:tcPr>
            <w:tcW w:w="1380" w:type="dxa"/>
            <w:noWrap w:val="0"/>
            <w:vAlign w:val="top"/>
          </w:tcPr>
          <w:p w14:paraId="4A808DF4">
            <w:pPr>
              <w:spacing w:line="360" w:lineRule="auto"/>
              <w:jc w:val="center"/>
              <w:rPr>
                <w:rFonts w:hint="eastAsia" w:ascii="仿宋_GB2312" w:hAnsi="仿宋_GB2312" w:eastAsia="仿宋_GB2312" w:cs="仿宋_GB2312"/>
                <w:sz w:val="24"/>
                <w:szCs w:val="24"/>
              </w:rPr>
            </w:pPr>
          </w:p>
        </w:tc>
      </w:tr>
      <w:tr w14:paraId="6B681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noWrap w:val="0"/>
            <w:vAlign w:val="top"/>
          </w:tcPr>
          <w:p w14:paraId="779F9AB1">
            <w:pPr>
              <w:spacing w:line="360" w:lineRule="auto"/>
              <w:rPr>
                <w:rFonts w:hint="eastAsia" w:ascii="仿宋_GB2312" w:hAnsi="仿宋_GB2312" w:eastAsia="仿宋_GB2312" w:cs="仿宋_GB2312"/>
                <w:b/>
                <w:sz w:val="24"/>
                <w:szCs w:val="24"/>
              </w:rPr>
            </w:pPr>
          </w:p>
        </w:tc>
        <w:tc>
          <w:tcPr>
            <w:tcW w:w="1162" w:type="dxa"/>
            <w:noWrap w:val="0"/>
            <w:vAlign w:val="top"/>
          </w:tcPr>
          <w:p w14:paraId="4F820215">
            <w:pPr>
              <w:spacing w:line="360" w:lineRule="auto"/>
              <w:rPr>
                <w:rFonts w:hint="eastAsia" w:ascii="仿宋_GB2312" w:hAnsi="仿宋_GB2312" w:eastAsia="仿宋_GB2312" w:cs="仿宋_GB2312"/>
                <w:b/>
                <w:sz w:val="24"/>
                <w:szCs w:val="24"/>
              </w:rPr>
            </w:pPr>
          </w:p>
        </w:tc>
        <w:tc>
          <w:tcPr>
            <w:tcW w:w="1407" w:type="dxa"/>
            <w:noWrap w:val="0"/>
            <w:vAlign w:val="top"/>
          </w:tcPr>
          <w:p w14:paraId="292591AB">
            <w:pPr>
              <w:spacing w:line="360" w:lineRule="auto"/>
              <w:rPr>
                <w:rFonts w:hint="eastAsia" w:ascii="仿宋_GB2312" w:hAnsi="仿宋_GB2312" w:eastAsia="仿宋_GB2312" w:cs="仿宋_GB2312"/>
                <w:b/>
                <w:sz w:val="24"/>
                <w:szCs w:val="24"/>
              </w:rPr>
            </w:pPr>
          </w:p>
        </w:tc>
        <w:tc>
          <w:tcPr>
            <w:tcW w:w="727" w:type="dxa"/>
            <w:noWrap w:val="0"/>
            <w:vAlign w:val="top"/>
          </w:tcPr>
          <w:p w14:paraId="754D2356">
            <w:pPr>
              <w:spacing w:line="360" w:lineRule="auto"/>
              <w:rPr>
                <w:rFonts w:hint="eastAsia" w:ascii="仿宋_GB2312" w:hAnsi="仿宋_GB2312" w:eastAsia="仿宋_GB2312" w:cs="仿宋_GB2312"/>
                <w:b/>
                <w:sz w:val="24"/>
                <w:szCs w:val="24"/>
              </w:rPr>
            </w:pPr>
          </w:p>
        </w:tc>
        <w:tc>
          <w:tcPr>
            <w:tcW w:w="877" w:type="dxa"/>
            <w:noWrap w:val="0"/>
            <w:vAlign w:val="top"/>
          </w:tcPr>
          <w:p w14:paraId="03CE0DA7">
            <w:pPr>
              <w:spacing w:line="360" w:lineRule="auto"/>
              <w:rPr>
                <w:rFonts w:hint="eastAsia" w:ascii="仿宋_GB2312" w:hAnsi="仿宋_GB2312" w:eastAsia="仿宋_GB2312" w:cs="仿宋_GB2312"/>
                <w:b/>
                <w:sz w:val="24"/>
                <w:szCs w:val="24"/>
              </w:rPr>
            </w:pPr>
          </w:p>
        </w:tc>
        <w:tc>
          <w:tcPr>
            <w:tcW w:w="831" w:type="dxa"/>
            <w:noWrap w:val="0"/>
            <w:vAlign w:val="top"/>
          </w:tcPr>
          <w:p w14:paraId="2A7DA1EE">
            <w:pPr>
              <w:spacing w:line="360" w:lineRule="auto"/>
              <w:rPr>
                <w:rFonts w:hint="eastAsia" w:ascii="仿宋_GB2312" w:hAnsi="仿宋_GB2312" w:eastAsia="仿宋_GB2312" w:cs="仿宋_GB2312"/>
                <w:b/>
                <w:sz w:val="24"/>
                <w:szCs w:val="24"/>
              </w:rPr>
            </w:pPr>
          </w:p>
        </w:tc>
        <w:tc>
          <w:tcPr>
            <w:tcW w:w="969" w:type="dxa"/>
            <w:noWrap w:val="0"/>
            <w:vAlign w:val="top"/>
          </w:tcPr>
          <w:p w14:paraId="5346B845">
            <w:pPr>
              <w:spacing w:line="360" w:lineRule="auto"/>
              <w:rPr>
                <w:rFonts w:hint="eastAsia" w:ascii="仿宋_GB2312" w:hAnsi="仿宋_GB2312" w:eastAsia="仿宋_GB2312" w:cs="仿宋_GB2312"/>
                <w:b/>
                <w:sz w:val="24"/>
                <w:szCs w:val="24"/>
              </w:rPr>
            </w:pPr>
          </w:p>
        </w:tc>
        <w:tc>
          <w:tcPr>
            <w:tcW w:w="1812" w:type="dxa"/>
            <w:noWrap w:val="0"/>
            <w:vAlign w:val="top"/>
          </w:tcPr>
          <w:p w14:paraId="7756F86F">
            <w:pPr>
              <w:spacing w:line="360" w:lineRule="auto"/>
              <w:rPr>
                <w:rFonts w:hint="eastAsia" w:ascii="仿宋_GB2312" w:hAnsi="仿宋_GB2312" w:eastAsia="仿宋_GB2312" w:cs="仿宋_GB2312"/>
                <w:b/>
                <w:sz w:val="24"/>
                <w:szCs w:val="24"/>
              </w:rPr>
            </w:pPr>
          </w:p>
        </w:tc>
        <w:tc>
          <w:tcPr>
            <w:tcW w:w="1380" w:type="dxa"/>
            <w:noWrap w:val="0"/>
            <w:vAlign w:val="top"/>
          </w:tcPr>
          <w:p w14:paraId="37B810F2">
            <w:pPr>
              <w:spacing w:line="360" w:lineRule="auto"/>
              <w:jc w:val="center"/>
              <w:rPr>
                <w:rFonts w:hint="eastAsia" w:ascii="仿宋_GB2312" w:hAnsi="仿宋_GB2312" w:eastAsia="仿宋_GB2312" w:cs="仿宋_GB2312"/>
                <w:sz w:val="24"/>
                <w:szCs w:val="24"/>
              </w:rPr>
            </w:pPr>
          </w:p>
        </w:tc>
      </w:tr>
      <w:tr w14:paraId="25E1D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noWrap w:val="0"/>
            <w:vAlign w:val="top"/>
          </w:tcPr>
          <w:p w14:paraId="5AAB8125">
            <w:pPr>
              <w:spacing w:line="360" w:lineRule="auto"/>
              <w:rPr>
                <w:rFonts w:hint="eastAsia" w:ascii="仿宋_GB2312" w:hAnsi="仿宋_GB2312" w:eastAsia="仿宋_GB2312" w:cs="仿宋_GB2312"/>
                <w:b/>
                <w:sz w:val="24"/>
                <w:szCs w:val="24"/>
              </w:rPr>
            </w:pPr>
          </w:p>
        </w:tc>
        <w:tc>
          <w:tcPr>
            <w:tcW w:w="1162" w:type="dxa"/>
            <w:noWrap w:val="0"/>
            <w:vAlign w:val="top"/>
          </w:tcPr>
          <w:p w14:paraId="4AA6BEA4">
            <w:pPr>
              <w:spacing w:line="360" w:lineRule="auto"/>
              <w:rPr>
                <w:rFonts w:hint="eastAsia" w:ascii="仿宋_GB2312" w:hAnsi="仿宋_GB2312" w:eastAsia="仿宋_GB2312" w:cs="仿宋_GB2312"/>
                <w:b/>
                <w:sz w:val="24"/>
                <w:szCs w:val="24"/>
              </w:rPr>
            </w:pPr>
          </w:p>
        </w:tc>
        <w:tc>
          <w:tcPr>
            <w:tcW w:w="1407" w:type="dxa"/>
            <w:noWrap w:val="0"/>
            <w:vAlign w:val="top"/>
          </w:tcPr>
          <w:p w14:paraId="48AF90F1">
            <w:pPr>
              <w:spacing w:line="360" w:lineRule="auto"/>
              <w:rPr>
                <w:rFonts w:hint="eastAsia" w:ascii="仿宋_GB2312" w:hAnsi="仿宋_GB2312" w:eastAsia="仿宋_GB2312" w:cs="仿宋_GB2312"/>
                <w:b/>
                <w:sz w:val="24"/>
                <w:szCs w:val="24"/>
              </w:rPr>
            </w:pPr>
          </w:p>
        </w:tc>
        <w:tc>
          <w:tcPr>
            <w:tcW w:w="727" w:type="dxa"/>
            <w:noWrap w:val="0"/>
            <w:vAlign w:val="top"/>
          </w:tcPr>
          <w:p w14:paraId="409F0B75">
            <w:pPr>
              <w:spacing w:line="360" w:lineRule="auto"/>
              <w:rPr>
                <w:rFonts w:hint="eastAsia" w:ascii="仿宋_GB2312" w:hAnsi="仿宋_GB2312" w:eastAsia="仿宋_GB2312" w:cs="仿宋_GB2312"/>
                <w:b/>
                <w:sz w:val="24"/>
                <w:szCs w:val="24"/>
              </w:rPr>
            </w:pPr>
          </w:p>
        </w:tc>
        <w:tc>
          <w:tcPr>
            <w:tcW w:w="877" w:type="dxa"/>
            <w:noWrap w:val="0"/>
            <w:vAlign w:val="top"/>
          </w:tcPr>
          <w:p w14:paraId="22F2F14E">
            <w:pPr>
              <w:spacing w:line="360" w:lineRule="auto"/>
              <w:rPr>
                <w:rFonts w:hint="eastAsia" w:ascii="仿宋_GB2312" w:hAnsi="仿宋_GB2312" w:eastAsia="仿宋_GB2312" w:cs="仿宋_GB2312"/>
                <w:b/>
                <w:sz w:val="24"/>
                <w:szCs w:val="24"/>
              </w:rPr>
            </w:pPr>
          </w:p>
        </w:tc>
        <w:tc>
          <w:tcPr>
            <w:tcW w:w="831" w:type="dxa"/>
            <w:noWrap w:val="0"/>
            <w:vAlign w:val="top"/>
          </w:tcPr>
          <w:p w14:paraId="1A1E2F43">
            <w:pPr>
              <w:spacing w:line="360" w:lineRule="auto"/>
              <w:rPr>
                <w:rFonts w:hint="eastAsia" w:ascii="仿宋_GB2312" w:hAnsi="仿宋_GB2312" w:eastAsia="仿宋_GB2312" w:cs="仿宋_GB2312"/>
                <w:b/>
                <w:sz w:val="24"/>
                <w:szCs w:val="24"/>
              </w:rPr>
            </w:pPr>
          </w:p>
        </w:tc>
        <w:tc>
          <w:tcPr>
            <w:tcW w:w="969" w:type="dxa"/>
            <w:noWrap w:val="0"/>
            <w:vAlign w:val="top"/>
          </w:tcPr>
          <w:p w14:paraId="3C4B462D">
            <w:pPr>
              <w:spacing w:line="360" w:lineRule="auto"/>
              <w:rPr>
                <w:rFonts w:hint="eastAsia" w:ascii="仿宋_GB2312" w:hAnsi="仿宋_GB2312" w:eastAsia="仿宋_GB2312" w:cs="仿宋_GB2312"/>
                <w:b/>
                <w:sz w:val="24"/>
                <w:szCs w:val="24"/>
              </w:rPr>
            </w:pPr>
          </w:p>
        </w:tc>
        <w:tc>
          <w:tcPr>
            <w:tcW w:w="1812" w:type="dxa"/>
            <w:noWrap w:val="0"/>
            <w:vAlign w:val="top"/>
          </w:tcPr>
          <w:p w14:paraId="641405C6">
            <w:pPr>
              <w:spacing w:line="360" w:lineRule="auto"/>
              <w:rPr>
                <w:rFonts w:hint="eastAsia" w:ascii="仿宋_GB2312" w:hAnsi="仿宋_GB2312" w:eastAsia="仿宋_GB2312" w:cs="仿宋_GB2312"/>
                <w:b/>
                <w:sz w:val="24"/>
                <w:szCs w:val="24"/>
              </w:rPr>
            </w:pPr>
          </w:p>
        </w:tc>
        <w:tc>
          <w:tcPr>
            <w:tcW w:w="1380" w:type="dxa"/>
            <w:noWrap w:val="0"/>
            <w:vAlign w:val="top"/>
          </w:tcPr>
          <w:p w14:paraId="22F868C4">
            <w:pPr>
              <w:spacing w:line="360" w:lineRule="auto"/>
              <w:jc w:val="center"/>
              <w:rPr>
                <w:rFonts w:hint="eastAsia" w:ascii="仿宋_GB2312" w:hAnsi="仿宋_GB2312" w:eastAsia="仿宋_GB2312" w:cs="仿宋_GB2312"/>
                <w:sz w:val="24"/>
                <w:szCs w:val="24"/>
              </w:rPr>
            </w:pPr>
          </w:p>
        </w:tc>
      </w:tr>
      <w:tr w14:paraId="63B3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6" w:type="dxa"/>
            <w:gridSpan w:val="2"/>
            <w:noWrap w:val="0"/>
            <w:vAlign w:val="center"/>
          </w:tcPr>
          <w:p w14:paraId="7955F005">
            <w:pPr>
              <w:spacing w:line="360" w:lineRule="auto"/>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总计</w:t>
            </w:r>
          </w:p>
        </w:tc>
        <w:tc>
          <w:tcPr>
            <w:tcW w:w="8003" w:type="dxa"/>
            <w:gridSpan w:val="7"/>
            <w:noWrap w:val="0"/>
            <w:vAlign w:val="top"/>
          </w:tcPr>
          <w:p w14:paraId="5CAF15BB">
            <w:pPr>
              <w:spacing w:line="360" w:lineRule="auto"/>
              <w:rPr>
                <w:rFonts w:hint="eastAsia" w:ascii="仿宋_GB2312" w:hAnsi="仿宋_GB2312" w:eastAsia="仿宋_GB2312" w:cs="仿宋_GB2312"/>
                <w:b/>
                <w:sz w:val="24"/>
                <w:szCs w:val="24"/>
              </w:rPr>
            </w:pPr>
          </w:p>
        </w:tc>
      </w:tr>
      <w:tr w14:paraId="4D40D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6" w:type="dxa"/>
            <w:gridSpan w:val="2"/>
            <w:noWrap w:val="0"/>
            <w:vAlign w:val="center"/>
          </w:tcPr>
          <w:p w14:paraId="0E9064FB">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投标总价</w:t>
            </w:r>
          </w:p>
        </w:tc>
        <w:tc>
          <w:tcPr>
            <w:tcW w:w="8003" w:type="dxa"/>
            <w:gridSpan w:val="7"/>
            <w:noWrap w:val="0"/>
            <w:vAlign w:val="center"/>
          </w:tcPr>
          <w:p w14:paraId="136223FC">
            <w:pPr>
              <w:spacing w:line="360" w:lineRule="auto"/>
              <w:rPr>
                <w:rFonts w:hint="eastAsia" w:ascii="仿宋_GB2312" w:hAnsi="仿宋_GB2312" w:eastAsia="仿宋_GB2312" w:cs="仿宋_GB2312"/>
                <w:sz w:val="24"/>
                <w:szCs w:val="24"/>
              </w:rPr>
            </w:pPr>
          </w:p>
          <w:p w14:paraId="0ADE5CC2">
            <w:pPr>
              <w:spacing w:line="360" w:lineRule="auto"/>
              <w:rPr>
                <w:rFonts w:hint="eastAsia" w:ascii="仿宋_GB2312" w:hAnsi="仿宋_GB2312" w:eastAsia="仿宋_GB2312" w:cs="仿宋_GB2312"/>
                <w:sz w:val="24"/>
                <w:szCs w:val="24"/>
              </w:rPr>
            </w:pPr>
          </w:p>
          <w:p w14:paraId="4013090A">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（大写）</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元。</w:t>
            </w:r>
          </w:p>
          <w:p w14:paraId="629727A4">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14:paraId="68A4F1B6">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（小写）</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元。</w:t>
            </w:r>
          </w:p>
          <w:p w14:paraId="2CFF28AD">
            <w:pPr>
              <w:spacing w:line="360" w:lineRule="auto"/>
              <w:rPr>
                <w:rFonts w:hint="eastAsia" w:ascii="仿宋_GB2312" w:hAnsi="仿宋_GB2312" w:eastAsia="仿宋_GB2312" w:cs="仿宋_GB2312"/>
                <w:sz w:val="24"/>
                <w:szCs w:val="24"/>
              </w:rPr>
            </w:pPr>
          </w:p>
          <w:p w14:paraId="78EBEBF6">
            <w:pPr>
              <w:spacing w:line="360" w:lineRule="auto"/>
              <w:rPr>
                <w:rFonts w:hint="eastAsia" w:ascii="仿宋_GB2312" w:hAnsi="仿宋_GB2312" w:eastAsia="仿宋_GB2312" w:cs="仿宋_GB2312"/>
                <w:sz w:val="24"/>
                <w:szCs w:val="24"/>
              </w:rPr>
            </w:pPr>
          </w:p>
          <w:p w14:paraId="22F0732C">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tc>
      </w:tr>
      <w:tr w14:paraId="7C85E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9" w:type="dxa"/>
            <w:gridSpan w:val="9"/>
            <w:noWrap w:val="0"/>
            <w:vAlign w:val="center"/>
          </w:tcPr>
          <w:p w14:paraId="1CA9349A">
            <w:pPr>
              <w:spacing w:line="360" w:lineRule="auto"/>
              <w:rPr>
                <w:rFonts w:hint="eastAsia" w:ascii="仿宋_GB2312" w:hAnsi="仿宋_GB2312" w:eastAsia="仿宋_GB2312" w:cs="仿宋_GB2312"/>
                <w:b/>
                <w:sz w:val="24"/>
                <w:szCs w:val="24"/>
              </w:rPr>
            </w:pPr>
          </w:p>
        </w:tc>
      </w:tr>
    </w:tbl>
    <w:p w14:paraId="4EFA2148">
      <w:pPr>
        <w:spacing w:line="36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说明：1、</w:t>
      </w:r>
      <w:r>
        <w:rPr>
          <w:rFonts w:hint="eastAsia" w:ascii="仿宋_GB2312" w:hAnsi="仿宋_GB2312" w:eastAsia="仿宋_GB2312" w:cs="仿宋_GB2312"/>
          <w:bCs/>
          <w:color w:val="000000"/>
          <w:sz w:val="24"/>
          <w:szCs w:val="24"/>
        </w:rPr>
        <w:t>投标人必须填写</w:t>
      </w:r>
      <w:r>
        <w:rPr>
          <w:rFonts w:hint="eastAsia" w:ascii="仿宋_GB2312" w:hAnsi="仿宋_GB2312" w:eastAsia="仿宋_GB2312" w:cs="仿宋_GB2312"/>
          <w:color w:val="000000"/>
          <w:sz w:val="24"/>
          <w:szCs w:val="24"/>
        </w:rPr>
        <w:t>报价明细表</w:t>
      </w:r>
      <w:r>
        <w:rPr>
          <w:rFonts w:hint="eastAsia" w:ascii="仿宋_GB2312" w:hAnsi="仿宋_GB2312" w:eastAsia="仿宋_GB2312" w:cs="仿宋_GB2312"/>
          <w:bCs/>
          <w:color w:val="000000"/>
          <w:sz w:val="24"/>
          <w:szCs w:val="24"/>
        </w:rPr>
        <w:t>，否则将导致投标被拒绝。</w:t>
      </w:r>
    </w:p>
    <w:p w14:paraId="1D19206D">
      <w:pPr>
        <w:spacing w:line="360" w:lineRule="auto"/>
        <w:ind w:left="72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2、报价明细表中的“投标总价”应等于“开标一览表”中的“投标总价”。</w:t>
      </w:r>
    </w:p>
    <w:p w14:paraId="27A1A1D3">
      <w:pPr>
        <w:spacing w:line="360" w:lineRule="auto"/>
        <w:ind w:left="72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3、报价项目填报不下的，可自行照扩展。</w:t>
      </w:r>
    </w:p>
    <w:p w14:paraId="05382C49">
      <w:pPr>
        <w:rPr>
          <w:rFonts w:hint="eastAsia" w:ascii="仿宋_GB2312" w:hAnsi="仿宋_GB2312" w:eastAsia="仿宋_GB2312" w:cs="仿宋_GB2312"/>
          <w:color w:val="000000" w:themeColor="text1"/>
          <w:sz w:val="24"/>
          <w:szCs w:val="24"/>
          <w14:textFill>
            <w14:solidFill>
              <w14:schemeClr w14:val="tx1"/>
            </w14:solidFill>
          </w14:textFill>
        </w:rPr>
      </w:pPr>
      <w:bookmarkStart w:id="173" w:name="_Toc519111295"/>
      <w:r>
        <w:rPr>
          <w:rFonts w:hint="eastAsia" w:ascii="仿宋_GB2312" w:hAnsi="仿宋_GB2312" w:eastAsia="仿宋_GB2312" w:cs="仿宋_GB2312"/>
          <w:color w:val="000000" w:themeColor="text1"/>
          <w:sz w:val="24"/>
          <w:szCs w:val="24"/>
          <w14:textFill>
            <w14:solidFill>
              <w14:schemeClr w14:val="tx1"/>
            </w14:solidFill>
          </w14:textFill>
        </w:rPr>
        <w:br w:type="page"/>
      </w:r>
    </w:p>
    <w:p w14:paraId="5F71A81D">
      <w:pPr>
        <w:pStyle w:val="116"/>
        <w:outlineLvl w:val="2"/>
        <w:rPr>
          <w:rFonts w:hint="eastAsia"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w:t>
      </w:r>
      <w:r>
        <w:rPr>
          <w:rFonts w:hint="eastAsia" w:ascii="仿宋_GB2312" w:hAnsi="仿宋_GB2312" w:eastAsia="仿宋_GB2312" w:cs="仿宋_GB2312"/>
          <w:color w:val="000000" w:themeColor="text1"/>
          <w:sz w:val="36"/>
          <w:szCs w:val="36"/>
          <w:lang w:eastAsia="zh-CN"/>
          <w14:textFill>
            <w14:solidFill>
              <w14:schemeClr w14:val="tx1"/>
            </w14:solidFill>
          </w14:textFill>
        </w:rPr>
        <w:t>十</w:t>
      </w:r>
      <w:r>
        <w:rPr>
          <w:rFonts w:hint="eastAsia" w:ascii="仿宋_GB2312" w:hAnsi="仿宋_GB2312" w:eastAsia="仿宋_GB2312" w:cs="仿宋_GB2312"/>
          <w:color w:val="000000" w:themeColor="text1"/>
          <w:sz w:val="36"/>
          <w:szCs w:val="36"/>
          <w14:textFill>
            <w14:solidFill>
              <w14:schemeClr w14:val="tx1"/>
            </w14:solidFill>
          </w14:textFill>
        </w:rPr>
        <w:t>）售后服务承诺书</w:t>
      </w:r>
      <w:bookmarkEnd w:id="173"/>
    </w:p>
    <w:p w14:paraId="1ECEA419">
      <w:pPr>
        <w:pStyle w:val="115"/>
        <w:outlineLvl w:val="2"/>
        <w:rPr>
          <w:rFonts w:hint="default" w:ascii="Times New Roman" w:hAnsi="Times New Roman" w:cs="Times New Roman"/>
          <w:color w:val="000000" w:themeColor="text1"/>
          <w14:textFill>
            <w14:solidFill>
              <w14:schemeClr w14:val="tx1"/>
            </w14:solidFill>
          </w14:textFill>
        </w:rPr>
      </w:pPr>
    </w:p>
    <w:p w14:paraId="0868C989">
      <w:pPr>
        <w:pStyle w:val="115"/>
        <w:outlineLvl w:val="2"/>
        <w:rPr>
          <w:rFonts w:hint="default" w:ascii="Times New Roman" w:hAnsi="Times New Roman" w:cs="Times New Roman"/>
          <w:color w:val="000000" w:themeColor="text1"/>
          <w14:textFill>
            <w14:solidFill>
              <w14:schemeClr w14:val="tx1"/>
            </w14:solidFill>
          </w14:textFill>
        </w:rPr>
      </w:pPr>
    </w:p>
    <w:p w14:paraId="4E39362E">
      <w:pPr>
        <w:pStyle w:val="115"/>
        <w:outlineLvl w:val="2"/>
        <w:rPr>
          <w:rFonts w:hint="default" w:ascii="Times New Roman" w:hAnsi="Times New Roman" w:cs="Times New Roman"/>
          <w:color w:val="000000" w:themeColor="text1"/>
          <w14:textFill>
            <w14:solidFill>
              <w14:schemeClr w14:val="tx1"/>
            </w14:solidFill>
          </w14:textFill>
        </w:rPr>
      </w:pPr>
    </w:p>
    <w:p w14:paraId="55F2CB96">
      <w:pPr>
        <w:pStyle w:val="115"/>
        <w:outlineLvl w:val="2"/>
        <w:rPr>
          <w:rFonts w:hint="default" w:ascii="Times New Roman" w:hAnsi="Times New Roman" w:cs="Times New Roman"/>
          <w:color w:val="000000" w:themeColor="text1"/>
          <w14:textFill>
            <w14:solidFill>
              <w14:schemeClr w14:val="tx1"/>
            </w14:solidFill>
          </w14:textFill>
        </w:rPr>
      </w:pPr>
    </w:p>
    <w:p w14:paraId="5671BF7A">
      <w:pPr>
        <w:pStyle w:val="115"/>
        <w:outlineLvl w:val="2"/>
        <w:rPr>
          <w:rFonts w:hint="default" w:ascii="Times New Roman" w:hAnsi="Times New Roman" w:cs="Times New Roman"/>
          <w:color w:val="000000" w:themeColor="text1"/>
          <w14:textFill>
            <w14:solidFill>
              <w14:schemeClr w14:val="tx1"/>
            </w14:solidFill>
          </w14:textFill>
        </w:rPr>
      </w:pPr>
    </w:p>
    <w:p w14:paraId="48446B23">
      <w:pPr>
        <w:pStyle w:val="115"/>
        <w:outlineLvl w:val="2"/>
        <w:rPr>
          <w:rFonts w:hint="default" w:ascii="Times New Roman" w:hAnsi="Times New Roman" w:cs="Times New Roman"/>
          <w:color w:val="000000" w:themeColor="text1"/>
          <w14:textFill>
            <w14:solidFill>
              <w14:schemeClr w14:val="tx1"/>
            </w14:solidFill>
          </w14:textFill>
        </w:rPr>
      </w:pPr>
    </w:p>
    <w:p w14:paraId="296CD649">
      <w:pPr>
        <w:pStyle w:val="115"/>
        <w:outlineLvl w:val="2"/>
        <w:rPr>
          <w:rFonts w:hint="default" w:ascii="Times New Roman" w:hAnsi="Times New Roman" w:cs="Times New Roman"/>
          <w:color w:val="000000" w:themeColor="text1"/>
          <w14:textFill>
            <w14:solidFill>
              <w14:schemeClr w14:val="tx1"/>
            </w14:solidFill>
          </w14:textFill>
        </w:rPr>
      </w:pPr>
    </w:p>
    <w:p w14:paraId="28A5958E">
      <w:pPr>
        <w:pStyle w:val="115"/>
        <w:outlineLvl w:val="2"/>
        <w:rPr>
          <w:rFonts w:hint="default" w:ascii="Times New Roman" w:hAnsi="Times New Roman" w:cs="Times New Roman"/>
          <w:color w:val="000000" w:themeColor="text1"/>
          <w14:textFill>
            <w14:solidFill>
              <w14:schemeClr w14:val="tx1"/>
            </w14:solidFill>
          </w14:textFill>
        </w:rPr>
      </w:pPr>
    </w:p>
    <w:p w14:paraId="6924ABE4">
      <w:pPr>
        <w:pStyle w:val="115"/>
        <w:outlineLvl w:val="2"/>
        <w:rPr>
          <w:rFonts w:hint="default" w:ascii="Times New Roman" w:hAnsi="Times New Roman" w:cs="Times New Roman"/>
          <w:color w:val="000000" w:themeColor="text1"/>
          <w14:textFill>
            <w14:solidFill>
              <w14:schemeClr w14:val="tx1"/>
            </w14:solidFill>
          </w14:textFill>
        </w:rPr>
      </w:pPr>
    </w:p>
    <w:p w14:paraId="0036BFC1">
      <w:pPr>
        <w:pStyle w:val="115"/>
        <w:outlineLvl w:val="2"/>
        <w:rPr>
          <w:rFonts w:hint="default" w:ascii="Times New Roman" w:hAnsi="Times New Roman" w:cs="Times New Roman"/>
          <w:color w:val="000000" w:themeColor="text1"/>
          <w14:textFill>
            <w14:solidFill>
              <w14:schemeClr w14:val="tx1"/>
            </w14:solidFill>
          </w14:textFill>
        </w:rPr>
      </w:pPr>
    </w:p>
    <w:p w14:paraId="7BF75523">
      <w:pPr>
        <w:pStyle w:val="115"/>
        <w:outlineLvl w:val="2"/>
        <w:rPr>
          <w:rFonts w:hint="default" w:ascii="Times New Roman" w:hAnsi="Times New Roman" w:cs="Times New Roman"/>
          <w:color w:val="000000" w:themeColor="text1"/>
          <w14:textFill>
            <w14:solidFill>
              <w14:schemeClr w14:val="tx1"/>
            </w14:solidFill>
          </w14:textFill>
        </w:rPr>
      </w:pPr>
    </w:p>
    <w:p w14:paraId="3F12346E">
      <w:pPr>
        <w:pStyle w:val="115"/>
        <w:outlineLvl w:val="2"/>
        <w:rPr>
          <w:rFonts w:hint="default" w:ascii="Times New Roman" w:hAnsi="Times New Roman" w:cs="Times New Roman"/>
          <w:color w:val="000000" w:themeColor="text1"/>
          <w14:textFill>
            <w14:solidFill>
              <w14:schemeClr w14:val="tx1"/>
            </w14:solidFill>
          </w14:textFill>
        </w:rPr>
      </w:pPr>
    </w:p>
    <w:p w14:paraId="69E16A84">
      <w:pPr>
        <w:pStyle w:val="115"/>
        <w:outlineLvl w:val="2"/>
        <w:rPr>
          <w:rFonts w:hint="default" w:ascii="Times New Roman" w:hAnsi="Times New Roman" w:cs="Times New Roman"/>
          <w:color w:val="000000" w:themeColor="text1"/>
          <w14:textFill>
            <w14:solidFill>
              <w14:schemeClr w14:val="tx1"/>
            </w14:solidFill>
          </w14:textFill>
        </w:rPr>
      </w:pPr>
    </w:p>
    <w:p w14:paraId="1DACD240">
      <w:pPr>
        <w:pStyle w:val="115"/>
        <w:outlineLvl w:val="2"/>
        <w:rPr>
          <w:rFonts w:hint="default" w:ascii="Times New Roman" w:hAnsi="Times New Roman" w:cs="Times New Roman"/>
          <w:color w:val="000000" w:themeColor="text1"/>
          <w14:textFill>
            <w14:solidFill>
              <w14:schemeClr w14:val="tx1"/>
            </w14:solidFill>
          </w14:textFill>
        </w:rPr>
      </w:pPr>
    </w:p>
    <w:p w14:paraId="704E79D6">
      <w:pPr>
        <w:pStyle w:val="115"/>
        <w:outlineLvl w:val="2"/>
        <w:rPr>
          <w:rFonts w:hint="default" w:ascii="Times New Roman" w:hAnsi="Times New Roman" w:cs="Times New Roman"/>
          <w:color w:val="000000" w:themeColor="text1"/>
          <w14:textFill>
            <w14:solidFill>
              <w14:schemeClr w14:val="tx1"/>
            </w14:solidFill>
          </w14:textFill>
        </w:rPr>
      </w:pPr>
    </w:p>
    <w:p w14:paraId="2A8FF8E3">
      <w:pPr>
        <w:pStyle w:val="115"/>
        <w:outlineLvl w:val="2"/>
        <w:rPr>
          <w:rFonts w:hint="default" w:ascii="Times New Roman" w:hAnsi="Times New Roman" w:cs="Times New Roman"/>
          <w:color w:val="000000" w:themeColor="text1"/>
          <w14:textFill>
            <w14:solidFill>
              <w14:schemeClr w14:val="tx1"/>
            </w14:solidFill>
          </w14:textFill>
        </w:rPr>
      </w:pPr>
    </w:p>
    <w:p w14:paraId="5B1243A5">
      <w:pPr>
        <w:pStyle w:val="115"/>
        <w:outlineLvl w:val="2"/>
        <w:rPr>
          <w:rFonts w:hint="default" w:ascii="Times New Roman" w:hAnsi="Times New Roman" w:cs="Times New Roman"/>
          <w:color w:val="000000" w:themeColor="text1"/>
          <w14:textFill>
            <w14:solidFill>
              <w14:schemeClr w14:val="tx1"/>
            </w14:solidFill>
          </w14:textFill>
        </w:rPr>
      </w:pPr>
    </w:p>
    <w:p w14:paraId="38643E38">
      <w:pPr>
        <w:pStyle w:val="115"/>
        <w:outlineLvl w:val="2"/>
        <w:rPr>
          <w:rFonts w:hint="default" w:ascii="Times New Roman" w:hAnsi="Times New Roman" w:cs="Times New Roman"/>
          <w:color w:val="000000" w:themeColor="text1"/>
          <w14:textFill>
            <w14:solidFill>
              <w14:schemeClr w14:val="tx1"/>
            </w14:solidFill>
          </w14:textFill>
        </w:rPr>
      </w:pPr>
    </w:p>
    <w:p w14:paraId="50FACF22">
      <w:pPr>
        <w:pStyle w:val="115"/>
        <w:outlineLvl w:val="2"/>
        <w:rPr>
          <w:rFonts w:hint="default" w:ascii="Times New Roman" w:hAnsi="Times New Roman" w:cs="Times New Roman"/>
          <w:color w:val="000000" w:themeColor="text1"/>
          <w14:textFill>
            <w14:solidFill>
              <w14:schemeClr w14:val="tx1"/>
            </w14:solidFill>
          </w14:textFill>
        </w:rPr>
      </w:pPr>
    </w:p>
    <w:p w14:paraId="249F73CA">
      <w:pPr>
        <w:pStyle w:val="115"/>
        <w:outlineLvl w:val="2"/>
        <w:rPr>
          <w:rFonts w:hint="default" w:ascii="Times New Roman" w:hAnsi="Times New Roman" w:cs="Times New Roman"/>
          <w:color w:val="000000" w:themeColor="text1"/>
          <w14:textFill>
            <w14:solidFill>
              <w14:schemeClr w14:val="tx1"/>
            </w14:solidFill>
          </w14:textFill>
        </w:rPr>
      </w:pPr>
    </w:p>
    <w:p w14:paraId="3B86BDFC">
      <w:pPr>
        <w:pStyle w:val="115"/>
        <w:outlineLvl w:val="2"/>
        <w:rPr>
          <w:rFonts w:hint="default" w:ascii="Times New Roman" w:hAnsi="Times New Roman" w:cs="Times New Roman"/>
          <w:color w:val="000000" w:themeColor="text1"/>
          <w14:textFill>
            <w14:solidFill>
              <w14:schemeClr w14:val="tx1"/>
            </w14:solidFill>
          </w14:textFill>
        </w:rPr>
      </w:pPr>
    </w:p>
    <w:p w14:paraId="0F368A29">
      <w:pPr>
        <w:pStyle w:val="115"/>
        <w:outlineLvl w:val="2"/>
        <w:rPr>
          <w:rFonts w:hint="default" w:ascii="Times New Roman" w:hAnsi="Times New Roman" w:cs="Times New Roman"/>
          <w:color w:val="000000" w:themeColor="text1"/>
          <w14:textFill>
            <w14:solidFill>
              <w14:schemeClr w14:val="tx1"/>
            </w14:solidFill>
          </w14:textFill>
        </w:rPr>
      </w:pPr>
    </w:p>
    <w:p w14:paraId="6AF318FB">
      <w:pPr>
        <w:pStyle w:val="115"/>
        <w:outlineLvl w:val="2"/>
        <w:rPr>
          <w:rFonts w:hint="default" w:ascii="Times New Roman" w:hAnsi="Times New Roman" w:cs="Times New Roman"/>
          <w:color w:val="000000" w:themeColor="text1"/>
          <w14:textFill>
            <w14:solidFill>
              <w14:schemeClr w14:val="tx1"/>
            </w14:solidFill>
          </w14:textFill>
        </w:rPr>
      </w:pPr>
    </w:p>
    <w:p w14:paraId="22D44DA7">
      <w:pPr>
        <w:pStyle w:val="115"/>
        <w:outlineLvl w:val="2"/>
        <w:rPr>
          <w:rFonts w:hint="default" w:ascii="Times New Roman" w:hAnsi="Times New Roman" w:cs="Times New Roman"/>
          <w:color w:val="000000" w:themeColor="text1"/>
          <w14:textFill>
            <w14:solidFill>
              <w14:schemeClr w14:val="tx1"/>
            </w14:solidFill>
          </w14:textFill>
        </w:rPr>
      </w:pPr>
    </w:p>
    <w:p w14:paraId="0E03FB13">
      <w:pPr>
        <w:pStyle w:val="115"/>
        <w:outlineLvl w:val="2"/>
        <w:rPr>
          <w:rFonts w:hint="default" w:ascii="Times New Roman" w:hAnsi="Times New Roman" w:cs="Times New Roman"/>
          <w:color w:val="000000" w:themeColor="text1"/>
          <w14:textFill>
            <w14:solidFill>
              <w14:schemeClr w14:val="tx1"/>
            </w14:solidFill>
          </w14:textFill>
        </w:rPr>
      </w:pPr>
    </w:p>
    <w:p w14:paraId="733B257F">
      <w:pPr>
        <w:pStyle w:val="115"/>
        <w:outlineLvl w:val="2"/>
        <w:rPr>
          <w:rFonts w:hint="default" w:ascii="Times New Roman" w:hAnsi="Times New Roman" w:cs="Times New Roman"/>
          <w:color w:val="000000" w:themeColor="text1"/>
          <w14:textFill>
            <w14:solidFill>
              <w14:schemeClr w14:val="tx1"/>
            </w14:solidFill>
          </w14:textFill>
        </w:rPr>
      </w:pPr>
    </w:p>
    <w:p w14:paraId="0C82649B">
      <w:pPr>
        <w:pStyle w:val="115"/>
        <w:outlineLvl w:val="2"/>
        <w:rPr>
          <w:rFonts w:hint="default" w:ascii="Times New Roman" w:hAnsi="Times New Roman" w:cs="Times New Roman"/>
          <w:color w:val="000000" w:themeColor="text1"/>
          <w14:textFill>
            <w14:solidFill>
              <w14:schemeClr w14:val="tx1"/>
            </w14:solidFill>
          </w14:textFill>
        </w:rPr>
      </w:pPr>
    </w:p>
    <w:p w14:paraId="420774DA">
      <w:pPr>
        <w:pStyle w:val="115"/>
        <w:outlineLvl w:val="2"/>
        <w:rPr>
          <w:rFonts w:hint="default" w:ascii="Times New Roman" w:hAnsi="Times New Roman" w:cs="Times New Roman"/>
          <w:color w:val="000000" w:themeColor="text1"/>
          <w14:textFill>
            <w14:solidFill>
              <w14:schemeClr w14:val="tx1"/>
            </w14:solidFill>
          </w14:textFill>
        </w:rPr>
      </w:pPr>
    </w:p>
    <w:p w14:paraId="1E59B827">
      <w:pPr>
        <w:pStyle w:val="115"/>
        <w:outlineLvl w:val="2"/>
        <w:rPr>
          <w:rFonts w:hint="default" w:ascii="Times New Roman" w:hAnsi="Times New Roman" w:cs="Times New Roman"/>
          <w:color w:val="000000" w:themeColor="text1"/>
          <w14:textFill>
            <w14:solidFill>
              <w14:schemeClr w14:val="tx1"/>
            </w14:solidFill>
          </w14:textFill>
        </w:rPr>
      </w:pPr>
    </w:p>
    <w:p w14:paraId="1639EA45">
      <w:pPr>
        <w:pStyle w:val="115"/>
        <w:outlineLvl w:val="2"/>
        <w:rPr>
          <w:rFonts w:hint="default" w:ascii="Times New Roman" w:hAnsi="Times New Roman" w:cs="Times New Roman"/>
          <w:color w:val="000000" w:themeColor="text1"/>
          <w14:textFill>
            <w14:solidFill>
              <w14:schemeClr w14:val="tx1"/>
            </w14:solidFill>
          </w14:textFill>
        </w:rPr>
      </w:pPr>
    </w:p>
    <w:p w14:paraId="1390C447">
      <w:pPr>
        <w:pStyle w:val="115"/>
        <w:outlineLvl w:val="2"/>
        <w:rPr>
          <w:rFonts w:hint="default" w:ascii="Times New Roman" w:hAnsi="Times New Roman" w:cs="Times New Roman"/>
          <w:color w:val="000000" w:themeColor="text1"/>
          <w14:textFill>
            <w14:solidFill>
              <w14:schemeClr w14:val="tx1"/>
            </w14:solidFill>
          </w14:textFill>
        </w:rPr>
      </w:pPr>
    </w:p>
    <w:p w14:paraId="06D9500E">
      <w:pPr>
        <w:pStyle w:val="115"/>
        <w:outlineLvl w:val="2"/>
        <w:rPr>
          <w:rFonts w:hint="default" w:ascii="Times New Roman" w:hAnsi="Times New Roman" w:cs="Times New Roman"/>
          <w:color w:val="000000" w:themeColor="text1"/>
          <w14:textFill>
            <w14:solidFill>
              <w14:schemeClr w14:val="tx1"/>
            </w14:solidFill>
          </w14:textFill>
        </w:rPr>
      </w:pPr>
    </w:p>
    <w:p w14:paraId="66AE1BC6">
      <w:pPr>
        <w:pStyle w:val="115"/>
        <w:outlineLvl w:val="2"/>
        <w:rPr>
          <w:rFonts w:hint="default" w:ascii="Times New Roman" w:hAnsi="Times New Roman" w:cs="Times New Roman"/>
          <w:color w:val="000000" w:themeColor="text1"/>
          <w14:textFill>
            <w14:solidFill>
              <w14:schemeClr w14:val="tx1"/>
            </w14:solidFill>
          </w14:textFill>
        </w:rPr>
      </w:pPr>
    </w:p>
    <w:p w14:paraId="4D5C6721">
      <w:pPr>
        <w:pStyle w:val="115"/>
        <w:outlineLvl w:val="2"/>
        <w:rPr>
          <w:rFonts w:hint="default" w:ascii="Times New Roman" w:hAnsi="Times New Roman" w:cs="Times New Roman"/>
          <w:color w:val="000000" w:themeColor="text1"/>
          <w14:textFill>
            <w14:solidFill>
              <w14:schemeClr w14:val="tx1"/>
            </w14:solidFill>
          </w14:textFill>
        </w:rPr>
      </w:pPr>
    </w:p>
    <w:p w14:paraId="1E4B2C45">
      <w:pPr>
        <w:pStyle w:val="115"/>
        <w:outlineLvl w:val="2"/>
        <w:rPr>
          <w:rFonts w:hint="default" w:ascii="Times New Roman" w:hAnsi="Times New Roman" w:cs="Times New Roman"/>
          <w:color w:val="000000" w:themeColor="text1"/>
          <w14:textFill>
            <w14:solidFill>
              <w14:schemeClr w14:val="tx1"/>
            </w14:solidFill>
          </w14:textFill>
        </w:rPr>
      </w:pPr>
    </w:p>
    <w:p w14:paraId="75B32EE7">
      <w:pPr>
        <w:pStyle w:val="115"/>
        <w:outlineLvl w:val="2"/>
        <w:rPr>
          <w:rFonts w:hint="default" w:ascii="Times New Roman" w:hAnsi="Times New Roman" w:cs="Times New Roman"/>
          <w:color w:val="000000" w:themeColor="text1"/>
          <w14:textFill>
            <w14:solidFill>
              <w14:schemeClr w14:val="tx1"/>
            </w14:solidFill>
          </w14:textFill>
        </w:rPr>
      </w:pPr>
    </w:p>
    <w:p w14:paraId="221C43CC">
      <w:pPr>
        <w:pStyle w:val="115"/>
        <w:outlineLvl w:val="2"/>
        <w:rPr>
          <w:rFonts w:hint="eastAsia" w:ascii="仿宋_GB2312" w:hAnsi="仿宋_GB2312" w:eastAsia="仿宋_GB2312" w:cs="仿宋_GB2312"/>
          <w:color w:val="000000" w:themeColor="text1"/>
          <w:sz w:val="36"/>
          <w:szCs w:val="36"/>
          <w14:textFill>
            <w14:solidFill>
              <w14:schemeClr w14:val="tx1"/>
            </w14:solidFill>
          </w14:textFill>
        </w:rPr>
      </w:pPr>
      <w:bookmarkStart w:id="174" w:name="_Toc519111296"/>
      <w:r>
        <w:rPr>
          <w:rFonts w:hint="eastAsia" w:ascii="仿宋_GB2312" w:hAnsi="仿宋_GB2312" w:eastAsia="仿宋_GB2312" w:cs="仿宋_GB2312"/>
          <w:color w:val="000000" w:themeColor="text1"/>
          <w:sz w:val="36"/>
          <w:szCs w:val="36"/>
          <w14:textFill>
            <w14:solidFill>
              <w14:schemeClr w14:val="tx1"/>
            </w14:solidFill>
          </w14:textFill>
        </w:rPr>
        <w:t>☆（十</w:t>
      </w:r>
      <w:r>
        <w:rPr>
          <w:rFonts w:hint="eastAsia" w:ascii="仿宋_GB2312" w:hAnsi="仿宋_GB2312" w:eastAsia="仿宋_GB2312" w:cs="仿宋_GB2312"/>
          <w:color w:val="000000" w:themeColor="text1"/>
          <w:sz w:val="36"/>
          <w:szCs w:val="36"/>
          <w:lang w:eastAsia="zh-CN"/>
          <w14:textFill>
            <w14:solidFill>
              <w14:schemeClr w14:val="tx1"/>
            </w14:solidFill>
          </w14:textFill>
        </w:rPr>
        <w:t>一</w:t>
      </w:r>
      <w:r>
        <w:rPr>
          <w:rFonts w:hint="eastAsia" w:ascii="仿宋_GB2312" w:hAnsi="仿宋_GB2312" w:eastAsia="仿宋_GB2312" w:cs="仿宋_GB2312"/>
          <w:color w:val="000000" w:themeColor="text1"/>
          <w:sz w:val="36"/>
          <w:szCs w:val="36"/>
          <w14:textFill>
            <w14:solidFill>
              <w14:schemeClr w14:val="tx1"/>
            </w14:solidFill>
          </w14:textFill>
        </w:rPr>
        <w:t>）商务条款偏离说明表</w:t>
      </w:r>
      <w:bookmarkEnd w:id="174"/>
    </w:p>
    <w:p w14:paraId="65E14832">
      <w:pPr>
        <w:pStyle w:val="115"/>
        <w:outlineLvl w:val="2"/>
        <w:rPr>
          <w:rFonts w:hint="default" w:ascii="Times New Roman" w:hAnsi="Times New Roman" w:cs="Times New Roman"/>
          <w:color w:val="000000" w:themeColor="text1"/>
          <w14:textFill>
            <w14:solidFill>
              <w14:schemeClr w14:val="tx1"/>
            </w14:solidFill>
          </w14:textFill>
        </w:rPr>
      </w:pPr>
    </w:p>
    <w:p w14:paraId="2A00495B">
      <w:pPr>
        <w:pStyle w:val="86"/>
        <w:adjustRightInd w:val="0"/>
        <w:snapToGrid w:val="0"/>
        <w:spacing w:line="50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商务响应、偏离说明表</w:t>
      </w:r>
    </w:p>
    <w:p w14:paraId="0558F12F">
      <w:pPr>
        <w:pStyle w:val="86"/>
        <w:adjustRightInd w:val="0"/>
        <w:snapToGrid w:val="0"/>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采购项目编号：</w:t>
      </w:r>
    </w:p>
    <w:p w14:paraId="37176EBA">
      <w:pPr>
        <w:pStyle w:val="86"/>
        <w:adjustRightInd w:val="0"/>
        <w:snapToGrid w:val="0"/>
        <w:spacing w:line="500" w:lineRule="exact"/>
        <w:rPr>
          <w:rFonts w:hint="eastAsia"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采购项目名称：</w:t>
      </w:r>
    </w:p>
    <w:tbl>
      <w:tblPr>
        <w:tblStyle w:val="3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2712"/>
        <w:gridCol w:w="2589"/>
        <w:gridCol w:w="2702"/>
      </w:tblGrid>
      <w:tr w14:paraId="54807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525" w:type="dxa"/>
            <w:tcBorders>
              <w:top w:val="single" w:color="auto" w:sz="4" w:space="0"/>
              <w:left w:val="single" w:color="auto" w:sz="4" w:space="0"/>
              <w:bottom w:val="single" w:color="auto" w:sz="4" w:space="0"/>
              <w:right w:val="single" w:color="auto" w:sz="4" w:space="0"/>
            </w:tcBorders>
            <w:vAlign w:val="center"/>
          </w:tcPr>
          <w:p w14:paraId="41401A1C">
            <w:pPr>
              <w:pStyle w:val="86"/>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549EBAFA">
            <w:pPr>
              <w:pStyle w:val="86"/>
              <w:spacing w:line="50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磋商文件要求部分</w:t>
            </w:r>
          </w:p>
        </w:tc>
        <w:tc>
          <w:tcPr>
            <w:tcW w:w="2589" w:type="dxa"/>
            <w:tcBorders>
              <w:top w:val="single" w:color="auto" w:sz="4" w:space="0"/>
              <w:left w:val="single" w:color="auto" w:sz="4" w:space="0"/>
              <w:bottom w:val="single" w:color="auto" w:sz="4" w:space="0"/>
              <w:right w:val="single" w:color="auto" w:sz="4" w:space="0"/>
            </w:tcBorders>
            <w:vAlign w:val="center"/>
          </w:tcPr>
          <w:p w14:paraId="6641D029">
            <w:pPr>
              <w:pStyle w:val="86"/>
              <w:spacing w:line="50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响应文件商务</w:t>
            </w:r>
          </w:p>
          <w:p w14:paraId="6E3E3AAE">
            <w:pPr>
              <w:pStyle w:val="86"/>
              <w:spacing w:line="50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响应部分</w:t>
            </w:r>
          </w:p>
        </w:tc>
        <w:tc>
          <w:tcPr>
            <w:tcW w:w="2702" w:type="dxa"/>
            <w:tcBorders>
              <w:top w:val="single" w:color="auto" w:sz="4" w:space="0"/>
              <w:left w:val="single" w:color="auto" w:sz="4" w:space="0"/>
              <w:bottom w:val="single" w:color="auto" w:sz="4" w:space="0"/>
              <w:right w:val="single" w:color="auto" w:sz="4" w:space="0"/>
            </w:tcBorders>
            <w:vAlign w:val="center"/>
          </w:tcPr>
          <w:p w14:paraId="7FEECE38">
            <w:pPr>
              <w:pStyle w:val="86"/>
              <w:spacing w:line="50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偏离说明</w:t>
            </w:r>
          </w:p>
        </w:tc>
      </w:tr>
      <w:tr w14:paraId="07731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43791D49">
            <w:pPr>
              <w:pStyle w:val="86"/>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2712" w:type="dxa"/>
            <w:tcBorders>
              <w:top w:val="single" w:color="auto" w:sz="4" w:space="0"/>
              <w:left w:val="single" w:color="auto" w:sz="4" w:space="0"/>
              <w:bottom w:val="single" w:color="auto" w:sz="4" w:space="0"/>
              <w:right w:val="single" w:color="auto" w:sz="4" w:space="0"/>
            </w:tcBorders>
            <w:vAlign w:val="center"/>
          </w:tcPr>
          <w:p w14:paraId="658D65D8">
            <w:pPr>
              <w:pStyle w:val="86"/>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14:paraId="6082D437">
            <w:pPr>
              <w:pStyle w:val="86"/>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14:paraId="3A6A30FE">
            <w:pPr>
              <w:pStyle w:val="86"/>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r>
      <w:tr w14:paraId="3E97F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382F3A52">
            <w:pPr>
              <w:pStyle w:val="86"/>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2712" w:type="dxa"/>
            <w:tcBorders>
              <w:top w:val="single" w:color="auto" w:sz="4" w:space="0"/>
              <w:left w:val="single" w:color="auto" w:sz="4" w:space="0"/>
              <w:bottom w:val="single" w:color="auto" w:sz="4" w:space="0"/>
              <w:right w:val="single" w:color="auto" w:sz="4" w:space="0"/>
            </w:tcBorders>
            <w:vAlign w:val="center"/>
          </w:tcPr>
          <w:p w14:paraId="406EA6DA">
            <w:pPr>
              <w:pStyle w:val="86"/>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14:paraId="593B5E5E">
            <w:pPr>
              <w:pStyle w:val="86"/>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14:paraId="0958D89B">
            <w:pPr>
              <w:pStyle w:val="86"/>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r>
      <w:tr w14:paraId="451FA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7D5380DD">
            <w:pPr>
              <w:pStyle w:val="86"/>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w:t>
            </w:r>
          </w:p>
        </w:tc>
        <w:tc>
          <w:tcPr>
            <w:tcW w:w="2712" w:type="dxa"/>
            <w:tcBorders>
              <w:top w:val="single" w:color="auto" w:sz="4" w:space="0"/>
              <w:left w:val="single" w:color="auto" w:sz="4" w:space="0"/>
              <w:bottom w:val="single" w:color="auto" w:sz="4" w:space="0"/>
              <w:right w:val="single" w:color="auto" w:sz="4" w:space="0"/>
            </w:tcBorders>
            <w:vAlign w:val="center"/>
          </w:tcPr>
          <w:p w14:paraId="3F368318">
            <w:pPr>
              <w:pStyle w:val="86"/>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14:paraId="4DFD17CF">
            <w:pPr>
              <w:pStyle w:val="86"/>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14:paraId="2555DB20">
            <w:pPr>
              <w:pStyle w:val="86"/>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r>
      <w:tr w14:paraId="2E63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77090C43">
            <w:pPr>
              <w:pStyle w:val="86"/>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w:t>
            </w:r>
          </w:p>
        </w:tc>
        <w:tc>
          <w:tcPr>
            <w:tcW w:w="2712" w:type="dxa"/>
            <w:tcBorders>
              <w:top w:val="single" w:color="auto" w:sz="4" w:space="0"/>
              <w:left w:val="single" w:color="auto" w:sz="4" w:space="0"/>
              <w:bottom w:val="single" w:color="auto" w:sz="4" w:space="0"/>
              <w:right w:val="single" w:color="auto" w:sz="4" w:space="0"/>
            </w:tcBorders>
            <w:vAlign w:val="center"/>
          </w:tcPr>
          <w:p w14:paraId="21BD352B">
            <w:pPr>
              <w:pStyle w:val="86"/>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14:paraId="3B2D049C">
            <w:pPr>
              <w:pStyle w:val="86"/>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14:paraId="1EAC0AEB">
            <w:pPr>
              <w:pStyle w:val="86"/>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r>
      <w:tr w14:paraId="64B50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793E7C3A">
            <w:pPr>
              <w:pStyle w:val="86"/>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w:t>
            </w:r>
          </w:p>
        </w:tc>
        <w:tc>
          <w:tcPr>
            <w:tcW w:w="2712" w:type="dxa"/>
            <w:tcBorders>
              <w:top w:val="single" w:color="auto" w:sz="4" w:space="0"/>
              <w:left w:val="single" w:color="auto" w:sz="4" w:space="0"/>
              <w:bottom w:val="single" w:color="auto" w:sz="4" w:space="0"/>
              <w:right w:val="single" w:color="auto" w:sz="4" w:space="0"/>
            </w:tcBorders>
            <w:vAlign w:val="center"/>
          </w:tcPr>
          <w:p w14:paraId="259B6CAD">
            <w:pPr>
              <w:pStyle w:val="86"/>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14:paraId="3DCDD37F">
            <w:pPr>
              <w:pStyle w:val="86"/>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14:paraId="4514F63B">
            <w:pPr>
              <w:pStyle w:val="86"/>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r>
      <w:tr w14:paraId="30E41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2EBB82AE">
            <w:pPr>
              <w:pStyle w:val="86"/>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w:t>
            </w:r>
          </w:p>
        </w:tc>
        <w:tc>
          <w:tcPr>
            <w:tcW w:w="2712" w:type="dxa"/>
            <w:tcBorders>
              <w:top w:val="single" w:color="auto" w:sz="4" w:space="0"/>
              <w:left w:val="single" w:color="auto" w:sz="4" w:space="0"/>
              <w:bottom w:val="single" w:color="auto" w:sz="4" w:space="0"/>
              <w:right w:val="single" w:color="auto" w:sz="4" w:space="0"/>
            </w:tcBorders>
            <w:vAlign w:val="center"/>
          </w:tcPr>
          <w:p w14:paraId="1E1B2257">
            <w:pPr>
              <w:pStyle w:val="86"/>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14:paraId="45A55614">
            <w:pPr>
              <w:pStyle w:val="86"/>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14:paraId="374EFE21">
            <w:pPr>
              <w:pStyle w:val="86"/>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r>
      <w:tr w14:paraId="7037E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32D33FE9">
            <w:pPr>
              <w:pStyle w:val="86"/>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w:t>
            </w:r>
          </w:p>
        </w:tc>
        <w:tc>
          <w:tcPr>
            <w:tcW w:w="2712" w:type="dxa"/>
            <w:tcBorders>
              <w:top w:val="single" w:color="auto" w:sz="4" w:space="0"/>
              <w:left w:val="single" w:color="auto" w:sz="4" w:space="0"/>
              <w:bottom w:val="single" w:color="auto" w:sz="4" w:space="0"/>
              <w:right w:val="single" w:color="auto" w:sz="4" w:space="0"/>
            </w:tcBorders>
            <w:vAlign w:val="center"/>
          </w:tcPr>
          <w:p w14:paraId="22AF965F">
            <w:pPr>
              <w:pStyle w:val="86"/>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14:paraId="244F8D26">
            <w:pPr>
              <w:pStyle w:val="86"/>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14:paraId="146F7671">
            <w:pPr>
              <w:pStyle w:val="86"/>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r>
      <w:tr w14:paraId="5CF4A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7F570146">
            <w:pPr>
              <w:pStyle w:val="86"/>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w:t>
            </w:r>
          </w:p>
        </w:tc>
        <w:tc>
          <w:tcPr>
            <w:tcW w:w="2712" w:type="dxa"/>
            <w:tcBorders>
              <w:top w:val="single" w:color="auto" w:sz="4" w:space="0"/>
              <w:left w:val="single" w:color="auto" w:sz="4" w:space="0"/>
              <w:bottom w:val="single" w:color="auto" w:sz="4" w:space="0"/>
              <w:right w:val="single" w:color="auto" w:sz="4" w:space="0"/>
            </w:tcBorders>
            <w:vAlign w:val="center"/>
          </w:tcPr>
          <w:p w14:paraId="1023DEBB">
            <w:pPr>
              <w:pStyle w:val="86"/>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14:paraId="7389B280">
            <w:pPr>
              <w:pStyle w:val="86"/>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14:paraId="613A4243">
            <w:pPr>
              <w:pStyle w:val="86"/>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r>
      <w:tr w14:paraId="3FC31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023A212F">
            <w:pPr>
              <w:pStyle w:val="86"/>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w:t>
            </w:r>
          </w:p>
        </w:tc>
        <w:tc>
          <w:tcPr>
            <w:tcW w:w="2712" w:type="dxa"/>
            <w:tcBorders>
              <w:top w:val="single" w:color="auto" w:sz="4" w:space="0"/>
              <w:left w:val="single" w:color="auto" w:sz="4" w:space="0"/>
              <w:bottom w:val="single" w:color="auto" w:sz="4" w:space="0"/>
              <w:right w:val="single" w:color="auto" w:sz="4" w:space="0"/>
            </w:tcBorders>
            <w:vAlign w:val="center"/>
          </w:tcPr>
          <w:p w14:paraId="759C403C">
            <w:pPr>
              <w:pStyle w:val="86"/>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14:paraId="03519CAC">
            <w:pPr>
              <w:pStyle w:val="86"/>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14:paraId="0F9B412B">
            <w:pPr>
              <w:pStyle w:val="86"/>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r>
      <w:tr w14:paraId="2565F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6E117384">
            <w:pPr>
              <w:pStyle w:val="86"/>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p>
        </w:tc>
        <w:tc>
          <w:tcPr>
            <w:tcW w:w="2712" w:type="dxa"/>
            <w:tcBorders>
              <w:top w:val="single" w:color="auto" w:sz="4" w:space="0"/>
              <w:left w:val="single" w:color="auto" w:sz="4" w:space="0"/>
              <w:bottom w:val="single" w:color="auto" w:sz="4" w:space="0"/>
              <w:right w:val="single" w:color="auto" w:sz="4" w:space="0"/>
            </w:tcBorders>
            <w:vAlign w:val="center"/>
          </w:tcPr>
          <w:p w14:paraId="781B3025">
            <w:pPr>
              <w:pStyle w:val="86"/>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14:paraId="332EFF67">
            <w:pPr>
              <w:pStyle w:val="86"/>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14:paraId="0580BF54">
            <w:pPr>
              <w:pStyle w:val="86"/>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r>
    </w:tbl>
    <w:p w14:paraId="03634070">
      <w:pPr>
        <w:pStyle w:val="86"/>
        <w:adjustRightInd w:val="0"/>
        <w:snapToGrid w:val="0"/>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投标人法定代表人（签章）：</w:t>
      </w:r>
    </w:p>
    <w:p w14:paraId="51C1A2FF">
      <w:pPr>
        <w:pStyle w:val="86"/>
        <w:adjustRightInd w:val="0"/>
        <w:snapToGrid w:val="0"/>
        <w:spacing w:line="500" w:lineRule="exact"/>
        <w:rPr>
          <w:rFonts w:hint="eastAsia"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投标人名称（签章）：</w:t>
      </w:r>
    </w:p>
    <w:p w14:paraId="382ABBF1">
      <w:pPr>
        <w:pStyle w:val="86"/>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日期：年 月 日</w:t>
      </w:r>
    </w:p>
    <w:p w14:paraId="40E9D297">
      <w:pPr>
        <w:pStyle w:val="115"/>
        <w:outlineLvl w:val="2"/>
        <w:rPr>
          <w:rFonts w:hint="default" w:ascii="Times New Roman" w:hAnsi="Times New Roman" w:cs="Times New Roman"/>
          <w:color w:val="000000" w:themeColor="text1"/>
          <w14:textFill>
            <w14:solidFill>
              <w14:schemeClr w14:val="tx1"/>
            </w14:solidFill>
          </w14:textFill>
        </w:rPr>
      </w:pPr>
    </w:p>
    <w:p w14:paraId="1249E65E">
      <w:pPr>
        <w:pStyle w:val="115"/>
        <w:outlineLvl w:val="2"/>
        <w:rPr>
          <w:rFonts w:hint="default" w:ascii="Times New Roman" w:hAnsi="Times New Roman" w:cs="Times New Roman"/>
          <w:color w:val="000000" w:themeColor="text1"/>
          <w14:textFill>
            <w14:solidFill>
              <w14:schemeClr w14:val="tx1"/>
            </w14:solidFill>
          </w14:textFill>
        </w:rPr>
      </w:pPr>
    </w:p>
    <w:p w14:paraId="2582E0F8">
      <w:pPr>
        <w:pStyle w:val="115"/>
        <w:outlineLvl w:val="2"/>
        <w:rPr>
          <w:rFonts w:hint="default" w:ascii="Times New Roman" w:hAnsi="Times New Roman" w:cs="Times New Roman"/>
          <w:color w:val="000000" w:themeColor="text1"/>
          <w14:textFill>
            <w14:solidFill>
              <w14:schemeClr w14:val="tx1"/>
            </w14:solidFill>
          </w14:textFill>
        </w:rPr>
      </w:pPr>
    </w:p>
    <w:p w14:paraId="48DDECED">
      <w:pPr>
        <w:pStyle w:val="115"/>
        <w:outlineLvl w:val="2"/>
        <w:rPr>
          <w:rFonts w:hint="default" w:ascii="Times New Roman" w:hAnsi="Times New Roman" w:cs="Times New Roman"/>
          <w:color w:val="000000" w:themeColor="text1"/>
          <w14:textFill>
            <w14:solidFill>
              <w14:schemeClr w14:val="tx1"/>
            </w14:solidFill>
          </w14:textFill>
        </w:rPr>
      </w:pPr>
    </w:p>
    <w:p w14:paraId="306DF8D9">
      <w:pPr>
        <w:pStyle w:val="91"/>
        <w:outlineLvl w:val="2"/>
        <w:rPr>
          <w:rFonts w:hint="eastAsia" w:ascii="仿宋_GB2312" w:hAnsi="仿宋_GB2312" w:eastAsia="仿宋_GB2312" w:cs="仿宋_GB2312"/>
          <w:b/>
          <w:color w:val="000000" w:themeColor="text1"/>
          <w:sz w:val="36"/>
          <w:szCs w:val="36"/>
          <w:lang w:val="en-US" w:eastAsia="zh-CN" w:bidi="ar-SA"/>
          <w14:textFill>
            <w14:solidFill>
              <w14:schemeClr w14:val="tx1"/>
            </w14:solidFill>
          </w14:textFill>
        </w:rPr>
      </w:pPr>
      <w:bookmarkStart w:id="175" w:name="_Toc519111297"/>
      <w:r>
        <w:rPr>
          <w:rFonts w:hint="eastAsia" w:ascii="仿宋_GB2312" w:hAnsi="仿宋_GB2312" w:eastAsia="仿宋_GB2312" w:cs="仿宋_GB2312"/>
          <w:b/>
          <w:color w:val="000000" w:themeColor="text1"/>
          <w:sz w:val="36"/>
          <w:szCs w:val="36"/>
          <w:lang w:val="en-US" w:eastAsia="zh-CN" w:bidi="ar-SA"/>
          <w14:textFill>
            <w14:solidFill>
              <w14:schemeClr w14:val="tx1"/>
            </w14:solidFill>
          </w14:textFill>
        </w:rPr>
        <w:t>（十二）供应商认为有必要提供的声明及文件资料</w:t>
      </w:r>
      <w:bookmarkEnd w:id="175"/>
    </w:p>
    <w:p w14:paraId="470D5996">
      <w:pPr>
        <w:pStyle w:val="92"/>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附：</w:t>
      </w:r>
    </w:p>
    <w:bookmarkEnd w:id="171"/>
    <w:bookmarkEnd w:id="172"/>
    <w:p w14:paraId="2923504E">
      <w:pPr>
        <w:pStyle w:val="94"/>
        <w:outlineLvl w:val="1"/>
        <w:rPr>
          <w:rFonts w:hint="eastAsia" w:ascii="仿宋_GB2312" w:hAnsi="仿宋_GB2312" w:eastAsia="仿宋_GB2312" w:cs="仿宋_GB2312"/>
          <w:color w:val="000000" w:themeColor="text1"/>
          <w:sz w:val="28"/>
          <w:szCs w:val="28"/>
          <w14:textFill>
            <w14:solidFill>
              <w14:schemeClr w14:val="tx1"/>
            </w14:solidFill>
          </w14:textFill>
        </w:rPr>
      </w:pPr>
      <w:bookmarkStart w:id="176" w:name="_Toc519111298"/>
    </w:p>
    <w:p w14:paraId="209E7EEA">
      <w:pPr>
        <w:pStyle w:val="94"/>
        <w:outlineLvl w:val="1"/>
        <w:rPr>
          <w:rFonts w:hint="eastAsia" w:ascii="仿宋_GB2312" w:hAnsi="仿宋_GB2312" w:eastAsia="仿宋_GB2312" w:cs="仿宋_GB2312"/>
          <w:b w:val="0"/>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8"/>
          <w:szCs w:val="28"/>
          <w:lang w:val="en-US" w:eastAsia="zh-CN" w:bidi="ar-SA"/>
          <w14:textFill>
            <w14:solidFill>
              <w14:schemeClr w14:val="tx1"/>
            </w14:solidFill>
          </w14:textFill>
        </w:rPr>
        <w:t>供应商如有提供，请自行编辑</w:t>
      </w:r>
    </w:p>
    <w:p w14:paraId="6F91222A">
      <w:pPr>
        <w:pStyle w:val="94"/>
        <w:outlineLvl w:val="1"/>
        <w:rPr>
          <w:rFonts w:hint="eastAsia" w:ascii="仿宋_GB2312" w:hAnsi="仿宋_GB2312" w:eastAsia="仿宋_GB2312" w:cs="仿宋_GB2312"/>
          <w:color w:val="000000" w:themeColor="text1"/>
          <w:sz w:val="28"/>
          <w:szCs w:val="28"/>
          <w14:textFill>
            <w14:solidFill>
              <w14:schemeClr w14:val="tx1"/>
            </w14:solidFill>
          </w14:textFill>
        </w:rPr>
      </w:pPr>
    </w:p>
    <w:p w14:paraId="67913086">
      <w:pPr>
        <w:pStyle w:val="94"/>
        <w:outlineLvl w:val="1"/>
        <w:rPr>
          <w:rFonts w:hint="default" w:ascii="Times New Roman" w:hAnsi="Times New Roman" w:cs="Times New Roman"/>
          <w:color w:val="000000" w:themeColor="text1"/>
          <w14:textFill>
            <w14:solidFill>
              <w14:schemeClr w14:val="tx1"/>
            </w14:solidFill>
          </w14:textFill>
        </w:rPr>
      </w:pPr>
    </w:p>
    <w:p w14:paraId="37C0FC2F">
      <w:pPr>
        <w:pStyle w:val="94"/>
        <w:outlineLvl w:val="1"/>
        <w:rPr>
          <w:rFonts w:hint="default" w:ascii="Times New Roman" w:hAnsi="Times New Roman" w:cs="Times New Roman"/>
          <w:color w:val="000000" w:themeColor="text1"/>
          <w14:textFill>
            <w14:solidFill>
              <w14:schemeClr w14:val="tx1"/>
            </w14:solidFill>
          </w14:textFill>
        </w:rPr>
      </w:pPr>
    </w:p>
    <w:p w14:paraId="68564B34">
      <w:pPr>
        <w:pStyle w:val="94"/>
        <w:outlineLvl w:val="1"/>
        <w:rPr>
          <w:rFonts w:hint="default" w:ascii="Times New Roman" w:hAnsi="Times New Roman" w:cs="Times New Roman"/>
          <w:color w:val="000000" w:themeColor="text1"/>
          <w14:textFill>
            <w14:solidFill>
              <w14:schemeClr w14:val="tx1"/>
            </w14:solidFill>
          </w14:textFill>
        </w:rPr>
      </w:pPr>
    </w:p>
    <w:p w14:paraId="3C012559">
      <w:pPr>
        <w:pStyle w:val="94"/>
        <w:outlineLvl w:val="1"/>
        <w:rPr>
          <w:rFonts w:hint="default" w:ascii="Times New Roman" w:hAnsi="Times New Roman" w:cs="Times New Roman"/>
          <w:color w:val="000000" w:themeColor="text1"/>
          <w14:textFill>
            <w14:solidFill>
              <w14:schemeClr w14:val="tx1"/>
            </w14:solidFill>
          </w14:textFill>
        </w:rPr>
      </w:pPr>
    </w:p>
    <w:p w14:paraId="7798952F">
      <w:pPr>
        <w:pStyle w:val="94"/>
        <w:outlineLvl w:val="1"/>
        <w:rPr>
          <w:rFonts w:hint="default" w:ascii="Times New Roman" w:hAnsi="Times New Roman" w:cs="Times New Roman"/>
          <w:color w:val="000000" w:themeColor="text1"/>
          <w14:textFill>
            <w14:solidFill>
              <w14:schemeClr w14:val="tx1"/>
            </w14:solidFill>
          </w14:textFill>
        </w:rPr>
      </w:pPr>
    </w:p>
    <w:p w14:paraId="0C87280E">
      <w:pPr>
        <w:pStyle w:val="94"/>
        <w:outlineLvl w:val="1"/>
        <w:rPr>
          <w:rFonts w:hint="default" w:ascii="Times New Roman" w:hAnsi="Times New Roman" w:cs="Times New Roman"/>
          <w:color w:val="000000" w:themeColor="text1"/>
          <w14:textFill>
            <w14:solidFill>
              <w14:schemeClr w14:val="tx1"/>
            </w14:solidFill>
          </w14:textFill>
        </w:rPr>
      </w:pPr>
    </w:p>
    <w:p w14:paraId="234D3A81">
      <w:pPr>
        <w:pStyle w:val="94"/>
        <w:outlineLvl w:val="1"/>
        <w:rPr>
          <w:rFonts w:hint="default" w:ascii="Times New Roman" w:hAnsi="Times New Roman" w:cs="Times New Roman"/>
          <w:color w:val="000000" w:themeColor="text1"/>
          <w14:textFill>
            <w14:solidFill>
              <w14:schemeClr w14:val="tx1"/>
            </w14:solidFill>
          </w14:textFill>
        </w:rPr>
      </w:pPr>
    </w:p>
    <w:p w14:paraId="4850C2FF">
      <w:pPr>
        <w:pStyle w:val="94"/>
        <w:outlineLvl w:val="1"/>
        <w:rPr>
          <w:rFonts w:hint="default" w:ascii="Times New Roman" w:hAnsi="Times New Roman" w:cs="Times New Roman"/>
          <w:color w:val="000000" w:themeColor="text1"/>
          <w14:textFill>
            <w14:solidFill>
              <w14:schemeClr w14:val="tx1"/>
            </w14:solidFill>
          </w14:textFill>
        </w:rPr>
      </w:pPr>
    </w:p>
    <w:p w14:paraId="1CC3A157">
      <w:pPr>
        <w:pStyle w:val="94"/>
        <w:outlineLvl w:val="1"/>
        <w:rPr>
          <w:rFonts w:hint="default" w:ascii="Times New Roman" w:hAnsi="Times New Roman" w:cs="Times New Roman"/>
          <w:color w:val="000000" w:themeColor="text1"/>
          <w14:textFill>
            <w14:solidFill>
              <w14:schemeClr w14:val="tx1"/>
            </w14:solidFill>
          </w14:textFill>
        </w:rPr>
      </w:pPr>
    </w:p>
    <w:p w14:paraId="3DDB038E">
      <w:pPr>
        <w:pStyle w:val="94"/>
        <w:outlineLvl w:val="1"/>
        <w:rPr>
          <w:rFonts w:hint="default" w:ascii="Times New Roman" w:hAnsi="Times New Roman" w:cs="Times New Roman"/>
          <w:color w:val="000000" w:themeColor="text1"/>
          <w14:textFill>
            <w14:solidFill>
              <w14:schemeClr w14:val="tx1"/>
            </w14:solidFill>
          </w14:textFill>
        </w:rPr>
      </w:pPr>
    </w:p>
    <w:p w14:paraId="6087F228">
      <w:pPr>
        <w:pStyle w:val="94"/>
        <w:outlineLvl w:val="1"/>
        <w:rPr>
          <w:rFonts w:hint="default" w:ascii="Times New Roman" w:hAnsi="Times New Roman" w:cs="Times New Roman"/>
          <w:color w:val="000000" w:themeColor="text1"/>
          <w14:textFill>
            <w14:solidFill>
              <w14:schemeClr w14:val="tx1"/>
            </w14:solidFill>
          </w14:textFill>
        </w:rPr>
      </w:pPr>
    </w:p>
    <w:p w14:paraId="16E3478B">
      <w:pPr>
        <w:pStyle w:val="94"/>
        <w:outlineLvl w:val="1"/>
        <w:rPr>
          <w:rFonts w:hint="default" w:ascii="Times New Roman" w:hAnsi="Times New Roman" w:cs="Times New Roman"/>
          <w:color w:val="000000" w:themeColor="text1"/>
          <w14:textFill>
            <w14:solidFill>
              <w14:schemeClr w14:val="tx1"/>
            </w14:solidFill>
          </w14:textFill>
        </w:rPr>
      </w:pPr>
    </w:p>
    <w:p w14:paraId="02651CFB">
      <w:pPr>
        <w:pStyle w:val="94"/>
        <w:outlineLvl w:val="1"/>
        <w:rPr>
          <w:rFonts w:hint="default" w:ascii="Times New Roman" w:hAnsi="Times New Roman" w:cs="Times New Roman"/>
          <w:color w:val="000000" w:themeColor="text1"/>
          <w14:textFill>
            <w14:solidFill>
              <w14:schemeClr w14:val="tx1"/>
            </w14:solidFill>
          </w14:textFill>
        </w:rPr>
      </w:pPr>
    </w:p>
    <w:p w14:paraId="7D1BE7B3">
      <w:pPr>
        <w:pStyle w:val="94"/>
        <w:outlineLvl w:val="1"/>
        <w:rPr>
          <w:rFonts w:hint="default" w:ascii="Times New Roman" w:hAnsi="Times New Roman" w:cs="Times New Roman"/>
          <w:color w:val="000000" w:themeColor="text1"/>
          <w14:textFill>
            <w14:solidFill>
              <w14:schemeClr w14:val="tx1"/>
            </w14:solidFill>
          </w14:textFill>
        </w:rPr>
      </w:pPr>
    </w:p>
    <w:p w14:paraId="3657DEF1">
      <w:pPr>
        <w:pStyle w:val="94"/>
        <w:outlineLvl w:val="1"/>
        <w:rPr>
          <w:rFonts w:hint="default" w:ascii="Times New Roman" w:hAnsi="Times New Roman" w:cs="Times New Roman"/>
          <w:color w:val="000000" w:themeColor="text1"/>
          <w14:textFill>
            <w14:solidFill>
              <w14:schemeClr w14:val="tx1"/>
            </w14:solidFill>
          </w14:textFill>
        </w:rPr>
      </w:pPr>
    </w:p>
    <w:p w14:paraId="75E16C03">
      <w:pPr>
        <w:pStyle w:val="94"/>
        <w:outlineLvl w:val="1"/>
        <w:rPr>
          <w:rFonts w:hint="default" w:ascii="Times New Roman" w:hAnsi="Times New Roman" w:cs="Times New Roman"/>
          <w:color w:val="000000" w:themeColor="text1"/>
          <w14:textFill>
            <w14:solidFill>
              <w14:schemeClr w14:val="tx1"/>
            </w14:solidFill>
          </w14:textFill>
        </w:rPr>
      </w:pPr>
    </w:p>
    <w:p w14:paraId="6C5FE803">
      <w:pPr>
        <w:pStyle w:val="94"/>
        <w:outlineLvl w:val="1"/>
        <w:rPr>
          <w:rFonts w:hint="default" w:ascii="Times New Roman" w:hAnsi="Times New Roman" w:cs="Times New Roman"/>
          <w:color w:val="000000" w:themeColor="text1"/>
          <w14:textFill>
            <w14:solidFill>
              <w14:schemeClr w14:val="tx1"/>
            </w14:solidFill>
          </w14:textFill>
        </w:rPr>
      </w:pPr>
    </w:p>
    <w:p w14:paraId="4F0D89D6">
      <w:pPr>
        <w:pStyle w:val="94"/>
        <w:outlineLvl w:val="1"/>
        <w:rPr>
          <w:rFonts w:hint="default" w:ascii="Times New Roman" w:hAnsi="Times New Roman" w:cs="Times New Roman"/>
          <w:color w:val="000000" w:themeColor="text1"/>
          <w14:textFill>
            <w14:solidFill>
              <w14:schemeClr w14:val="tx1"/>
            </w14:solidFill>
          </w14:textFill>
        </w:rPr>
      </w:pPr>
    </w:p>
    <w:p w14:paraId="36F30C7A">
      <w:pPr>
        <w:pStyle w:val="94"/>
        <w:outlineLvl w:val="1"/>
        <w:rPr>
          <w:rFonts w:hint="default" w:ascii="Times New Roman" w:hAnsi="Times New Roman" w:cs="Times New Roman"/>
          <w:color w:val="000000" w:themeColor="text1"/>
          <w14:textFill>
            <w14:solidFill>
              <w14:schemeClr w14:val="tx1"/>
            </w14:solidFill>
          </w14:textFill>
        </w:rPr>
      </w:pPr>
    </w:p>
    <w:p w14:paraId="579D4D9D">
      <w:pPr>
        <w:pStyle w:val="94"/>
        <w:outlineLvl w:val="1"/>
        <w:rPr>
          <w:rFonts w:hint="default" w:ascii="Times New Roman" w:hAnsi="Times New Roman" w:cs="Times New Roman"/>
          <w:color w:val="000000" w:themeColor="text1"/>
          <w14:textFill>
            <w14:solidFill>
              <w14:schemeClr w14:val="tx1"/>
            </w14:solidFill>
          </w14:textFill>
        </w:rPr>
      </w:pPr>
    </w:p>
    <w:p w14:paraId="7FB45010">
      <w:pPr>
        <w:pStyle w:val="94"/>
        <w:outlineLvl w:val="1"/>
        <w:rPr>
          <w:rFonts w:hint="default" w:ascii="Times New Roman" w:hAnsi="Times New Roman" w:cs="Times New Roman"/>
          <w:color w:val="000000" w:themeColor="text1"/>
          <w14:textFill>
            <w14:solidFill>
              <w14:schemeClr w14:val="tx1"/>
            </w14:solidFill>
          </w14:textFill>
        </w:rPr>
      </w:pPr>
    </w:p>
    <w:p w14:paraId="3248987C">
      <w:pPr>
        <w:pStyle w:val="94"/>
        <w:outlineLvl w:val="1"/>
        <w:rPr>
          <w:rFonts w:hint="default" w:ascii="Times New Roman" w:hAnsi="Times New Roman" w:cs="Times New Roman"/>
          <w:color w:val="000000" w:themeColor="text1"/>
          <w14:textFill>
            <w14:solidFill>
              <w14:schemeClr w14:val="tx1"/>
            </w14:solidFill>
          </w14:textFill>
        </w:rPr>
      </w:pPr>
    </w:p>
    <w:p w14:paraId="011CCF5B">
      <w:pPr>
        <w:pStyle w:val="94"/>
        <w:outlineLvl w:val="1"/>
        <w:rPr>
          <w:rFonts w:hint="default" w:ascii="Times New Roman" w:hAnsi="Times New Roman" w:cs="Times New Roman"/>
          <w:color w:val="000000" w:themeColor="text1"/>
          <w14:textFill>
            <w14:solidFill>
              <w14:schemeClr w14:val="tx1"/>
            </w14:solidFill>
          </w14:textFill>
        </w:rPr>
      </w:pPr>
    </w:p>
    <w:p w14:paraId="2B9BAB10">
      <w:pPr>
        <w:pStyle w:val="94"/>
        <w:outlineLvl w:val="1"/>
        <w:rPr>
          <w:rFonts w:hint="default" w:ascii="Times New Roman" w:hAnsi="Times New Roman" w:cs="Times New Roman"/>
          <w:color w:val="000000" w:themeColor="text1"/>
          <w14:textFill>
            <w14:solidFill>
              <w14:schemeClr w14:val="tx1"/>
            </w14:solidFill>
          </w14:textFill>
        </w:rPr>
      </w:pPr>
    </w:p>
    <w:p w14:paraId="3EE380CF">
      <w:pPr>
        <w:pStyle w:val="94"/>
        <w:outlineLvl w:val="1"/>
        <w:rPr>
          <w:rFonts w:hint="default" w:ascii="Times New Roman" w:hAnsi="Times New Roman" w:cs="Times New Roman"/>
          <w:color w:val="000000" w:themeColor="text1"/>
          <w14:textFill>
            <w14:solidFill>
              <w14:schemeClr w14:val="tx1"/>
            </w14:solidFill>
          </w14:textFill>
        </w:rPr>
      </w:pPr>
    </w:p>
    <w:p w14:paraId="30C9E3B6">
      <w:pPr>
        <w:pStyle w:val="94"/>
        <w:outlineLvl w:val="1"/>
        <w:rPr>
          <w:rFonts w:hint="default" w:ascii="Times New Roman" w:hAnsi="Times New Roman" w:cs="Times New Roman"/>
          <w:color w:val="000000" w:themeColor="text1"/>
          <w14:textFill>
            <w14:solidFill>
              <w14:schemeClr w14:val="tx1"/>
            </w14:solidFill>
          </w14:textFill>
        </w:rPr>
      </w:pPr>
    </w:p>
    <w:p w14:paraId="0679EE9C">
      <w:pPr>
        <w:pStyle w:val="94"/>
        <w:outlineLvl w:val="1"/>
        <w:rPr>
          <w:rFonts w:hint="default" w:ascii="Times New Roman" w:hAnsi="Times New Roman" w:cs="Times New Roman"/>
          <w:color w:val="000000" w:themeColor="text1"/>
          <w14:textFill>
            <w14:solidFill>
              <w14:schemeClr w14:val="tx1"/>
            </w14:solidFill>
          </w14:textFill>
        </w:rPr>
      </w:pPr>
    </w:p>
    <w:p w14:paraId="67DB95F2">
      <w:pPr>
        <w:pStyle w:val="94"/>
        <w:outlineLvl w:val="1"/>
        <w:rPr>
          <w:rFonts w:hint="default" w:ascii="Times New Roman" w:hAnsi="Times New Roman" w:cs="Times New Roman"/>
          <w:color w:val="000000" w:themeColor="text1"/>
          <w14:textFill>
            <w14:solidFill>
              <w14:schemeClr w14:val="tx1"/>
            </w14:solidFill>
          </w14:textFill>
        </w:rPr>
      </w:pPr>
    </w:p>
    <w:p w14:paraId="3476B501">
      <w:pPr>
        <w:pStyle w:val="94"/>
        <w:outlineLvl w:val="1"/>
        <w:rPr>
          <w:rFonts w:hint="default" w:ascii="Times New Roman" w:hAnsi="Times New Roman" w:cs="Times New Roman"/>
          <w:color w:val="000000" w:themeColor="text1"/>
          <w14:textFill>
            <w14:solidFill>
              <w14:schemeClr w14:val="tx1"/>
            </w14:solidFill>
          </w14:textFill>
        </w:rPr>
      </w:pPr>
    </w:p>
    <w:p w14:paraId="73C86612">
      <w:pPr>
        <w:pStyle w:val="94"/>
        <w:outlineLvl w:val="1"/>
        <w:rPr>
          <w:rFonts w:hint="default" w:ascii="Times New Roman" w:hAnsi="Times New Roman" w:cs="Times New Roman"/>
          <w:color w:val="000000" w:themeColor="text1"/>
          <w14:textFill>
            <w14:solidFill>
              <w14:schemeClr w14:val="tx1"/>
            </w14:solidFill>
          </w14:textFill>
        </w:rPr>
      </w:pPr>
    </w:p>
    <w:p w14:paraId="0CDD2952">
      <w:pPr>
        <w:pStyle w:val="94"/>
        <w:outlineLvl w:val="1"/>
        <w:rPr>
          <w:rFonts w:hint="default" w:ascii="Times New Roman" w:hAnsi="Times New Roman" w:cs="Times New Roman"/>
          <w:color w:val="000000" w:themeColor="text1"/>
          <w14:textFill>
            <w14:solidFill>
              <w14:schemeClr w14:val="tx1"/>
            </w14:solidFill>
          </w14:textFill>
        </w:rPr>
      </w:pPr>
    </w:p>
    <w:p w14:paraId="3EF0F236">
      <w:pPr>
        <w:pStyle w:val="94"/>
        <w:outlineLvl w:val="1"/>
        <w:rPr>
          <w:rFonts w:hint="default" w:ascii="Times New Roman" w:hAnsi="Times New Roman" w:cs="Times New Roman"/>
          <w:color w:val="000000" w:themeColor="text1"/>
          <w14:textFill>
            <w14:solidFill>
              <w14:schemeClr w14:val="tx1"/>
            </w14:solidFill>
          </w14:textFill>
        </w:rPr>
      </w:pPr>
    </w:p>
    <w:p w14:paraId="3BC7FAE2">
      <w:pPr>
        <w:pStyle w:val="94"/>
        <w:outlineLvl w:val="1"/>
        <w:rPr>
          <w:rFonts w:hint="eastAsia"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四、技术文件</w:t>
      </w:r>
      <w:bookmarkEnd w:id="176"/>
    </w:p>
    <w:p w14:paraId="2838EFEF">
      <w:pPr>
        <w:pStyle w:val="117"/>
        <w:outlineLvl w:val="2"/>
        <w:rPr>
          <w:rFonts w:hint="eastAsia" w:ascii="仿宋_GB2312" w:hAnsi="仿宋_GB2312" w:eastAsia="仿宋_GB2312" w:cs="仿宋_GB2312"/>
          <w:color w:val="000000" w:themeColor="text1"/>
          <w:kern w:val="2"/>
          <w:sz w:val="24"/>
          <w:szCs w:val="24"/>
          <w14:textFill>
            <w14:solidFill>
              <w14:schemeClr w14:val="tx1"/>
            </w14:solidFill>
          </w14:textFill>
        </w:rPr>
      </w:pPr>
      <w:bookmarkStart w:id="177" w:name="_Toc519111300"/>
      <w:r>
        <w:rPr>
          <w:rFonts w:hint="eastAsia" w:ascii="仿宋_GB2312" w:hAnsi="仿宋_GB2312" w:eastAsia="仿宋_GB2312" w:cs="仿宋_GB2312"/>
          <w:color w:val="000000" w:themeColor="text1"/>
          <w:kern w:val="2"/>
          <w:sz w:val="24"/>
          <w:szCs w:val="24"/>
          <w14:textFill>
            <w14:solidFill>
              <w14:schemeClr w14:val="tx1"/>
            </w14:solidFill>
          </w14:textFill>
        </w:rPr>
        <w:t>（十</w:t>
      </w:r>
      <w:r>
        <w:rPr>
          <w:rFonts w:hint="eastAsia" w:ascii="仿宋_GB2312" w:hAnsi="仿宋_GB2312" w:eastAsia="仿宋_GB2312" w:cs="仿宋_GB2312"/>
          <w:color w:val="000000" w:themeColor="text1"/>
          <w:kern w:val="2"/>
          <w:sz w:val="24"/>
          <w:szCs w:val="24"/>
          <w:lang w:eastAsia="zh-CN"/>
          <w14:textFill>
            <w14:solidFill>
              <w14:schemeClr w14:val="tx1"/>
            </w14:solidFill>
          </w14:textFill>
        </w:rPr>
        <w:t>三</w:t>
      </w:r>
      <w:r>
        <w:rPr>
          <w:rFonts w:hint="eastAsia" w:ascii="仿宋_GB2312" w:hAnsi="仿宋_GB2312" w:eastAsia="仿宋_GB2312" w:cs="仿宋_GB2312"/>
          <w:color w:val="000000" w:themeColor="text1"/>
          <w:kern w:val="2"/>
          <w:sz w:val="24"/>
          <w:szCs w:val="24"/>
          <w14:textFill>
            <w14:solidFill>
              <w14:schemeClr w14:val="tx1"/>
            </w14:solidFill>
          </w14:textFill>
        </w:rPr>
        <w:t>）投标人自行编写的技术文件</w:t>
      </w:r>
    </w:p>
    <w:p w14:paraId="1166EEF9">
      <w:pPr>
        <w:spacing w:line="360" w:lineRule="auto"/>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①针对本项目的综合说明（含服务理念、工作目标、整体设想和策划）；</w:t>
      </w:r>
    </w:p>
    <w:p w14:paraId="5D987335">
      <w:pPr>
        <w:spacing w:line="360" w:lineRule="auto"/>
        <w:rPr>
          <w:rFonts w:hint="eastAsia" w:ascii="仿宋_GB2312" w:hAnsi="仿宋_GB2312" w:eastAsia="仿宋_GB2312" w:cs="仿宋_GB2312"/>
          <w:bCs/>
          <w:color w:val="000000" w:themeColor="text1"/>
          <w:sz w:val="24"/>
          <w:szCs w:val="24"/>
          <w14:textFill>
            <w14:solidFill>
              <w14:schemeClr w14:val="tx1"/>
            </w14:solidFill>
          </w14:textFill>
        </w:rPr>
      </w:pPr>
    </w:p>
    <w:p w14:paraId="31B5EBBB">
      <w:pPr>
        <w:spacing w:line="360" w:lineRule="auto"/>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②简单方案说明或总体方案设计；</w:t>
      </w:r>
    </w:p>
    <w:p w14:paraId="7E87C08A">
      <w:pPr>
        <w:spacing w:line="360" w:lineRule="auto"/>
        <w:rPr>
          <w:rFonts w:hint="eastAsia" w:ascii="仿宋_GB2312" w:hAnsi="仿宋_GB2312" w:eastAsia="仿宋_GB2312" w:cs="仿宋_GB2312"/>
          <w:bCs/>
          <w:color w:val="000000" w:themeColor="text1"/>
          <w:sz w:val="24"/>
          <w:szCs w:val="24"/>
          <w14:textFill>
            <w14:solidFill>
              <w14:schemeClr w14:val="tx1"/>
            </w14:solidFill>
          </w14:textFill>
        </w:rPr>
      </w:pPr>
    </w:p>
    <w:p w14:paraId="664ABD6B">
      <w:pPr>
        <w:spacing w:line="360" w:lineRule="auto"/>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③项目组织和管理；</w:t>
      </w:r>
    </w:p>
    <w:p w14:paraId="34C85122">
      <w:pPr>
        <w:spacing w:line="360" w:lineRule="auto"/>
        <w:rPr>
          <w:rFonts w:hint="eastAsia" w:ascii="仿宋_GB2312" w:hAnsi="仿宋_GB2312" w:eastAsia="仿宋_GB2312" w:cs="仿宋_GB2312"/>
          <w:bCs/>
          <w:color w:val="000000" w:themeColor="text1"/>
          <w:sz w:val="24"/>
          <w:szCs w:val="24"/>
          <w14:textFill>
            <w14:solidFill>
              <w14:schemeClr w14:val="tx1"/>
            </w14:solidFill>
          </w14:textFill>
        </w:rPr>
      </w:pPr>
    </w:p>
    <w:p w14:paraId="2496E3FF">
      <w:pPr>
        <w:spacing w:line="360" w:lineRule="auto"/>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④质量、进度、安全相关保障措施；</w:t>
      </w:r>
    </w:p>
    <w:p w14:paraId="2C686840">
      <w:pPr>
        <w:spacing w:line="360" w:lineRule="auto"/>
        <w:rPr>
          <w:rFonts w:hint="eastAsia" w:ascii="仿宋_GB2312" w:hAnsi="仿宋_GB2312" w:eastAsia="仿宋_GB2312" w:cs="仿宋_GB2312"/>
          <w:bCs/>
          <w:color w:val="000000" w:themeColor="text1"/>
          <w:sz w:val="24"/>
          <w:szCs w:val="24"/>
          <w14:textFill>
            <w14:solidFill>
              <w14:schemeClr w14:val="tx1"/>
            </w14:solidFill>
          </w14:textFill>
        </w:rPr>
      </w:pPr>
    </w:p>
    <w:p w14:paraId="0A25F0B4">
      <w:pPr>
        <w:spacing w:line="360" w:lineRule="auto"/>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⑤项目管理机构：要求提供项目管理机构框图、人员配备方案及岗位职责和职业资格（含管理层的设置，主要技术人员的人数和职责，各部门的设置、职责和拟安排的人数）；</w:t>
      </w:r>
    </w:p>
    <w:p w14:paraId="4938A8F7">
      <w:pPr>
        <w:spacing w:line="360" w:lineRule="auto"/>
        <w:rPr>
          <w:rFonts w:hint="eastAsia" w:ascii="仿宋_GB2312" w:hAnsi="仿宋_GB2312" w:eastAsia="仿宋_GB2312" w:cs="仿宋_GB2312"/>
          <w:bCs/>
          <w:color w:val="000000" w:themeColor="text1"/>
          <w:sz w:val="24"/>
          <w:szCs w:val="24"/>
          <w14:textFill>
            <w14:solidFill>
              <w14:schemeClr w14:val="tx1"/>
            </w14:solidFill>
          </w14:textFill>
        </w:rPr>
      </w:pPr>
    </w:p>
    <w:p w14:paraId="67384532">
      <w:pPr>
        <w:spacing w:line="360" w:lineRule="auto"/>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⑥完成服务所需的工具、设备等资源配置；</w:t>
      </w:r>
    </w:p>
    <w:p w14:paraId="18E2F010">
      <w:pPr>
        <w:spacing w:line="360" w:lineRule="auto"/>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bCs/>
          <w:color w:val="000000" w:themeColor="text1"/>
          <w:sz w:val="24"/>
          <w:szCs w:val="24"/>
          <w14:textFill>
            <w14:solidFill>
              <w14:schemeClr w14:val="tx1"/>
            </w14:solidFill>
          </w14:textFill>
        </w:rPr>
        <w:t>⑦技术规范偏离表；</w:t>
      </w:r>
    </w:p>
    <w:p w14:paraId="2CF4AE32">
      <w:pPr>
        <w:pStyle w:val="20"/>
        <w:spacing w:line="360" w:lineRule="auto"/>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项目编号：</w:t>
      </w:r>
    </w:p>
    <w:tbl>
      <w:tblPr>
        <w:tblStyle w:val="36"/>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101"/>
        <w:gridCol w:w="1021"/>
        <w:gridCol w:w="1707"/>
        <w:gridCol w:w="1337"/>
        <w:gridCol w:w="1337"/>
        <w:gridCol w:w="977"/>
      </w:tblGrid>
      <w:tr w14:paraId="2690D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55" w:type="dxa"/>
            <w:tcBorders>
              <w:top w:val="single" w:color="auto" w:sz="12" w:space="0"/>
              <w:left w:val="single" w:color="auto" w:sz="12" w:space="0"/>
            </w:tcBorders>
            <w:vAlign w:val="center"/>
          </w:tcPr>
          <w:p w14:paraId="02D62306">
            <w:pPr>
              <w:tabs>
                <w:tab w:val="left" w:pos="1337"/>
              </w:tabs>
              <w:spacing w:line="360" w:lineRule="auto"/>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序号</w:t>
            </w:r>
          </w:p>
        </w:tc>
        <w:tc>
          <w:tcPr>
            <w:tcW w:w="2101" w:type="dxa"/>
            <w:tcBorders>
              <w:top w:val="single" w:color="auto" w:sz="12" w:space="0"/>
            </w:tcBorders>
            <w:vAlign w:val="center"/>
          </w:tcPr>
          <w:p w14:paraId="46256248">
            <w:pPr>
              <w:tabs>
                <w:tab w:val="left" w:pos="1337"/>
              </w:tabs>
              <w:spacing w:line="360" w:lineRule="auto"/>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服务名称及编号</w:t>
            </w:r>
          </w:p>
        </w:tc>
        <w:tc>
          <w:tcPr>
            <w:tcW w:w="1021" w:type="dxa"/>
            <w:tcBorders>
              <w:top w:val="single" w:color="auto" w:sz="12" w:space="0"/>
            </w:tcBorders>
            <w:vAlign w:val="center"/>
          </w:tcPr>
          <w:p w14:paraId="48C23D0F">
            <w:pPr>
              <w:tabs>
                <w:tab w:val="left" w:pos="1337"/>
              </w:tabs>
              <w:spacing w:line="360" w:lineRule="auto"/>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数量</w:t>
            </w:r>
          </w:p>
        </w:tc>
        <w:tc>
          <w:tcPr>
            <w:tcW w:w="1707" w:type="dxa"/>
            <w:tcBorders>
              <w:top w:val="single" w:color="auto" w:sz="12" w:space="0"/>
            </w:tcBorders>
            <w:vAlign w:val="center"/>
          </w:tcPr>
          <w:p w14:paraId="090AEA99">
            <w:pPr>
              <w:tabs>
                <w:tab w:val="left" w:pos="1337"/>
              </w:tabs>
              <w:spacing w:line="360" w:lineRule="auto"/>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磋商文件技术规范、要求</w:t>
            </w:r>
          </w:p>
        </w:tc>
        <w:tc>
          <w:tcPr>
            <w:tcW w:w="1337" w:type="dxa"/>
            <w:tcBorders>
              <w:top w:val="single" w:color="auto" w:sz="12" w:space="0"/>
            </w:tcBorders>
            <w:vAlign w:val="center"/>
          </w:tcPr>
          <w:p w14:paraId="4142D5A5">
            <w:pPr>
              <w:tabs>
                <w:tab w:val="left" w:pos="1337"/>
              </w:tabs>
              <w:spacing w:line="360" w:lineRule="auto"/>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响应文件对应规范</w:t>
            </w:r>
          </w:p>
        </w:tc>
        <w:tc>
          <w:tcPr>
            <w:tcW w:w="1337" w:type="dxa"/>
            <w:tcBorders>
              <w:top w:val="single" w:color="auto" w:sz="12" w:space="0"/>
            </w:tcBorders>
            <w:vAlign w:val="center"/>
          </w:tcPr>
          <w:p w14:paraId="4C19EC6D">
            <w:pPr>
              <w:tabs>
                <w:tab w:val="left" w:pos="1337"/>
              </w:tabs>
              <w:spacing w:line="360" w:lineRule="auto"/>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偏差</w:t>
            </w:r>
          </w:p>
        </w:tc>
        <w:tc>
          <w:tcPr>
            <w:tcW w:w="977" w:type="dxa"/>
            <w:tcBorders>
              <w:top w:val="single" w:color="auto" w:sz="12" w:space="0"/>
              <w:right w:val="single" w:color="auto" w:sz="12" w:space="0"/>
            </w:tcBorders>
            <w:vAlign w:val="center"/>
          </w:tcPr>
          <w:p w14:paraId="12853847">
            <w:pPr>
              <w:tabs>
                <w:tab w:val="left" w:pos="1337"/>
              </w:tabs>
              <w:spacing w:line="360" w:lineRule="auto"/>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备注</w:t>
            </w:r>
          </w:p>
        </w:tc>
      </w:tr>
      <w:tr w14:paraId="21A4F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5" w:type="dxa"/>
            <w:tcBorders>
              <w:left w:val="single" w:color="auto" w:sz="12" w:space="0"/>
            </w:tcBorders>
            <w:vAlign w:val="center"/>
          </w:tcPr>
          <w:p w14:paraId="1A9B9519">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101" w:type="dxa"/>
            <w:vAlign w:val="center"/>
          </w:tcPr>
          <w:p w14:paraId="320C667B">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021" w:type="dxa"/>
            <w:vAlign w:val="center"/>
          </w:tcPr>
          <w:p w14:paraId="6C5A51CD">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707" w:type="dxa"/>
            <w:vAlign w:val="center"/>
          </w:tcPr>
          <w:p w14:paraId="16951471">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337" w:type="dxa"/>
            <w:vAlign w:val="center"/>
          </w:tcPr>
          <w:p w14:paraId="26853608">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337" w:type="dxa"/>
            <w:vAlign w:val="center"/>
          </w:tcPr>
          <w:p w14:paraId="4A191211">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977" w:type="dxa"/>
            <w:tcBorders>
              <w:right w:val="single" w:color="auto" w:sz="12" w:space="0"/>
            </w:tcBorders>
            <w:vAlign w:val="center"/>
          </w:tcPr>
          <w:p w14:paraId="6915B5DB">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02471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5" w:type="dxa"/>
            <w:tcBorders>
              <w:left w:val="single" w:color="auto" w:sz="12" w:space="0"/>
            </w:tcBorders>
            <w:vAlign w:val="center"/>
          </w:tcPr>
          <w:p w14:paraId="791601D9">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101" w:type="dxa"/>
            <w:vAlign w:val="center"/>
          </w:tcPr>
          <w:p w14:paraId="30E0AB75">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021" w:type="dxa"/>
            <w:vAlign w:val="center"/>
          </w:tcPr>
          <w:p w14:paraId="7AC6FAF6">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707" w:type="dxa"/>
            <w:vAlign w:val="center"/>
          </w:tcPr>
          <w:p w14:paraId="6980469C">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337" w:type="dxa"/>
            <w:vAlign w:val="center"/>
          </w:tcPr>
          <w:p w14:paraId="10DAEE22">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337" w:type="dxa"/>
            <w:vAlign w:val="center"/>
          </w:tcPr>
          <w:p w14:paraId="01CEEF08">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977" w:type="dxa"/>
            <w:tcBorders>
              <w:right w:val="single" w:color="auto" w:sz="12" w:space="0"/>
            </w:tcBorders>
            <w:vAlign w:val="center"/>
          </w:tcPr>
          <w:p w14:paraId="7408E8DB">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34328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5" w:type="dxa"/>
            <w:tcBorders>
              <w:left w:val="single" w:color="auto" w:sz="12" w:space="0"/>
              <w:bottom w:val="single" w:color="auto" w:sz="12" w:space="0"/>
            </w:tcBorders>
            <w:vAlign w:val="center"/>
          </w:tcPr>
          <w:p w14:paraId="054EDE8A">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101" w:type="dxa"/>
            <w:tcBorders>
              <w:bottom w:val="single" w:color="auto" w:sz="12" w:space="0"/>
            </w:tcBorders>
            <w:vAlign w:val="center"/>
          </w:tcPr>
          <w:p w14:paraId="2C5251E6">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021" w:type="dxa"/>
            <w:tcBorders>
              <w:bottom w:val="single" w:color="auto" w:sz="12" w:space="0"/>
            </w:tcBorders>
            <w:vAlign w:val="center"/>
          </w:tcPr>
          <w:p w14:paraId="3FF8C653">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707" w:type="dxa"/>
            <w:tcBorders>
              <w:bottom w:val="single" w:color="auto" w:sz="12" w:space="0"/>
            </w:tcBorders>
            <w:vAlign w:val="center"/>
          </w:tcPr>
          <w:p w14:paraId="6BDEACAC">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337" w:type="dxa"/>
            <w:tcBorders>
              <w:bottom w:val="single" w:color="auto" w:sz="12" w:space="0"/>
            </w:tcBorders>
            <w:vAlign w:val="center"/>
          </w:tcPr>
          <w:p w14:paraId="06BB3E87">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337" w:type="dxa"/>
            <w:tcBorders>
              <w:bottom w:val="single" w:color="auto" w:sz="12" w:space="0"/>
            </w:tcBorders>
            <w:vAlign w:val="center"/>
          </w:tcPr>
          <w:p w14:paraId="1E8A4C93">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977" w:type="dxa"/>
            <w:tcBorders>
              <w:bottom w:val="single" w:color="auto" w:sz="12" w:space="0"/>
              <w:right w:val="single" w:color="auto" w:sz="12" w:space="0"/>
            </w:tcBorders>
            <w:vAlign w:val="center"/>
          </w:tcPr>
          <w:p w14:paraId="3EA96519">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r>
    </w:tbl>
    <w:p w14:paraId="76B3D007">
      <w:pPr>
        <w:pStyle w:val="120"/>
        <w:spacing w:before="0" w:after="0" w:line="360" w:lineRule="auto"/>
        <w:ind w:right="96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说明：投标人提交的服务技术规范须与磋商文件要求逐条对应填写，否则将导致投标被拒绝</w:t>
      </w:r>
    </w:p>
    <w:p w14:paraId="67D16547">
      <w:pPr>
        <w:pStyle w:val="14"/>
        <w:spacing w:before="0" w:after="0" w:line="360" w:lineRule="auto"/>
        <w:ind w:right="960"/>
        <w:rPr>
          <w:rFonts w:hint="eastAsia" w:ascii="仿宋_GB2312" w:hAnsi="仿宋_GB2312" w:eastAsia="仿宋_GB2312" w:cs="仿宋_GB2312"/>
          <w:color w:val="000000" w:themeColor="text1"/>
          <w:sz w:val="24"/>
          <w:szCs w:val="24"/>
          <w14:textFill>
            <w14:solidFill>
              <w14:schemeClr w14:val="tx1"/>
            </w14:solidFill>
          </w14:textFill>
        </w:rPr>
      </w:pPr>
    </w:p>
    <w:p w14:paraId="324AE139">
      <w:pPr>
        <w:pStyle w:val="14"/>
        <w:spacing w:before="0" w:after="0" w:line="360" w:lineRule="auto"/>
        <w:ind w:right="17"/>
        <w:jc w:val="righ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年  月  日</w:t>
      </w:r>
    </w:p>
    <w:p w14:paraId="555EF770">
      <w:pPr>
        <w:rPr>
          <w:rFonts w:hint="eastAsia" w:ascii="仿宋_GB2312" w:hAnsi="仿宋_GB2312" w:eastAsia="仿宋_GB2312" w:cs="仿宋_GB2312"/>
          <w:color w:val="000000" w:themeColor="text1"/>
          <w:sz w:val="24"/>
          <w:szCs w:val="24"/>
          <w14:textFill>
            <w14:solidFill>
              <w14:schemeClr w14:val="tx1"/>
            </w14:solidFill>
          </w14:textFill>
        </w:rPr>
      </w:pPr>
    </w:p>
    <w:p w14:paraId="684A5A7D">
      <w:pPr>
        <w:rPr>
          <w:rFonts w:hint="eastAsia" w:ascii="仿宋_GB2312" w:hAnsi="仿宋_GB2312" w:eastAsia="仿宋_GB2312" w:cs="仿宋_GB2312"/>
          <w:color w:val="000000" w:themeColor="text1"/>
          <w:sz w:val="24"/>
          <w:szCs w:val="24"/>
          <w14:textFill>
            <w14:solidFill>
              <w14:schemeClr w14:val="tx1"/>
            </w14:solidFill>
          </w14:textFill>
        </w:rPr>
      </w:pPr>
    </w:p>
    <w:p w14:paraId="5D791E04">
      <w:pPr>
        <w:rPr>
          <w:rFonts w:hint="eastAsia" w:ascii="仿宋_GB2312" w:hAnsi="仿宋_GB2312" w:eastAsia="仿宋_GB2312" w:cs="仿宋_GB2312"/>
          <w:color w:val="000000" w:themeColor="text1"/>
          <w:sz w:val="24"/>
          <w:szCs w:val="24"/>
          <w14:textFill>
            <w14:solidFill>
              <w14:schemeClr w14:val="tx1"/>
            </w14:solidFill>
          </w14:textFill>
        </w:rPr>
      </w:pPr>
    </w:p>
    <w:p w14:paraId="02EE04F9">
      <w:pPr>
        <w:pStyle w:val="121"/>
        <w:outlineLvl w:val="1"/>
        <w:rPr>
          <w:rFonts w:hint="eastAsia"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五、服务文件</w:t>
      </w:r>
      <w:bookmarkEnd w:id="177"/>
    </w:p>
    <w:p w14:paraId="5103789F">
      <w:pPr>
        <w:pStyle w:val="4"/>
        <w:jc w:val="both"/>
        <w:rPr>
          <w:rFonts w:hint="eastAsia" w:ascii="仿宋_GB2312" w:hAnsi="仿宋_GB2312" w:eastAsia="仿宋_GB2312" w:cs="仿宋_GB2312"/>
          <w:b/>
          <w:color w:val="000000" w:themeColor="text1"/>
          <w:sz w:val="28"/>
          <w:szCs w:val="28"/>
          <w14:textFill>
            <w14:solidFill>
              <w14:schemeClr w14:val="tx1"/>
            </w14:solidFill>
          </w14:textFill>
        </w:rPr>
      </w:pPr>
      <w:bookmarkStart w:id="178" w:name="_Toc492921374"/>
      <w:r>
        <w:rPr>
          <w:rFonts w:hint="eastAsia" w:ascii="仿宋_GB2312" w:hAnsi="仿宋_GB2312" w:eastAsia="仿宋_GB2312" w:cs="仿宋_GB2312"/>
          <w:b/>
          <w:color w:val="000000" w:themeColor="text1"/>
          <w:sz w:val="28"/>
          <w:szCs w:val="28"/>
          <w14:textFill>
            <w14:solidFill>
              <w14:schemeClr w14:val="tx1"/>
            </w14:solidFill>
          </w14:textFill>
        </w:rPr>
        <w:t>（十</w:t>
      </w:r>
      <w:r>
        <w:rPr>
          <w:rFonts w:hint="eastAsia" w:ascii="仿宋_GB2312" w:hAnsi="仿宋_GB2312" w:eastAsia="仿宋_GB2312" w:cs="仿宋_GB2312"/>
          <w:b/>
          <w:color w:val="000000" w:themeColor="text1"/>
          <w:sz w:val="28"/>
          <w:szCs w:val="28"/>
          <w:lang w:eastAsia="zh-CN"/>
          <w14:textFill>
            <w14:solidFill>
              <w14:schemeClr w14:val="tx1"/>
            </w14:solidFill>
          </w14:textFill>
        </w:rPr>
        <w:t>四</w:t>
      </w:r>
      <w:r>
        <w:rPr>
          <w:rFonts w:hint="eastAsia" w:ascii="仿宋_GB2312" w:hAnsi="仿宋_GB2312" w:eastAsia="仿宋_GB2312" w:cs="仿宋_GB2312"/>
          <w:b/>
          <w:color w:val="000000" w:themeColor="text1"/>
          <w:sz w:val="28"/>
          <w:szCs w:val="28"/>
          <w14:textFill>
            <w14:solidFill>
              <w14:schemeClr w14:val="tx1"/>
            </w14:solidFill>
          </w14:textFill>
        </w:rPr>
        <w:t>）投标人自行编写的服务文件</w:t>
      </w:r>
      <w:bookmarkEnd w:id="178"/>
    </w:p>
    <w:p w14:paraId="33E124E4">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①后续服务:</w:t>
      </w:r>
    </w:p>
    <w:p w14:paraId="4F317377">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&lt;1&gt;后续服务的程序、内容、措施以及合理化建议；</w:t>
      </w:r>
    </w:p>
    <w:p w14:paraId="4622F7CE">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&lt;2&gt;响应时间和技术支持情况；</w:t>
      </w:r>
    </w:p>
    <w:p w14:paraId="7EE62E49">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&lt;3&gt;培训方案及内容；</w:t>
      </w:r>
    </w:p>
    <w:p w14:paraId="3036F1BB">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p w14:paraId="4C4546E9">
      <w:pPr>
        <w:spacing w:line="360" w:lineRule="auto"/>
        <w:rPr>
          <w:rFonts w:hint="default" w:ascii="Times New Roman" w:hAnsi="Times New Roman" w:cs="Times New Roman"/>
          <w:color w:val="000000" w:themeColor="text1"/>
          <w:sz w:val="24"/>
          <w14:textFill>
            <w14:solidFill>
              <w14:schemeClr w14:val="tx1"/>
            </w14:solidFill>
          </w14:textFill>
        </w:rPr>
      </w:pPr>
    </w:p>
    <w:p w14:paraId="5737174B">
      <w:pPr>
        <w:spacing w:line="360" w:lineRule="auto"/>
        <w:rPr>
          <w:rFonts w:hint="default" w:ascii="Times New Roman" w:hAnsi="Times New Roman" w:cs="Times New Roman"/>
          <w:color w:val="000000" w:themeColor="text1"/>
          <w:sz w:val="24"/>
          <w14:textFill>
            <w14:solidFill>
              <w14:schemeClr w14:val="tx1"/>
            </w14:solidFill>
          </w14:textFill>
        </w:rPr>
      </w:pPr>
    </w:p>
    <w:p w14:paraId="374C1236">
      <w:pPr>
        <w:spacing w:line="360" w:lineRule="auto"/>
        <w:rPr>
          <w:rFonts w:hint="default" w:ascii="Times New Roman" w:hAnsi="Times New Roman" w:cs="Times New Roman"/>
          <w:color w:val="000000" w:themeColor="text1"/>
          <w:sz w:val="24"/>
          <w14:textFill>
            <w14:solidFill>
              <w14:schemeClr w14:val="tx1"/>
            </w14:solidFill>
          </w14:textFill>
        </w:rPr>
      </w:pPr>
    </w:p>
    <w:p w14:paraId="21421343">
      <w:pPr>
        <w:spacing w:line="360" w:lineRule="auto"/>
        <w:rPr>
          <w:rFonts w:hint="default" w:ascii="Times New Roman" w:hAnsi="Times New Roman" w:cs="Times New Roman"/>
          <w:color w:val="000000" w:themeColor="text1"/>
          <w:sz w:val="24"/>
          <w14:textFill>
            <w14:solidFill>
              <w14:schemeClr w14:val="tx1"/>
            </w14:solidFill>
          </w14:textFill>
        </w:rPr>
      </w:pPr>
    </w:p>
    <w:p w14:paraId="37455130">
      <w:pPr>
        <w:spacing w:line="360" w:lineRule="auto"/>
        <w:rPr>
          <w:rFonts w:hint="default" w:ascii="Times New Roman" w:hAnsi="Times New Roman" w:cs="Times New Roman"/>
          <w:color w:val="000000" w:themeColor="text1"/>
          <w:sz w:val="24"/>
          <w14:textFill>
            <w14:solidFill>
              <w14:schemeClr w14:val="tx1"/>
            </w14:solidFill>
          </w14:textFill>
        </w:rPr>
      </w:pPr>
    </w:p>
    <w:p w14:paraId="5A576446">
      <w:pPr>
        <w:spacing w:line="360" w:lineRule="auto"/>
        <w:rPr>
          <w:rFonts w:hint="default" w:ascii="Times New Roman" w:hAnsi="Times New Roman" w:cs="Times New Roman"/>
          <w:color w:val="000000" w:themeColor="text1"/>
          <w:sz w:val="24"/>
          <w14:textFill>
            <w14:solidFill>
              <w14:schemeClr w14:val="tx1"/>
            </w14:solidFill>
          </w14:textFill>
        </w:rPr>
      </w:pPr>
    </w:p>
    <w:p w14:paraId="1445517D">
      <w:pPr>
        <w:spacing w:line="360" w:lineRule="auto"/>
        <w:rPr>
          <w:rFonts w:hint="default" w:ascii="Times New Roman" w:hAnsi="Times New Roman" w:cs="Times New Roman"/>
          <w:color w:val="000000" w:themeColor="text1"/>
          <w:sz w:val="24"/>
          <w14:textFill>
            <w14:solidFill>
              <w14:schemeClr w14:val="tx1"/>
            </w14:solidFill>
          </w14:textFill>
        </w:rPr>
      </w:pPr>
    </w:p>
    <w:p w14:paraId="3C08A7FB">
      <w:pPr>
        <w:spacing w:line="360" w:lineRule="auto"/>
        <w:rPr>
          <w:rFonts w:hint="default" w:ascii="Times New Roman" w:hAnsi="Times New Roman" w:cs="Times New Roman"/>
          <w:color w:val="000000" w:themeColor="text1"/>
          <w:sz w:val="24"/>
          <w14:textFill>
            <w14:solidFill>
              <w14:schemeClr w14:val="tx1"/>
            </w14:solidFill>
          </w14:textFill>
        </w:rPr>
      </w:pPr>
    </w:p>
    <w:p w14:paraId="2E2200EE">
      <w:pPr>
        <w:spacing w:line="360" w:lineRule="auto"/>
        <w:rPr>
          <w:rFonts w:hint="default" w:ascii="Times New Roman" w:hAnsi="Times New Roman" w:cs="Times New Roman"/>
          <w:color w:val="000000" w:themeColor="text1"/>
          <w:sz w:val="24"/>
          <w14:textFill>
            <w14:solidFill>
              <w14:schemeClr w14:val="tx1"/>
            </w14:solidFill>
          </w14:textFill>
        </w:rPr>
      </w:pPr>
    </w:p>
    <w:p w14:paraId="0C1BCB2F">
      <w:pPr>
        <w:spacing w:line="360" w:lineRule="auto"/>
        <w:rPr>
          <w:rFonts w:hint="default" w:ascii="Times New Roman" w:hAnsi="Times New Roman" w:cs="Times New Roman"/>
          <w:color w:val="000000" w:themeColor="text1"/>
          <w:sz w:val="24"/>
          <w14:textFill>
            <w14:solidFill>
              <w14:schemeClr w14:val="tx1"/>
            </w14:solidFill>
          </w14:textFill>
        </w:rPr>
      </w:pPr>
    </w:p>
    <w:p w14:paraId="749DC17D">
      <w:pPr>
        <w:spacing w:line="360" w:lineRule="auto"/>
        <w:rPr>
          <w:rFonts w:hint="default" w:ascii="Times New Roman" w:hAnsi="Times New Roman" w:cs="Times New Roman"/>
          <w:color w:val="000000" w:themeColor="text1"/>
          <w:sz w:val="24"/>
          <w14:textFill>
            <w14:solidFill>
              <w14:schemeClr w14:val="tx1"/>
            </w14:solidFill>
          </w14:textFill>
        </w:rPr>
      </w:pPr>
    </w:p>
    <w:p w14:paraId="31A97ECF">
      <w:pPr>
        <w:spacing w:line="360" w:lineRule="auto"/>
        <w:rPr>
          <w:rFonts w:hint="default" w:ascii="Times New Roman" w:hAnsi="Times New Roman" w:cs="Times New Roman"/>
          <w:color w:val="000000" w:themeColor="text1"/>
          <w:sz w:val="24"/>
          <w14:textFill>
            <w14:solidFill>
              <w14:schemeClr w14:val="tx1"/>
            </w14:solidFill>
          </w14:textFill>
        </w:rPr>
      </w:pPr>
    </w:p>
    <w:p w14:paraId="0BC0099C">
      <w:pPr>
        <w:spacing w:line="360" w:lineRule="auto"/>
        <w:rPr>
          <w:rFonts w:hint="default" w:ascii="Times New Roman" w:hAnsi="Times New Roman" w:cs="Times New Roman"/>
          <w:color w:val="000000" w:themeColor="text1"/>
          <w:sz w:val="24"/>
          <w14:textFill>
            <w14:solidFill>
              <w14:schemeClr w14:val="tx1"/>
            </w14:solidFill>
          </w14:textFill>
        </w:rPr>
      </w:pPr>
    </w:p>
    <w:p w14:paraId="16B6C33E">
      <w:pPr>
        <w:spacing w:line="360" w:lineRule="auto"/>
        <w:rPr>
          <w:rFonts w:hint="default" w:ascii="Times New Roman" w:hAnsi="Times New Roman" w:cs="Times New Roman"/>
          <w:color w:val="000000" w:themeColor="text1"/>
          <w:sz w:val="24"/>
          <w14:textFill>
            <w14:solidFill>
              <w14:schemeClr w14:val="tx1"/>
            </w14:solidFill>
          </w14:textFill>
        </w:rPr>
      </w:pPr>
    </w:p>
    <w:p w14:paraId="6EFC5395">
      <w:pPr>
        <w:spacing w:line="360" w:lineRule="auto"/>
        <w:rPr>
          <w:rFonts w:hint="default" w:ascii="Times New Roman" w:hAnsi="Times New Roman" w:cs="Times New Roman"/>
          <w:color w:val="000000" w:themeColor="text1"/>
          <w:sz w:val="24"/>
          <w14:textFill>
            <w14:solidFill>
              <w14:schemeClr w14:val="tx1"/>
            </w14:solidFill>
          </w14:textFill>
        </w:rPr>
      </w:pPr>
    </w:p>
    <w:p w14:paraId="3E77A7C4">
      <w:pPr>
        <w:spacing w:line="360" w:lineRule="auto"/>
        <w:rPr>
          <w:rFonts w:hint="default" w:ascii="Times New Roman" w:hAnsi="Times New Roman" w:cs="Times New Roman"/>
          <w:color w:val="000000" w:themeColor="text1"/>
          <w:sz w:val="24"/>
          <w14:textFill>
            <w14:solidFill>
              <w14:schemeClr w14:val="tx1"/>
            </w14:solidFill>
          </w14:textFill>
        </w:rPr>
      </w:pPr>
    </w:p>
    <w:p w14:paraId="6F291390">
      <w:pPr>
        <w:spacing w:line="360" w:lineRule="auto"/>
        <w:rPr>
          <w:rFonts w:hint="default" w:ascii="Times New Roman" w:hAnsi="Times New Roman" w:cs="Times New Roman"/>
          <w:color w:val="000000" w:themeColor="text1"/>
          <w:sz w:val="24"/>
          <w14:textFill>
            <w14:solidFill>
              <w14:schemeClr w14:val="tx1"/>
            </w14:solidFill>
          </w14:textFill>
        </w:rPr>
      </w:pPr>
    </w:p>
    <w:p w14:paraId="44F3FC99">
      <w:pPr>
        <w:spacing w:line="360" w:lineRule="auto"/>
        <w:rPr>
          <w:rFonts w:hint="default" w:ascii="Times New Roman" w:hAnsi="Times New Roman" w:cs="Times New Roman"/>
          <w:color w:val="000000" w:themeColor="text1"/>
          <w:sz w:val="24"/>
          <w14:textFill>
            <w14:solidFill>
              <w14:schemeClr w14:val="tx1"/>
            </w14:solidFill>
          </w14:textFill>
        </w:rPr>
      </w:pPr>
    </w:p>
    <w:p w14:paraId="162111EF">
      <w:pPr>
        <w:spacing w:line="360" w:lineRule="auto"/>
        <w:rPr>
          <w:rFonts w:hint="default" w:ascii="Times New Roman" w:hAnsi="Times New Roman" w:cs="Times New Roman"/>
          <w:color w:val="000000" w:themeColor="text1"/>
          <w:sz w:val="24"/>
          <w14:textFill>
            <w14:solidFill>
              <w14:schemeClr w14:val="tx1"/>
            </w14:solidFill>
          </w14:textFill>
        </w:rPr>
      </w:pPr>
    </w:p>
    <w:p w14:paraId="182B1A90">
      <w:pPr>
        <w:spacing w:line="360" w:lineRule="auto"/>
        <w:rPr>
          <w:rFonts w:hint="default" w:ascii="Times New Roman" w:hAnsi="Times New Roman" w:cs="Times New Roman"/>
          <w:color w:val="000000" w:themeColor="text1"/>
          <w:sz w:val="24"/>
          <w14:textFill>
            <w14:solidFill>
              <w14:schemeClr w14:val="tx1"/>
            </w14:solidFill>
          </w14:textFill>
        </w:rPr>
      </w:pPr>
    </w:p>
    <w:p w14:paraId="2F70D30B">
      <w:pPr>
        <w:spacing w:line="360" w:lineRule="auto"/>
        <w:rPr>
          <w:rFonts w:hint="default" w:ascii="Times New Roman" w:hAnsi="Times New Roman" w:cs="Times New Roman"/>
          <w:color w:val="000000" w:themeColor="text1"/>
          <w:sz w:val="24"/>
          <w14:textFill>
            <w14:solidFill>
              <w14:schemeClr w14:val="tx1"/>
            </w14:solidFill>
          </w14:textFill>
        </w:rPr>
      </w:pPr>
    </w:p>
    <w:p w14:paraId="32CDAC60">
      <w:pPr>
        <w:spacing w:line="360" w:lineRule="auto"/>
        <w:rPr>
          <w:rFonts w:hint="default" w:ascii="Times New Roman" w:hAnsi="Times New Roman" w:cs="Times New Roman"/>
          <w:color w:val="000000" w:themeColor="text1"/>
          <w:sz w:val="24"/>
          <w14:textFill>
            <w14:solidFill>
              <w14:schemeClr w14:val="tx1"/>
            </w14:solidFill>
          </w14:textFill>
        </w:rPr>
      </w:pPr>
    </w:p>
    <w:p w14:paraId="0C3AE5DB">
      <w:pPr>
        <w:spacing w:line="360" w:lineRule="auto"/>
        <w:rPr>
          <w:rFonts w:hint="default" w:ascii="Times New Roman" w:hAnsi="Times New Roman" w:cs="Times New Roman"/>
          <w:color w:val="000000" w:themeColor="text1"/>
          <w:sz w:val="24"/>
          <w14:textFill>
            <w14:solidFill>
              <w14:schemeClr w14:val="tx1"/>
            </w14:solidFill>
          </w14:textFill>
        </w:rPr>
      </w:pPr>
    </w:p>
    <w:p w14:paraId="7CC25439">
      <w:pPr>
        <w:spacing w:line="360" w:lineRule="auto"/>
        <w:rPr>
          <w:rFonts w:hint="default" w:ascii="Times New Roman" w:hAnsi="Times New Roman" w:cs="Times New Roman"/>
          <w:color w:val="000000" w:themeColor="text1"/>
          <w:sz w:val="24"/>
          <w14:textFill>
            <w14:solidFill>
              <w14:schemeClr w14:val="tx1"/>
            </w14:solidFill>
          </w14:textFill>
        </w:rPr>
      </w:pPr>
    </w:p>
    <w:p w14:paraId="1F6A8858">
      <w:pPr>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②后续服务网点明细表（包括联系人、详细地址、电话、传真）及本地化服务情况一览表；</w:t>
      </w:r>
    </w:p>
    <w:p w14:paraId="5A70D0F5">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p w14:paraId="03A47F03">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附本地化服务一览表：</w:t>
      </w:r>
    </w:p>
    <w:tbl>
      <w:tblPr>
        <w:tblStyle w:val="36"/>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2940"/>
        <w:gridCol w:w="2180"/>
        <w:gridCol w:w="2571"/>
      </w:tblGrid>
      <w:tr w14:paraId="62E30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tcPr>
          <w:p w14:paraId="64891C37">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投标人名称</w:t>
            </w:r>
          </w:p>
        </w:tc>
        <w:tc>
          <w:tcPr>
            <w:tcW w:w="7691" w:type="dxa"/>
            <w:gridSpan w:val="3"/>
          </w:tcPr>
          <w:p w14:paraId="1264A639">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r>
      <w:tr w14:paraId="2A68F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vAlign w:val="center"/>
          </w:tcPr>
          <w:p w14:paraId="3AAF6021">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本地化服务形式</w:t>
            </w:r>
          </w:p>
        </w:tc>
        <w:tc>
          <w:tcPr>
            <w:tcW w:w="7691" w:type="dxa"/>
            <w:gridSpan w:val="3"/>
            <w:vAlign w:val="center"/>
          </w:tcPr>
          <w:p w14:paraId="39A67463">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在本地具有分支机构</w:t>
            </w:r>
          </w:p>
          <w:p w14:paraId="5620438A">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在本地具有固定的合作伙伴</w:t>
            </w:r>
          </w:p>
          <w:p w14:paraId="116EC4D8">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在本地注册成立</w:t>
            </w:r>
          </w:p>
        </w:tc>
      </w:tr>
      <w:tr w14:paraId="14D4A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vAlign w:val="center"/>
          </w:tcPr>
          <w:p w14:paraId="013C162E">
            <w:pPr>
              <w:spacing w:line="360" w:lineRule="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以下本地注册的公司无需填写</w:t>
            </w:r>
          </w:p>
        </w:tc>
      </w:tr>
      <w:tr w14:paraId="37318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vAlign w:val="center"/>
          </w:tcPr>
          <w:p w14:paraId="362ABBC2">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本地化服务地点及联系方式</w:t>
            </w:r>
          </w:p>
        </w:tc>
        <w:tc>
          <w:tcPr>
            <w:tcW w:w="2940" w:type="dxa"/>
            <w:vAlign w:val="center"/>
          </w:tcPr>
          <w:p w14:paraId="52B17AA0">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180" w:type="dxa"/>
            <w:vAlign w:val="center"/>
          </w:tcPr>
          <w:p w14:paraId="3CFB89A6">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负责人及联系方式（附身份证号码）</w:t>
            </w:r>
          </w:p>
        </w:tc>
        <w:tc>
          <w:tcPr>
            <w:tcW w:w="2571" w:type="dxa"/>
          </w:tcPr>
          <w:p w14:paraId="5E0A0097">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r>
      <w:tr w14:paraId="7D306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tcPr>
          <w:p w14:paraId="3739125F">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服务人员名单及联系方式（附身份证号码）：</w:t>
            </w:r>
          </w:p>
          <w:p w14:paraId="34C35BCA">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r>
      <w:tr w14:paraId="2114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tcPr>
          <w:p w14:paraId="705131E1">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其他有关证明文件说明（如营业执照等）：</w:t>
            </w:r>
          </w:p>
          <w:p w14:paraId="197A184A">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r>
      <w:tr w14:paraId="6C6B5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tcPr>
          <w:p w14:paraId="42088902">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备注：1、具有合作伙伴的应填写合作伙伴的相关资料，并提供双方的合作协议以及合作伙伴的营业执照等证明文件。</w:t>
            </w:r>
          </w:p>
          <w:p w14:paraId="171EDDC6">
            <w:pPr>
              <w:spacing w:line="360" w:lineRule="auto"/>
              <w:ind w:left="2" w:leftChars="1" w:firstLine="840" w:firstLineChars="3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2、如供应商不能提供本地化服务，可不填报。</w:t>
            </w:r>
          </w:p>
        </w:tc>
      </w:tr>
    </w:tbl>
    <w:p w14:paraId="15285A05">
      <w:pPr>
        <w:tabs>
          <w:tab w:val="left" w:pos="6420"/>
        </w:tabs>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p>
    <w:p w14:paraId="2B80BFBC">
      <w:pPr>
        <w:tabs>
          <w:tab w:val="left" w:pos="6420"/>
        </w:tabs>
        <w:spacing w:line="360" w:lineRule="auto"/>
        <w:rPr>
          <w:rFonts w:hint="eastAsia" w:ascii="仿宋_GB2312" w:hAnsi="仿宋_GB2312" w:eastAsia="仿宋_GB2312" w:cs="仿宋_GB2312"/>
          <w:b/>
          <w:color w:val="000000" w:themeColor="text1"/>
          <w:sz w:val="36"/>
          <w:szCs w:val="36"/>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br w:type="page"/>
      </w:r>
      <w:r>
        <w:rPr>
          <w:rFonts w:hint="eastAsia" w:ascii="仿宋_GB2312" w:hAnsi="仿宋_GB2312" w:eastAsia="仿宋_GB2312" w:cs="仿宋_GB2312"/>
          <w:color w:val="000000" w:themeColor="text1"/>
          <w:sz w:val="36"/>
          <w:szCs w:val="36"/>
          <w14:textFill>
            <w14:solidFill>
              <w14:schemeClr w14:val="tx1"/>
            </w14:solidFill>
          </w14:textFill>
        </w:rPr>
        <w:t>☆</w:t>
      </w:r>
      <w:r>
        <w:rPr>
          <w:rFonts w:hint="eastAsia" w:ascii="仿宋_GB2312" w:hAnsi="仿宋_GB2312" w:eastAsia="仿宋_GB2312" w:cs="仿宋_GB2312"/>
          <w:color w:val="000000" w:themeColor="text1"/>
          <w:kern w:val="0"/>
          <w:sz w:val="36"/>
          <w:szCs w:val="36"/>
          <w14:textFill>
            <w14:solidFill>
              <w14:schemeClr w14:val="tx1"/>
            </w14:solidFill>
          </w14:textFill>
        </w:rPr>
        <w:t>③</w:t>
      </w:r>
      <w:r>
        <w:rPr>
          <w:rFonts w:hint="eastAsia" w:ascii="仿宋_GB2312" w:hAnsi="仿宋_GB2312" w:eastAsia="仿宋_GB2312" w:cs="仿宋_GB2312"/>
          <w:b/>
          <w:color w:val="000000" w:themeColor="text1"/>
          <w:sz w:val="36"/>
          <w:szCs w:val="36"/>
          <w14:textFill>
            <w14:solidFill>
              <w14:schemeClr w14:val="tx1"/>
            </w14:solidFill>
          </w14:textFill>
        </w:rPr>
        <w:t>服务项目偏离表</w:t>
      </w:r>
    </w:p>
    <w:p w14:paraId="215FB03A">
      <w:pPr>
        <w:pStyle w:val="20"/>
        <w:spacing w:line="360" w:lineRule="auto"/>
        <w:ind w:firstLine="0" w:firstLineChars="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项目编号、包号：</w:t>
      </w:r>
    </w:p>
    <w:tbl>
      <w:tblPr>
        <w:tblStyle w:val="36"/>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1528"/>
        <w:gridCol w:w="2674"/>
        <w:gridCol w:w="2483"/>
        <w:gridCol w:w="1146"/>
      </w:tblGrid>
      <w:tr w14:paraId="102F5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146" w:type="dxa"/>
            <w:tcBorders>
              <w:top w:val="single" w:color="auto" w:sz="12" w:space="0"/>
              <w:left w:val="single" w:color="auto" w:sz="12" w:space="0"/>
            </w:tcBorders>
            <w:vAlign w:val="center"/>
          </w:tcPr>
          <w:p w14:paraId="46D35CFC">
            <w:pPr>
              <w:tabs>
                <w:tab w:val="left" w:pos="1337"/>
              </w:tabs>
              <w:spacing w:line="360" w:lineRule="auto"/>
              <w:jc w:val="center"/>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序号</w:t>
            </w:r>
          </w:p>
        </w:tc>
        <w:tc>
          <w:tcPr>
            <w:tcW w:w="1528" w:type="dxa"/>
            <w:tcBorders>
              <w:top w:val="single" w:color="auto" w:sz="12" w:space="0"/>
            </w:tcBorders>
            <w:vAlign w:val="center"/>
          </w:tcPr>
          <w:p w14:paraId="5AE7664A">
            <w:pPr>
              <w:tabs>
                <w:tab w:val="left" w:pos="1337"/>
              </w:tabs>
              <w:spacing w:line="360" w:lineRule="auto"/>
              <w:jc w:val="center"/>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招标文件</w:t>
            </w:r>
          </w:p>
          <w:p w14:paraId="14B72DE2">
            <w:pPr>
              <w:tabs>
                <w:tab w:val="left" w:pos="1337"/>
              </w:tabs>
              <w:spacing w:line="360" w:lineRule="auto"/>
              <w:jc w:val="center"/>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条款号</w:t>
            </w:r>
          </w:p>
        </w:tc>
        <w:tc>
          <w:tcPr>
            <w:tcW w:w="2674" w:type="dxa"/>
            <w:tcBorders>
              <w:top w:val="single" w:color="auto" w:sz="12" w:space="0"/>
            </w:tcBorders>
            <w:vAlign w:val="center"/>
          </w:tcPr>
          <w:p w14:paraId="359B27C2">
            <w:pPr>
              <w:tabs>
                <w:tab w:val="left" w:pos="1337"/>
              </w:tabs>
              <w:spacing w:line="360" w:lineRule="auto"/>
              <w:jc w:val="center"/>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磋商文件的服务</w:t>
            </w:r>
          </w:p>
          <w:p w14:paraId="2A1C5FDC">
            <w:pPr>
              <w:tabs>
                <w:tab w:val="left" w:pos="1337"/>
              </w:tabs>
              <w:spacing w:line="360" w:lineRule="auto"/>
              <w:jc w:val="center"/>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条款</w:t>
            </w:r>
          </w:p>
        </w:tc>
        <w:tc>
          <w:tcPr>
            <w:tcW w:w="2483" w:type="dxa"/>
            <w:tcBorders>
              <w:top w:val="single" w:color="auto" w:sz="12" w:space="0"/>
            </w:tcBorders>
            <w:vAlign w:val="center"/>
          </w:tcPr>
          <w:p w14:paraId="0E28D5EE">
            <w:pPr>
              <w:tabs>
                <w:tab w:val="left" w:pos="1337"/>
              </w:tabs>
              <w:spacing w:line="360" w:lineRule="auto"/>
              <w:jc w:val="center"/>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响应文件的服务</w:t>
            </w:r>
          </w:p>
          <w:p w14:paraId="388FB5E8">
            <w:pPr>
              <w:tabs>
                <w:tab w:val="left" w:pos="1337"/>
              </w:tabs>
              <w:spacing w:line="360" w:lineRule="auto"/>
              <w:jc w:val="center"/>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条款</w:t>
            </w:r>
          </w:p>
        </w:tc>
        <w:tc>
          <w:tcPr>
            <w:tcW w:w="1146" w:type="dxa"/>
            <w:tcBorders>
              <w:top w:val="single" w:color="auto" w:sz="12" w:space="0"/>
              <w:right w:val="single" w:color="auto" w:sz="12" w:space="0"/>
            </w:tcBorders>
            <w:vAlign w:val="center"/>
          </w:tcPr>
          <w:p w14:paraId="1BF9B516">
            <w:pPr>
              <w:tabs>
                <w:tab w:val="left" w:pos="1337"/>
              </w:tabs>
              <w:spacing w:line="360" w:lineRule="auto"/>
              <w:jc w:val="center"/>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备注</w:t>
            </w:r>
          </w:p>
        </w:tc>
      </w:tr>
      <w:tr w14:paraId="5FDD7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146" w:type="dxa"/>
            <w:tcBorders>
              <w:left w:val="single" w:color="auto" w:sz="12" w:space="0"/>
            </w:tcBorders>
            <w:vAlign w:val="center"/>
          </w:tcPr>
          <w:p w14:paraId="2D10A634">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528" w:type="dxa"/>
            <w:vAlign w:val="center"/>
          </w:tcPr>
          <w:p w14:paraId="11C376E3">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674" w:type="dxa"/>
            <w:vAlign w:val="center"/>
          </w:tcPr>
          <w:p w14:paraId="4EADFF8E">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483" w:type="dxa"/>
            <w:vAlign w:val="center"/>
          </w:tcPr>
          <w:p w14:paraId="1EBB4749">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146" w:type="dxa"/>
            <w:tcBorders>
              <w:right w:val="single" w:color="auto" w:sz="12" w:space="0"/>
            </w:tcBorders>
            <w:vAlign w:val="center"/>
          </w:tcPr>
          <w:p w14:paraId="125D981C">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713B7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146" w:type="dxa"/>
            <w:tcBorders>
              <w:left w:val="single" w:color="auto" w:sz="12" w:space="0"/>
            </w:tcBorders>
            <w:vAlign w:val="center"/>
          </w:tcPr>
          <w:p w14:paraId="261929B2">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528" w:type="dxa"/>
            <w:vAlign w:val="center"/>
          </w:tcPr>
          <w:p w14:paraId="76A045BC">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674" w:type="dxa"/>
            <w:vAlign w:val="center"/>
          </w:tcPr>
          <w:p w14:paraId="428711C1">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483" w:type="dxa"/>
            <w:vAlign w:val="center"/>
          </w:tcPr>
          <w:p w14:paraId="785AB5BE">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146" w:type="dxa"/>
            <w:tcBorders>
              <w:right w:val="single" w:color="auto" w:sz="12" w:space="0"/>
            </w:tcBorders>
            <w:vAlign w:val="center"/>
          </w:tcPr>
          <w:p w14:paraId="5EB4112E">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1B216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146" w:type="dxa"/>
            <w:tcBorders>
              <w:left w:val="single" w:color="auto" w:sz="12" w:space="0"/>
            </w:tcBorders>
            <w:vAlign w:val="center"/>
          </w:tcPr>
          <w:p w14:paraId="1D54F3DD">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528" w:type="dxa"/>
            <w:vAlign w:val="center"/>
          </w:tcPr>
          <w:p w14:paraId="014633E6">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674" w:type="dxa"/>
            <w:vAlign w:val="center"/>
          </w:tcPr>
          <w:p w14:paraId="1E058E11">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483" w:type="dxa"/>
            <w:vAlign w:val="center"/>
          </w:tcPr>
          <w:p w14:paraId="0003C2C0">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146" w:type="dxa"/>
            <w:tcBorders>
              <w:right w:val="single" w:color="auto" w:sz="12" w:space="0"/>
            </w:tcBorders>
            <w:vAlign w:val="center"/>
          </w:tcPr>
          <w:p w14:paraId="621201B5">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063E6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146" w:type="dxa"/>
            <w:tcBorders>
              <w:left w:val="single" w:color="auto" w:sz="12" w:space="0"/>
              <w:bottom w:val="single" w:color="auto" w:sz="12" w:space="0"/>
            </w:tcBorders>
            <w:vAlign w:val="center"/>
          </w:tcPr>
          <w:p w14:paraId="0A344BF6">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528" w:type="dxa"/>
            <w:tcBorders>
              <w:bottom w:val="single" w:color="auto" w:sz="12" w:space="0"/>
            </w:tcBorders>
            <w:vAlign w:val="center"/>
          </w:tcPr>
          <w:p w14:paraId="2AD70062">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674" w:type="dxa"/>
            <w:tcBorders>
              <w:bottom w:val="single" w:color="auto" w:sz="12" w:space="0"/>
            </w:tcBorders>
            <w:vAlign w:val="center"/>
          </w:tcPr>
          <w:p w14:paraId="4669F779">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483" w:type="dxa"/>
            <w:tcBorders>
              <w:bottom w:val="single" w:color="auto" w:sz="12" w:space="0"/>
            </w:tcBorders>
            <w:vAlign w:val="center"/>
          </w:tcPr>
          <w:p w14:paraId="34520FB2">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146" w:type="dxa"/>
            <w:tcBorders>
              <w:bottom w:val="single" w:color="auto" w:sz="12" w:space="0"/>
              <w:right w:val="single" w:color="auto" w:sz="12" w:space="0"/>
            </w:tcBorders>
            <w:vAlign w:val="center"/>
          </w:tcPr>
          <w:p w14:paraId="11192F27">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bl>
    <w:p w14:paraId="1AB90406">
      <w:pPr>
        <w:pStyle w:val="120"/>
        <w:spacing w:before="0" w:after="0" w:line="360" w:lineRule="auto"/>
        <w:ind w:right="96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说明：投标人提交的服务条款须与磋商文件要求对应填写，否则将导致投标被拒绝</w:t>
      </w:r>
    </w:p>
    <w:p w14:paraId="4B6EDDD6">
      <w:pPr>
        <w:spacing w:line="360" w:lineRule="auto"/>
        <w:ind w:left="2"/>
        <w:rPr>
          <w:rFonts w:hint="eastAsia" w:ascii="仿宋_GB2312" w:hAnsi="仿宋_GB2312" w:eastAsia="仿宋_GB2312" w:cs="仿宋_GB2312"/>
          <w:color w:val="000000" w:themeColor="text1"/>
          <w:sz w:val="28"/>
          <w:szCs w:val="28"/>
          <w14:textFill>
            <w14:solidFill>
              <w14:schemeClr w14:val="tx1"/>
            </w14:solidFill>
          </w14:textFill>
        </w:rPr>
      </w:pPr>
    </w:p>
    <w:p w14:paraId="204267C6">
      <w:pPr>
        <w:pStyle w:val="14"/>
        <w:spacing w:before="0" w:after="0" w:line="360" w:lineRule="auto"/>
        <w:ind w:right="17"/>
        <w:jc w:val="righ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年  月  日</w:t>
      </w:r>
    </w:p>
    <w:p w14:paraId="60FC46E6">
      <w:pPr>
        <w:rPr>
          <w:rFonts w:hint="default" w:ascii="Times New Roman" w:hAnsi="Times New Roman" w:cs="Times New Roman"/>
          <w:color w:val="000000" w:themeColor="text1"/>
          <w14:textFill>
            <w14:solidFill>
              <w14:schemeClr w14:val="tx1"/>
            </w14:solidFill>
          </w14:textFill>
        </w:rPr>
      </w:pPr>
    </w:p>
    <w:p w14:paraId="3EA369AB">
      <w:pPr>
        <w:rPr>
          <w:rFonts w:hint="default" w:ascii="Times New Roman" w:hAnsi="Times New Roman" w:cs="Times New Roman"/>
          <w:color w:val="000000" w:themeColor="text1"/>
          <w14:textFill>
            <w14:solidFill>
              <w14:schemeClr w14:val="tx1"/>
            </w14:solidFill>
          </w14:textFill>
        </w:rPr>
      </w:pPr>
    </w:p>
    <w:p w14:paraId="3F1783B8">
      <w:pPr>
        <w:spacing w:line="360" w:lineRule="auto"/>
        <w:rPr>
          <w:rFonts w:hint="default" w:ascii="Times New Roman" w:hAnsi="Times New Roman" w:cs="Times New Roman"/>
          <w:color w:val="000000" w:themeColor="text1"/>
          <w:sz w:val="24"/>
          <w14:textFill>
            <w14:solidFill>
              <w14:schemeClr w14:val="tx1"/>
            </w14:solidFill>
          </w14:textFill>
        </w:rPr>
      </w:pPr>
    </w:p>
    <w:p w14:paraId="29813AA0">
      <w:pPr>
        <w:spacing w:line="500" w:lineRule="exact"/>
        <w:rPr>
          <w:rFonts w:hint="default" w:ascii="Times New Roman" w:hAnsi="Times New Roman" w:cs="Times New Roman" w:eastAsiaTheme="minorEastAsia"/>
          <w:color w:val="000000" w:themeColor="text1"/>
          <w:sz w:val="28"/>
          <w:szCs w:val="28"/>
          <w14:textFill>
            <w14:solidFill>
              <w14:schemeClr w14:val="tx1"/>
            </w14:solidFill>
          </w14:textFill>
        </w:rPr>
      </w:pPr>
    </w:p>
    <w:p w14:paraId="11F2E855">
      <w:pPr>
        <w:pStyle w:val="53"/>
        <w:rPr>
          <w:rFonts w:hint="default" w:ascii="Times New Roman" w:hAnsi="Times New Roman" w:cs="Times New Roman" w:eastAsiaTheme="minorEastAsia"/>
          <w:color w:val="000000" w:themeColor="text1"/>
          <w:sz w:val="28"/>
          <w:szCs w:val="28"/>
          <w14:textFill>
            <w14:solidFill>
              <w14:schemeClr w14:val="tx1"/>
            </w14:solidFill>
          </w14:textFill>
        </w:rPr>
      </w:pPr>
    </w:p>
    <w:p w14:paraId="26998911">
      <w:pPr>
        <w:rPr>
          <w:rFonts w:hint="default" w:ascii="Times New Roman" w:hAnsi="Times New Roman" w:cs="Times New Roman" w:eastAsiaTheme="minorEastAsia"/>
          <w:color w:val="000000" w:themeColor="text1"/>
          <w:sz w:val="28"/>
          <w:szCs w:val="28"/>
          <w14:textFill>
            <w14:solidFill>
              <w14:schemeClr w14:val="tx1"/>
            </w14:solidFill>
          </w14:textFill>
        </w:rPr>
      </w:pPr>
    </w:p>
    <w:p w14:paraId="6A7A14DC">
      <w:pPr>
        <w:pStyle w:val="53"/>
        <w:rPr>
          <w:rFonts w:hint="default" w:ascii="Times New Roman" w:hAnsi="Times New Roman" w:cs="Times New Roman" w:eastAsiaTheme="minorEastAsia"/>
          <w:color w:val="000000" w:themeColor="text1"/>
          <w:sz w:val="28"/>
          <w:szCs w:val="28"/>
          <w14:textFill>
            <w14:solidFill>
              <w14:schemeClr w14:val="tx1"/>
            </w14:solidFill>
          </w14:textFill>
        </w:rPr>
      </w:pPr>
    </w:p>
    <w:p w14:paraId="44910A7A">
      <w:pPr>
        <w:rPr>
          <w:rFonts w:hint="default" w:ascii="Times New Roman" w:hAnsi="Times New Roman" w:cs="Times New Roman" w:eastAsiaTheme="minorEastAsia"/>
          <w:color w:val="000000" w:themeColor="text1"/>
          <w:sz w:val="28"/>
          <w:szCs w:val="28"/>
          <w14:textFill>
            <w14:solidFill>
              <w14:schemeClr w14:val="tx1"/>
            </w14:solidFill>
          </w14:textFill>
        </w:rPr>
      </w:pPr>
    </w:p>
    <w:p w14:paraId="27C6F0B9">
      <w:pPr>
        <w:pStyle w:val="53"/>
        <w:rPr>
          <w:rFonts w:hint="default" w:ascii="Times New Roman" w:hAnsi="Times New Roman" w:cs="Times New Roman" w:eastAsiaTheme="minorEastAsia"/>
          <w:color w:val="000000" w:themeColor="text1"/>
          <w:sz w:val="28"/>
          <w:szCs w:val="28"/>
          <w14:textFill>
            <w14:solidFill>
              <w14:schemeClr w14:val="tx1"/>
            </w14:solidFill>
          </w14:textFill>
        </w:rPr>
      </w:pPr>
    </w:p>
    <w:p w14:paraId="776E8C5E">
      <w:pPr>
        <w:rPr>
          <w:rFonts w:hint="default" w:ascii="Times New Roman" w:hAnsi="Times New Roman" w:cs="Times New Roman" w:eastAsiaTheme="minorEastAsia"/>
          <w:color w:val="000000" w:themeColor="text1"/>
          <w:sz w:val="28"/>
          <w:szCs w:val="28"/>
          <w14:textFill>
            <w14:solidFill>
              <w14:schemeClr w14:val="tx1"/>
            </w14:solidFill>
          </w14:textFill>
        </w:rPr>
      </w:pPr>
    </w:p>
    <w:p w14:paraId="3AE50E04">
      <w:pPr>
        <w:pStyle w:val="53"/>
        <w:rPr>
          <w:rFonts w:hint="default" w:ascii="Times New Roman" w:hAnsi="Times New Roman" w:cs="Times New Roman" w:eastAsiaTheme="minorEastAsia"/>
          <w:color w:val="000000" w:themeColor="text1"/>
          <w:sz w:val="28"/>
          <w:szCs w:val="28"/>
          <w14:textFill>
            <w14:solidFill>
              <w14:schemeClr w14:val="tx1"/>
            </w14:solidFill>
          </w14:textFill>
        </w:rPr>
      </w:pPr>
    </w:p>
    <w:p w14:paraId="40A4A8DB">
      <w:pPr>
        <w:rPr>
          <w:rFonts w:hint="default" w:ascii="Times New Roman" w:hAnsi="Times New Roman" w:cs="Times New Roman" w:eastAsiaTheme="minorEastAsia"/>
          <w:color w:val="000000" w:themeColor="text1"/>
          <w:sz w:val="28"/>
          <w:szCs w:val="28"/>
          <w14:textFill>
            <w14:solidFill>
              <w14:schemeClr w14:val="tx1"/>
            </w14:solidFill>
          </w14:textFill>
        </w:rPr>
      </w:pPr>
    </w:p>
    <w:p w14:paraId="08609CAE">
      <w:pPr>
        <w:pStyle w:val="53"/>
        <w:rPr>
          <w:rFonts w:hint="default" w:ascii="Times New Roman" w:hAnsi="Times New Roman" w:cs="Times New Roman" w:eastAsiaTheme="minorEastAsia"/>
          <w:color w:val="000000" w:themeColor="text1"/>
          <w:sz w:val="28"/>
          <w:szCs w:val="28"/>
          <w14:textFill>
            <w14:solidFill>
              <w14:schemeClr w14:val="tx1"/>
            </w14:solidFill>
          </w14:textFill>
        </w:rPr>
      </w:pPr>
    </w:p>
    <w:p w14:paraId="5D4FBFAC">
      <w:pPr>
        <w:rPr>
          <w:rFonts w:hint="default" w:ascii="Times New Roman" w:hAnsi="Times New Roman" w:cs="Times New Roman" w:eastAsiaTheme="minorEastAsia"/>
          <w:color w:val="000000" w:themeColor="text1"/>
          <w:sz w:val="28"/>
          <w:szCs w:val="28"/>
          <w14:textFill>
            <w14:solidFill>
              <w14:schemeClr w14:val="tx1"/>
            </w14:solidFill>
          </w14:textFill>
        </w:rPr>
      </w:pPr>
    </w:p>
    <w:p w14:paraId="636BCE01">
      <w:pPr>
        <w:pStyle w:val="53"/>
        <w:rPr>
          <w:rFonts w:hint="default" w:ascii="Times New Roman" w:hAnsi="Times New Roman" w:cs="Times New Roman" w:eastAsiaTheme="minorEastAsia"/>
          <w:color w:val="000000" w:themeColor="text1"/>
          <w:sz w:val="28"/>
          <w:szCs w:val="28"/>
          <w14:textFill>
            <w14:solidFill>
              <w14:schemeClr w14:val="tx1"/>
            </w14:solidFill>
          </w14:textFill>
        </w:rPr>
      </w:pPr>
    </w:p>
    <w:p w14:paraId="568B8607">
      <w:pPr>
        <w:rPr>
          <w:rFonts w:hint="default" w:ascii="Times New Roman" w:hAnsi="Times New Roman" w:cs="Times New Roman" w:eastAsiaTheme="minorEastAsia"/>
          <w:color w:val="000000" w:themeColor="text1"/>
          <w:sz w:val="28"/>
          <w:szCs w:val="28"/>
          <w14:textFill>
            <w14:solidFill>
              <w14:schemeClr w14:val="tx1"/>
            </w14:solidFill>
          </w14:textFill>
        </w:rPr>
      </w:pPr>
    </w:p>
    <w:p w14:paraId="3A4588D8">
      <w:pPr>
        <w:pStyle w:val="53"/>
        <w:rPr>
          <w:rFonts w:hint="default" w:ascii="Times New Roman" w:hAnsi="Times New Roman" w:cs="Times New Roman" w:eastAsiaTheme="minorEastAsia"/>
          <w:color w:val="000000" w:themeColor="text1"/>
          <w:sz w:val="28"/>
          <w:szCs w:val="28"/>
          <w14:textFill>
            <w14:solidFill>
              <w14:schemeClr w14:val="tx1"/>
            </w14:solidFill>
          </w14:textFill>
        </w:rPr>
      </w:pPr>
    </w:p>
    <w:p w14:paraId="22A241B0">
      <w:pPr>
        <w:rPr>
          <w:rFonts w:hint="default" w:ascii="Times New Roman" w:hAnsi="Times New Roman" w:cs="Times New Roman" w:eastAsiaTheme="minorEastAsia"/>
          <w:color w:val="000000" w:themeColor="text1"/>
          <w:sz w:val="28"/>
          <w:szCs w:val="28"/>
          <w14:textFill>
            <w14:solidFill>
              <w14:schemeClr w14:val="tx1"/>
            </w14:solidFill>
          </w14:textFill>
        </w:rPr>
      </w:pPr>
    </w:p>
    <w:p w14:paraId="42C3B291">
      <w:pPr>
        <w:pStyle w:val="53"/>
        <w:rPr>
          <w:rFonts w:hint="default" w:ascii="Times New Roman" w:hAnsi="Times New Roman" w:cs="Times New Roman" w:eastAsiaTheme="minorEastAsia"/>
          <w:color w:val="000000" w:themeColor="text1"/>
          <w:sz w:val="28"/>
          <w:szCs w:val="28"/>
          <w14:textFill>
            <w14:solidFill>
              <w14:schemeClr w14:val="tx1"/>
            </w14:solidFill>
          </w14:textFill>
        </w:rPr>
      </w:pPr>
    </w:p>
    <w:p w14:paraId="0F9F2CFF">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阿勒泰地区公共资源交易中心政府采购</w:t>
      </w:r>
      <w:r>
        <w:rPr>
          <w:rFonts w:hint="eastAsia" w:ascii="仿宋_GB2312" w:hAnsi="仿宋_GB2312" w:eastAsia="仿宋_GB2312" w:cs="仿宋_GB2312"/>
          <w:b/>
          <w:bCs/>
          <w:sz w:val="32"/>
          <w:szCs w:val="32"/>
        </w:rPr>
        <w:t>质疑函范本</w:t>
      </w:r>
    </w:p>
    <w:p w14:paraId="65DA78E9">
      <w:pPr>
        <w:adjustRightInd w:val="0"/>
        <w:snapToGrid w:val="0"/>
        <w:spacing w:before="312" w:beforeLines="100" w:line="360" w:lineRule="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一、质疑供应商基本信息</w:t>
      </w:r>
    </w:p>
    <w:p w14:paraId="1CCEE52D">
      <w:pPr>
        <w:adjustRightInd w:val="0"/>
        <w:snapToGrid w:val="0"/>
        <w:spacing w:line="360" w:lineRule="auto"/>
        <w:rPr>
          <w:rFonts w:hint="eastAsia" w:ascii="仿宋_GB2312" w:hAnsi="仿宋_GB2312" w:eastAsia="仿宋_GB2312" w:cs="仿宋_GB2312"/>
          <w:sz w:val="28"/>
          <w:szCs w:val="28"/>
          <w:u w:val="dotted"/>
        </w:rPr>
      </w:pPr>
      <w:r>
        <w:rPr>
          <w:rFonts w:hint="eastAsia" w:ascii="仿宋_GB2312" w:hAnsi="仿宋_GB2312" w:eastAsia="仿宋_GB2312" w:cs="仿宋_GB2312"/>
          <w:sz w:val="28"/>
          <w:szCs w:val="28"/>
        </w:rPr>
        <w:t>质疑供应商：</w:t>
      </w:r>
      <w:r>
        <w:rPr>
          <w:rFonts w:hint="eastAsia" w:ascii="仿宋_GB2312" w:hAnsi="仿宋_GB2312" w:eastAsia="仿宋_GB2312" w:cs="仿宋_GB2312"/>
          <w:sz w:val="28"/>
          <w:szCs w:val="28"/>
          <w:u w:val="dotted"/>
        </w:rPr>
        <w:t xml:space="preserve">                                                              </w:t>
      </w:r>
    </w:p>
    <w:p w14:paraId="7F63584D">
      <w:pPr>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w:t>
      </w:r>
      <w:r>
        <w:rPr>
          <w:rFonts w:hint="eastAsia" w:ascii="仿宋_GB2312" w:hAnsi="仿宋_GB2312" w:eastAsia="仿宋_GB2312" w:cs="仿宋_GB2312"/>
          <w:sz w:val="28"/>
          <w:szCs w:val="28"/>
          <w:u w:val="dotted"/>
        </w:rPr>
        <w:t xml:space="preserve">                             </w:t>
      </w:r>
      <w:r>
        <w:rPr>
          <w:rFonts w:hint="eastAsia" w:ascii="仿宋_GB2312" w:hAnsi="仿宋_GB2312" w:eastAsia="仿宋_GB2312" w:cs="仿宋_GB2312"/>
          <w:sz w:val="28"/>
          <w:szCs w:val="28"/>
        </w:rPr>
        <w:t>邮编：</w:t>
      </w:r>
      <w:r>
        <w:rPr>
          <w:rFonts w:hint="eastAsia" w:ascii="仿宋_GB2312" w:hAnsi="仿宋_GB2312" w:eastAsia="仿宋_GB2312" w:cs="仿宋_GB2312"/>
          <w:sz w:val="28"/>
          <w:szCs w:val="28"/>
          <w:u w:val="dotted"/>
        </w:rPr>
        <w:t xml:space="preserve">                                    </w:t>
      </w:r>
    </w:p>
    <w:p w14:paraId="504A4F86">
      <w:pPr>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w:t>
      </w:r>
      <w:r>
        <w:rPr>
          <w:rFonts w:hint="eastAsia" w:ascii="仿宋_GB2312" w:hAnsi="仿宋_GB2312" w:eastAsia="仿宋_GB2312" w:cs="仿宋_GB2312"/>
          <w:sz w:val="28"/>
          <w:szCs w:val="28"/>
          <w:u w:val="dotted"/>
        </w:rPr>
        <w:t xml:space="preserve">                           </w:t>
      </w: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u w:val="dotted"/>
        </w:rPr>
        <w:t xml:space="preserve">                                       </w:t>
      </w:r>
    </w:p>
    <w:p w14:paraId="22B88634">
      <w:pPr>
        <w:adjustRightInd w:val="0"/>
        <w:snapToGrid w:val="0"/>
        <w:spacing w:line="360" w:lineRule="auto"/>
        <w:rPr>
          <w:rFonts w:hint="eastAsia" w:ascii="仿宋_GB2312" w:hAnsi="仿宋_GB2312" w:eastAsia="仿宋_GB2312" w:cs="仿宋_GB2312"/>
          <w:sz w:val="28"/>
          <w:szCs w:val="28"/>
          <w:u w:val="dotted"/>
        </w:rPr>
      </w:pPr>
      <w:r>
        <w:rPr>
          <w:rFonts w:hint="eastAsia" w:ascii="仿宋_GB2312" w:hAnsi="仿宋_GB2312" w:eastAsia="仿宋_GB2312" w:cs="仿宋_GB2312"/>
          <w:sz w:val="28"/>
          <w:szCs w:val="28"/>
        </w:rPr>
        <w:t>授权代表：</w:t>
      </w:r>
      <w:r>
        <w:rPr>
          <w:rFonts w:hint="eastAsia" w:ascii="仿宋_GB2312" w:hAnsi="仿宋_GB2312" w:eastAsia="仿宋_GB2312" w:cs="仿宋_GB2312"/>
          <w:sz w:val="28"/>
          <w:szCs w:val="28"/>
          <w:u w:val="dotted"/>
        </w:rPr>
        <w:t xml:space="preserve">                                                                 </w:t>
      </w:r>
    </w:p>
    <w:p w14:paraId="01DBEBF7">
      <w:pPr>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u w:val="dotted"/>
        </w:rPr>
        <w:t xml:space="preserve">                                                                </w:t>
      </w:r>
    </w:p>
    <w:p w14:paraId="137A1E67">
      <w:pPr>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地址： </w:t>
      </w:r>
      <w:r>
        <w:rPr>
          <w:rFonts w:hint="eastAsia" w:ascii="仿宋_GB2312" w:hAnsi="仿宋_GB2312" w:eastAsia="仿宋_GB2312" w:cs="仿宋_GB2312"/>
          <w:sz w:val="28"/>
          <w:szCs w:val="28"/>
          <w:u w:val="dotted"/>
        </w:rPr>
        <w:t xml:space="preserve">                             </w:t>
      </w:r>
      <w:r>
        <w:rPr>
          <w:rFonts w:hint="eastAsia" w:ascii="仿宋_GB2312" w:hAnsi="仿宋_GB2312" w:eastAsia="仿宋_GB2312" w:cs="仿宋_GB2312"/>
          <w:sz w:val="28"/>
          <w:szCs w:val="28"/>
        </w:rPr>
        <w:t>邮编：</w:t>
      </w:r>
      <w:r>
        <w:rPr>
          <w:rFonts w:hint="eastAsia" w:ascii="仿宋_GB2312" w:hAnsi="仿宋_GB2312" w:eastAsia="仿宋_GB2312" w:cs="仿宋_GB2312"/>
          <w:sz w:val="28"/>
          <w:szCs w:val="28"/>
          <w:u w:val="dotted"/>
        </w:rPr>
        <w:t xml:space="preserve">                                     </w:t>
      </w:r>
    </w:p>
    <w:p w14:paraId="7C98DEC5">
      <w:pPr>
        <w:adjustRightInd w:val="0"/>
        <w:snapToGrid w:val="0"/>
        <w:spacing w:line="360" w:lineRule="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二、质疑项目基本情况</w:t>
      </w:r>
    </w:p>
    <w:p w14:paraId="2B91631E">
      <w:pPr>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质疑项目的名称：</w:t>
      </w:r>
      <w:r>
        <w:rPr>
          <w:rFonts w:hint="eastAsia" w:ascii="仿宋_GB2312" w:hAnsi="仿宋_GB2312" w:eastAsia="仿宋_GB2312" w:cs="仿宋_GB2312"/>
          <w:sz w:val="28"/>
          <w:szCs w:val="28"/>
          <w:u w:val="dotted"/>
        </w:rPr>
        <w:t xml:space="preserve">                                                          </w:t>
      </w:r>
    </w:p>
    <w:p w14:paraId="59E55B54">
      <w:pPr>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质疑项目的编号：</w:t>
      </w:r>
      <w:r>
        <w:rPr>
          <w:rFonts w:hint="eastAsia" w:ascii="仿宋_GB2312" w:hAnsi="仿宋_GB2312" w:eastAsia="仿宋_GB2312" w:cs="仿宋_GB2312"/>
          <w:sz w:val="28"/>
          <w:szCs w:val="28"/>
          <w:u w:val="dotted"/>
        </w:rPr>
        <w:t xml:space="preserve">                         </w:t>
      </w:r>
      <w:r>
        <w:rPr>
          <w:rFonts w:hint="eastAsia" w:ascii="仿宋_GB2312" w:hAnsi="仿宋_GB2312" w:eastAsia="仿宋_GB2312" w:cs="仿宋_GB2312"/>
          <w:sz w:val="28"/>
          <w:szCs w:val="28"/>
        </w:rPr>
        <w:t>包号：</w:t>
      </w:r>
      <w:r>
        <w:rPr>
          <w:rFonts w:hint="eastAsia" w:ascii="仿宋_GB2312" w:hAnsi="仿宋_GB2312" w:eastAsia="仿宋_GB2312" w:cs="仿宋_GB2312"/>
          <w:sz w:val="28"/>
          <w:szCs w:val="28"/>
          <w:u w:val="dotted"/>
        </w:rPr>
        <w:t xml:space="preserve">                           </w:t>
      </w:r>
    </w:p>
    <w:p w14:paraId="78994689">
      <w:pPr>
        <w:adjustRightInd w:val="0"/>
        <w:snapToGrid w:val="0"/>
        <w:spacing w:line="360" w:lineRule="auto"/>
        <w:rPr>
          <w:rFonts w:hint="eastAsia" w:ascii="仿宋_GB2312" w:hAnsi="仿宋_GB2312" w:eastAsia="仿宋_GB2312" w:cs="仿宋_GB2312"/>
          <w:sz w:val="28"/>
          <w:szCs w:val="28"/>
          <w:u w:val="dotted"/>
        </w:rPr>
      </w:pPr>
      <w:r>
        <w:rPr>
          <w:rFonts w:hint="eastAsia" w:ascii="仿宋_GB2312" w:hAnsi="仿宋_GB2312" w:eastAsia="仿宋_GB2312" w:cs="仿宋_GB2312"/>
          <w:sz w:val="28"/>
          <w:szCs w:val="28"/>
        </w:rPr>
        <w:t>采购人名称：</w:t>
      </w:r>
      <w:r>
        <w:rPr>
          <w:rFonts w:hint="eastAsia" w:ascii="仿宋_GB2312" w:hAnsi="仿宋_GB2312" w:eastAsia="仿宋_GB2312" w:cs="仿宋_GB2312"/>
          <w:sz w:val="28"/>
          <w:szCs w:val="28"/>
          <w:u w:val="dotted"/>
        </w:rPr>
        <w:t xml:space="preserve">                                                              </w:t>
      </w:r>
    </w:p>
    <w:p w14:paraId="3DDD6560">
      <w:pPr>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采购文件获取日期：</w:t>
      </w:r>
      <w:r>
        <w:rPr>
          <w:rFonts w:hint="eastAsia" w:ascii="仿宋_GB2312" w:hAnsi="仿宋_GB2312" w:eastAsia="仿宋_GB2312" w:cs="仿宋_GB2312"/>
          <w:sz w:val="28"/>
          <w:szCs w:val="28"/>
          <w:u w:val="dotted"/>
        </w:rPr>
        <w:t xml:space="preserve">                                                        </w:t>
      </w:r>
    </w:p>
    <w:p w14:paraId="1850B3A5">
      <w:pPr>
        <w:adjustRightInd w:val="0"/>
        <w:snapToGrid w:val="0"/>
        <w:spacing w:line="360" w:lineRule="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三、质疑事项具体内容</w:t>
      </w:r>
    </w:p>
    <w:p w14:paraId="6865D8FD">
      <w:pPr>
        <w:adjustRightInd w:val="0"/>
        <w:snapToGrid w:val="0"/>
        <w:spacing w:line="360" w:lineRule="auto"/>
        <w:rPr>
          <w:rFonts w:hint="eastAsia" w:ascii="仿宋_GB2312" w:hAnsi="仿宋_GB2312" w:eastAsia="仿宋_GB2312" w:cs="仿宋_GB2312"/>
          <w:sz w:val="28"/>
          <w:szCs w:val="28"/>
          <w:u w:val="dotted"/>
        </w:rPr>
      </w:pPr>
      <w:r>
        <w:rPr>
          <w:rFonts w:hint="eastAsia" w:ascii="仿宋_GB2312" w:hAnsi="仿宋_GB2312" w:eastAsia="仿宋_GB2312" w:cs="仿宋_GB2312"/>
          <w:sz w:val="28"/>
          <w:szCs w:val="28"/>
        </w:rPr>
        <w:t>质疑事项1：</w:t>
      </w:r>
      <w:r>
        <w:rPr>
          <w:rFonts w:hint="eastAsia" w:ascii="仿宋_GB2312" w:hAnsi="仿宋_GB2312" w:eastAsia="仿宋_GB2312" w:cs="仿宋_GB2312"/>
          <w:sz w:val="28"/>
          <w:szCs w:val="28"/>
          <w:u w:val="dotted"/>
        </w:rPr>
        <w:t xml:space="preserve">                                                              </w:t>
      </w:r>
    </w:p>
    <w:p w14:paraId="6F068CEA">
      <w:pPr>
        <w:adjustRightInd w:val="0"/>
        <w:snapToGrid w:val="0"/>
        <w:spacing w:line="360" w:lineRule="auto"/>
        <w:rPr>
          <w:rFonts w:hint="eastAsia" w:ascii="仿宋_GB2312" w:hAnsi="仿宋_GB2312" w:eastAsia="仿宋_GB2312" w:cs="仿宋_GB2312"/>
          <w:sz w:val="28"/>
          <w:szCs w:val="28"/>
          <w:u w:val="dotted"/>
        </w:rPr>
      </w:pPr>
      <w:r>
        <w:rPr>
          <w:rFonts w:hint="eastAsia" w:ascii="仿宋_GB2312" w:hAnsi="仿宋_GB2312" w:eastAsia="仿宋_GB2312" w:cs="仿宋_GB2312"/>
          <w:sz w:val="28"/>
          <w:szCs w:val="28"/>
        </w:rPr>
        <w:t>事实依据：</w:t>
      </w:r>
      <w:r>
        <w:rPr>
          <w:rFonts w:hint="eastAsia" w:ascii="仿宋_GB2312" w:hAnsi="仿宋_GB2312" w:eastAsia="仿宋_GB2312" w:cs="仿宋_GB2312"/>
          <w:sz w:val="28"/>
          <w:szCs w:val="28"/>
          <w:u w:val="dotted"/>
        </w:rPr>
        <w:t xml:space="preserve">                                                                </w:t>
      </w:r>
    </w:p>
    <w:p w14:paraId="31B253E7">
      <w:pPr>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dotted"/>
        </w:rPr>
        <w:t xml:space="preserve">                                                                           </w:t>
      </w:r>
    </w:p>
    <w:p w14:paraId="5AD92A15">
      <w:pPr>
        <w:adjustRightInd w:val="0"/>
        <w:snapToGrid w:val="0"/>
        <w:spacing w:line="360" w:lineRule="auto"/>
        <w:rPr>
          <w:rFonts w:hint="eastAsia" w:ascii="仿宋_GB2312" w:hAnsi="仿宋_GB2312" w:eastAsia="仿宋_GB2312" w:cs="仿宋_GB2312"/>
          <w:sz w:val="28"/>
          <w:szCs w:val="28"/>
          <w:u w:val="dotted"/>
        </w:rPr>
      </w:pPr>
      <w:r>
        <w:rPr>
          <w:rFonts w:hint="eastAsia" w:ascii="仿宋_GB2312" w:hAnsi="仿宋_GB2312" w:eastAsia="仿宋_GB2312" w:cs="仿宋_GB2312"/>
          <w:sz w:val="28"/>
          <w:szCs w:val="28"/>
        </w:rPr>
        <w:t>法律依据：</w:t>
      </w:r>
      <w:r>
        <w:rPr>
          <w:rFonts w:hint="eastAsia" w:ascii="仿宋_GB2312" w:hAnsi="仿宋_GB2312" w:eastAsia="仿宋_GB2312" w:cs="仿宋_GB2312"/>
          <w:sz w:val="28"/>
          <w:szCs w:val="28"/>
          <w:u w:val="dotted"/>
        </w:rPr>
        <w:t xml:space="preserve">                                                                 </w:t>
      </w:r>
    </w:p>
    <w:p w14:paraId="65942C8B">
      <w:pPr>
        <w:adjustRightInd w:val="0"/>
        <w:snapToGrid w:val="0"/>
        <w:spacing w:line="360" w:lineRule="auto"/>
        <w:rPr>
          <w:rFonts w:hint="eastAsia" w:ascii="仿宋_GB2312" w:hAnsi="仿宋_GB2312" w:eastAsia="仿宋_GB2312" w:cs="仿宋_GB2312"/>
          <w:sz w:val="28"/>
          <w:szCs w:val="28"/>
          <w:u w:val="dotted"/>
        </w:rPr>
      </w:pPr>
      <w:r>
        <w:rPr>
          <w:rFonts w:hint="eastAsia" w:ascii="仿宋_GB2312" w:hAnsi="仿宋_GB2312" w:eastAsia="仿宋_GB2312" w:cs="仿宋_GB2312"/>
          <w:sz w:val="28"/>
          <w:szCs w:val="28"/>
          <w:u w:val="dotted"/>
        </w:rPr>
        <w:t xml:space="preserve">                                                                           </w:t>
      </w:r>
    </w:p>
    <w:p w14:paraId="5D98311A">
      <w:pPr>
        <w:adjustRightInd w:val="0"/>
        <w:snapToGrid w:val="0"/>
        <w:spacing w:line="360" w:lineRule="auto"/>
        <w:rPr>
          <w:rFonts w:hint="eastAsia" w:ascii="仿宋_GB2312" w:hAnsi="仿宋_GB2312" w:eastAsia="仿宋_GB2312" w:cs="仿宋_GB2312"/>
          <w:sz w:val="28"/>
          <w:szCs w:val="28"/>
          <w:u w:val="dotted"/>
        </w:rPr>
      </w:pPr>
      <w:r>
        <w:rPr>
          <w:rFonts w:hint="eastAsia" w:ascii="仿宋_GB2312" w:hAnsi="仿宋_GB2312" w:eastAsia="仿宋_GB2312" w:cs="仿宋_GB2312"/>
          <w:sz w:val="28"/>
          <w:szCs w:val="28"/>
        </w:rPr>
        <w:t>质疑事项2</w:t>
      </w:r>
    </w:p>
    <w:p w14:paraId="0E69E1E4">
      <w:pPr>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p w14:paraId="3DCDE1E2">
      <w:pPr>
        <w:adjustRightInd w:val="0"/>
        <w:snapToGrid w:val="0"/>
        <w:spacing w:line="360" w:lineRule="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四、与质疑事项相关的质疑请求</w:t>
      </w:r>
    </w:p>
    <w:p w14:paraId="2FC0B525">
      <w:pPr>
        <w:adjustRightInd w:val="0"/>
        <w:snapToGrid w:val="0"/>
        <w:spacing w:line="360" w:lineRule="auto"/>
        <w:rPr>
          <w:rFonts w:hint="eastAsia" w:ascii="仿宋_GB2312" w:hAnsi="仿宋_GB2312" w:eastAsia="仿宋_GB2312" w:cs="仿宋_GB2312"/>
          <w:sz w:val="28"/>
          <w:szCs w:val="28"/>
          <w:u w:val="dotted"/>
        </w:rPr>
      </w:pPr>
      <w:r>
        <w:rPr>
          <w:rFonts w:hint="eastAsia" w:ascii="仿宋_GB2312" w:hAnsi="仿宋_GB2312" w:eastAsia="仿宋_GB2312" w:cs="仿宋_GB2312"/>
          <w:sz w:val="28"/>
          <w:szCs w:val="28"/>
        </w:rPr>
        <w:t>请求：</w:t>
      </w:r>
      <w:r>
        <w:rPr>
          <w:rFonts w:hint="eastAsia" w:ascii="仿宋_GB2312" w:hAnsi="仿宋_GB2312" w:eastAsia="仿宋_GB2312" w:cs="仿宋_GB2312"/>
          <w:sz w:val="28"/>
          <w:szCs w:val="28"/>
          <w:u w:val="dotted"/>
        </w:rPr>
        <w:t xml:space="preserve">                                                                     </w:t>
      </w:r>
    </w:p>
    <w:p w14:paraId="139CD7FB">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签字(签章)：                   公章：                      </w:t>
      </w:r>
    </w:p>
    <w:p w14:paraId="13866ED2">
      <w:pPr>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 xml:space="preserve">日期：    </w:t>
      </w:r>
    </w:p>
    <w:p w14:paraId="6E956051">
      <w:pPr>
        <w:spacing w:line="400" w:lineRule="exact"/>
        <w:rPr>
          <w:rFonts w:hint="eastAsia" w:ascii="仿宋_GB2312" w:hAnsi="仿宋_GB2312" w:eastAsia="仿宋_GB2312" w:cs="仿宋_GB2312"/>
          <w:b/>
          <w:sz w:val="28"/>
          <w:szCs w:val="28"/>
        </w:rPr>
      </w:pPr>
    </w:p>
    <w:p w14:paraId="30E66C21">
      <w:pPr>
        <w:keepNext w:val="0"/>
        <w:keepLines w:val="0"/>
        <w:pageBreakBefore w:val="0"/>
        <w:kinsoku/>
        <w:wordWrap/>
        <w:overflowPunct/>
        <w:topLinePunct w:val="0"/>
        <w:bidi w:val="0"/>
        <w:snapToGrid/>
        <w:spacing w:line="560" w:lineRule="atLeas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质疑函制作说明：</w:t>
      </w:r>
    </w:p>
    <w:p w14:paraId="05860A52">
      <w:pPr>
        <w:keepNext w:val="0"/>
        <w:keepLines w:val="0"/>
        <w:pageBreakBefore w:val="0"/>
        <w:widowControl/>
        <w:kinsoku/>
        <w:wordWrap/>
        <w:overflowPunct/>
        <w:topLinePunct w:val="0"/>
        <w:bidi w:val="0"/>
        <w:snapToGrid/>
        <w:spacing w:line="560" w:lineRule="atLeas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1.供应商提出质疑时，应提交质疑函和必要的证明材料。</w:t>
      </w:r>
    </w:p>
    <w:p w14:paraId="24CA4FF4">
      <w:pPr>
        <w:keepNext w:val="0"/>
        <w:keepLines w:val="0"/>
        <w:pageBreakBefore w:val="0"/>
        <w:widowControl/>
        <w:kinsoku/>
        <w:wordWrap/>
        <w:overflowPunct/>
        <w:topLinePunct w:val="0"/>
        <w:bidi w:val="0"/>
        <w:snapToGrid/>
        <w:spacing w:line="560" w:lineRule="atLeas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2.质疑供应商若委托代理人进行质疑的，质疑函应按要求列明“授权代表”的有关内容，并在附件中提交由质疑</w:t>
      </w:r>
      <w:r>
        <w:rPr>
          <w:rFonts w:hint="eastAsia" w:ascii="仿宋_GB2312" w:hAnsi="仿宋_GB2312" w:eastAsia="仿宋_GB2312" w:cs="仿宋_GB2312"/>
          <w:kern w:val="0"/>
          <w:sz w:val="28"/>
          <w:szCs w:val="28"/>
        </w:rPr>
        <w:t>供应商签署的授权委托书。授权委托书应载明代理人的姓名或者名称、代理事项、具体权限、期限和相关事项。</w:t>
      </w:r>
    </w:p>
    <w:p w14:paraId="094EAFF3">
      <w:pPr>
        <w:keepNext w:val="0"/>
        <w:keepLines w:val="0"/>
        <w:pageBreakBefore w:val="0"/>
        <w:widowControl/>
        <w:kinsoku/>
        <w:wordWrap/>
        <w:overflowPunct/>
        <w:topLinePunct w:val="0"/>
        <w:bidi w:val="0"/>
        <w:snapToGrid/>
        <w:spacing w:line="560" w:lineRule="atLeas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3.质疑供应商若对项目的某一分包进行质疑，质疑函中应列明具体分包号。</w:t>
      </w:r>
    </w:p>
    <w:p w14:paraId="700268C5">
      <w:pPr>
        <w:keepNext w:val="0"/>
        <w:keepLines w:val="0"/>
        <w:pageBreakBefore w:val="0"/>
        <w:widowControl/>
        <w:kinsoku/>
        <w:wordWrap/>
        <w:overflowPunct/>
        <w:topLinePunct w:val="0"/>
        <w:bidi w:val="0"/>
        <w:snapToGrid/>
        <w:spacing w:line="560" w:lineRule="atLeas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4.质疑函的质疑事项应具体、明确，并有必要的事实依据和法律依据。</w:t>
      </w:r>
    </w:p>
    <w:p w14:paraId="219FCC19">
      <w:pPr>
        <w:keepNext w:val="0"/>
        <w:keepLines w:val="0"/>
        <w:pageBreakBefore w:val="0"/>
        <w:widowControl/>
        <w:kinsoku/>
        <w:wordWrap/>
        <w:overflowPunct/>
        <w:topLinePunct w:val="0"/>
        <w:bidi w:val="0"/>
        <w:snapToGrid/>
        <w:spacing w:line="560" w:lineRule="atLeas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5.质疑函的质疑请求应与质疑事项相关。</w:t>
      </w:r>
    </w:p>
    <w:p w14:paraId="3DB56057">
      <w:pPr>
        <w:keepNext w:val="0"/>
        <w:keepLines w:val="0"/>
        <w:pageBreakBefore w:val="0"/>
        <w:widowControl/>
        <w:kinsoku/>
        <w:wordWrap/>
        <w:overflowPunct/>
        <w:topLinePunct w:val="0"/>
        <w:bidi w:val="0"/>
        <w:snapToGrid/>
        <w:spacing w:line="560" w:lineRule="atLeas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6.质疑供应商为自然人的，质疑函应由本人签字；质疑供应商为法人或者其他组织的，质疑函应由法定代表人、主要负责人，或者其授权代表签字或者盖章，并加盖公章。</w:t>
      </w:r>
    </w:p>
    <w:p w14:paraId="52D05E6D">
      <w:pPr>
        <w:keepNext w:val="0"/>
        <w:keepLines w:val="0"/>
        <w:pageBreakBefore w:val="0"/>
        <w:kinsoku/>
        <w:wordWrap/>
        <w:overflowPunct/>
        <w:topLinePunct w:val="0"/>
        <w:bidi w:val="0"/>
        <w:snapToGrid/>
        <w:spacing w:line="560" w:lineRule="atLeas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
          <w:bCs/>
          <w:sz w:val="28"/>
          <w:szCs w:val="28"/>
          <w:lang w:val="en-US" w:eastAsia="zh-CN"/>
        </w:rPr>
        <w:t>7.请潜在投标单位在填写政府采购质疑函时务必参照政府采购质疑和投诉办法（财政部第94号令）相关要求</w:t>
      </w:r>
    </w:p>
    <w:p w14:paraId="59E09D0A">
      <w:pPr>
        <w:pStyle w:val="53"/>
        <w:keepNext w:val="0"/>
        <w:keepLines w:val="0"/>
        <w:pageBreakBefore w:val="0"/>
        <w:kinsoku/>
        <w:wordWrap/>
        <w:overflowPunct/>
        <w:topLinePunct w:val="0"/>
        <w:bidi w:val="0"/>
        <w:snapToGrid/>
        <w:spacing w:line="560" w:lineRule="atLeast"/>
        <w:textAlignment w:val="auto"/>
        <w:rPr>
          <w:rFonts w:hint="eastAsia" w:ascii="仿宋_GB2312" w:hAnsi="仿宋_GB2312" w:eastAsia="仿宋_GB2312" w:cs="仿宋_GB2312"/>
          <w:color w:val="000000" w:themeColor="text1"/>
          <w:sz w:val="28"/>
          <w:szCs w:val="28"/>
          <w14:textFill>
            <w14:solidFill>
              <w14:schemeClr w14:val="tx1"/>
            </w14:solidFill>
          </w14:textFill>
        </w:rPr>
      </w:pPr>
    </w:p>
    <w:sectPr>
      <w:headerReference r:id="rId4" w:type="default"/>
      <w:footerReference r:id="rId5" w:type="default"/>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A28D4">
    <w:pPr>
      <w:pStyle w:val="2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AB513C">
                          <w:pPr>
                            <w:pStyle w:val="2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13AB513C">
                    <w:pPr>
                      <w:pStyle w:val="2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28D17">
    <w:pPr>
      <w:spacing w:line="176" w:lineRule="auto"/>
      <w:ind w:left="4824"/>
      <w:rPr>
        <w:rFonts w:ascii="Times New Roman" w:hAnsi="Times New Roman" w:eastAsia="Times New Roman" w:cs="Times New Roman"/>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2FA9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56E94E"/>
    <w:multiLevelType w:val="singleLevel"/>
    <w:tmpl w:val="A156E94E"/>
    <w:lvl w:ilvl="0" w:tentative="0">
      <w:start w:val="1"/>
      <w:numFmt w:val="decimal"/>
      <w:suff w:val="nothing"/>
      <w:lvlText w:val="%1、"/>
      <w:lvlJc w:val="left"/>
    </w:lvl>
  </w:abstractNum>
  <w:abstractNum w:abstractNumId="1">
    <w:nsid w:val="B321F74E"/>
    <w:multiLevelType w:val="singleLevel"/>
    <w:tmpl w:val="B321F74E"/>
    <w:lvl w:ilvl="0" w:tentative="0">
      <w:start w:val="1"/>
      <w:numFmt w:val="chineseCounting"/>
      <w:suff w:val="space"/>
      <w:lvlText w:val="第%1章"/>
      <w:lvlJc w:val="left"/>
      <w:rPr>
        <w:rFonts w:hint="eastAsia"/>
      </w:rPr>
    </w:lvl>
  </w:abstractNum>
  <w:abstractNum w:abstractNumId="2">
    <w:nsid w:val="497336F1"/>
    <w:multiLevelType w:val="singleLevel"/>
    <w:tmpl w:val="497336F1"/>
    <w:lvl w:ilvl="0" w:tentative="0">
      <w:start w:val="1"/>
      <w:numFmt w:val="chineseCounting"/>
      <w:suff w:val="nothing"/>
      <w:lvlText w:val="%1、"/>
      <w:lvlJc w:val="left"/>
      <w:rPr>
        <w:rFonts w:hint="eastAsia"/>
      </w:rPr>
    </w:lvl>
  </w:abstractNum>
  <w:abstractNum w:abstractNumId="3">
    <w:nsid w:val="4D563A0E"/>
    <w:multiLevelType w:val="singleLevel"/>
    <w:tmpl w:val="4D563A0E"/>
    <w:lvl w:ilvl="0" w:tentative="0">
      <w:start w:val="1"/>
      <w:numFmt w:val="chineseCounting"/>
      <w:suff w:val="nothing"/>
      <w:lvlText w:val="%1、"/>
      <w:lvlJc w:val="left"/>
      <w:rPr>
        <w:rFonts w:hint="eastAsia"/>
      </w:rPr>
    </w:lvl>
  </w:abstractNum>
  <w:abstractNum w:abstractNumId="4">
    <w:nsid w:val="595412E6"/>
    <w:multiLevelType w:val="singleLevel"/>
    <w:tmpl w:val="595412E6"/>
    <w:lvl w:ilvl="0" w:tentative="0">
      <w:start w:val="1"/>
      <w:numFmt w:val="chineseCounting"/>
      <w:suff w:val="nothing"/>
      <w:lvlText w:val="%1、"/>
      <w:lvlJc w:val="left"/>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2NmU2ODZlMzNkMzQ4ZDcwZDYyMjBmZDY1NzE5MzQifQ=="/>
  </w:docVars>
  <w:rsids>
    <w:rsidRoot w:val="00172A27"/>
    <w:rsid w:val="0000015D"/>
    <w:rsid w:val="00002BF7"/>
    <w:rsid w:val="000036A4"/>
    <w:rsid w:val="00004DE9"/>
    <w:rsid w:val="00010132"/>
    <w:rsid w:val="000109F5"/>
    <w:rsid w:val="00011B28"/>
    <w:rsid w:val="00012450"/>
    <w:rsid w:val="000140B4"/>
    <w:rsid w:val="00014BFE"/>
    <w:rsid w:val="00016204"/>
    <w:rsid w:val="00016689"/>
    <w:rsid w:val="00017020"/>
    <w:rsid w:val="00017062"/>
    <w:rsid w:val="000170FE"/>
    <w:rsid w:val="00017E4B"/>
    <w:rsid w:val="00020140"/>
    <w:rsid w:val="000206CA"/>
    <w:rsid w:val="00020C1A"/>
    <w:rsid w:val="00020CC8"/>
    <w:rsid w:val="00021142"/>
    <w:rsid w:val="000211BC"/>
    <w:rsid w:val="00022A17"/>
    <w:rsid w:val="0002355F"/>
    <w:rsid w:val="00023BF8"/>
    <w:rsid w:val="000248DE"/>
    <w:rsid w:val="00025CCA"/>
    <w:rsid w:val="000276D5"/>
    <w:rsid w:val="000278E8"/>
    <w:rsid w:val="00032CEB"/>
    <w:rsid w:val="000347BC"/>
    <w:rsid w:val="00035B00"/>
    <w:rsid w:val="0003676D"/>
    <w:rsid w:val="00036D8B"/>
    <w:rsid w:val="00040002"/>
    <w:rsid w:val="00040630"/>
    <w:rsid w:val="000409E7"/>
    <w:rsid w:val="00040BE4"/>
    <w:rsid w:val="00042CC9"/>
    <w:rsid w:val="000436A3"/>
    <w:rsid w:val="00045522"/>
    <w:rsid w:val="00047086"/>
    <w:rsid w:val="00047441"/>
    <w:rsid w:val="0005037D"/>
    <w:rsid w:val="000509A8"/>
    <w:rsid w:val="00051A74"/>
    <w:rsid w:val="00052FBA"/>
    <w:rsid w:val="00055B0A"/>
    <w:rsid w:val="00057E29"/>
    <w:rsid w:val="00060535"/>
    <w:rsid w:val="00060A3E"/>
    <w:rsid w:val="00060FEE"/>
    <w:rsid w:val="000613BC"/>
    <w:rsid w:val="00061C30"/>
    <w:rsid w:val="000632A4"/>
    <w:rsid w:val="00064210"/>
    <w:rsid w:val="00065EBC"/>
    <w:rsid w:val="00066D82"/>
    <w:rsid w:val="00067219"/>
    <w:rsid w:val="00067B81"/>
    <w:rsid w:val="0007040B"/>
    <w:rsid w:val="00071303"/>
    <w:rsid w:val="00072659"/>
    <w:rsid w:val="000734C6"/>
    <w:rsid w:val="00073B42"/>
    <w:rsid w:val="000750B5"/>
    <w:rsid w:val="00075A76"/>
    <w:rsid w:val="00075BAC"/>
    <w:rsid w:val="00075BC9"/>
    <w:rsid w:val="0007673C"/>
    <w:rsid w:val="00076A6D"/>
    <w:rsid w:val="00077BB7"/>
    <w:rsid w:val="0008022E"/>
    <w:rsid w:val="000809D2"/>
    <w:rsid w:val="000814AA"/>
    <w:rsid w:val="000829D3"/>
    <w:rsid w:val="00083316"/>
    <w:rsid w:val="000833CB"/>
    <w:rsid w:val="00084A24"/>
    <w:rsid w:val="0008547A"/>
    <w:rsid w:val="00087870"/>
    <w:rsid w:val="00090AF4"/>
    <w:rsid w:val="00091032"/>
    <w:rsid w:val="00094218"/>
    <w:rsid w:val="000972CE"/>
    <w:rsid w:val="00097F91"/>
    <w:rsid w:val="000A17E8"/>
    <w:rsid w:val="000A273A"/>
    <w:rsid w:val="000A3720"/>
    <w:rsid w:val="000A5145"/>
    <w:rsid w:val="000A6D0A"/>
    <w:rsid w:val="000A7407"/>
    <w:rsid w:val="000B0379"/>
    <w:rsid w:val="000B09A1"/>
    <w:rsid w:val="000B123A"/>
    <w:rsid w:val="000B12E2"/>
    <w:rsid w:val="000B2E56"/>
    <w:rsid w:val="000B3B62"/>
    <w:rsid w:val="000B402B"/>
    <w:rsid w:val="000B4303"/>
    <w:rsid w:val="000B4800"/>
    <w:rsid w:val="000B5068"/>
    <w:rsid w:val="000B63B5"/>
    <w:rsid w:val="000B6A29"/>
    <w:rsid w:val="000B6E0E"/>
    <w:rsid w:val="000B6EC2"/>
    <w:rsid w:val="000B7C94"/>
    <w:rsid w:val="000C0FB2"/>
    <w:rsid w:val="000C1065"/>
    <w:rsid w:val="000C287F"/>
    <w:rsid w:val="000C2A14"/>
    <w:rsid w:val="000C2D34"/>
    <w:rsid w:val="000C33BB"/>
    <w:rsid w:val="000C3655"/>
    <w:rsid w:val="000D1CCC"/>
    <w:rsid w:val="000D24FF"/>
    <w:rsid w:val="000D3103"/>
    <w:rsid w:val="000D3AF9"/>
    <w:rsid w:val="000D3C0A"/>
    <w:rsid w:val="000D3C78"/>
    <w:rsid w:val="000D42D0"/>
    <w:rsid w:val="000D59B1"/>
    <w:rsid w:val="000D6ED4"/>
    <w:rsid w:val="000E2C01"/>
    <w:rsid w:val="000E2E15"/>
    <w:rsid w:val="000E47C1"/>
    <w:rsid w:val="000E4D55"/>
    <w:rsid w:val="000E4DC5"/>
    <w:rsid w:val="000E5B41"/>
    <w:rsid w:val="000E6408"/>
    <w:rsid w:val="000E64B0"/>
    <w:rsid w:val="000E72A0"/>
    <w:rsid w:val="000F0107"/>
    <w:rsid w:val="000F0337"/>
    <w:rsid w:val="000F061E"/>
    <w:rsid w:val="000F3F17"/>
    <w:rsid w:val="000F53C7"/>
    <w:rsid w:val="000F78A4"/>
    <w:rsid w:val="000F7BDC"/>
    <w:rsid w:val="00100043"/>
    <w:rsid w:val="00100763"/>
    <w:rsid w:val="0010124E"/>
    <w:rsid w:val="00103EC4"/>
    <w:rsid w:val="001040C5"/>
    <w:rsid w:val="00104C22"/>
    <w:rsid w:val="00104D40"/>
    <w:rsid w:val="001050EF"/>
    <w:rsid w:val="00105CCB"/>
    <w:rsid w:val="0011056E"/>
    <w:rsid w:val="0011066A"/>
    <w:rsid w:val="001108FF"/>
    <w:rsid w:val="001115C0"/>
    <w:rsid w:val="001121B9"/>
    <w:rsid w:val="00112399"/>
    <w:rsid w:val="001141ED"/>
    <w:rsid w:val="001155F7"/>
    <w:rsid w:val="00115DD6"/>
    <w:rsid w:val="00115DF1"/>
    <w:rsid w:val="00115FD2"/>
    <w:rsid w:val="00116318"/>
    <w:rsid w:val="0012116A"/>
    <w:rsid w:val="00121C63"/>
    <w:rsid w:val="0012488E"/>
    <w:rsid w:val="00124FFA"/>
    <w:rsid w:val="00125933"/>
    <w:rsid w:val="00126CC7"/>
    <w:rsid w:val="00127B17"/>
    <w:rsid w:val="00127F58"/>
    <w:rsid w:val="00130E85"/>
    <w:rsid w:val="00131471"/>
    <w:rsid w:val="001325D3"/>
    <w:rsid w:val="001331F4"/>
    <w:rsid w:val="00133DDA"/>
    <w:rsid w:val="0013617B"/>
    <w:rsid w:val="00136634"/>
    <w:rsid w:val="001375E6"/>
    <w:rsid w:val="0013773F"/>
    <w:rsid w:val="00140F14"/>
    <w:rsid w:val="001410F6"/>
    <w:rsid w:val="00141A0D"/>
    <w:rsid w:val="00141CE3"/>
    <w:rsid w:val="00142767"/>
    <w:rsid w:val="00142E9F"/>
    <w:rsid w:val="00144231"/>
    <w:rsid w:val="00144265"/>
    <w:rsid w:val="00144BE8"/>
    <w:rsid w:val="00146193"/>
    <w:rsid w:val="001465AC"/>
    <w:rsid w:val="00146D99"/>
    <w:rsid w:val="00147BB3"/>
    <w:rsid w:val="00150275"/>
    <w:rsid w:val="00150DF8"/>
    <w:rsid w:val="0015154D"/>
    <w:rsid w:val="001518A8"/>
    <w:rsid w:val="00151918"/>
    <w:rsid w:val="00151E25"/>
    <w:rsid w:val="001525DF"/>
    <w:rsid w:val="00153735"/>
    <w:rsid w:val="0015380F"/>
    <w:rsid w:val="00153F22"/>
    <w:rsid w:val="001547B4"/>
    <w:rsid w:val="0015486C"/>
    <w:rsid w:val="00156916"/>
    <w:rsid w:val="00157D12"/>
    <w:rsid w:val="00160B92"/>
    <w:rsid w:val="0016360C"/>
    <w:rsid w:val="00163C1E"/>
    <w:rsid w:val="00163E33"/>
    <w:rsid w:val="0016513A"/>
    <w:rsid w:val="00165E69"/>
    <w:rsid w:val="00166A88"/>
    <w:rsid w:val="00166AE2"/>
    <w:rsid w:val="0016778D"/>
    <w:rsid w:val="00170748"/>
    <w:rsid w:val="00170A9F"/>
    <w:rsid w:val="00171FBF"/>
    <w:rsid w:val="00172662"/>
    <w:rsid w:val="001734DF"/>
    <w:rsid w:val="00173A6B"/>
    <w:rsid w:val="0017489D"/>
    <w:rsid w:val="0017527A"/>
    <w:rsid w:val="0017603E"/>
    <w:rsid w:val="0017610B"/>
    <w:rsid w:val="001776F1"/>
    <w:rsid w:val="00177F86"/>
    <w:rsid w:val="00180371"/>
    <w:rsid w:val="00180C00"/>
    <w:rsid w:val="00181A1F"/>
    <w:rsid w:val="001823BB"/>
    <w:rsid w:val="00184964"/>
    <w:rsid w:val="00184BDD"/>
    <w:rsid w:val="00184D2D"/>
    <w:rsid w:val="001908BF"/>
    <w:rsid w:val="0019107E"/>
    <w:rsid w:val="00193AD6"/>
    <w:rsid w:val="00193EC3"/>
    <w:rsid w:val="001964BB"/>
    <w:rsid w:val="001A03EB"/>
    <w:rsid w:val="001A10AF"/>
    <w:rsid w:val="001A1509"/>
    <w:rsid w:val="001A177F"/>
    <w:rsid w:val="001A303A"/>
    <w:rsid w:val="001A56DB"/>
    <w:rsid w:val="001A7166"/>
    <w:rsid w:val="001A79FA"/>
    <w:rsid w:val="001B00A1"/>
    <w:rsid w:val="001B03A1"/>
    <w:rsid w:val="001B326C"/>
    <w:rsid w:val="001B3AAA"/>
    <w:rsid w:val="001B3D5D"/>
    <w:rsid w:val="001C06F9"/>
    <w:rsid w:val="001C1D42"/>
    <w:rsid w:val="001C457E"/>
    <w:rsid w:val="001C4B62"/>
    <w:rsid w:val="001C5B01"/>
    <w:rsid w:val="001C605B"/>
    <w:rsid w:val="001C690A"/>
    <w:rsid w:val="001C768F"/>
    <w:rsid w:val="001D02E2"/>
    <w:rsid w:val="001D0937"/>
    <w:rsid w:val="001D0ED4"/>
    <w:rsid w:val="001D324E"/>
    <w:rsid w:val="001D5C1B"/>
    <w:rsid w:val="001D7122"/>
    <w:rsid w:val="001E0892"/>
    <w:rsid w:val="001E3F1D"/>
    <w:rsid w:val="001E5193"/>
    <w:rsid w:val="001E6169"/>
    <w:rsid w:val="001E6570"/>
    <w:rsid w:val="001E6590"/>
    <w:rsid w:val="001E7142"/>
    <w:rsid w:val="001F0434"/>
    <w:rsid w:val="001F06B9"/>
    <w:rsid w:val="001F1E47"/>
    <w:rsid w:val="001F3C8F"/>
    <w:rsid w:val="001F449A"/>
    <w:rsid w:val="001F456B"/>
    <w:rsid w:val="001F45CF"/>
    <w:rsid w:val="001F4ACE"/>
    <w:rsid w:val="001F51B0"/>
    <w:rsid w:val="001F6023"/>
    <w:rsid w:val="00200F92"/>
    <w:rsid w:val="00201567"/>
    <w:rsid w:val="0020239D"/>
    <w:rsid w:val="00203312"/>
    <w:rsid w:val="00203A0B"/>
    <w:rsid w:val="00203C0C"/>
    <w:rsid w:val="002051AD"/>
    <w:rsid w:val="0020679E"/>
    <w:rsid w:val="00210A23"/>
    <w:rsid w:val="00210B88"/>
    <w:rsid w:val="00210C6B"/>
    <w:rsid w:val="0021114B"/>
    <w:rsid w:val="00211CEE"/>
    <w:rsid w:val="00214AD7"/>
    <w:rsid w:val="0021527C"/>
    <w:rsid w:val="00215867"/>
    <w:rsid w:val="00215AC7"/>
    <w:rsid w:val="00215BCC"/>
    <w:rsid w:val="00216461"/>
    <w:rsid w:val="0022118A"/>
    <w:rsid w:val="00221572"/>
    <w:rsid w:val="00221CF9"/>
    <w:rsid w:val="00222285"/>
    <w:rsid w:val="00222444"/>
    <w:rsid w:val="0022281A"/>
    <w:rsid w:val="00222DAA"/>
    <w:rsid w:val="002248E6"/>
    <w:rsid w:val="00224D12"/>
    <w:rsid w:val="002275B8"/>
    <w:rsid w:val="002277DF"/>
    <w:rsid w:val="00227AED"/>
    <w:rsid w:val="00233719"/>
    <w:rsid w:val="00233CE5"/>
    <w:rsid w:val="002351BB"/>
    <w:rsid w:val="00236B42"/>
    <w:rsid w:val="00240BA3"/>
    <w:rsid w:val="0024251A"/>
    <w:rsid w:val="00245DE9"/>
    <w:rsid w:val="002466DD"/>
    <w:rsid w:val="00246EE6"/>
    <w:rsid w:val="0024722A"/>
    <w:rsid w:val="002472CC"/>
    <w:rsid w:val="00247EB0"/>
    <w:rsid w:val="00250681"/>
    <w:rsid w:val="002511C0"/>
    <w:rsid w:val="00251732"/>
    <w:rsid w:val="0025263A"/>
    <w:rsid w:val="002526B3"/>
    <w:rsid w:val="0025290C"/>
    <w:rsid w:val="002541AF"/>
    <w:rsid w:val="002551AA"/>
    <w:rsid w:val="00255ADB"/>
    <w:rsid w:val="002565FF"/>
    <w:rsid w:val="00256F43"/>
    <w:rsid w:val="00257AB2"/>
    <w:rsid w:val="00261F10"/>
    <w:rsid w:val="00263345"/>
    <w:rsid w:val="00263598"/>
    <w:rsid w:val="0026411D"/>
    <w:rsid w:val="0026444C"/>
    <w:rsid w:val="0026680B"/>
    <w:rsid w:val="00266DBC"/>
    <w:rsid w:val="00266DBF"/>
    <w:rsid w:val="00266EC2"/>
    <w:rsid w:val="00270868"/>
    <w:rsid w:val="00271AC9"/>
    <w:rsid w:val="00272545"/>
    <w:rsid w:val="0027414C"/>
    <w:rsid w:val="00275062"/>
    <w:rsid w:val="00275287"/>
    <w:rsid w:val="0027594C"/>
    <w:rsid w:val="00275CBB"/>
    <w:rsid w:val="00275EEA"/>
    <w:rsid w:val="00276583"/>
    <w:rsid w:val="002772A9"/>
    <w:rsid w:val="0027785B"/>
    <w:rsid w:val="00277EB5"/>
    <w:rsid w:val="002808E4"/>
    <w:rsid w:val="002819B7"/>
    <w:rsid w:val="0028278D"/>
    <w:rsid w:val="00285566"/>
    <w:rsid w:val="002858EA"/>
    <w:rsid w:val="00285989"/>
    <w:rsid w:val="00285CF4"/>
    <w:rsid w:val="002904E4"/>
    <w:rsid w:val="002905C6"/>
    <w:rsid w:val="00290A14"/>
    <w:rsid w:val="00290C63"/>
    <w:rsid w:val="002927D4"/>
    <w:rsid w:val="002930CB"/>
    <w:rsid w:val="00294F9D"/>
    <w:rsid w:val="002950B5"/>
    <w:rsid w:val="002969D1"/>
    <w:rsid w:val="00297057"/>
    <w:rsid w:val="002971EF"/>
    <w:rsid w:val="002A014D"/>
    <w:rsid w:val="002A02A9"/>
    <w:rsid w:val="002A0809"/>
    <w:rsid w:val="002A0F32"/>
    <w:rsid w:val="002A1034"/>
    <w:rsid w:val="002A23F4"/>
    <w:rsid w:val="002A26FB"/>
    <w:rsid w:val="002A2C51"/>
    <w:rsid w:val="002A38B3"/>
    <w:rsid w:val="002A413D"/>
    <w:rsid w:val="002A581E"/>
    <w:rsid w:val="002A5ADA"/>
    <w:rsid w:val="002A5FB7"/>
    <w:rsid w:val="002A636F"/>
    <w:rsid w:val="002A66FB"/>
    <w:rsid w:val="002A6E29"/>
    <w:rsid w:val="002A6EFA"/>
    <w:rsid w:val="002A769D"/>
    <w:rsid w:val="002B00FF"/>
    <w:rsid w:val="002B02F4"/>
    <w:rsid w:val="002B0FBB"/>
    <w:rsid w:val="002B12AB"/>
    <w:rsid w:val="002B1BEA"/>
    <w:rsid w:val="002B28E4"/>
    <w:rsid w:val="002B3E81"/>
    <w:rsid w:val="002B5749"/>
    <w:rsid w:val="002B5905"/>
    <w:rsid w:val="002B5FED"/>
    <w:rsid w:val="002B7024"/>
    <w:rsid w:val="002B7486"/>
    <w:rsid w:val="002B773A"/>
    <w:rsid w:val="002C01A8"/>
    <w:rsid w:val="002C1985"/>
    <w:rsid w:val="002C207D"/>
    <w:rsid w:val="002C5621"/>
    <w:rsid w:val="002C5EC5"/>
    <w:rsid w:val="002C661C"/>
    <w:rsid w:val="002D0098"/>
    <w:rsid w:val="002D09C6"/>
    <w:rsid w:val="002D20E5"/>
    <w:rsid w:val="002D2650"/>
    <w:rsid w:val="002D3C7C"/>
    <w:rsid w:val="002D4F53"/>
    <w:rsid w:val="002D5176"/>
    <w:rsid w:val="002D54D7"/>
    <w:rsid w:val="002D6788"/>
    <w:rsid w:val="002D749F"/>
    <w:rsid w:val="002D7569"/>
    <w:rsid w:val="002E0071"/>
    <w:rsid w:val="002E02F1"/>
    <w:rsid w:val="002E0766"/>
    <w:rsid w:val="002E0C05"/>
    <w:rsid w:val="002E1D12"/>
    <w:rsid w:val="002E1F2B"/>
    <w:rsid w:val="002E6BAF"/>
    <w:rsid w:val="002E7F28"/>
    <w:rsid w:val="002F0E8B"/>
    <w:rsid w:val="002F11B7"/>
    <w:rsid w:val="002F165F"/>
    <w:rsid w:val="002F29D8"/>
    <w:rsid w:val="002F34AD"/>
    <w:rsid w:val="002F4115"/>
    <w:rsid w:val="002F55C3"/>
    <w:rsid w:val="002F5770"/>
    <w:rsid w:val="002F5974"/>
    <w:rsid w:val="002F5AF7"/>
    <w:rsid w:val="002F6EE5"/>
    <w:rsid w:val="002F7113"/>
    <w:rsid w:val="002F7C83"/>
    <w:rsid w:val="002F7D18"/>
    <w:rsid w:val="00300175"/>
    <w:rsid w:val="0030111D"/>
    <w:rsid w:val="00301322"/>
    <w:rsid w:val="00301F1D"/>
    <w:rsid w:val="003021A4"/>
    <w:rsid w:val="00302321"/>
    <w:rsid w:val="00302581"/>
    <w:rsid w:val="00302776"/>
    <w:rsid w:val="0030286D"/>
    <w:rsid w:val="0030550D"/>
    <w:rsid w:val="00305608"/>
    <w:rsid w:val="00306366"/>
    <w:rsid w:val="00307632"/>
    <w:rsid w:val="003079BB"/>
    <w:rsid w:val="00307C5C"/>
    <w:rsid w:val="003137EE"/>
    <w:rsid w:val="0031523F"/>
    <w:rsid w:val="003155A1"/>
    <w:rsid w:val="00315606"/>
    <w:rsid w:val="00315886"/>
    <w:rsid w:val="003165AF"/>
    <w:rsid w:val="00316F25"/>
    <w:rsid w:val="003208EF"/>
    <w:rsid w:val="003209A3"/>
    <w:rsid w:val="00321939"/>
    <w:rsid w:val="00322464"/>
    <w:rsid w:val="00322505"/>
    <w:rsid w:val="0032356F"/>
    <w:rsid w:val="003238BF"/>
    <w:rsid w:val="00323C18"/>
    <w:rsid w:val="00324C0B"/>
    <w:rsid w:val="00325AD1"/>
    <w:rsid w:val="00327AE0"/>
    <w:rsid w:val="00330E45"/>
    <w:rsid w:val="00331419"/>
    <w:rsid w:val="0033171A"/>
    <w:rsid w:val="00332B0E"/>
    <w:rsid w:val="00332BBE"/>
    <w:rsid w:val="00333057"/>
    <w:rsid w:val="00334759"/>
    <w:rsid w:val="003359F4"/>
    <w:rsid w:val="0033702E"/>
    <w:rsid w:val="003376BE"/>
    <w:rsid w:val="0033779C"/>
    <w:rsid w:val="00337D3F"/>
    <w:rsid w:val="00341CEF"/>
    <w:rsid w:val="00341EE9"/>
    <w:rsid w:val="003426A8"/>
    <w:rsid w:val="00342EF4"/>
    <w:rsid w:val="0034539B"/>
    <w:rsid w:val="00345F12"/>
    <w:rsid w:val="003462DC"/>
    <w:rsid w:val="00346938"/>
    <w:rsid w:val="00347085"/>
    <w:rsid w:val="0034787D"/>
    <w:rsid w:val="00350E10"/>
    <w:rsid w:val="003511FC"/>
    <w:rsid w:val="00351FFA"/>
    <w:rsid w:val="00354024"/>
    <w:rsid w:val="00354824"/>
    <w:rsid w:val="00354A58"/>
    <w:rsid w:val="003556FB"/>
    <w:rsid w:val="003569DC"/>
    <w:rsid w:val="003576AE"/>
    <w:rsid w:val="003617A4"/>
    <w:rsid w:val="00361ADE"/>
    <w:rsid w:val="00361C2A"/>
    <w:rsid w:val="0036419A"/>
    <w:rsid w:val="00364A8C"/>
    <w:rsid w:val="00364E94"/>
    <w:rsid w:val="00365665"/>
    <w:rsid w:val="00366C08"/>
    <w:rsid w:val="00366DA7"/>
    <w:rsid w:val="003678E6"/>
    <w:rsid w:val="00367EBF"/>
    <w:rsid w:val="00370654"/>
    <w:rsid w:val="003708C1"/>
    <w:rsid w:val="00370F63"/>
    <w:rsid w:val="00371367"/>
    <w:rsid w:val="00372047"/>
    <w:rsid w:val="00372691"/>
    <w:rsid w:val="003729AC"/>
    <w:rsid w:val="00372AF3"/>
    <w:rsid w:val="003742EF"/>
    <w:rsid w:val="00375158"/>
    <w:rsid w:val="003801AB"/>
    <w:rsid w:val="00380442"/>
    <w:rsid w:val="00380AE1"/>
    <w:rsid w:val="0038144C"/>
    <w:rsid w:val="00382DBB"/>
    <w:rsid w:val="00383662"/>
    <w:rsid w:val="00383DDA"/>
    <w:rsid w:val="00387A5D"/>
    <w:rsid w:val="003912BB"/>
    <w:rsid w:val="0039159A"/>
    <w:rsid w:val="00391964"/>
    <w:rsid w:val="00391C67"/>
    <w:rsid w:val="003929AD"/>
    <w:rsid w:val="00392AA7"/>
    <w:rsid w:val="00392D94"/>
    <w:rsid w:val="00393FF4"/>
    <w:rsid w:val="003953DA"/>
    <w:rsid w:val="00396A8C"/>
    <w:rsid w:val="00396D49"/>
    <w:rsid w:val="00397C02"/>
    <w:rsid w:val="003A17E6"/>
    <w:rsid w:val="003A1C7A"/>
    <w:rsid w:val="003A3F50"/>
    <w:rsid w:val="003A5AB9"/>
    <w:rsid w:val="003A7850"/>
    <w:rsid w:val="003B0AE1"/>
    <w:rsid w:val="003B1395"/>
    <w:rsid w:val="003B2520"/>
    <w:rsid w:val="003B2EF0"/>
    <w:rsid w:val="003B47EB"/>
    <w:rsid w:val="003B52FD"/>
    <w:rsid w:val="003B62B2"/>
    <w:rsid w:val="003B75EE"/>
    <w:rsid w:val="003B795C"/>
    <w:rsid w:val="003C02C0"/>
    <w:rsid w:val="003C07AE"/>
    <w:rsid w:val="003C1343"/>
    <w:rsid w:val="003C1E80"/>
    <w:rsid w:val="003C463C"/>
    <w:rsid w:val="003C56C6"/>
    <w:rsid w:val="003C59DB"/>
    <w:rsid w:val="003C5A8B"/>
    <w:rsid w:val="003C7D0B"/>
    <w:rsid w:val="003D0450"/>
    <w:rsid w:val="003D2367"/>
    <w:rsid w:val="003D2625"/>
    <w:rsid w:val="003D50F0"/>
    <w:rsid w:val="003D5621"/>
    <w:rsid w:val="003D57AB"/>
    <w:rsid w:val="003D63B8"/>
    <w:rsid w:val="003D6CFC"/>
    <w:rsid w:val="003E0E64"/>
    <w:rsid w:val="003E24E9"/>
    <w:rsid w:val="003E3843"/>
    <w:rsid w:val="003E3F99"/>
    <w:rsid w:val="003E45C7"/>
    <w:rsid w:val="003E6657"/>
    <w:rsid w:val="003E7CAD"/>
    <w:rsid w:val="003E7FF4"/>
    <w:rsid w:val="003F0724"/>
    <w:rsid w:val="003F15E5"/>
    <w:rsid w:val="003F1DD2"/>
    <w:rsid w:val="003F3F23"/>
    <w:rsid w:val="003F4EBD"/>
    <w:rsid w:val="003F560B"/>
    <w:rsid w:val="003F60DB"/>
    <w:rsid w:val="003F7245"/>
    <w:rsid w:val="003F73F9"/>
    <w:rsid w:val="0040040B"/>
    <w:rsid w:val="00400899"/>
    <w:rsid w:val="00401061"/>
    <w:rsid w:val="004011DD"/>
    <w:rsid w:val="004032DC"/>
    <w:rsid w:val="00405964"/>
    <w:rsid w:val="00407429"/>
    <w:rsid w:val="00407E42"/>
    <w:rsid w:val="0041013D"/>
    <w:rsid w:val="00411CAE"/>
    <w:rsid w:val="00412A62"/>
    <w:rsid w:val="00412FF3"/>
    <w:rsid w:val="004130FB"/>
    <w:rsid w:val="004137C8"/>
    <w:rsid w:val="004147DF"/>
    <w:rsid w:val="004164E9"/>
    <w:rsid w:val="00416A1D"/>
    <w:rsid w:val="00416E94"/>
    <w:rsid w:val="0041723D"/>
    <w:rsid w:val="0041757B"/>
    <w:rsid w:val="00422B1C"/>
    <w:rsid w:val="00425F31"/>
    <w:rsid w:val="004277FF"/>
    <w:rsid w:val="004305CB"/>
    <w:rsid w:val="0043084B"/>
    <w:rsid w:val="00430EB3"/>
    <w:rsid w:val="0043156F"/>
    <w:rsid w:val="00432C66"/>
    <w:rsid w:val="00433EAF"/>
    <w:rsid w:val="00435B69"/>
    <w:rsid w:val="00435F5A"/>
    <w:rsid w:val="00440E2D"/>
    <w:rsid w:val="00441EBA"/>
    <w:rsid w:val="00442EC4"/>
    <w:rsid w:val="00444001"/>
    <w:rsid w:val="004444FE"/>
    <w:rsid w:val="0044549D"/>
    <w:rsid w:val="00445744"/>
    <w:rsid w:val="004461B0"/>
    <w:rsid w:val="004462FC"/>
    <w:rsid w:val="00446573"/>
    <w:rsid w:val="00446CE6"/>
    <w:rsid w:val="00447C0A"/>
    <w:rsid w:val="00447E0A"/>
    <w:rsid w:val="0045037B"/>
    <w:rsid w:val="00450737"/>
    <w:rsid w:val="00450953"/>
    <w:rsid w:val="004532A9"/>
    <w:rsid w:val="00454FE1"/>
    <w:rsid w:val="00455E4E"/>
    <w:rsid w:val="004565C0"/>
    <w:rsid w:val="004566A0"/>
    <w:rsid w:val="004566AF"/>
    <w:rsid w:val="00456A6A"/>
    <w:rsid w:val="00456BE3"/>
    <w:rsid w:val="00456E8D"/>
    <w:rsid w:val="00457F05"/>
    <w:rsid w:val="00460212"/>
    <w:rsid w:val="0046047F"/>
    <w:rsid w:val="00460C8C"/>
    <w:rsid w:val="00460D1A"/>
    <w:rsid w:val="0046129B"/>
    <w:rsid w:val="0046159C"/>
    <w:rsid w:val="00462FDC"/>
    <w:rsid w:val="00463371"/>
    <w:rsid w:val="004637D3"/>
    <w:rsid w:val="00463DA3"/>
    <w:rsid w:val="00464E97"/>
    <w:rsid w:val="00465BB4"/>
    <w:rsid w:val="00467E3D"/>
    <w:rsid w:val="00467ECA"/>
    <w:rsid w:val="00471803"/>
    <w:rsid w:val="00471986"/>
    <w:rsid w:val="00471AB5"/>
    <w:rsid w:val="004721DA"/>
    <w:rsid w:val="00473230"/>
    <w:rsid w:val="00474C02"/>
    <w:rsid w:val="00474ED1"/>
    <w:rsid w:val="00474F32"/>
    <w:rsid w:val="0047521F"/>
    <w:rsid w:val="00475224"/>
    <w:rsid w:val="004753E2"/>
    <w:rsid w:val="00475437"/>
    <w:rsid w:val="00476F04"/>
    <w:rsid w:val="004773CD"/>
    <w:rsid w:val="00481995"/>
    <w:rsid w:val="004832E4"/>
    <w:rsid w:val="004858D2"/>
    <w:rsid w:val="004861DC"/>
    <w:rsid w:val="00487467"/>
    <w:rsid w:val="0048752F"/>
    <w:rsid w:val="00487C6D"/>
    <w:rsid w:val="00487DB5"/>
    <w:rsid w:val="004938F3"/>
    <w:rsid w:val="00493C1C"/>
    <w:rsid w:val="0049407C"/>
    <w:rsid w:val="00494CBB"/>
    <w:rsid w:val="00495822"/>
    <w:rsid w:val="00495C71"/>
    <w:rsid w:val="00496630"/>
    <w:rsid w:val="00496B68"/>
    <w:rsid w:val="004972B1"/>
    <w:rsid w:val="00497BCB"/>
    <w:rsid w:val="004A12D2"/>
    <w:rsid w:val="004A1F13"/>
    <w:rsid w:val="004A2C88"/>
    <w:rsid w:val="004A5A62"/>
    <w:rsid w:val="004A5E66"/>
    <w:rsid w:val="004A75FB"/>
    <w:rsid w:val="004A7CB4"/>
    <w:rsid w:val="004B0D73"/>
    <w:rsid w:val="004B1575"/>
    <w:rsid w:val="004B3552"/>
    <w:rsid w:val="004B454A"/>
    <w:rsid w:val="004B4C80"/>
    <w:rsid w:val="004B510B"/>
    <w:rsid w:val="004B5169"/>
    <w:rsid w:val="004B5A50"/>
    <w:rsid w:val="004B611B"/>
    <w:rsid w:val="004B6791"/>
    <w:rsid w:val="004B73F1"/>
    <w:rsid w:val="004B7A3F"/>
    <w:rsid w:val="004C0888"/>
    <w:rsid w:val="004C08B1"/>
    <w:rsid w:val="004C0F6E"/>
    <w:rsid w:val="004C151B"/>
    <w:rsid w:val="004C1AE6"/>
    <w:rsid w:val="004C1AF6"/>
    <w:rsid w:val="004C1F4D"/>
    <w:rsid w:val="004C2549"/>
    <w:rsid w:val="004C2AA2"/>
    <w:rsid w:val="004C2B88"/>
    <w:rsid w:val="004C2F7F"/>
    <w:rsid w:val="004C6040"/>
    <w:rsid w:val="004C6126"/>
    <w:rsid w:val="004C69C4"/>
    <w:rsid w:val="004D0EC9"/>
    <w:rsid w:val="004D1058"/>
    <w:rsid w:val="004D1549"/>
    <w:rsid w:val="004D1FC0"/>
    <w:rsid w:val="004D6301"/>
    <w:rsid w:val="004D6845"/>
    <w:rsid w:val="004D761A"/>
    <w:rsid w:val="004D7D03"/>
    <w:rsid w:val="004E219E"/>
    <w:rsid w:val="004E298A"/>
    <w:rsid w:val="004E385C"/>
    <w:rsid w:val="004E41F3"/>
    <w:rsid w:val="004E44A3"/>
    <w:rsid w:val="004E4E4E"/>
    <w:rsid w:val="004E5A7D"/>
    <w:rsid w:val="004E7CA2"/>
    <w:rsid w:val="004F1112"/>
    <w:rsid w:val="004F1466"/>
    <w:rsid w:val="004F1E29"/>
    <w:rsid w:val="004F29E1"/>
    <w:rsid w:val="004F305A"/>
    <w:rsid w:val="004F36D6"/>
    <w:rsid w:val="004F6AE9"/>
    <w:rsid w:val="004F7041"/>
    <w:rsid w:val="004F7974"/>
    <w:rsid w:val="004F7AF8"/>
    <w:rsid w:val="00500267"/>
    <w:rsid w:val="00501C55"/>
    <w:rsid w:val="00502392"/>
    <w:rsid w:val="00502884"/>
    <w:rsid w:val="00502B7E"/>
    <w:rsid w:val="0050452C"/>
    <w:rsid w:val="0050557B"/>
    <w:rsid w:val="00505A4D"/>
    <w:rsid w:val="00510349"/>
    <w:rsid w:val="00510AA4"/>
    <w:rsid w:val="00511258"/>
    <w:rsid w:val="00512482"/>
    <w:rsid w:val="00514E61"/>
    <w:rsid w:val="0051614F"/>
    <w:rsid w:val="00516C01"/>
    <w:rsid w:val="00516F5B"/>
    <w:rsid w:val="00517A4E"/>
    <w:rsid w:val="0052125D"/>
    <w:rsid w:val="00521261"/>
    <w:rsid w:val="0052225F"/>
    <w:rsid w:val="00524718"/>
    <w:rsid w:val="0052490C"/>
    <w:rsid w:val="00524B83"/>
    <w:rsid w:val="00524DEE"/>
    <w:rsid w:val="005253EF"/>
    <w:rsid w:val="005258E2"/>
    <w:rsid w:val="00526D63"/>
    <w:rsid w:val="0052719A"/>
    <w:rsid w:val="005313A0"/>
    <w:rsid w:val="00532435"/>
    <w:rsid w:val="005338B9"/>
    <w:rsid w:val="0053506C"/>
    <w:rsid w:val="0053583B"/>
    <w:rsid w:val="00535B1E"/>
    <w:rsid w:val="00537985"/>
    <w:rsid w:val="0054076F"/>
    <w:rsid w:val="00540E0E"/>
    <w:rsid w:val="0054241D"/>
    <w:rsid w:val="005432E9"/>
    <w:rsid w:val="005446D3"/>
    <w:rsid w:val="00544AE5"/>
    <w:rsid w:val="00545368"/>
    <w:rsid w:val="00547936"/>
    <w:rsid w:val="0055164B"/>
    <w:rsid w:val="00552D83"/>
    <w:rsid w:val="0055363E"/>
    <w:rsid w:val="00554655"/>
    <w:rsid w:val="00555921"/>
    <w:rsid w:val="00555B0D"/>
    <w:rsid w:val="00555ED1"/>
    <w:rsid w:val="00557777"/>
    <w:rsid w:val="00557869"/>
    <w:rsid w:val="00557C8E"/>
    <w:rsid w:val="005622FD"/>
    <w:rsid w:val="00562825"/>
    <w:rsid w:val="00562E8B"/>
    <w:rsid w:val="00562F4A"/>
    <w:rsid w:val="00563EF8"/>
    <w:rsid w:val="0056466A"/>
    <w:rsid w:val="00564AA7"/>
    <w:rsid w:val="00564ECB"/>
    <w:rsid w:val="00564EE8"/>
    <w:rsid w:val="00565396"/>
    <w:rsid w:val="005653DB"/>
    <w:rsid w:val="005661D1"/>
    <w:rsid w:val="005666EA"/>
    <w:rsid w:val="00566E80"/>
    <w:rsid w:val="00567868"/>
    <w:rsid w:val="0057117A"/>
    <w:rsid w:val="005711EF"/>
    <w:rsid w:val="005718D8"/>
    <w:rsid w:val="0057259A"/>
    <w:rsid w:val="00572979"/>
    <w:rsid w:val="00573785"/>
    <w:rsid w:val="005746CA"/>
    <w:rsid w:val="00574730"/>
    <w:rsid w:val="005752A3"/>
    <w:rsid w:val="005756DA"/>
    <w:rsid w:val="005759B9"/>
    <w:rsid w:val="00575C59"/>
    <w:rsid w:val="00575F33"/>
    <w:rsid w:val="00576B9C"/>
    <w:rsid w:val="005771C3"/>
    <w:rsid w:val="00580203"/>
    <w:rsid w:val="0058041F"/>
    <w:rsid w:val="00581697"/>
    <w:rsid w:val="0058267F"/>
    <w:rsid w:val="00585F15"/>
    <w:rsid w:val="0058771A"/>
    <w:rsid w:val="00590E8C"/>
    <w:rsid w:val="00591BE5"/>
    <w:rsid w:val="0059337A"/>
    <w:rsid w:val="00594DD1"/>
    <w:rsid w:val="00595C63"/>
    <w:rsid w:val="005968EA"/>
    <w:rsid w:val="00596D9D"/>
    <w:rsid w:val="005A0277"/>
    <w:rsid w:val="005A03EF"/>
    <w:rsid w:val="005A22EB"/>
    <w:rsid w:val="005A3E8F"/>
    <w:rsid w:val="005A4518"/>
    <w:rsid w:val="005A6486"/>
    <w:rsid w:val="005A677F"/>
    <w:rsid w:val="005A70BD"/>
    <w:rsid w:val="005A725D"/>
    <w:rsid w:val="005B03EB"/>
    <w:rsid w:val="005B2CAB"/>
    <w:rsid w:val="005B2ECF"/>
    <w:rsid w:val="005B317C"/>
    <w:rsid w:val="005B3860"/>
    <w:rsid w:val="005B38C8"/>
    <w:rsid w:val="005B49DB"/>
    <w:rsid w:val="005B51D5"/>
    <w:rsid w:val="005B55A0"/>
    <w:rsid w:val="005B5D2B"/>
    <w:rsid w:val="005B6ADE"/>
    <w:rsid w:val="005C041A"/>
    <w:rsid w:val="005C0F6E"/>
    <w:rsid w:val="005C13DD"/>
    <w:rsid w:val="005C14D4"/>
    <w:rsid w:val="005C1DE4"/>
    <w:rsid w:val="005C1E67"/>
    <w:rsid w:val="005C2F03"/>
    <w:rsid w:val="005C353A"/>
    <w:rsid w:val="005C53FC"/>
    <w:rsid w:val="005C6154"/>
    <w:rsid w:val="005C6208"/>
    <w:rsid w:val="005C789B"/>
    <w:rsid w:val="005D06BA"/>
    <w:rsid w:val="005D0C56"/>
    <w:rsid w:val="005D1F6F"/>
    <w:rsid w:val="005D401E"/>
    <w:rsid w:val="005D4C07"/>
    <w:rsid w:val="005D4E2E"/>
    <w:rsid w:val="005D56C0"/>
    <w:rsid w:val="005D575A"/>
    <w:rsid w:val="005D6887"/>
    <w:rsid w:val="005D68D4"/>
    <w:rsid w:val="005D7F58"/>
    <w:rsid w:val="005E0D37"/>
    <w:rsid w:val="005E30A4"/>
    <w:rsid w:val="005E4DBC"/>
    <w:rsid w:val="005E63FB"/>
    <w:rsid w:val="005E7248"/>
    <w:rsid w:val="005F0254"/>
    <w:rsid w:val="005F13A9"/>
    <w:rsid w:val="005F1633"/>
    <w:rsid w:val="005F1653"/>
    <w:rsid w:val="005F213C"/>
    <w:rsid w:val="005F25FC"/>
    <w:rsid w:val="005F2C59"/>
    <w:rsid w:val="005F619C"/>
    <w:rsid w:val="005F6716"/>
    <w:rsid w:val="005F6C49"/>
    <w:rsid w:val="006017E4"/>
    <w:rsid w:val="00603841"/>
    <w:rsid w:val="00604742"/>
    <w:rsid w:val="006049A6"/>
    <w:rsid w:val="00604C6C"/>
    <w:rsid w:val="006068F4"/>
    <w:rsid w:val="00606F9F"/>
    <w:rsid w:val="00614168"/>
    <w:rsid w:val="0061494F"/>
    <w:rsid w:val="00614B38"/>
    <w:rsid w:val="00615841"/>
    <w:rsid w:val="00617928"/>
    <w:rsid w:val="00617BED"/>
    <w:rsid w:val="00617CDC"/>
    <w:rsid w:val="00617F36"/>
    <w:rsid w:val="00620305"/>
    <w:rsid w:val="006219D0"/>
    <w:rsid w:val="00621E93"/>
    <w:rsid w:val="006242CC"/>
    <w:rsid w:val="00624379"/>
    <w:rsid w:val="006244B9"/>
    <w:rsid w:val="00624856"/>
    <w:rsid w:val="006253A5"/>
    <w:rsid w:val="006254F5"/>
    <w:rsid w:val="00630ACD"/>
    <w:rsid w:val="00631D37"/>
    <w:rsid w:val="0063253A"/>
    <w:rsid w:val="00632B5F"/>
    <w:rsid w:val="00632C39"/>
    <w:rsid w:val="00635DA5"/>
    <w:rsid w:val="00635F00"/>
    <w:rsid w:val="00636C8D"/>
    <w:rsid w:val="006374A3"/>
    <w:rsid w:val="006377ED"/>
    <w:rsid w:val="00637D83"/>
    <w:rsid w:val="0064015A"/>
    <w:rsid w:val="00640172"/>
    <w:rsid w:val="0064042B"/>
    <w:rsid w:val="00640794"/>
    <w:rsid w:val="00641580"/>
    <w:rsid w:val="00641B53"/>
    <w:rsid w:val="00641D8F"/>
    <w:rsid w:val="00641E17"/>
    <w:rsid w:val="00643374"/>
    <w:rsid w:val="00643928"/>
    <w:rsid w:val="00644312"/>
    <w:rsid w:val="00644EF4"/>
    <w:rsid w:val="006451F2"/>
    <w:rsid w:val="00645DF4"/>
    <w:rsid w:val="00651E6B"/>
    <w:rsid w:val="00652596"/>
    <w:rsid w:val="006531E0"/>
    <w:rsid w:val="006536A4"/>
    <w:rsid w:val="006545A3"/>
    <w:rsid w:val="0065474F"/>
    <w:rsid w:val="00654981"/>
    <w:rsid w:val="006553E7"/>
    <w:rsid w:val="0065627B"/>
    <w:rsid w:val="00656A74"/>
    <w:rsid w:val="00656B0C"/>
    <w:rsid w:val="00660CBB"/>
    <w:rsid w:val="00662059"/>
    <w:rsid w:val="00662AA2"/>
    <w:rsid w:val="0066450E"/>
    <w:rsid w:val="006658F3"/>
    <w:rsid w:val="0066592C"/>
    <w:rsid w:val="0066700D"/>
    <w:rsid w:val="00667629"/>
    <w:rsid w:val="00667E96"/>
    <w:rsid w:val="0067368C"/>
    <w:rsid w:val="0067407D"/>
    <w:rsid w:val="006747CD"/>
    <w:rsid w:val="00675411"/>
    <w:rsid w:val="006769A8"/>
    <w:rsid w:val="0067721D"/>
    <w:rsid w:val="006779C6"/>
    <w:rsid w:val="006808B1"/>
    <w:rsid w:val="00684045"/>
    <w:rsid w:val="00684807"/>
    <w:rsid w:val="0068530C"/>
    <w:rsid w:val="00686E24"/>
    <w:rsid w:val="00687146"/>
    <w:rsid w:val="00687249"/>
    <w:rsid w:val="00687278"/>
    <w:rsid w:val="00687F65"/>
    <w:rsid w:val="006909DF"/>
    <w:rsid w:val="00690E7F"/>
    <w:rsid w:val="00692C04"/>
    <w:rsid w:val="006938B2"/>
    <w:rsid w:val="00694A63"/>
    <w:rsid w:val="0069577B"/>
    <w:rsid w:val="006957F2"/>
    <w:rsid w:val="006969E8"/>
    <w:rsid w:val="00696C50"/>
    <w:rsid w:val="00697734"/>
    <w:rsid w:val="006A0F35"/>
    <w:rsid w:val="006A16C6"/>
    <w:rsid w:val="006A22C6"/>
    <w:rsid w:val="006A3546"/>
    <w:rsid w:val="006A36C2"/>
    <w:rsid w:val="006A4134"/>
    <w:rsid w:val="006A62C4"/>
    <w:rsid w:val="006A78B0"/>
    <w:rsid w:val="006B048C"/>
    <w:rsid w:val="006B1595"/>
    <w:rsid w:val="006B169B"/>
    <w:rsid w:val="006B1CB8"/>
    <w:rsid w:val="006B2563"/>
    <w:rsid w:val="006B44A3"/>
    <w:rsid w:val="006B4E3E"/>
    <w:rsid w:val="006C00FC"/>
    <w:rsid w:val="006C02DB"/>
    <w:rsid w:val="006C163E"/>
    <w:rsid w:val="006C3A9F"/>
    <w:rsid w:val="006C4AF5"/>
    <w:rsid w:val="006C5014"/>
    <w:rsid w:val="006C5336"/>
    <w:rsid w:val="006C5394"/>
    <w:rsid w:val="006C62FD"/>
    <w:rsid w:val="006C7B6C"/>
    <w:rsid w:val="006D0A2F"/>
    <w:rsid w:val="006D1A82"/>
    <w:rsid w:val="006D1BCC"/>
    <w:rsid w:val="006D4814"/>
    <w:rsid w:val="006D5D4C"/>
    <w:rsid w:val="006D6BAE"/>
    <w:rsid w:val="006D6EDF"/>
    <w:rsid w:val="006D731D"/>
    <w:rsid w:val="006E03F5"/>
    <w:rsid w:val="006E176F"/>
    <w:rsid w:val="006E2768"/>
    <w:rsid w:val="006E2F91"/>
    <w:rsid w:val="006E4EA9"/>
    <w:rsid w:val="006E7190"/>
    <w:rsid w:val="006E73F0"/>
    <w:rsid w:val="006F0426"/>
    <w:rsid w:val="006F11AB"/>
    <w:rsid w:val="006F27D5"/>
    <w:rsid w:val="006F2884"/>
    <w:rsid w:val="006F28CB"/>
    <w:rsid w:val="006F400E"/>
    <w:rsid w:val="006F7377"/>
    <w:rsid w:val="006F7E24"/>
    <w:rsid w:val="00700A4F"/>
    <w:rsid w:val="00700E27"/>
    <w:rsid w:val="00700FA3"/>
    <w:rsid w:val="007031A3"/>
    <w:rsid w:val="007047F8"/>
    <w:rsid w:val="007054A3"/>
    <w:rsid w:val="007055AA"/>
    <w:rsid w:val="00706249"/>
    <w:rsid w:val="00706655"/>
    <w:rsid w:val="007070CE"/>
    <w:rsid w:val="00707DA0"/>
    <w:rsid w:val="0071021E"/>
    <w:rsid w:val="00710323"/>
    <w:rsid w:val="007116A0"/>
    <w:rsid w:val="0071451D"/>
    <w:rsid w:val="0071470C"/>
    <w:rsid w:val="00714A5F"/>
    <w:rsid w:val="00714B46"/>
    <w:rsid w:val="00721865"/>
    <w:rsid w:val="00721ECD"/>
    <w:rsid w:val="0072236B"/>
    <w:rsid w:val="007227E7"/>
    <w:rsid w:val="00722D87"/>
    <w:rsid w:val="00723CA6"/>
    <w:rsid w:val="007240CE"/>
    <w:rsid w:val="00724D10"/>
    <w:rsid w:val="00725638"/>
    <w:rsid w:val="00725A48"/>
    <w:rsid w:val="00727022"/>
    <w:rsid w:val="007277C2"/>
    <w:rsid w:val="00727B08"/>
    <w:rsid w:val="00727BEF"/>
    <w:rsid w:val="00727F84"/>
    <w:rsid w:val="007304D6"/>
    <w:rsid w:val="00730629"/>
    <w:rsid w:val="007307BE"/>
    <w:rsid w:val="0073291C"/>
    <w:rsid w:val="00732965"/>
    <w:rsid w:val="00732C86"/>
    <w:rsid w:val="007333AE"/>
    <w:rsid w:val="0073435E"/>
    <w:rsid w:val="007357EC"/>
    <w:rsid w:val="00736449"/>
    <w:rsid w:val="007364BF"/>
    <w:rsid w:val="00736632"/>
    <w:rsid w:val="0073756A"/>
    <w:rsid w:val="007375B0"/>
    <w:rsid w:val="007405B0"/>
    <w:rsid w:val="00740CE7"/>
    <w:rsid w:val="00741235"/>
    <w:rsid w:val="007420C6"/>
    <w:rsid w:val="0074231C"/>
    <w:rsid w:val="0074232D"/>
    <w:rsid w:val="00742C75"/>
    <w:rsid w:val="007431B6"/>
    <w:rsid w:val="00744FB5"/>
    <w:rsid w:val="00745B01"/>
    <w:rsid w:val="00751038"/>
    <w:rsid w:val="007510EF"/>
    <w:rsid w:val="00751B54"/>
    <w:rsid w:val="007528C8"/>
    <w:rsid w:val="00753706"/>
    <w:rsid w:val="007537B0"/>
    <w:rsid w:val="007539FB"/>
    <w:rsid w:val="0075475E"/>
    <w:rsid w:val="00755A2C"/>
    <w:rsid w:val="00756318"/>
    <w:rsid w:val="007567C9"/>
    <w:rsid w:val="00756F47"/>
    <w:rsid w:val="007578F0"/>
    <w:rsid w:val="0076112A"/>
    <w:rsid w:val="00761F14"/>
    <w:rsid w:val="0076282A"/>
    <w:rsid w:val="00762E48"/>
    <w:rsid w:val="007643E4"/>
    <w:rsid w:val="007647AC"/>
    <w:rsid w:val="0076573A"/>
    <w:rsid w:val="00765FB8"/>
    <w:rsid w:val="0076612A"/>
    <w:rsid w:val="00767010"/>
    <w:rsid w:val="00767F7C"/>
    <w:rsid w:val="0077036A"/>
    <w:rsid w:val="00770947"/>
    <w:rsid w:val="007717E6"/>
    <w:rsid w:val="007719E2"/>
    <w:rsid w:val="00772576"/>
    <w:rsid w:val="007725D2"/>
    <w:rsid w:val="00773801"/>
    <w:rsid w:val="00774751"/>
    <w:rsid w:val="0077511B"/>
    <w:rsid w:val="00775944"/>
    <w:rsid w:val="007769D6"/>
    <w:rsid w:val="007806FF"/>
    <w:rsid w:val="007827DE"/>
    <w:rsid w:val="00783EBE"/>
    <w:rsid w:val="007846DA"/>
    <w:rsid w:val="0078563F"/>
    <w:rsid w:val="00785656"/>
    <w:rsid w:val="007856E8"/>
    <w:rsid w:val="0078580C"/>
    <w:rsid w:val="00787022"/>
    <w:rsid w:val="00787C9C"/>
    <w:rsid w:val="0079093E"/>
    <w:rsid w:val="00792C5B"/>
    <w:rsid w:val="00794EE1"/>
    <w:rsid w:val="00795230"/>
    <w:rsid w:val="007A619A"/>
    <w:rsid w:val="007A67C2"/>
    <w:rsid w:val="007A7556"/>
    <w:rsid w:val="007A79D8"/>
    <w:rsid w:val="007B1DB1"/>
    <w:rsid w:val="007B341E"/>
    <w:rsid w:val="007B49BD"/>
    <w:rsid w:val="007B4F2D"/>
    <w:rsid w:val="007B5090"/>
    <w:rsid w:val="007B5C5B"/>
    <w:rsid w:val="007B6701"/>
    <w:rsid w:val="007C0A5F"/>
    <w:rsid w:val="007C135A"/>
    <w:rsid w:val="007C1E33"/>
    <w:rsid w:val="007C203C"/>
    <w:rsid w:val="007C22B3"/>
    <w:rsid w:val="007C24CF"/>
    <w:rsid w:val="007C255B"/>
    <w:rsid w:val="007C2DD1"/>
    <w:rsid w:val="007C4F30"/>
    <w:rsid w:val="007C4FA3"/>
    <w:rsid w:val="007C5F8E"/>
    <w:rsid w:val="007C6DAE"/>
    <w:rsid w:val="007D1C0F"/>
    <w:rsid w:val="007D3FCB"/>
    <w:rsid w:val="007D56ED"/>
    <w:rsid w:val="007D5725"/>
    <w:rsid w:val="007D5CC1"/>
    <w:rsid w:val="007D6460"/>
    <w:rsid w:val="007E143D"/>
    <w:rsid w:val="007E1931"/>
    <w:rsid w:val="007E2201"/>
    <w:rsid w:val="007E27D8"/>
    <w:rsid w:val="007E2871"/>
    <w:rsid w:val="007E57D8"/>
    <w:rsid w:val="007E69E6"/>
    <w:rsid w:val="007E6E5D"/>
    <w:rsid w:val="007F10B0"/>
    <w:rsid w:val="007F1479"/>
    <w:rsid w:val="007F182D"/>
    <w:rsid w:val="007F24AC"/>
    <w:rsid w:val="007F383D"/>
    <w:rsid w:val="007F478B"/>
    <w:rsid w:val="007F4D76"/>
    <w:rsid w:val="007F5478"/>
    <w:rsid w:val="007F6D79"/>
    <w:rsid w:val="007F7579"/>
    <w:rsid w:val="007F774B"/>
    <w:rsid w:val="007F7F73"/>
    <w:rsid w:val="0080096F"/>
    <w:rsid w:val="00800D85"/>
    <w:rsid w:val="00801550"/>
    <w:rsid w:val="0080158E"/>
    <w:rsid w:val="008024BB"/>
    <w:rsid w:val="00803255"/>
    <w:rsid w:val="00803435"/>
    <w:rsid w:val="0080350F"/>
    <w:rsid w:val="008035F0"/>
    <w:rsid w:val="0080477A"/>
    <w:rsid w:val="00804932"/>
    <w:rsid w:val="008050AF"/>
    <w:rsid w:val="008051D7"/>
    <w:rsid w:val="008057C2"/>
    <w:rsid w:val="00807D86"/>
    <w:rsid w:val="00810EDD"/>
    <w:rsid w:val="0081119A"/>
    <w:rsid w:val="0081128F"/>
    <w:rsid w:val="00811393"/>
    <w:rsid w:val="0081194E"/>
    <w:rsid w:val="00812D54"/>
    <w:rsid w:val="00812D80"/>
    <w:rsid w:val="00813AD8"/>
    <w:rsid w:val="00814EF9"/>
    <w:rsid w:val="00816002"/>
    <w:rsid w:val="00816672"/>
    <w:rsid w:val="00816BF8"/>
    <w:rsid w:val="0081706E"/>
    <w:rsid w:val="008171B5"/>
    <w:rsid w:val="0082091F"/>
    <w:rsid w:val="00820BD2"/>
    <w:rsid w:val="00820E3A"/>
    <w:rsid w:val="008212EF"/>
    <w:rsid w:val="008227F3"/>
    <w:rsid w:val="0082453E"/>
    <w:rsid w:val="00824745"/>
    <w:rsid w:val="00824B43"/>
    <w:rsid w:val="00824BDE"/>
    <w:rsid w:val="00825CE4"/>
    <w:rsid w:val="008265EB"/>
    <w:rsid w:val="00826EE0"/>
    <w:rsid w:val="008273B6"/>
    <w:rsid w:val="0083065C"/>
    <w:rsid w:val="00830AA6"/>
    <w:rsid w:val="0083191D"/>
    <w:rsid w:val="00831B6A"/>
    <w:rsid w:val="00832A07"/>
    <w:rsid w:val="00834598"/>
    <w:rsid w:val="00834F92"/>
    <w:rsid w:val="00835786"/>
    <w:rsid w:val="00835C58"/>
    <w:rsid w:val="00835E1D"/>
    <w:rsid w:val="00836302"/>
    <w:rsid w:val="008370B0"/>
    <w:rsid w:val="00837E6A"/>
    <w:rsid w:val="0084049A"/>
    <w:rsid w:val="00840E5C"/>
    <w:rsid w:val="00841945"/>
    <w:rsid w:val="00843CE1"/>
    <w:rsid w:val="00844A98"/>
    <w:rsid w:val="00844ECE"/>
    <w:rsid w:val="00845CF4"/>
    <w:rsid w:val="008460F3"/>
    <w:rsid w:val="00846982"/>
    <w:rsid w:val="00851F33"/>
    <w:rsid w:val="00851F94"/>
    <w:rsid w:val="00852523"/>
    <w:rsid w:val="00852F85"/>
    <w:rsid w:val="00853AD2"/>
    <w:rsid w:val="00854A4E"/>
    <w:rsid w:val="00854A82"/>
    <w:rsid w:val="00855917"/>
    <w:rsid w:val="00856DC3"/>
    <w:rsid w:val="00857C16"/>
    <w:rsid w:val="00857D4C"/>
    <w:rsid w:val="008600CB"/>
    <w:rsid w:val="0086059A"/>
    <w:rsid w:val="008612C1"/>
    <w:rsid w:val="0086254F"/>
    <w:rsid w:val="00862DE2"/>
    <w:rsid w:val="00863354"/>
    <w:rsid w:val="008649DA"/>
    <w:rsid w:val="008652C6"/>
    <w:rsid w:val="008664EF"/>
    <w:rsid w:val="008669F0"/>
    <w:rsid w:val="008674BB"/>
    <w:rsid w:val="00871CC2"/>
    <w:rsid w:val="008726FE"/>
    <w:rsid w:val="00873AD1"/>
    <w:rsid w:val="00873EDA"/>
    <w:rsid w:val="008750E3"/>
    <w:rsid w:val="008802B7"/>
    <w:rsid w:val="008806A5"/>
    <w:rsid w:val="008806BA"/>
    <w:rsid w:val="008806D6"/>
    <w:rsid w:val="00881126"/>
    <w:rsid w:val="00883E26"/>
    <w:rsid w:val="008864EA"/>
    <w:rsid w:val="008878B7"/>
    <w:rsid w:val="00887976"/>
    <w:rsid w:val="00887C90"/>
    <w:rsid w:val="00887FE3"/>
    <w:rsid w:val="00890B62"/>
    <w:rsid w:val="00891BF2"/>
    <w:rsid w:val="00891CEE"/>
    <w:rsid w:val="00893F5F"/>
    <w:rsid w:val="00893FC8"/>
    <w:rsid w:val="00895355"/>
    <w:rsid w:val="00895415"/>
    <w:rsid w:val="00896B0D"/>
    <w:rsid w:val="00897342"/>
    <w:rsid w:val="008A01D5"/>
    <w:rsid w:val="008A1053"/>
    <w:rsid w:val="008A159E"/>
    <w:rsid w:val="008A2D32"/>
    <w:rsid w:val="008A42BB"/>
    <w:rsid w:val="008A431B"/>
    <w:rsid w:val="008A5589"/>
    <w:rsid w:val="008B1116"/>
    <w:rsid w:val="008B13BE"/>
    <w:rsid w:val="008B3DD2"/>
    <w:rsid w:val="008B4174"/>
    <w:rsid w:val="008B4AF7"/>
    <w:rsid w:val="008B54E2"/>
    <w:rsid w:val="008B5E7F"/>
    <w:rsid w:val="008B6422"/>
    <w:rsid w:val="008B6ACD"/>
    <w:rsid w:val="008B77EC"/>
    <w:rsid w:val="008B7F96"/>
    <w:rsid w:val="008C2555"/>
    <w:rsid w:val="008C2B3C"/>
    <w:rsid w:val="008C616C"/>
    <w:rsid w:val="008C6D55"/>
    <w:rsid w:val="008C724C"/>
    <w:rsid w:val="008C7C90"/>
    <w:rsid w:val="008C7E75"/>
    <w:rsid w:val="008D0B0F"/>
    <w:rsid w:val="008D0D75"/>
    <w:rsid w:val="008D7496"/>
    <w:rsid w:val="008E09B8"/>
    <w:rsid w:val="008E0F93"/>
    <w:rsid w:val="008E19BB"/>
    <w:rsid w:val="008E22D7"/>
    <w:rsid w:val="008E268D"/>
    <w:rsid w:val="008E3200"/>
    <w:rsid w:val="008E4751"/>
    <w:rsid w:val="008E71F2"/>
    <w:rsid w:val="008F1298"/>
    <w:rsid w:val="008F17DB"/>
    <w:rsid w:val="008F1AF5"/>
    <w:rsid w:val="008F1C5E"/>
    <w:rsid w:val="008F27CA"/>
    <w:rsid w:val="008F3F1E"/>
    <w:rsid w:val="008F40E3"/>
    <w:rsid w:val="008F494C"/>
    <w:rsid w:val="008F6EEB"/>
    <w:rsid w:val="009001B2"/>
    <w:rsid w:val="00900ECA"/>
    <w:rsid w:val="00901664"/>
    <w:rsid w:val="0090251D"/>
    <w:rsid w:val="00903167"/>
    <w:rsid w:val="0090357F"/>
    <w:rsid w:val="0090373F"/>
    <w:rsid w:val="00903D72"/>
    <w:rsid w:val="00903E56"/>
    <w:rsid w:val="00904045"/>
    <w:rsid w:val="0090591D"/>
    <w:rsid w:val="0090757C"/>
    <w:rsid w:val="00910E27"/>
    <w:rsid w:val="00914988"/>
    <w:rsid w:val="00914B2B"/>
    <w:rsid w:val="009166F0"/>
    <w:rsid w:val="00916956"/>
    <w:rsid w:val="0091707B"/>
    <w:rsid w:val="009172DA"/>
    <w:rsid w:val="0092071F"/>
    <w:rsid w:val="009210C9"/>
    <w:rsid w:val="009231E2"/>
    <w:rsid w:val="00923745"/>
    <w:rsid w:val="009246A2"/>
    <w:rsid w:val="00924B4D"/>
    <w:rsid w:val="00924BC7"/>
    <w:rsid w:val="0092520C"/>
    <w:rsid w:val="00925A77"/>
    <w:rsid w:val="009301A8"/>
    <w:rsid w:val="009304EC"/>
    <w:rsid w:val="00931970"/>
    <w:rsid w:val="00932697"/>
    <w:rsid w:val="00934648"/>
    <w:rsid w:val="00935908"/>
    <w:rsid w:val="00936A2D"/>
    <w:rsid w:val="00940501"/>
    <w:rsid w:val="0094056E"/>
    <w:rsid w:val="009405F4"/>
    <w:rsid w:val="0094132A"/>
    <w:rsid w:val="0094172E"/>
    <w:rsid w:val="00941778"/>
    <w:rsid w:val="009423F2"/>
    <w:rsid w:val="00942ABE"/>
    <w:rsid w:val="00943150"/>
    <w:rsid w:val="0094342D"/>
    <w:rsid w:val="009445BF"/>
    <w:rsid w:val="00946865"/>
    <w:rsid w:val="00946B28"/>
    <w:rsid w:val="009509E6"/>
    <w:rsid w:val="0095274A"/>
    <w:rsid w:val="00952B34"/>
    <w:rsid w:val="009531E2"/>
    <w:rsid w:val="009531F4"/>
    <w:rsid w:val="00954FD0"/>
    <w:rsid w:val="00955A11"/>
    <w:rsid w:val="00955B88"/>
    <w:rsid w:val="00955C50"/>
    <w:rsid w:val="00956183"/>
    <w:rsid w:val="00956307"/>
    <w:rsid w:val="00956978"/>
    <w:rsid w:val="00960A4B"/>
    <w:rsid w:val="00961828"/>
    <w:rsid w:val="0096182A"/>
    <w:rsid w:val="009623E4"/>
    <w:rsid w:val="00965403"/>
    <w:rsid w:val="009657D3"/>
    <w:rsid w:val="00965C4D"/>
    <w:rsid w:val="00966387"/>
    <w:rsid w:val="0096639B"/>
    <w:rsid w:val="00966526"/>
    <w:rsid w:val="0097059D"/>
    <w:rsid w:val="00970F29"/>
    <w:rsid w:val="00971A20"/>
    <w:rsid w:val="00972E33"/>
    <w:rsid w:val="009737D3"/>
    <w:rsid w:val="00973CA7"/>
    <w:rsid w:val="00974043"/>
    <w:rsid w:val="0097411C"/>
    <w:rsid w:val="009755F5"/>
    <w:rsid w:val="00976314"/>
    <w:rsid w:val="009764FC"/>
    <w:rsid w:val="00976AF5"/>
    <w:rsid w:val="00976D09"/>
    <w:rsid w:val="0098026C"/>
    <w:rsid w:val="009805E8"/>
    <w:rsid w:val="0098299A"/>
    <w:rsid w:val="00982B4C"/>
    <w:rsid w:val="00983A3F"/>
    <w:rsid w:val="00983E90"/>
    <w:rsid w:val="009845F1"/>
    <w:rsid w:val="00984F86"/>
    <w:rsid w:val="009857A6"/>
    <w:rsid w:val="00986313"/>
    <w:rsid w:val="00986AEA"/>
    <w:rsid w:val="00986D75"/>
    <w:rsid w:val="00987FDD"/>
    <w:rsid w:val="009904B0"/>
    <w:rsid w:val="0099055B"/>
    <w:rsid w:val="00992934"/>
    <w:rsid w:val="009958F2"/>
    <w:rsid w:val="00995A8E"/>
    <w:rsid w:val="009962DF"/>
    <w:rsid w:val="0099656B"/>
    <w:rsid w:val="009969E7"/>
    <w:rsid w:val="009977BD"/>
    <w:rsid w:val="009A030A"/>
    <w:rsid w:val="009A08E0"/>
    <w:rsid w:val="009A0DC6"/>
    <w:rsid w:val="009A1035"/>
    <w:rsid w:val="009A1BB7"/>
    <w:rsid w:val="009A3B7E"/>
    <w:rsid w:val="009A432C"/>
    <w:rsid w:val="009A4745"/>
    <w:rsid w:val="009A4B6B"/>
    <w:rsid w:val="009A4C4C"/>
    <w:rsid w:val="009A52A5"/>
    <w:rsid w:val="009A52CD"/>
    <w:rsid w:val="009A7448"/>
    <w:rsid w:val="009A78C7"/>
    <w:rsid w:val="009A7CC1"/>
    <w:rsid w:val="009B04F4"/>
    <w:rsid w:val="009B1E90"/>
    <w:rsid w:val="009B5C7B"/>
    <w:rsid w:val="009B778D"/>
    <w:rsid w:val="009C0078"/>
    <w:rsid w:val="009C0209"/>
    <w:rsid w:val="009C04DD"/>
    <w:rsid w:val="009C2805"/>
    <w:rsid w:val="009C2AF7"/>
    <w:rsid w:val="009C2C74"/>
    <w:rsid w:val="009C4C06"/>
    <w:rsid w:val="009C5780"/>
    <w:rsid w:val="009C6222"/>
    <w:rsid w:val="009D1F51"/>
    <w:rsid w:val="009D209A"/>
    <w:rsid w:val="009D2979"/>
    <w:rsid w:val="009D2A8F"/>
    <w:rsid w:val="009D2B5D"/>
    <w:rsid w:val="009D5527"/>
    <w:rsid w:val="009D5A23"/>
    <w:rsid w:val="009D5E93"/>
    <w:rsid w:val="009D6250"/>
    <w:rsid w:val="009D69D2"/>
    <w:rsid w:val="009D6C8E"/>
    <w:rsid w:val="009D6E22"/>
    <w:rsid w:val="009E09BA"/>
    <w:rsid w:val="009E0FFC"/>
    <w:rsid w:val="009E226C"/>
    <w:rsid w:val="009E2562"/>
    <w:rsid w:val="009E396A"/>
    <w:rsid w:val="009E6207"/>
    <w:rsid w:val="009E78BB"/>
    <w:rsid w:val="009F1E6D"/>
    <w:rsid w:val="009F33BC"/>
    <w:rsid w:val="009F4CD8"/>
    <w:rsid w:val="009F597D"/>
    <w:rsid w:val="009F5F33"/>
    <w:rsid w:val="009F6435"/>
    <w:rsid w:val="009F6B7E"/>
    <w:rsid w:val="009F6CC7"/>
    <w:rsid w:val="00A000AC"/>
    <w:rsid w:val="00A00328"/>
    <w:rsid w:val="00A007B7"/>
    <w:rsid w:val="00A00C66"/>
    <w:rsid w:val="00A126AA"/>
    <w:rsid w:val="00A126F5"/>
    <w:rsid w:val="00A12AF1"/>
    <w:rsid w:val="00A1404D"/>
    <w:rsid w:val="00A15114"/>
    <w:rsid w:val="00A1529F"/>
    <w:rsid w:val="00A17670"/>
    <w:rsid w:val="00A17F8F"/>
    <w:rsid w:val="00A2006B"/>
    <w:rsid w:val="00A20121"/>
    <w:rsid w:val="00A21666"/>
    <w:rsid w:val="00A218CE"/>
    <w:rsid w:val="00A236E3"/>
    <w:rsid w:val="00A23B52"/>
    <w:rsid w:val="00A23B58"/>
    <w:rsid w:val="00A242F3"/>
    <w:rsid w:val="00A24D04"/>
    <w:rsid w:val="00A26A41"/>
    <w:rsid w:val="00A27E7E"/>
    <w:rsid w:val="00A319A7"/>
    <w:rsid w:val="00A3206C"/>
    <w:rsid w:val="00A328C5"/>
    <w:rsid w:val="00A329FE"/>
    <w:rsid w:val="00A3368A"/>
    <w:rsid w:val="00A344CD"/>
    <w:rsid w:val="00A34AD5"/>
    <w:rsid w:val="00A357A8"/>
    <w:rsid w:val="00A358C6"/>
    <w:rsid w:val="00A359D6"/>
    <w:rsid w:val="00A359E1"/>
    <w:rsid w:val="00A3623A"/>
    <w:rsid w:val="00A3684E"/>
    <w:rsid w:val="00A40E1A"/>
    <w:rsid w:val="00A427EC"/>
    <w:rsid w:val="00A43020"/>
    <w:rsid w:val="00A433A0"/>
    <w:rsid w:val="00A44030"/>
    <w:rsid w:val="00A44508"/>
    <w:rsid w:val="00A4501C"/>
    <w:rsid w:val="00A4563D"/>
    <w:rsid w:val="00A465D6"/>
    <w:rsid w:val="00A46E7F"/>
    <w:rsid w:val="00A473C9"/>
    <w:rsid w:val="00A513A7"/>
    <w:rsid w:val="00A516A8"/>
    <w:rsid w:val="00A5307D"/>
    <w:rsid w:val="00A535BA"/>
    <w:rsid w:val="00A56BC0"/>
    <w:rsid w:val="00A56C28"/>
    <w:rsid w:val="00A5714C"/>
    <w:rsid w:val="00A579E4"/>
    <w:rsid w:val="00A57D5C"/>
    <w:rsid w:val="00A60156"/>
    <w:rsid w:val="00A60D5C"/>
    <w:rsid w:val="00A618DB"/>
    <w:rsid w:val="00A61998"/>
    <w:rsid w:val="00A6229F"/>
    <w:rsid w:val="00A62494"/>
    <w:rsid w:val="00A625EB"/>
    <w:rsid w:val="00A62A4C"/>
    <w:rsid w:val="00A64071"/>
    <w:rsid w:val="00A65080"/>
    <w:rsid w:val="00A6587B"/>
    <w:rsid w:val="00A659B0"/>
    <w:rsid w:val="00A65A3C"/>
    <w:rsid w:val="00A66EB4"/>
    <w:rsid w:val="00A70E37"/>
    <w:rsid w:val="00A70ECC"/>
    <w:rsid w:val="00A726C9"/>
    <w:rsid w:val="00A73747"/>
    <w:rsid w:val="00A746DE"/>
    <w:rsid w:val="00A75C57"/>
    <w:rsid w:val="00A76BD0"/>
    <w:rsid w:val="00A77B8A"/>
    <w:rsid w:val="00A80554"/>
    <w:rsid w:val="00A80D01"/>
    <w:rsid w:val="00A823EC"/>
    <w:rsid w:val="00A82D05"/>
    <w:rsid w:val="00A82DED"/>
    <w:rsid w:val="00A832CA"/>
    <w:rsid w:val="00A8356E"/>
    <w:rsid w:val="00A842C8"/>
    <w:rsid w:val="00A8462F"/>
    <w:rsid w:val="00A84727"/>
    <w:rsid w:val="00A84B60"/>
    <w:rsid w:val="00A85001"/>
    <w:rsid w:val="00A8595A"/>
    <w:rsid w:val="00A86713"/>
    <w:rsid w:val="00A87117"/>
    <w:rsid w:val="00A90EE6"/>
    <w:rsid w:val="00A919B4"/>
    <w:rsid w:val="00A94612"/>
    <w:rsid w:val="00A954A4"/>
    <w:rsid w:val="00A95ED5"/>
    <w:rsid w:val="00A967A4"/>
    <w:rsid w:val="00A96FF0"/>
    <w:rsid w:val="00A9708B"/>
    <w:rsid w:val="00A971B3"/>
    <w:rsid w:val="00AA1A4F"/>
    <w:rsid w:val="00AA4791"/>
    <w:rsid w:val="00AA4E07"/>
    <w:rsid w:val="00AA4FE1"/>
    <w:rsid w:val="00AA6CE7"/>
    <w:rsid w:val="00AA71AF"/>
    <w:rsid w:val="00AB0301"/>
    <w:rsid w:val="00AB09D4"/>
    <w:rsid w:val="00AB0AE4"/>
    <w:rsid w:val="00AB0E2C"/>
    <w:rsid w:val="00AB10F1"/>
    <w:rsid w:val="00AB11A9"/>
    <w:rsid w:val="00AB1E66"/>
    <w:rsid w:val="00AB1F3C"/>
    <w:rsid w:val="00AB20AF"/>
    <w:rsid w:val="00AB38F3"/>
    <w:rsid w:val="00AB7630"/>
    <w:rsid w:val="00AC03BA"/>
    <w:rsid w:val="00AC080D"/>
    <w:rsid w:val="00AC127C"/>
    <w:rsid w:val="00AC2944"/>
    <w:rsid w:val="00AC3065"/>
    <w:rsid w:val="00AC491A"/>
    <w:rsid w:val="00AC6748"/>
    <w:rsid w:val="00AC6767"/>
    <w:rsid w:val="00AC6E0A"/>
    <w:rsid w:val="00AC76F4"/>
    <w:rsid w:val="00AD0807"/>
    <w:rsid w:val="00AD100A"/>
    <w:rsid w:val="00AD1A51"/>
    <w:rsid w:val="00AD3554"/>
    <w:rsid w:val="00AD4642"/>
    <w:rsid w:val="00AD555D"/>
    <w:rsid w:val="00AD683B"/>
    <w:rsid w:val="00AD7896"/>
    <w:rsid w:val="00AE267D"/>
    <w:rsid w:val="00AE276A"/>
    <w:rsid w:val="00AE31E6"/>
    <w:rsid w:val="00AE3202"/>
    <w:rsid w:val="00AE343E"/>
    <w:rsid w:val="00AE38D6"/>
    <w:rsid w:val="00AE46A4"/>
    <w:rsid w:val="00AE6286"/>
    <w:rsid w:val="00AE6DB1"/>
    <w:rsid w:val="00AE7228"/>
    <w:rsid w:val="00AF002C"/>
    <w:rsid w:val="00AF029B"/>
    <w:rsid w:val="00AF0CDC"/>
    <w:rsid w:val="00AF2A31"/>
    <w:rsid w:val="00AF2FF8"/>
    <w:rsid w:val="00AF44FE"/>
    <w:rsid w:val="00AF5C85"/>
    <w:rsid w:val="00AF5E55"/>
    <w:rsid w:val="00AF6B12"/>
    <w:rsid w:val="00B0005F"/>
    <w:rsid w:val="00B001C1"/>
    <w:rsid w:val="00B010D0"/>
    <w:rsid w:val="00B02301"/>
    <w:rsid w:val="00B02717"/>
    <w:rsid w:val="00B02F2D"/>
    <w:rsid w:val="00B032A6"/>
    <w:rsid w:val="00B03D1E"/>
    <w:rsid w:val="00B04145"/>
    <w:rsid w:val="00B044B1"/>
    <w:rsid w:val="00B0521D"/>
    <w:rsid w:val="00B05A25"/>
    <w:rsid w:val="00B05AC4"/>
    <w:rsid w:val="00B06C45"/>
    <w:rsid w:val="00B10F0C"/>
    <w:rsid w:val="00B114C6"/>
    <w:rsid w:val="00B12666"/>
    <w:rsid w:val="00B12784"/>
    <w:rsid w:val="00B20910"/>
    <w:rsid w:val="00B20B21"/>
    <w:rsid w:val="00B2185B"/>
    <w:rsid w:val="00B26FE8"/>
    <w:rsid w:val="00B27B0A"/>
    <w:rsid w:val="00B31EFC"/>
    <w:rsid w:val="00B32D2A"/>
    <w:rsid w:val="00B3354F"/>
    <w:rsid w:val="00B33BAE"/>
    <w:rsid w:val="00B34B7A"/>
    <w:rsid w:val="00B35340"/>
    <w:rsid w:val="00B37893"/>
    <w:rsid w:val="00B37C24"/>
    <w:rsid w:val="00B401DF"/>
    <w:rsid w:val="00B404DE"/>
    <w:rsid w:val="00B40AFA"/>
    <w:rsid w:val="00B40CF3"/>
    <w:rsid w:val="00B414AF"/>
    <w:rsid w:val="00B41767"/>
    <w:rsid w:val="00B41F38"/>
    <w:rsid w:val="00B4236F"/>
    <w:rsid w:val="00B42B91"/>
    <w:rsid w:val="00B42C31"/>
    <w:rsid w:val="00B448C7"/>
    <w:rsid w:val="00B44973"/>
    <w:rsid w:val="00B45D2B"/>
    <w:rsid w:val="00B509A0"/>
    <w:rsid w:val="00B52070"/>
    <w:rsid w:val="00B525FF"/>
    <w:rsid w:val="00B53B3D"/>
    <w:rsid w:val="00B53CDD"/>
    <w:rsid w:val="00B542CA"/>
    <w:rsid w:val="00B54427"/>
    <w:rsid w:val="00B551F6"/>
    <w:rsid w:val="00B55501"/>
    <w:rsid w:val="00B55BDF"/>
    <w:rsid w:val="00B57161"/>
    <w:rsid w:val="00B5729C"/>
    <w:rsid w:val="00B5792E"/>
    <w:rsid w:val="00B601F0"/>
    <w:rsid w:val="00B61EE5"/>
    <w:rsid w:val="00B623AC"/>
    <w:rsid w:val="00B625EC"/>
    <w:rsid w:val="00B62762"/>
    <w:rsid w:val="00B62F08"/>
    <w:rsid w:val="00B63BA0"/>
    <w:rsid w:val="00B63FEC"/>
    <w:rsid w:val="00B64A9B"/>
    <w:rsid w:val="00B6685B"/>
    <w:rsid w:val="00B6724E"/>
    <w:rsid w:val="00B7084F"/>
    <w:rsid w:val="00B7184F"/>
    <w:rsid w:val="00B735BF"/>
    <w:rsid w:val="00B73A24"/>
    <w:rsid w:val="00B7407F"/>
    <w:rsid w:val="00B75DA3"/>
    <w:rsid w:val="00B75E4B"/>
    <w:rsid w:val="00B8016B"/>
    <w:rsid w:val="00B8017D"/>
    <w:rsid w:val="00B82989"/>
    <w:rsid w:val="00B82D7F"/>
    <w:rsid w:val="00B83FAB"/>
    <w:rsid w:val="00B84B5B"/>
    <w:rsid w:val="00B84BFA"/>
    <w:rsid w:val="00B854A9"/>
    <w:rsid w:val="00B85C2A"/>
    <w:rsid w:val="00B86000"/>
    <w:rsid w:val="00B874B9"/>
    <w:rsid w:val="00B90321"/>
    <w:rsid w:val="00B91504"/>
    <w:rsid w:val="00B916CB"/>
    <w:rsid w:val="00B92934"/>
    <w:rsid w:val="00B92D20"/>
    <w:rsid w:val="00B92DEB"/>
    <w:rsid w:val="00B946C9"/>
    <w:rsid w:val="00B94849"/>
    <w:rsid w:val="00B94CB4"/>
    <w:rsid w:val="00B959BB"/>
    <w:rsid w:val="00B95AE6"/>
    <w:rsid w:val="00B96204"/>
    <w:rsid w:val="00B965D8"/>
    <w:rsid w:val="00B969D4"/>
    <w:rsid w:val="00B97C16"/>
    <w:rsid w:val="00BA109A"/>
    <w:rsid w:val="00BA1EBB"/>
    <w:rsid w:val="00BA205A"/>
    <w:rsid w:val="00BA2F59"/>
    <w:rsid w:val="00BA3FC9"/>
    <w:rsid w:val="00BA4238"/>
    <w:rsid w:val="00BA48BC"/>
    <w:rsid w:val="00BA6026"/>
    <w:rsid w:val="00BA7A7A"/>
    <w:rsid w:val="00BB1076"/>
    <w:rsid w:val="00BB232E"/>
    <w:rsid w:val="00BB359C"/>
    <w:rsid w:val="00BB6306"/>
    <w:rsid w:val="00BB6723"/>
    <w:rsid w:val="00BB7031"/>
    <w:rsid w:val="00BB727A"/>
    <w:rsid w:val="00BB7339"/>
    <w:rsid w:val="00BB7D72"/>
    <w:rsid w:val="00BC0395"/>
    <w:rsid w:val="00BC0F23"/>
    <w:rsid w:val="00BC139B"/>
    <w:rsid w:val="00BC174E"/>
    <w:rsid w:val="00BC52D1"/>
    <w:rsid w:val="00BC5310"/>
    <w:rsid w:val="00BC5313"/>
    <w:rsid w:val="00BC6754"/>
    <w:rsid w:val="00BC7539"/>
    <w:rsid w:val="00BD0012"/>
    <w:rsid w:val="00BD0195"/>
    <w:rsid w:val="00BD02DC"/>
    <w:rsid w:val="00BD0D08"/>
    <w:rsid w:val="00BD1730"/>
    <w:rsid w:val="00BD1E38"/>
    <w:rsid w:val="00BD2982"/>
    <w:rsid w:val="00BD32A7"/>
    <w:rsid w:val="00BD4390"/>
    <w:rsid w:val="00BD64F5"/>
    <w:rsid w:val="00BD65D9"/>
    <w:rsid w:val="00BD6F9D"/>
    <w:rsid w:val="00BE07E3"/>
    <w:rsid w:val="00BE0D3C"/>
    <w:rsid w:val="00BE7862"/>
    <w:rsid w:val="00BF1057"/>
    <w:rsid w:val="00BF1667"/>
    <w:rsid w:val="00BF1AD9"/>
    <w:rsid w:val="00BF27E4"/>
    <w:rsid w:val="00BF6DCA"/>
    <w:rsid w:val="00BF7849"/>
    <w:rsid w:val="00BF7D1D"/>
    <w:rsid w:val="00C01051"/>
    <w:rsid w:val="00C0131E"/>
    <w:rsid w:val="00C01F80"/>
    <w:rsid w:val="00C03267"/>
    <w:rsid w:val="00C0374F"/>
    <w:rsid w:val="00C03B45"/>
    <w:rsid w:val="00C04C79"/>
    <w:rsid w:val="00C05CEB"/>
    <w:rsid w:val="00C06964"/>
    <w:rsid w:val="00C06F30"/>
    <w:rsid w:val="00C07FC8"/>
    <w:rsid w:val="00C10109"/>
    <w:rsid w:val="00C10918"/>
    <w:rsid w:val="00C1339A"/>
    <w:rsid w:val="00C14BBF"/>
    <w:rsid w:val="00C15031"/>
    <w:rsid w:val="00C15613"/>
    <w:rsid w:val="00C15789"/>
    <w:rsid w:val="00C15E8E"/>
    <w:rsid w:val="00C175BC"/>
    <w:rsid w:val="00C175FF"/>
    <w:rsid w:val="00C20012"/>
    <w:rsid w:val="00C20056"/>
    <w:rsid w:val="00C212E6"/>
    <w:rsid w:val="00C22850"/>
    <w:rsid w:val="00C22998"/>
    <w:rsid w:val="00C23E3F"/>
    <w:rsid w:val="00C24A86"/>
    <w:rsid w:val="00C24C58"/>
    <w:rsid w:val="00C24D69"/>
    <w:rsid w:val="00C261AD"/>
    <w:rsid w:val="00C316F2"/>
    <w:rsid w:val="00C3230F"/>
    <w:rsid w:val="00C32C02"/>
    <w:rsid w:val="00C331FF"/>
    <w:rsid w:val="00C33752"/>
    <w:rsid w:val="00C3381B"/>
    <w:rsid w:val="00C33FC4"/>
    <w:rsid w:val="00C344C8"/>
    <w:rsid w:val="00C34653"/>
    <w:rsid w:val="00C34D89"/>
    <w:rsid w:val="00C35965"/>
    <w:rsid w:val="00C36AD4"/>
    <w:rsid w:val="00C3782F"/>
    <w:rsid w:val="00C37C95"/>
    <w:rsid w:val="00C37E59"/>
    <w:rsid w:val="00C40013"/>
    <w:rsid w:val="00C40737"/>
    <w:rsid w:val="00C40781"/>
    <w:rsid w:val="00C43540"/>
    <w:rsid w:val="00C44183"/>
    <w:rsid w:val="00C441B6"/>
    <w:rsid w:val="00C441DC"/>
    <w:rsid w:val="00C45DE9"/>
    <w:rsid w:val="00C47B45"/>
    <w:rsid w:val="00C5045C"/>
    <w:rsid w:val="00C50FDD"/>
    <w:rsid w:val="00C51684"/>
    <w:rsid w:val="00C517A9"/>
    <w:rsid w:val="00C518B9"/>
    <w:rsid w:val="00C52D46"/>
    <w:rsid w:val="00C52F10"/>
    <w:rsid w:val="00C54C6F"/>
    <w:rsid w:val="00C569B8"/>
    <w:rsid w:val="00C56E07"/>
    <w:rsid w:val="00C56F09"/>
    <w:rsid w:val="00C60ABF"/>
    <w:rsid w:val="00C61340"/>
    <w:rsid w:val="00C61E16"/>
    <w:rsid w:val="00C61E75"/>
    <w:rsid w:val="00C622EF"/>
    <w:rsid w:val="00C62C38"/>
    <w:rsid w:val="00C63285"/>
    <w:rsid w:val="00C64D96"/>
    <w:rsid w:val="00C65F6A"/>
    <w:rsid w:val="00C70ACD"/>
    <w:rsid w:val="00C71038"/>
    <w:rsid w:val="00C71269"/>
    <w:rsid w:val="00C72205"/>
    <w:rsid w:val="00C72E09"/>
    <w:rsid w:val="00C73D6A"/>
    <w:rsid w:val="00C74AD9"/>
    <w:rsid w:val="00C74F4B"/>
    <w:rsid w:val="00C75E5F"/>
    <w:rsid w:val="00C77303"/>
    <w:rsid w:val="00C77493"/>
    <w:rsid w:val="00C80781"/>
    <w:rsid w:val="00C83A29"/>
    <w:rsid w:val="00C83FDD"/>
    <w:rsid w:val="00C84E2A"/>
    <w:rsid w:val="00C8546C"/>
    <w:rsid w:val="00C85E80"/>
    <w:rsid w:val="00C871FD"/>
    <w:rsid w:val="00C906BB"/>
    <w:rsid w:val="00C91EB9"/>
    <w:rsid w:val="00C9213D"/>
    <w:rsid w:val="00C96178"/>
    <w:rsid w:val="00C96D05"/>
    <w:rsid w:val="00CA27A0"/>
    <w:rsid w:val="00CA2A90"/>
    <w:rsid w:val="00CA2B2B"/>
    <w:rsid w:val="00CA333F"/>
    <w:rsid w:val="00CA342B"/>
    <w:rsid w:val="00CA3F20"/>
    <w:rsid w:val="00CA46C9"/>
    <w:rsid w:val="00CA6A30"/>
    <w:rsid w:val="00CA7FCA"/>
    <w:rsid w:val="00CB0799"/>
    <w:rsid w:val="00CB36CF"/>
    <w:rsid w:val="00CB3DC5"/>
    <w:rsid w:val="00CB4584"/>
    <w:rsid w:val="00CB4E0F"/>
    <w:rsid w:val="00CB5865"/>
    <w:rsid w:val="00CB5BCF"/>
    <w:rsid w:val="00CB6C6B"/>
    <w:rsid w:val="00CB763D"/>
    <w:rsid w:val="00CC1300"/>
    <w:rsid w:val="00CC319D"/>
    <w:rsid w:val="00CC3A6D"/>
    <w:rsid w:val="00CC6DC2"/>
    <w:rsid w:val="00CC76DD"/>
    <w:rsid w:val="00CD01D7"/>
    <w:rsid w:val="00CD0737"/>
    <w:rsid w:val="00CD09FF"/>
    <w:rsid w:val="00CD250A"/>
    <w:rsid w:val="00CD37A3"/>
    <w:rsid w:val="00CD3AB0"/>
    <w:rsid w:val="00CD3E08"/>
    <w:rsid w:val="00CD617D"/>
    <w:rsid w:val="00CD6740"/>
    <w:rsid w:val="00CD6E37"/>
    <w:rsid w:val="00CD72B9"/>
    <w:rsid w:val="00CE00EC"/>
    <w:rsid w:val="00CE157D"/>
    <w:rsid w:val="00CE1DDF"/>
    <w:rsid w:val="00CE1FE0"/>
    <w:rsid w:val="00CE25C5"/>
    <w:rsid w:val="00CE2C8C"/>
    <w:rsid w:val="00CE3643"/>
    <w:rsid w:val="00CE3CA5"/>
    <w:rsid w:val="00CE5855"/>
    <w:rsid w:val="00CE6162"/>
    <w:rsid w:val="00CE656F"/>
    <w:rsid w:val="00CE6E52"/>
    <w:rsid w:val="00CE6EB7"/>
    <w:rsid w:val="00CF076F"/>
    <w:rsid w:val="00CF1387"/>
    <w:rsid w:val="00CF259B"/>
    <w:rsid w:val="00CF28CC"/>
    <w:rsid w:val="00CF2BAE"/>
    <w:rsid w:val="00CF2C5B"/>
    <w:rsid w:val="00CF3AA4"/>
    <w:rsid w:val="00CF43D2"/>
    <w:rsid w:val="00CF4592"/>
    <w:rsid w:val="00CF5109"/>
    <w:rsid w:val="00CF51E2"/>
    <w:rsid w:val="00CF5277"/>
    <w:rsid w:val="00CF6977"/>
    <w:rsid w:val="00CF6C46"/>
    <w:rsid w:val="00CF75AB"/>
    <w:rsid w:val="00D013BE"/>
    <w:rsid w:val="00D01947"/>
    <w:rsid w:val="00D02805"/>
    <w:rsid w:val="00D03C4D"/>
    <w:rsid w:val="00D04A00"/>
    <w:rsid w:val="00D0528B"/>
    <w:rsid w:val="00D05540"/>
    <w:rsid w:val="00D05BD8"/>
    <w:rsid w:val="00D066BE"/>
    <w:rsid w:val="00D07340"/>
    <w:rsid w:val="00D07494"/>
    <w:rsid w:val="00D100B8"/>
    <w:rsid w:val="00D11DAA"/>
    <w:rsid w:val="00D124E3"/>
    <w:rsid w:val="00D127B7"/>
    <w:rsid w:val="00D1371E"/>
    <w:rsid w:val="00D13BA6"/>
    <w:rsid w:val="00D14A22"/>
    <w:rsid w:val="00D17369"/>
    <w:rsid w:val="00D1789C"/>
    <w:rsid w:val="00D205D1"/>
    <w:rsid w:val="00D20765"/>
    <w:rsid w:val="00D20CCF"/>
    <w:rsid w:val="00D2249F"/>
    <w:rsid w:val="00D22EDB"/>
    <w:rsid w:val="00D23F2B"/>
    <w:rsid w:val="00D255CB"/>
    <w:rsid w:val="00D25B8E"/>
    <w:rsid w:val="00D2606F"/>
    <w:rsid w:val="00D3094E"/>
    <w:rsid w:val="00D32276"/>
    <w:rsid w:val="00D32EB6"/>
    <w:rsid w:val="00D3446C"/>
    <w:rsid w:val="00D34AA1"/>
    <w:rsid w:val="00D34C4A"/>
    <w:rsid w:val="00D35A56"/>
    <w:rsid w:val="00D360B9"/>
    <w:rsid w:val="00D364BB"/>
    <w:rsid w:val="00D37165"/>
    <w:rsid w:val="00D418EA"/>
    <w:rsid w:val="00D42996"/>
    <w:rsid w:val="00D42ECC"/>
    <w:rsid w:val="00D43D14"/>
    <w:rsid w:val="00D43D27"/>
    <w:rsid w:val="00D45940"/>
    <w:rsid w:val="00D462C9"/>
    <w:rsid w:val="00D46654"/>
    <w:rsid w:val="00D50EB2"/>
    <w:rsid w:val="00D52BA9"/>
    <w:rsid w:val="00D5333E"/>
    <w:rsid w:val="00D541EF"/>
    <w:rsid w:val="00D5445E"/>
    <w:rsid w:val="00D559A8"/>
    <w:rsid w:val="00D564C7"/>
    <w:rsid w:val="00D57392"/>
    <w:rsid w:val="00D60408"/>
    <w:rsid w:val="00D60B20"/>
    <w:rsid w:val="00D6195D"/>
    <w:rsid w:val="00D624D2"/>
    <w:rsid w:val="00D62644"/>
    <w:rsid w:val="00D627A2"/>
    <w:rsid w:val="00D6296B"/>
    <w:rsid w:val="00D6588B"/>
    <w:rsid w:val="00D66C7E"/>
    <w:rsid w:val="00D67131"/>
    <w:rsid w:val="00D6787B"/>
    <w:rsid w:val="00D67A2F"/>
    <w:rsid w:val="00D67B85"/>
    <w:rsid w:val="00D70086"/>
    <w:rsid w:val="00D7040B"/>
    <w:rsid w:val="00D7053E"/>
    <w:rsid w:val="00D70EFA"/>
    <w:rsid w:val="00D7147E"/>
    <w:rsid w:val="00D723B1"/>
    <w:rsid w:val="00D72DB9"/>
    <w:rsid w:val="00D73AB1"/>
    <w:rsid w:val="00D73DCC"/>
    <w:rsid w:val="00D74C26"/>
    <w:rsid w:val="00D75101"/>
    <w:rsid w:val="00D75D3C"/>
    <w:rsid w:val="00D80F20"/>
    <w:rsid w:val="00D81114"/>
    <w:rsid w:val="00D819C1"/>
    <w:rsid w:val="00D85E9C"/>
    <w:rsid w:val="00D87166"/>
    <w:rsid w:val="00D87DAF"/>
    <w:rsid w:val="00D87F4D"/>
    <w:rsid w:val="00D926F6"/>
    <w:rsid w:val="00D96B63"/>
    <w:rsid w:val="00DA0663"/>
    <w:rsid w:val="00DA0B8E"/>
    <w:rsid w:val="00DA11C8"/>
    <w:rsid w:val="00DA120F"/>
    <w:rsid w:val="00DA1B7A"/>
    <w:rsid w:val="00DA25E3"/>
    <w:rsid w:val="00DA2736"/>
    <w:rsid w:val="00DA3CA6"/>
    <w:rsid w:val="00DA3E62"/>
    <w:rsid w:val="00DA4E00"/>
    <w:rsid w:val="00DA576B"/>
    <w:rsid w:val="00DA6933"/>
    <w:rsid w:val="00DB25AE"/>
    <w:rsid w:val="00DB37A6"/>
    <w:rsid w:val="00DB4208"/>
    <w:rsid w:val="00DB4B34"/>
    <w:rsid w:val="00DB73D3"/>
    <w:rsid w:val="00DB76E2"/>
    <w:rsid w:val="00DB7F39"/>
    <w:rsid w:val="00DB7FA2"/>
    <w:rsid w:val="00DC13FC"/>
    <w:rsid w:val="00DC15DB"/>
    <w:rsid w:val="00DC1C85"/>
    <w:rsid w:val="00DC2B4A"/>
    <w:rsid w:val="00DC3B53"/>
    <w:rsid w:val="00DC3DD5"/>
    <w:rsid w:val="00DC4631"/>
    <w:rsid w:val="00DC5089"/>
    <w:rsid w:val="00DC678E"/>
    <w:rsid w:val="00DC7036"/>
    <w:rsid w:val="00DD02B2"/>
    <w:rsid w:val="00DD166A"/>
    <w:rsid w:val="00DD4073"/>
    <w:rsid w:val="00DD459A"/>
    <w:rsid w:val="00DD4721"/>
    <w:rsid w:val="00DD4A1E"/>
    <w:rsid w:val="00DD4D01"/>
    <w:rsid w:val="00DD564B"/>
    <w:rsid w:val="00DD5B99"/>
    <w:rsid w:val="00DD5BE3"/>
    <w:rsid w:val="00DD71A7"/>
    <w:rsid w:val="00DD7B37"/>
    <w:rsid w:val="00DE140D"/>
    <w:rsid w:val="00DE22A6"/>
    <w:rsid w:val="00DE6152"/>
    <w:rsid w:val="00DE62E9"/>
    <w:rsid w:val="00DE6970"/>
    <w:rsid w:val="00DE6CB2"/>
    <w:rsid w:val="00DF17D4"/>
    <w:rsid w:val="00DF1881"/>
    <w:rsid w:val="00DF3E0E"/>
    <w:rsid w:val="00DF4397"/>
    <w:rsid w:val="00DF555E"/>
    <w:rsid w:val="00DF7A44"/>
    <w:rsid w:val="00E009AE"/>
    <w:rsid w:val="00E00EAF"/>
    <w:rsid w:val="00E03D35"/>
    <w:rsid w:val="00E04148"/>
    <w:rsid w:val="00E04272"/>
    <w:rsid w:val="00E048E5"/>
    <w:rsid w:val="00E0647A"/>
    <w:rsid w:val="00E103C9"/>
    <w:rsid w:val="00E1074F"/>
    <w:rsid w:val="00E108A1"/>
    <w:rsid w:val="00E11B42"/>
    <w:rsid w:val="00E12032"/>
    <w:rsid w:val="00E12302"/>
    <w:rsid w:val="00E1231F"/>
    <w:rsid w:val="00E125C0"/>
    <w:rsid w:val="00E14ABD"/>
    <w:rsid w:val="00E14AD6"/>
    <w:rsid w:val="00E1581E"/>
    <w:rsid w:val="00E15AE3"/>
    <w:rsid w:val="00E16245"/>
    <w:rsid w:val="00E1647C"/>
    <w:rsid w:val="00E20280"/>
    <w:rsid w:val="00E20DE6"/>
    <w:rsid w:val="00E226A1"/>
    <w:rsid w:val="00E228E5"/>
    <w:rsid w:val="00E22E1F"/>
    <w:rsid w:val="00E2305C"/>
    <w:rsid w:val="00E23FCC"/>
    <w:rsid w:val="00E246B9"/>
    <w:rsid w:val="00E24EC5"/>
    <w:rsid w:val="00E25C6C"/>
    <w:rsid w:val="00E262FB"/>
    <w:rsid w:val="00E27942"/>
    <w:rsid w:val="00E30B2C"/>
    <w:rsid w:val="00E3129A"/>
    <w:rsid w:val="00E3200D"/>
    <w:rsid w:val="00E32688"/>
    <w:rsid w:val="00E332F2"/>
    <w:rsid w:val="00E33CEE"/>
    <w:rsid w:val="00E3497A"/>
    <w:rsid w:val="00E353A0"/>
    <w:rsid w:val="00E403BE"/>
    <w:rsid w:val="00E40418"/>
    <w:rsid w:val="00E40C5C"/>
    <w:rsid w:val="00E420BE"/>
    <w:rsid w:val="00E42440"/>
    <w:rsid w:val="00E42600"/>
    <w:rsid w:val="00E44F12"/>
    <w:rsid w:val="00E45317"/>
    <w:rsid w:val="00E4581C"/>
    <w:rsid w:val="00E46100"/>
    <w:rsid w:val="00E47854"/>
    <w:rsid w:val="00E5044C"/>
    <w:rsid w:val="00E5050B"/>
    <w:rsid w:val="00E52060"/>
    <w:rsid w:val="00E5215B"/>
    <w:rsid w:val="00E537FB"/>
    <w:rsid w:val="00E53CDA"/>
    <w:rsid w:val="00E55A0E"/>
    <w:rsid w:val="00E55B96"/>
    <w:rsid w:val="00E56F05"/>
    <w:rsid w:val="00E56FE2"/>
    <w:rsid w:val="00E5753E"/>
    <w:rsid w:val="00E578FF"/>
    <w:rsid w:val="00E60B7E"/>
    <w:rsid w:val="00E610D3"/>
    <w:rsid w:val="00E6170C"/>
    <w:rsid w:val="00E641D6"/>
    <w:rsid w:val="00E650FB"/>
    <w:rsid w:val="00E65CF6"/>
    <w:rsid w:val="00E6753E"/>
    <w:rsid w:val="00E70F19"/>
    <w:rsid w:val="00E71DFF"/>
    <w:rsid w:val="00E72EA7"/>
    <w:rsid w:val="00E72F91"/>
    <w:rsid w:val="00E73049"/>
    <w:rsid w:val="00E7307C"/>
    <w:rsid w:val="00E73C78"/>
    <w:rsid w:val="00E75E82"/>
    <w:rsid w:val="00E77754"/>
    <w:rsid w:val="00E8292E"/>
    <w:rsid w:val="00E82BD8"/>
    <w:rsid w:val="00E83038"/>
    <w:rsid w:val="00E8395A"/>
    <w:rsid w:val="00E8566F"/>
    <w:rsid w:val="00E877A3"/>
    <w:rsid w:val="00E917C4"/>
    <w:rsid w:val="00E92EAF"/>
    <w:rsid w:val="00E92F4F"/>
    <w:rsid w:val="00E93512"/>
    <w:rsid w:val="00E93B93"/>
    <w:rsid w:val="00E93BA4"/>
    <w:rsid w:val="00E93EA7"/>
    <w:rsid w:val="00E9626F"/>
    <w:rsid w:val="00EA0C53"/>
    <w:rsid w:val="00EA1D67"/>
    <w:rsid w:val="00EA3163"/>
    <w:rsid w:val="00EA54AC"/>
    <w:rsid w:val="00EA5828"/>
    <w:rsid w:val="00EA641D"/>
    <w:rsid w:val="00EA7BB8"/>
    <w:rsid w:val="00EB1D13"/>
    <w:rsid w:val="00EB1F2D"/>
    <w:rsid w:val="00EB3031"/>
    <w:rsid w:val="00EB30D2"/>
    <w:rsid w:val="00EB3A0E"/>
    <w:rsid w:val="00EB4513"/>
    <w:rsid w:val="00EB7163"/>
    <w:rsid w:val="00EB74BE"/>
    <w:rsid w:val="00EC010B"/>
    <w:rsid w:val="00EC030A"/>
    <w:rsid w:val="00EC07C3"/>
    <w:rsid w:val="00EC1843"/>
    <w:rsid w:val="00EC22F2"/>
    <w:rsid w:val="00EC252E"/>
    <w:rsid w:val="00EC2B77"/>
    <w:rsid w:val="00EC4B77"/>
    <w:rsid w:val="00EC6B8B"/>
    <w:rsid w:val="00EC70FD"/>
    <w:rsid w:val="00EC7DED"/>
    <w:rsid w:val="00EC7EE8"/>
    <w:rsid w:val="00ED02AD"/>
    <w:rsid w:val="00ED0778"/>
    <w:rsid w:val="00ED079C"/>
    <w:rsid w:val="00ED1F38"/>
    <w:rsid w:val="00ED27B1"/>
    <w:rsid w:val="00ED3792"/>
    <w:rsid w:val="00ED4007"/>
    <w:rsid w:val="00ED41C0"/>
    <w:rsid w:val="00ED466D"/>
    <w:rsid w:val="00ED4DD0"/>
    <w:rsid w:val="00ED564C"/>
    <w:rsid w:val="00ED565A"/>
    <w:rsid w:val="00ED6D2C"/>
    <w:rsid w:val="00ED78AE"/>
    <w:rsid w:val="00EE1222"/>
    <w:rsid w:val="00EE2866"/>
    <w:rsid w:val="00EE2B81"/>
    <w:rsid w:val="00EE3845"/>
    <w:rsid w:val="00EE3D9B"/>
    <w:rsid w:val="00EE45FE"/>
    <w:rsid w:val="00EE4FFA"/>
    <w:rsid w:val="00EE511F"/>
    <w:rsid w:val="00EE5230"/>
    <w:rsid w:val="00EE5537"/>
    <w:rsid w:val="00EE5BCF"/>
    <w:rsid w:val="00EE6102"/>
    <w:rsid w:val="00EE7B47"/>
    <w:rsid w:val="00EF03E1"/>
    <w:rsid w:val="00EF13D8"/>
    <w:rsid w:val="00EF1F8F"/>
    <w:rsid w:val="00EF2870"/>
    <w:rsid w:val="00EF490C"/>
    <w:rsid w:val="00EF4B76"/>
    <w:rsid w:val="00EF4BFB"/>
    <w:rsid w:val="00EF5591"/>
    <w:rsid w:val="00EF5698"/>
    <w:rsid w:val="00EF617F"/>
    <w:rsid w:val="00F003CF"/>
    <w:rsid w:val="00F013E9"/>
    <w:rsid w:val="00F01E4B"/>
    <w:rsid w:val="00F04B53"/>
    <w:rsid w:val="00F04BCD"/>
    <w:rsid w:val="00F06463"/>
    <w:rsid w:val="00F06C32"/>
    <w:rsid w:val="00F075F4"/>
    <w:rsid w:val="00F07904"/>
    <w:rsid w:val="00F105BE"/>
    <w:rsid w:val="00F10BCE"/>
    <w:rsid w:val="00F111B0"/>
    <w:rsid w:val="00F11CF3"/>
    <w:rsid w:val="00F11F3C"/>
    <w:rsid w:val="00F121BA"/>
    <w:rsid w:val="00F13173"/>
    <w:rsid w:val="00F14532"/>
    <w:rsid w:val="00F15929"/>
    <w:rsid w:val="00F15E10"/>
    <w:rsid w:val="00F15EE9"/>
    <w:rsid w:val="00F16007"/>
    <w:rsid w:val="00F16483"/>
    <w:rsid w:val="00F175B1"/>
    <w:rsid w:val="00F22B62"/>
    <w:rsid w:val="00F23809"/>
    <w:rsid w:val="00F24400"/>
    <w:rsid w:val="00F25695"/>
    <w:rsid w:val="00F25A69"/>
    <w:rsid w:val="00F26D7F"/>
    <w:rsid w:val="00F271F6"/>
    <w:rsid w:val="00F27A8E"/>
    <w:rsid w:val="00F32039"/>
    <w:rsid w:val="00F32182"/>
    <w:rsid w:val="00F32605"/>
    <w:rsid w:val="00F32DA1"/>
    <w:rsid w:val="00F33F34"/>
    <w:rsid w:val="00F349A7"/>
    <w:rsid w:val="00F351A6"/>
    <w:rsid w:val="00F3533F"/>
    <w:rsid w:val="00F35C9C"/>
    <w:rsid w:val="00F36AE6"/>
    <w:rsid w:val="00F37025"/>
    <w:rsid w:val="00F41B91"/>
    <w:rsid w:val="00F426F7"/>
    <w:rsid w:val="00F4327A"/>
    <w:rsid w:val="00F45CD4"/>
    <w:rsid w:val="00F4635B"/>
    <w:rsid w:val="00F463A8"/>
    <w:rsid w:val="00F471E7"/>
    <w:rsid w:val="00F47425"/>
    <w:rsid w:val="00F5096E"/>
    <w:rsid w:val="00F50B25"/>
    <w:rsid w:val="00F51F71"/>
    <w:rsid w:val="00F54885"/>
    <w:rsid w:val="00F55174"/>
    <w:rsid w:val="00F55E85"/>
    <w:rsid w:val="00F60FE6"/>
    <w:rsid w:val="00F61606"/>
    <w:rsid w:val="00F623E6"/>
    <w:rsid w:val="00F62EE6"/>
    <w:rsid w:val="00F637CB"/>
    <w:rsid w:val="00F6552B"/>
    <w:rsid w:val="00F662CD"/>
    <w:rsid w:val="00F66F24"/>
    <w:rsid w:val="00F67DC1"/>
    <w:rsid w:val="00F70D5A"/>
    <w:rsid w:val="00F70EDD"/>
    <w:rsid w:val="00F715A7"/>
    <w:rsid w:val="00F73792"/>
    <w:rsid w:val="00F751AB"/>
    <w:rsid w:val="00F7523B"/>
    <w:rsid w:val="00F75701"/>
    <w:rsid w:val="00F767E2"/>
    <w:rsid w:val="00F76A14"/>
    <w:rsid w:val="00F76FAD"/>
    <w:rsid w:val="00F772BB"/>
    <w:rsid w:val="00F77302"/>
    <w:rsid w:val="00F81458"/>
    <w:rsid w:val="00F81A86"/>
    <w:rsid w:val="00F8209F"/>
    <w:rsid w:val="00F825BF"/>
    <w:rsid w:val="00F84747"/>
    <w:rsid w:val="00F848FB"/>
    <w:rsid w:val="00F85351"/>
    <w:rsid w:val="00F857FC"/>
    <w:rsid w:val="00F86708"/>
    <w:rsid w:val="00F86A0C"/>
    <w:rsid w:val="00F8722C"/>
    <w:rsid w:val="00F87F27"/>
    <w:rsid w:val="00F91073"/>
    <w:rsid w:val="00F9194A"/>
    <w:rsid w:val="00F92140"/>
    <w:rsid w:val="00F929DF"/>
    <w:rsid w:val="00F9384E"/>
    <w:rsid w:val="00F93CE5"/>
    <w:rsid w:val="00F944F5"/>
    <w:rsid w:val="00F94AB3"/>
    <w:rsid w:val="00F95FA1"/>
    <w:rsid w:val="00FA14FA"/>
    <w:rsid w:val="00FA18B0"/>
    <w:rsid w:val="00FA3616"/>
    <w:rsid w:val="00FA4A6F"/>
    <w:rsid w:val="00FA60F5"/>
    <w:rsid w:val="00FA62CC"/>
    <w:rsid w:val="00FA635A"/>
    <w:rsid w:val="00FB0962"/>
    <w:rsid w:val="00FB0E56"/>
    <w:rsid w:val="00FB0EB3"/>
    <w:rsid w:val="00FB52CD"/>
    <w:rsid w:val="00FB68ED"/>
    <w:rsid w:val="00FB6B6B"/>
    <w:rsid w:val="00FB7800"/>
    <w:rsid w:val="00FB7C05"/>
    <w:rsid w:val="00FC21B5"/>
    <w:rsid w:val="00FC2C10"/>
    <w:rsid w:val="00FC2CDA"/>
    <w:rsid w:val="00FC2F51"/>
    <w:rsid w:val="00FC31F9"/>
    <w:rsid w:val="00FC39C1"/>
    <w:rsid w:val="00FC46FB"/>
    <w:rsid w:val="00FC49A7"/>
    <w:rsid w:val="00FC6D75"/>
    <w:rsid w:val="00FC7BBA"/>
    <w:rsid w:val="00FD0391"/>
    <w:rsid w:val="00FD03FE"/>
    <w:rsid w:val="00FD05D1"/>
    <w:rsid w:val="00FD101A"/>
    <w:rsid w:val="00FD110D"/>
    <w:rsid w:val="00FD1A3D"/>
    <w:rsid w:val="00FD1AB2"/>
    <w:rsid w:val="00FD1F4C"/>
    <w:rsid w:val="00FD33F8"/>
    <w:rsid w:val="00FD3A8C"/>
    <w:rsid w:val="00FD443C"/>
    <w:rsid w:val="00FD4D78"/>
    <w:rsid w:val="00FD4F82"/>
    <w:rsid w:val="00FD523A"/>
    <w:rsid w:val="00FD5A8F"/>
    <w:rsid w:val="00FD69CF"/>
    <w:rsid w:val="00FE070C"/>
    <w:rsid w:val="00FE0A06"/>
    <w:rsid w:val="00FE0C72"/>
    <w:rsid w:val="00FE1D7E"/>
    <w:rsid w:val="00FE244A"/>
    <w:rsid w:val="00FE2C03"/>
    <w:rsid w:val="00FE60D4"/>
    <w:rsid w:val="00FE707D"/>
    <w:rsid w:val="00FE764E"/>
    <w:rsid w:val="00FF2005"/>
    <w:rsid w:val="00FF2392"/>
    <w:rsid w:val="00FF3045"/>
    <w:rsid w:val="00FF37EA"/>
    <w:rsid w:val="01043EB4"/>
    <w:rsid w:val="01066A48"/>
    <w:rsid w:val="01100703"/>
    <w:rsid w:val="011253ED"/>
    <w:rsid w:val="011F73F1"/>
    <w:rsid w:val="01317F69"/>
    <w:rsid w:val="01323CE1"/>
    <w:rsid w:val="01352293"/>
    <w:rsid w:val="01360D7C"/>
    <w:rsid w:val="01431342"/>
    <w:rsid w:val="01576A52"/>
    <w:rsid w:val="01635C49"/>
    <w:rsid w:val="017A2B60"/>
    <w:rsid w:val="01AC0A48"/>
    <w:rsid w:val="01D6466C"/>
    <w:rsid w:val="02182ED7"/>
    <w:rsid w:val="02203B3A"/>
    <w:rsid w:val="022F7165"/>
    <w:rsid w:val="024970A8"/>
    <w:rsid w:val="024C41CE"/>
    <w:rsid w:val="025C3842"/>
    <w:rsid w:val="02626540"/>
    <w:rsid w:val="027520D7"/>
    <w:rsid w:val="02B84A4A"/>
    <w:rsid w:val="02DA376B"/>
    <w:rsid w:val="02E1776D"/>
    <w:rsid w:val="03064AB8"/>
    <w:rsid w:val="03066D9A"/>
    <w:rsid w:val="030805BF"/>
    <w:rsid w:val="03174F3D"/>
    <w:rsid w:val="03345AEF"/>
    <w:rsid w:val="033A2E12"/>
    <w:rsid w:val="03571D17"/>
    <w:rsid w:val="035A3F4A"/>
    <w:rsid w:val="03A72639"/>
    <w:rsid w:val="03AA4003"/>
    <w:rsid w:val="03CC2F58"/>
    <w:rsid w:val="03CC5D27"/>
    <w:rsid w:val="03F93A73"/>
    <w:rsid w:val="04003C23"/>
    <w:rsid w:val="042046F5"/>
    <w:rsid w:val="04293179"/>
    <w:rsid w:val="042C4A18"/>
    <w:rsid w:val="04651CD8"/>
    <w:rsid w:val="04690B3B"/>
    <w:rsid w:val="048565FD"/>
    <w:rsid w:val="04904FD6"/>
    <w:rsid w:val="04C42EA2"/>
    <w:rsid w:val="04CD7FA9"/>
    <w:rsid w:val="04D85B0E"/>
    <w:rsid w:val="04EB47E7"/>
    <w:rsid w:val="05055B90"/>
    <w:rsid w:val="052700CA"/>
    <w:rsid w:val="05290F57"/>
    <w:rsid w:val="05371A12"/>
    <w:rsid w:val="05402264"/>
    <w:rsid w:val="05604C96"/>
    <w:rsid w:val="056F215A"/>
    <w:rsid w:val="05832D5D"/>
    <w:rsid w:val="05B2719F"/>
    <w:rsid w:val="05DE61E6"/>
    <w:rsid w:val="05EF21A1"/>
    <w:rsid w:val="06242F70"/>
    <w:rsid w:val="062D1BA5"/>
    <w:rsid w:val="06723038"/>
    <w:rsid w:val="06940F6E"/>
    <w:rsid w:val="0698114A"/>
    <w:rsid w:val="06BD229F"/>
    <w:rsid w:val="070103DE"/>
    <w:rsid w:val="0728596A"/>
    <w:rsid w:val="077F1302"/>
    <w:rsid w:val="079E3E7E"/>
    <w:rsid w:val="07A33243"/>
    <w:rsid w:val="07C867BA"/>
    <w:rsid w:val="07E147B8"/>
    <w:rsid w:val="07F07DAF"/>
    <w:rsid w:val="07F4174D"/>
    <w:rsid w:val="08066F25"/>
    <w:rsid w:val="080D2DB2"/>
    <w:rsid w:val="0856729F"/>
    <w:rsid w:val="08712537"/>
    <w:rsid w:val="087B5F6E"/>
    <w:rsid w:val="089E49B5"/>
    <w:rsid w:val="08CE644B"/>
    <w:rsid w:val="08EB3E7D"/>
    <w:rsid w:val="09022DBA"/>
    <w:rsid w:val="09127EC7"/>
    <w:rsid w:val="091E21C2"/>
    <w:rsid w:val="091F5DF1"/>
    <w:rsid w:val="09235F02"/>
    <w:rsid w:val="092C1016"/>
    <w:rsid w:val="095C7B4D"/>
    <w:rsid w:val="0966767D"/>
    <w:rsid w:val="096A2333"/>
    <w:rsid w:val="096D1D5A"/>
    <w:rsid w:val="098705F9"/>
    <w:rsid w:val="098F7F23"/>
    <w:rsid w:val="09924937"/>
    <w:rsid w:val="099F56AF"/>
    <w:rsid w:val="09CB5786"/>
    <w:rsid w:val="09D04097"/>
    <w:rsid w:val="09E52755"/>
    <w:rsid w:val="09F340E8"/>
    <w:rsid w:val="0A0106F5"/>
    <w:rsid w:val="0A1E7B19"/>
    <w:rsid w:val="0A232A84"/>
    <w:rsid w:val="0A4D13FC"/>
    <w:rsid w:val="0A6A44EC"/>
    <w:rsid w:val="0A732D15"/>
    <w:rsid w:val="0A830372"/>
    <w:rsid w:val="0AA53E58"/>
    <w:rsid w:val="0AD656DD"/>
    <w:rsid w:val="0ADF4C24"/>
    <w:rsid w:val="0AFB1F4A"/>
    <w:rsid w:val="0B093FC6"/>
    <w:rsid w:val="0B1D5B4B"/>
    <w:rsid w:val="0B542FDE"/>
    <w:rsid w:val="0B8C422C"/>
    <w:rsid w:val="0B9648C5"/>
    <w:rsid w:val="0BB53BAE"/>
    <w:rsid w:val="0BE962E6"/>
    <w:rsid w:val="0BFE6C9A"/>
    <w:rsid w:val="0C082797"/>
    <w:rsid w:val="0C1D70C9"/>
    <w:rsid w:val="0C2B1A59"/>
    <w:rsid w:val="0C5257B6"/>
    <w:rsid w:val="0C57284E"/>
    <w:rsid w:val="0C5B0590"/>
    <w:rsid w:val="0C66282A"/>
    <w:rsid w:val="0C71390F"/>
    <w:rsid w:val="0C9A3091"/>
    <w:rsid w:val="0CB47F78"/>
    <w:rsid w:val="0CB63A18"/>
    <w:rsid w:val="0CE75980"/>
    <w:rsid w:val="0CFB58CF"/>
    <w:rsid w:val="0D036B69"/>
    <w:rsid w:val="0D1122FB"/>
    <w:rsid w:val="0D1C451A"/>
    <w:rsid w:val="0D452682"/>
    <w:rsid w:val="0D4903E8"/>
    <w:rsid w:val="0D586637"/>
    <w:rsid w:val="0D5871C3"/>
    <w:rsid w:val="0D777ADC"/>
    <w:rsid w:val="0D817CDD"/>
    <w:rsid w:val="0D90643A"/>
    <w:rsid w:val="0DBA7538"/>
    <w:rsid w:val="0DCF1345"/>
    <w:rsid w:val="0DD203DE"/>
    <w:rsid w:val="0DDB2C34"/>
    <w:rsid w:val="0E133F53"/>
    <w:rsid w:val="0E210FCD"/>
    <w:rsid w:val="0E3A49AA"/>
    <w:rsid w:val="0E4D3F08"/>
    <w:rsid w:val="0EAF1C55"/>
    <w:rsid w:val="0EBB3568"/>
    <w:rsid w:val="0ECA5559"/>
    <w:rsid w:val="0EDB09B3"/>
    <w:rsid w:val="0EE63E27"/>
    <w:rsid w:val="0EF03449"/>
    <w:rsid w:val="0F072309"/>
    <w:rsid w:val="0F204FB3"/>
    <w:rsid w:val="0F2143C3"/>
    <w:rsid w:val="0F3E6BDD"/>
    <w:rsid w:val="0FA2685D"/>
    <w:rsid w:val="0FBA381F"/>
    <w:rsid w:val="0FE74A6F"/>
    <w:rsid w:val="0FEB5787"/>
    <w:rsid w:val="10150A56"/>
    <w:rsid w:val="101F1B29"/>
    <w:rsid w:val="108E4BB9"/>
    <w:rsid w:val="10914580"/>
    <w:rsid w:val="10926D62"/>
    <w:rsid w:val="10A13E61"/>
    <w:rsid w:val="10A93190"/>
    <w:rsid w:val="10AD58B1"/>
    <w:rsid w:val="10CD3604"/>
    <w:rsid w:val="10EF386F"/>
    <w:rsid w:val="11136C90"/>
    <w:rsid w:val="11384E24"/>
    <w:rsid w:val="114D1191"/>
    <w:rsid w:val="114E06C3"/>
    <w:rsid w:val="11592BC4"/>
    <w:rsid w:val="11616673"/>
    <w:rsid w:val="11860CA8"/>
    <w:rsid w:val="11BD65E0"/>
    <w:rsid w:val="11C75D80"/>
    <w:rsid w:val="11E92536"/>
    <w:rsid w:val="12183B00"/>
    <w:rsid w:val="121D6EB6"/>
    <w:rsid w:val="122C3D05"/>
    <w:rsid w:val="12333415"/>
    <w:rsid w:val="124B311E"/>
    <w:rsid w:val="125E25F4"/>
    <w:rsid w:val="12672C2E"/>
    <w:rsid w:val="127B54E8"/>
    <w:rsid w:val="127D2F5A"/>
    <w:rsid w:val="12884684"/>
    <w:rsid w:val="129B6263"/>
    <w:rsid w:val="129E384B"/>
    <w:rsid w:val="12B502CE"/>
    <w:rsid w:val="12BC5F85"/>
    <w:rsid w:val="12C04F06"/>
    <w:rsid w:val="13013A76"/>
    <w:rsid w:val="13031831"/>
    <w:rsid w:val="13070B2A"/>
    <w:rsid w:val="13336E3E"/>
    <w:rsid w:val="13347445"/>
    <w:rsid w:val="133B6A25"/>
    <w:rsid w:val="134A65B2"/>
    <w:rsid w:val="13745331"/>
    <w:rsid w:val="1383504F"/>
    <w:rsid w:val="138661D5"/>
    <w:rsid w:val="1393060F"/>
    <w:rsid w:val="13A21DF2"/>
    <w:rsid w:val="13A97AC2"/>
    <w:rsid w:val="13BA3963"/>
    <w:rsid w:val="13D756DA"/>
    <w:rsid w:val="1424395D"/>
    <w:rsid w:val="143A5C13"/>
    <w:rsid w:val="14A32AD4"/>
    <w:rsid w:val="14C91E0F"/>
    <w:rsid w:val="14EF5D19"/>
    <w:rsid w:val="14F5090E"/>
    <w:rsid w:val="14F80B71"/>
    <w:rsid w:val="15144F0C"/>
    <w:rsid w:val="156277D1"/>
    <w:rsid w:val="156D1E10"/>
    <w:rsid w:val="15724254"/>
    <w:rsid w:val="15C522F6"/>
    <w:rsid w:val="16143C3C"/>
    <w:rsid w:val="16580F06"/>
    <w:rsid w:val="165C6DCA"/>
    <w:rsid w:val="16783F76"/>
    <w:rsid w:val="16A62408"/>
    <w:rsid w:val="16B72867"/>
    <w:rsid w:val="16BF796D"/>
    <w:rsid w:val="16D93513"/>
    <w:rsid w:val="16F52FA0"/>
    <w:rsid w:val="172E5E61"/>
    <w:rsid w:val="172F2BDB"/>
    <w:rsid w:val="1732013F"/>
    <w:rsid w:val="17380D3E"/>
    <w:rsid w:val="1738496D"/>
    <w:rsid w:val="17675191"/>
    <w:rsid w:val="177E44BC"/>
    <w:rsid w:val="177F76C0"/>
    <w:rsid w:val="179317AC"/>
    <w:rsid w:val="17AA0600"/>
    <w:rsid w:val="17D230E4"/>
    <w:rsid w:val="17EB237D"/>
    <w:rsid w:val="18006DF1"/>
    <w:rsid w:val="185540E5"/>
    <w:rsid w:val="18A86D1C"/>
    <w:rsid w:val="18CA5A61"/>
    <w:rsid w:val="19274CDA"/>
    <w:rsid w:val="19285748"/>
    <w:rsid w:val="19341F4D"/>
    <w:rsid w:val="19375EE1"/>
    <w:rsid w:val="19417501"/>
    <w:rsid w:val="1945415A"/>
    <w:rsid w:val="196566AE"/>
    <w:rsid w:val="1977452F"/>
    <w:rsid w:val="198F2450"/>
    <w:rsid w:val="1A0C6F95"/>
    <w:rsid w:val="1A1B1771"/>
    <w:rsid w:val="1A283D75"/>
    <w:rsid w:val="1A7A6085"/>
    <w:rsid w:val="1A8213DE"/>
    <w:rsid w:val="1A952EBF"/>
    <w:rsid w:val="1ADD09CA"/>
    <w:rsid w:val="1ADE294C"/>
    <w:rsid w:val="1AED4B2A"/>
    <w:rsid w:val="1B144FB9"/>
    <w:rsid w:val="1B254A10"/>
    <w:rsid w:val="1B2B711A"/>
    <w:rsid w:val="1B352404"/>
    <w:rsid w:val="1B3F1135"/>
    <w:rsid w:val="1B5B5A5C"/>
    <w:rsid w:val="1B6805D3"/>
    <w:rsid w:val="1B697EA8"/>
    <w:rsid w:val="1BC17CE4"/>
    <w:rsid w:val="1BC9177C"/>
    <w:rsid w:val="1BCB3D50"/>
    <w:rsid w:val="1C113C73"/>
    <w:rsid w:val="1C1A7318"/>
    <w:rsid w:val="1C35495A"/>
    <w:rsid w:val="1C4F71E9"/>
    <w:rsid w:val="1C5D5C5E"/>
    <w:rsid w:val="1C94562A"/>
    <w:rsid w:val="1C9525DA"/>
    <w:rsid w:val="1C9E16CB"/>
    <w:rsid w:val="1CA830FE"/>
    <w:rsid w:val="1CCF5E36"/>
    <w:rsid w:val="1CE4012E"/>
    <w:rsid w:val="1CFA06E0"/>
    <w:rsid w:val="1D0B3E36"/>
    <w:rsid w:val="1D0D3CA0"/>
    <w:rsid w:val="1D2917D5"/>
    <w:rsid w:val="1D3749F4"/>
    <w:rsid w:val="1D3C38E1"/>
    <w:rsid w:val="1D412E8A"/>
    <w:rsid w:val="1D482603"/>
    <w:rsid w:val="1D4A5240"/>
    <w:rsid w:val="1D4B5AB7"/>
    <w:rsid w:val="1D561D00"/>
    <w:rsid w:val="1D8059B9"/>
    <w:rsid w:val="1D850670"/>
    <w:rsid w:val="1DA97F2F"/>
    <w:rsid w:val="1DB43D64"/>
    <w:rsid w:val="1DCC309C"/>
    <w:rsid w:val="1DD0420E"/>
    <w:rsid w:val="1DD04CB4"/>
    <w:rsid w:val="1DD67A76"/>
    <w:rsid w:val="1DFD14A7"/>
    <w:rsid w:val="1E170C8E"/>
    <w:rsid w:val="1E1E141D"/>
    <w:rsid w:val="1E205195"/>
    <w:rsid w:val="1E543243"/>
    <w:rsid w:val="1E5A4A5F"/>
    <w:rsid w:val="1E5E181A"/>
    <w:rsid w:val="1EFA35D0"/>
    <w:rsid w:val="1F0D11B3"/>
    <w:rsid w:val="1F120F82"/>
    <w:rsid w:val="1F5367DA"/>
    <w:rsid w:val="1F7A08D5"/>
    <w:rsid w:val="1F7E2678"/>
    <w:rsid w:val="1F89042C"/>
    <w:rsid w:val="1FD004F5"/>
    <w:rsid w:val="1FE91CA7"/>
    <w:rsid w:val="202A22FB"/>
    <w:rsid w:val="203931EC"/>
    <w:rsid w:val="20484530"/>
    <w:rsid w:val="206A024D"/>
    <w:rsid w:val="20B83463"/>
    <w:rsid w:val="20BE2A44"/>
    <w:rsid w:val="20BF5D3E"/>
    <w:rsid w:val="20DA787E"/>
    <w:rsid w:val="20E308A3"/>
    <w:rsid w:val="21203F1C"/>
    <w:rsid w:val="217355E3"/>
    <w:rsid w:val="21867A05"/>
    <w:rsid w:val="21880A73"/>
    <w:rsid w:val="218E7574"/>
    <w:rsid w:val="219D08AB"/>
    <w:rsid w:val="21BD027C"/>
    <w:rsid w:val="21E81D77"/>
    <w:rsid w:val="21FA7BC8"/>
    <w:rsid w:val="22107F8B"/>
    <w:rsid w:val="22461B63"/>
    <w:rsid w:val="224F4AB9"/>
    <w:rsid w:val="227161A8"/>
    <w:rsid w:val="227F3208"/>
    <w:rsid w:val="229972C4"/>
    <w:rsid w:val="229E3B5E"/>
    <w:rsid w:val="22B457F8"/>
    <w:rsid w:val="22E12559"/>
    <w:rsid w:val="22E5075C"/>
    <w:rsid w:val="22E52653"/>
    <w:rsid w:val="22F80EBC"/>
    <w:rsid w:val="231F1167"/>
    <w:rsid w:val="235C2BD4"/>
    <w:rsid w:val="23602A27"/>
    <w:rsid w:val="236A46A1"/>
    <w:rsid w:val="23713D9D"/>
    <w:rsid w:val="23894C25"/>
    <w:rsid w:val="23906100"/>
    <w:rsid w:val="23A45829"/>
    <w:rsid w:val="23DF1302"/>
    <w:rsid w:val="23FF4341"/>
    <w:rsid w:val="24255394"/>
    <w:rsid w:val="24322753"/>
    <w:rsid w:val="246C2EE2"/>
    <w:rsid w:val="246D3214"/>
    <w:rsid w:val="246D4431"/>
    <w:rsid w:val="247F07E3"/>
    <w:rsid w:val="2484390C"/>
    <w:rsid w:val="24A80F65"/>
    <w:rsid w:val="24BC729A"/>
    <w:rsid w:val="24F674E5"/>
    <w:rsid w:val="24FF76A0"/>
    <w:rsid w:val="25236DA0"/>
    <w:rsid w:val="2536529E"/>
    <w:rsid w:val="25631DA5"/>
    <w:rsid w:val="25692AD6"/>
    <w:rsid w:val="25730133"/>
    <w:rsid w:val="2576717D"/>
    <w:rsid w:val="2581038F"/>
    <w:rsid w:val="259E2DAE"/>
    <w:rsid w:val="25A22934"/>
    <w:rsid w:val="25AB3597"/>
    <w:rsid w:val="25B11518"/>
    <w:rsid w:val="25B86563"/>
    <w:rsid w:val="25C66D61"/>
    <w:rsid w:val="25D33A65"/>
    <w:rsid w:val="25DB7FC6"/>
    <w:rsid w:val="25E602E6"/>
    <w:rsid w:val="26080BE4"/>
    <w:rsid w:val="26C107DC"/>
    <w:rsid w:val="26EE087F"/>
    <w:rsid w:val="26F62BC8"/>
    <w:rsid w:val="271356BB"/>
    <w:rsid w:val="271B3332"/>
    <w:rsid w:val="27C60B5C"/>
    <w:rsid w:val="27CC1EEA"/>
    <w:rsid w:val="27D72414"/>
    <w:rsid w:val="27E95599"/>
    <w:rsid w:val="28137B19"/>
    <w:rsid w:val="283006CB"/>
    <w:rsid w:val="28615D6E"/>
    <w:rsid w:val="28685AED"/>
    <w:rsid w:val="28781AFC"/>
    <w:rsid w:val="289A5B44"/>
    <w:rsid w:val="28BF1876"/>
    <w:rsid w:val="28C83D3D"/>
    <w:rsid w:val="28DE56F6"/>
    <w:rsid w:val="28E45951"/>
    <w:rsid w:val="290703C0"/>
    <w:rsid w:val="29211DC2"/>
    <w:rsid w:val="2929292B"/>
    <w:rsid w:val="2938027B"/>
    <w:rsid w:val="294066EC"/>
    <w:rsid w:val="299E5C8F"/>
    <w:rsid w:val="299F5956"/>
    <w:rsid w:val="29BC3EE7"/>
    <w:rsid w:val="29C746AA"/>
    <w:rsid w:val="29E269C2"/>
    <w:rsid w:val="29F10FDB"/>
    <w:rsid w:val="29F21BC7"/>
    <w:rsid w:val="2A082071"/>
    <w:rsid w:val="2A0C4820"/>
    <w:rsid w:val="2A581813"/>
    <w:rsid w:val="2A676E5E"/>
    <w:rsid w:val="2A7F0810"/>
    <w:rsid w:val="2A9A4ED6"/>
    <w:rsid w:val="2AB0164F"/>
    <w:rsid w:val="2AB11513"/>
    <w:rsid w:val="2AB93168"/>
    <w:rsid w:val="2AD235E4"/>
    <w:rsid w:val="2AE372C0"/>
    <w:rsid w:val="2B225278"/>
    <w:rsid w:val="2B3F2232"/>
    <w:rsid w:val="2B650C62"/>
    <w:rsid w:val="2B6E5792"/>
    <w:rsid w:val="2B830B12"/>
    <w:rsid w:val="2B847063"/>
    <w:rsid w:val="2BA70440"/>
    <w:rsid w:val="2BC1772E"/>
    <w:rsid w:val="2BC37160"/>
    <w:rsid w:val="2BC55644"/>
    <w:rsid w:val="2BCF4DA0"/>
    <w:rsid w:val="2BD575BF"/>
    <w:rsid w:val="2BDA2E28"/>
    <w:rsid w:val="2C183950"/>
    <w:rsid w:val="2C1D01D3"/>
    <w:rsid w:val="2C2374BE"/>
    <w:rsid w:val="2C6E17C2"/>
    <w:rsid w:val="2CA31F00"/>
    <w:rsid w:val="2CA81E81"/>
    <w:rsid w:val="2CF47464"/>
    <w:rsid w:val="2D104627"/>
    <w:rsid w:val="2D1B3DF3"/>
    <w:rsid w:val="2D733E12"/>
    <w:rsid w:val="2D7501E6"/>
    <w:rsid w:val="2DAD633C"/>
    <w:rsid w:val="2DB35827"/>
    <w:rsid w:val="2DB5723C"/>
    <w:rsid w:val="2DD02422"/>
    <w:rsid w:val="2DFB1782"/>
    <w:rsid w:val="2DFE3B6E"/>
    <w:rsid w:val="2E032607"/>
    <w:rsid w:val="2E6379B0"/>
    <w:rsid w:val="2E67471B"/>
    <w:rsid w:val="2E7F3812"/>
    <w:rsid w:val="2E941D00"/>
    <w:rsid w:val="2EB72FAC"/>
    <w:rsid w:val="2EBC40BB"/>
    <w:rsid w:val="2EC8145A"/>
    <w:rsid w:val="2ECE479A"/>
    <w:rsid w:val="2ECF311B"/>
    <w:rsid w:val="2EE6563F"/>
    <w:rsid w:val="2F1A79DF"/>
    <w:rsid w:val="2F3F3AEC"/>
    <w:rsid w:val="2F5C3B54"/>
    <w:rsid w:val="2F7C70F7"/>
    <w:rsid w:val="2F8067A0"/>
    <w:rsid w:val="2F8F217B"/>
    <w:rsid w:val="2F9B467C"/>
    <w:rsid w:val="2FDB37C9"/>
    <w:rsid w:val="2FE42A6C"/>
    <w:rsid w:val="2FF16992"/>
    <w:rsid w:val="2FF6165F"/>
    <w:rsid w:val="30024B76"/>
    <w:rsid w:val="30136908"/>
    <w:rsid w:val="301F1578"/>
    <w:rsid w:val="302C5C1C"/>
    <w:rsid w:val="3045283A"/>
    <w:rsid w:val="304706D9"/>
    <w:rsid w:val="3065119A"/>
    <w:rsid w:val="30656A38"/>
    <w:rsid w:val="308F0D89"/>
    <w:rsid w:val="30AC7B38"/>
    <w:rsid w:val="30BD0622"/>
    <w:rsid w:val="30C44045"/>
    <w:rsid w:val="30D70384"/>
    <w:rsid w:val="30D857C0"/>
    <w:rsid w:val="30E95494"/>
    <w:rsid w:val="30F36E3B"/>
    <w:rsid w:val="31152BCA"/>
    <w:rsid w:val="31155873"/>
    <w:rsid w:val="315324D3"/>
    <w:rsid w:val="31822DF7"/>
    <w:rsid w:val="31895403"/>
    <w:rsid w:val="31BD3F4E"/>
    <w:rsid w:val="31BF03CC"/>
    <w:rsid w:val="31F538D7"/>
    <w:rsid w:val="32140715"/>
    <w:rsid w:val="321E3342"/>
    <w:rsid w:val="32274521"/>
    <w:rsid w:val="32380A54"/>
    <w:rsid w:val="32455C08"/>
    <w:rsid w:val="324A0D14"/>
    <w:rsid w:val="324A55CA"/>
    <w:rsid w:val="329E1644"/>
    <w:rsid w:val="32A22570"/>
    <w:rsid w:val="32B31CDC"/>
    <w:rsid w:val="32C65EB4"/>
    <w:rsid w:val="32EC3440"/>
    <w:rsid w:val="32ED6DC1"/>
    <w:rsid w:val="32FB322A"/>
    <w:rsid w:val="33072028"/>
    <w:rsid w:val="33122EA7"/>
    <w:rsid w:val="335A484E"/>
    <w:rsid w:val="336034CC"/>
    <w:rsid w:val="339643C6"/>
    <w:rsid w:val="33F407FF"/>
    <w:rsid w:val="33F85062"/>
    <w:rsid w:val="33F9355C"/>
    <w:rsid w:val="340547BA"/>
    <w:rsid w:val="34133097"/>
    <w:rsid w:val="3413690A"/>
    <w:rsid w:val="34643A6F"/>
    <w:rsid w:val="347D25A2"/>
    <w:rsid w:val="3488666D"/>
    <w:rsid w:val="34E72111"/>
    <w:rsid w:val="34EB5A9A"/>
    <w:rsid w:val="35140DF6"/>
    <w:rsid w:val="35186BD4"/>
    <w:rsid w:val="35315E89"/>
    <w:rsid w:val="35366BF5"/>
    <w:rsid w:val="35587707"/>
    <w:rsid w:val="356419B4"/>
    <w:rsid w:val="35BA7826"/>
    <w:rsid w:val="35BB5A78"/>
    <w:rsid w:val="35DE1221"/>
    <w:rsid w:val="35F1149A"/>
    <w:rsid w:val="35F202E5"/>
    <w:rsid w:val="361E2DC1"/>
    <w:rsid w:val="36255690"/>
    <w:rsid w:val="362C39B2"/>
    <w:rsid w:val="36300059"/>
    <w:rsid w:val="36345EE6"/>
    <w:rsid w:val="36572E48"/>
    <w:rsid w:val="36794FEB"/>
    <w:rsid w:val="3689393A"/>
    <w:rsid w:val="36B62938"/>
    <w:rsid w:val="36C24BE4"/>
    <w:rsid w:val="36EA1326"/>
    <w:rsid w:val="377A56E7"/>
    <w:rsid w:val="378818B3"/>
    <w:rsid w:val="37A8760A"/>
    <w:rsid w:val="37A95DA4"/>
    <w:rsid w:val="37C702A9"/>
    <w:rsid w:val="37DD733F"/>
    <w:rsid w:val="37DF20DE"/>
    <w:rsid w:val="37DF25B9"/>
    <w:rsid w:val="37E56DDC"/>
    <w:rsid w:val="37F357E2"/>
    <w:rsid w:val="37F94149"/>
    <w:rsid w:val="38156F95"/>
    <w:rsid w:val="38683569"/>
    <w:rsid w:val="386C58FB"/>
    <w:rsid w:val="386D15ED"/>
    <w:rsid w:val="38740160"/>
    <w:rsid w:val="38901E50"/>
    <w:rsid w:val="389F7463"/>
    <w:rsid w:val="38AA1DD4"/>
    <w:rsid w:val="38B23589"/>
    <w:rsid w:val="38C70763"/>
    <w:rsid w:val="38C74734"/>
    <w:rsid w:val="38D31FAE"/>
    <w:rsid w:val="391239ED"/>
    <w:rsid w:val="39253208"/>
    <w:rsid w:val="393608E6"/>
    <w:rsid w:val="394C5EEA"/>
    <w:rsid w:val="39556DEB"/>
    <w:rsid w:val="395C2929"/>
    <w:rsid w:val="397043F8"/>
    <w:rsid w:val="39E8000F"/>
    <w:rsid w:val="39F552D0"/>
    <w:rsid w:val="39FF7EFD"/>
    <w:rsid w:val="3A327511"/>
    <w:rsid w:val="3A39605F"/>
    <w:rsid w:val="3A952932"/>
    <w:rsid w:val="3AAA7E69"/>
    <w:rsid w:val="3AB4098F"/>
    <w:rsid w:val="3ABC194A"/>
    <w:rsid w:val="3ADF3124"/>
    <w:rsid w:val="3B0803B3"/>
    <w:rsid w:val="3B0F4170"/>
    <w:rsid w:val="3B1E43B3"/>
    <w:rsid w:val="3B247C1B"/>
    <w:rsid w:val="3B385475"/>
    <w:rsid w:val="3B593958"/>
    <w:rsid w:val="3B6650C4"/>
    <w:rsid w:val="3B6F1676"/>
    <w:rsid w:val="3BD56FEA"/>
    <w:rsid w:val="3BE41159"/>
    <w:rsid w:val="3BFE0B4A"/>
    <w:rsid w:val="3C1530C8"/>
    <w:rsid w:val="3C2459F9"/>
    <w:rsid w:val="3C292100"/>
    <w:rsid w:val="3C402634"/>
    <w:rsid w:val="3C4D41CF"/>
    <w:rsid w:val="3C760E58"/>
    <w:rsid w:val="3C8D2464"/>
    <w:rsid w:val="3CA049DD"/>
    <w:rsid w:val="3CDF1048"/>
    <w:rsid w:val="3D367FA3"/>
    <w:rsid w:val="3D3808AC"/>
    <w:rsid w:val="3D5F6534"/>
    <w:rsid w:val="3DA46DF1"/>
    <w:rsid w:val="3DB056EF"/>
    <w:rsid w:val="3E366DDC"/>
    <w:rsid w:val="3E43780F"/>
    <w:rsid w:val="3E545486"/>
    <w:rsid w:val="3EB141B0"/>
    <w:rsid w:val="3EED760E"/>
    <w:rsid w:val="3EFF2568"/>
    <w:rsid w:val="3F147729"/>
    <w:rsid w:val="3F303FC2"/>
    <w:rsid w:val="3F57118A"/>
    <w:rsid w:val="3F695C27"/>
    <w:rsid w:val="3F93711E"/>
    <w:rsid w:val="3FA6322C"/>
    <w:rsid w:val="3FDE325C"/>
    <w:rsid w:val="3FEC5981"/>
    <w:rsid w:val="405974CF"/>
    <w:rsid w:val="406A1453"/>
    <w:rsid w:val="409E78DB"/>
    <w:rsid w:val="40A03F0D"/>
    <w:rsid w:val="40C304AF"/>
    <w:rsid w:val="40D21EC7"/>
    <w:rsid w:val="411063A8"/>
    <w:rsid w:val="416224F3"/>
    <w:rsid w:val="416E1DBB"/>
    <w:rsid w:val="417D62D7"/>
    <w:rsid w:val="41851F9A"/>
    <w:rsid w:val="41A25D3E"/>
    <w:rsid w:val="41DF489C"/>
    <w:rsid w:val="41FD2F74"/>
    <w:rsid w:val="42165DE4"/>
    <w:rsid w:val="423E0AB0"/>
    <w:rsid w:val="424C1C67"/>
    <w:rsid w:val="42500A1C"/>
    <w:rsid w:val="42600FC7"/>
    <w:rsid w:val="42657192"/>
    <w:rsid w:val="42880136"/>
    <w:rsid w:val="430F4175"/>
    <w:rsid w:val="432804C5"/>
    <w:rsid w:val="432E3B52"/>
    <w:rsid w:val="43305BFF"/>
    <w:rsid w:val="436750FB"/>
    <w:rsid w:val="43686B13"/>
    <w:rsid w:val="439E60B3"/>
    <w:rsid w:val="43AD4526"/>
    <w:rsid w:val="43B474D9"/>
    <w:rsid w:val="43D62666"/>
    <w:rsid w:val="440F3C8B"/>
    <w:rsid w:val="441F3F40"/>
    <w:rsid w:val="4421155A"/>
    <w:rsid w:val="44330ECF"/>
    <w:rsid w:val="44427364"/>
    <w:rsid w:val="444D40D2"/>
    <w:rsid w:val="445939B4"/>
    <w:rsid w:val="445D4F2E"/>
    <w:rsid w:val="445F03A1"/>
    <w:rsid w:val="446217B4"/>
    <w:rsid w:val="44797BE2"/>
    <w:rsid w:val="447D65EE"/>
    <w:rsid w:val="44C925A2"/>
    <w:rsid w:val="44C93C09"/>
    <w:rsid w:val="44D34460"/>
    <w:rsid w:val="44E769D8"/>
    <w:rsid w:val="45230F44"/>
    <w:rsid w:val="453E2BF0"/>
    <w:rsid w:val="45594965"/>
    <w:rsid w:val="45637592"/>
    <w:rsid w:val="45A041E2"/>
    <w:rsid w:val="45AF3D8A"/>
    <w:rsid w:val="45B24076"/>
    <w:rsid w:val="45C06242"/>
    <w:rsid w:val="45C41F63"/>
    <w:rsid w:val="45D377F7"/>
    <w:rsid w:val="45D51E82"/>
    <w:rsid w:val="45EF52CA"/>
    <w:rsid w:val="45FE5FC8"/>
    <w:rsid w:val="46190BB0"/>
    <w:rsid w:val="4622553B"/>
    <w:rsid w:val="46401681"/>
    <w:rsid w:val="4654512D"/>
    <w:rsid w:val="466E0464"/>
    <w:rsid w:val="467F70E2"/>
    <w:rsid w:val="468C2B19"/>
    <w:rsid w:val="468D2996"/>
    <w:rsid w:val="46953A24"/>
    <w:rsid w:val="46B7007C"/>
    <w:rsid w:val="46E22739"/>
    <w:rsid w:val="46F55702"/>
    <w:rsid w:val="471A4B3C"/>
    <w:rsid w:val="4735242B"/>
    <w:rsid w:val="47570E87"/>
    <w:rsid w:val="475E2707"/>
    <w:rsid w:val="476F764D"/>
    <w:rsid w:val="477E4B57"/>
    <w:rsid w:val="479243B4"/>
    <w:rsid w:val="479F7896"/>
    <w:rsid w:val="47AB3A7D"/>
    <w:rsid w:val="47AC5198"/>
    <w:rsid w:val="47AE17EF"/>
    <w:rsid w:val="47BB2719"/>
    <w:rsid w:val="47C6205A"/>
    <w:rsid w:val="47D4235E"/>
    <w:rsid w:val="47EF2700"/>
    <w:rsid w:val="47F1517F"/>
    <w:rsid w:val="47F22A9B"/>
    <w:rsid w:val="48000409"/>
    <w:rsid w:val="480235EA"/>
    <w:rsid w:val="48147E37"/>
    <w:rsid w:val="48250393"/>
    <w:rsid w:val="482F7BFF"/>
    <w:rsid w:val="483A22C1"/>
    <w:rsid w:val="48713109"/>
    <w:rsid w:val="487F438D"/>
    <w:rsid w:val="48895562"/>
    <w:rsid w:val="488A566E"/>
    <w:rsid w:val="48CC1583"/>
    <w:rsid w:val="48CE7D15"/>
    <w:rsid w:val="48E1714C"/>
    <w:rsid w:val="491E285E"/>
    <w:rsid w:val="492E435B"/>
    <w:rsid w:val="493A2A3B"/>
    <w:rsid w:val="49A85EBB"/>
    <w:rsid w:val="49B742F3"/>
    <w:rsid w:val="49E84CD7"/>
    <w:rsid w:val="4A012E2B"/>
    <w:rsid w:val="4A1C199A"/>
    <w:rsid w:val="4A57181A"/>
    <w:rsid w:val="4A915202"/>
    <w:rsid w:val="4AAC06BF"/>
    <w:rsid w:val="4AAF73E9"/>
    <w:rsid w:val="4AB35768"/>
    <w:rsid w:val="4B212FF1"/>
    <w:rsid w:val="4B327F0B"/>
    <w:rsid w:val="4B701091"/>
    <w:rsid w:val="4B7A5635"/>
    <w:rsid w:val="4B8E2DC1"/>
    <w:rsid w:val="4BA821A3"/>
    <w:rsid w:val="4BB3139E"/>
    <w:rsid w:val="4BB44AA8"/>
    <w:rsid w:val="4BD16709"/>
    <w:rsid w:val="4BF86862"/>
    <w:rsid w:val="4C2A0B13"/>
    <w:rsid w:val="4C327C1E"/>
    <w:rsid w:val="4C3328FC"/>
    <w:rsid w:val="4C583332"/>
    <w:rsid w:val="4C746D4E"/>
    <w:rsid w:val="4C915AE9"/>
    <w:rsid w:val="4CA74B4B"/>
    <w:rsid w:val="4CB43505"/>
    <w:rsid w:val="4CB84667"/>
    <w:rsid w:val="4CBB4158"/>
    <w:rsid w:val="4CBC202A"/>
    <w:rsid w:val="4CD564D9"/>
    <w:rsid w:val="4D166448"/>
    <w:rsid w:val="4D1675E0"/>
    <w:rsid w:val="4D1C513B"/>
    <w:rsid w:val="4D3717E0"/>
    <w:rsid w:val="4D3A08EF"/>
    <w:rsid w:val="4D3A5B11"/>
    <w:rsid w:val="4D475AB3"/>
    <w:rsid w:val="4D4A4BE6"/>
    <w:rsid w:val="4D5659DD"/>
    <w:rsid w:val="4D7A4668"/>
    <w:rsid w:val="4D8B1D7C"/>
    <w:rsid w:val="4DEC6CD7"/>
    <w:rsid w:val="4E0C2570"/>
    <w:rsid w:val="4E1D1150"/>
    <w:rsid w:val="4E200716"/>
    <w:rsid w:val="4E80121A"/>
    <w:rsid w:val="4E8830AE"/>
    <w:rsid w:val="4EAC01FC"/>
    <w:rsid w:val="4EEC23A6"/>
    <w:rsid w:val="4F027D72"/>
    <w:rsid w:val="4F1B03FB"/>
    <w:rsid w:val="4F1E452A"/>
    <w:rsid w:val="4F24138D"/>
    <w:rsid w:val="4F382E91"/>
    <w:rsid w:val="4F824AB9"/>
    <w:rsid w:val="4FC155E1"/>
    <w:rsid w:val="4FCE13BB"/>
    <w:rsid w:val="4FDD44A2"/>
    <w:rsid w:val="4FF05EC6"/>
    <w:rsid w:val="4FF45F63"/>
    <w:rsid w:val="5017429F"/>
    <w:rsid w:val="50591EE7"/>
    <w:rsid w:val="5079410E"/>
    <w:rsid w:val="50854860"/>
    <w:rsid w:val="50A55EF2"/>
    <w:rsid w:val="50D753CF"/>
    <w:rsid w:val="50EF6957"/>
    <w:rsid w:val="51082263"/>
    <w:rsid w:val="51181E16"/>
    <w:rsid w:val="51315AFB"/>
    <w:rsid w:val="51352D55"/>
    <w:rsid w:val="513B6DD2"/>
    <w:rsid w:val="51463811"/>
    <w:rsid w:val="51516E38"/>
    <w:rsid w:val="5174109B"/>
    <w:rsid w:val="517A2035"/>
    <w:rsid w:val="518549ED"/>
    <w:rsid w:val="5198572E"/>
    <w:rsid w:val="519E3B1C"/>
    <w:rsid w:val="51CD69B3"/>
    <w:rsid w:val="51DD6BC9"/>
    <w:rsid w:val="5237602E"/>
    <w:rsid w:val="5257294F"/>
    <w:rsid w:val="525A7F6F"/>
    <w:rsid w:val="526D51D5"/>
    <w:rsid w:val="528F6508"/>
    <w:rsid w:val="52D00CDD"/>
    <w:rsid w:val="52D54D0E"/>
    <w:rsid w:val="52E81DF1"/>
    <w:rsid w:val="531562A6"/>
    <w:rsid w:val="53574187"/>
    <w:rsid w:val="535C17B9"/>
    <w:rsid w:val="5361103D"/>
    <w:rsid w:val="53B26BC7"/>
    <w:rsid w:val="5402441A"/>
    <w:rsid w:val="544A2FED"/>
    <w:rsid w:val="54604E59"/>
    <w:rsid w:val="54877750"/>
    <w:rsid w:val="54AF3253"/>
    <w:rsid w:val="54B3168C"/>
    <w:rsid w:val="54BD1F47"/>
    <w:rsid w:val="54BF30CB"/>
    <w:rsid w:val="54FE72D7"/>
    <w:rsid w:val="55200E06"/>
    <w:rsid w:val="55222FC6"/>
    <w:rsid w:val="552A7962"/>
    <w:rsid w:val="55307659"/>
    <w:rsid w:val="556F399D"/>
    <w:rsid w:val="5583536A"/>
    <w:rsid w:val="55895335"/>
    <w:rsid w:val="55E0339D"/>
    <w:rsid w:val="562468CA"/>
    <w:rsid w:val="56492F12"/>
    <w:rsid w:val="564A687C"/>
    <w:rsid w:val="565E07B4"/>
    <w:rsid w:val="569638DA"/>
    <w:rsid w:val="56A25572"/>
    <w:rsid w:val="56B10CB0"/>
    <w:rsid w:val="56BD2275"/>
    <w:rsid w:val="56BE0DC3"/>
    <w:rsid w:val="56DF6C95"/>
    <w:rsid w:val="56F02C50"/>
    <w:rsid w:val="57224330"/>
    <w:rsid w:val="57253D43"/>
    <w:rsid w:val="573D7A7E"/>
    <w:rsid w:val="57581EDC"/>
    <w:rsid w:val="57770C7B"/>
    <w:rsid w:val="58151D57"/>
    <w:rsid w:val="582A3F3F"/>
    <w:rsid w:val="582F1556"/>
    <w:rsid w:val="58424AB5"/>
    <w:rsid w:val="584655A0"/>
    <w:rsid w:val="58554656"/>
    <w:rsid w:val="58745123"/>
    <w:rsid w:val="5898077D"/>
    <w:rsid w:val="58990515"/>
    <w:rsid w:val="58A91308"/>
    <w:rsid w:val="58B24A28"/>
    <w:rsid w:val="58D05A14"/>
    <w:rsid w:val="58E64874"/>
    <w:rsid w:val="58EB4B1D"/>
    <w:rsid w:val="58F6083C"/>
    <w:rsid w:val="59282B75"/>
    <w:rsid w:val="592F50B9"/>
    <w:rsid w:val="594A2AEB"/>
    <w:rsid w:val="595455B5"/>
    <w:rsid w:val="596040BD"/>
    <w:rsid w:val="59A15EC9"/>
    <w:rsid w:val="59AB01F8"/>
    <w:rsid w:val="59AC70AB"/>
    <w:rsid w:val="59C56616"/>
    <w:rsid w:val="59D04DE6"/>
    <w:rsid w:val="59E85E60"/>
    <w:rsid w:val="59F22154"/>
    <w:rsid w:val="5A0507C0"/>
    <w:rsid w:val="5A837388"/>
    <w:rsid w:val="5A89319F"/>
    <w:rsid w:val="5AF1768D"/>
    <w:rsid w:val="5B094E36"/>
    <w:rsid w:val="5B0E4FB1"/>
    <w:rsid w:val="5B33151F"/>
    <w:rsid w:val="5B3A6B8F"/>
    <w:rsid w:val="5B4377F2"/>
    <w:rsid w:val="5B4B66A7"/>
    <w:rsid w:val="5B5437AD"/>
    <w:rsid w:val="5B5E564E"/>
    <w:rsid w:val="5B8A1371"/>
    <w:rsid w:val="5B915043"/>
    <w:rsid w:val="5BD07051"/>
    <w:rsid w:val="5BFB4EAD"/>
    <w:rsid w:val="5C430AD1"/>
    <w:rsid w:val="5C4D65DD"/>
    <w:rsid w:val="5C531572"/>
    <w:rsid w:val="5C58551F"/>
    <w:rsid w:val="5C6914DA"/>
    <w:rsid w:val="5C736283"/>
    <w:rsid w:val="5C811E2F"/>
    <w:rsid w:val="5C9522CF"/>
    <w:rsid w:val="5CC75D62"/>
    <w:rsid w:val="5CE92406"/>
    <w:rsid w:val="5D3513BC"/>
    <w:rsid w:val="5D46181B"/>
    <w:rsid w:val="5D5C55ED"/>
    <w:rsid w:val="5D663E09"/>
    <w:rsid w:val="5D6F5CB1"/>
    <w:rsid w:val="5D8774BB"/>
    <w:rsid w:val="5DA84284"/>
    <w:rsid w:val="5DAF44AC"/>
    <w:rsid w:val="5DD406F8"/>
    <w:rsid w:val="5DE15411"/>
    <w:rsid w:val="5DED09D2"/>
    <w:rsid w:val="5DF14806"/>
    <w:rsid w:val="5DF82331"/>
    <w:rsid w:val="5DF9688E"/>
    <w:rsid w:val="5E0B036F"/>
    <w:rsid w:val="5E2344D9"/>
    <w:rsid w:val="5E413D91"/>
    <w:rsid w:val="5E827D40"/>
    <w:rsid w:val="5EAF287D"/>
    <w:rsid w:val="5ED44178"/>
    <w:rsid w:val="5F036CC2"/>
    <w:rsid w:val="5F1A6C71"/>
    <w:rsid w:val="5F2A7A3E"/>
    <w:rsid w:val="5F2E2567"/>
    <w:rsid w:val="5F497BEE"/>
    <w:rsid w:val="5F4B4EC7"/>
    <w:rsid w:val="5F5226F9"/>
    <w:rsid w:val="5F6146EB"/>
    <w:rsid w:val="5F9964C5"/>
    <w:rsid w:val="5FA62A45"/>
    <w:rsid w:val="5FB23198"/>
    <w:rsid w:val="5FC04B1A"/>
    <w:rsid w:val="5FDF4440"/>
    <w:rsid w:val="5FE7666D"/>
    <w:rsid w:val="6005215C"/>
    <w:rsid w:val="601B24CA"/>
    <w:rsid w:val="60781824"/>
    <w:rsid w:val="60C03693"/>
    <w:rsid w:val="60E94998"/>
    <w:rsid w:val="60EB034F"/>
    <w:rsid w:val="61451AD7"/>
    <w:rsid w:val="6149034F"/>
    <w:rsid w:val="6151078F"/>
    <w:rsid w:val="616606D1"/>
    <w:rsid w:val="6192725F"/>
    <w:rsid w:val="61DA4314"/>
    <w:rsid w:val="61DC7777"/>
    <w:rsid w:val="62027357"/>
    <w:rsid w:val="622570DE"/>
    <w:rsid w:val="62922E0D"/>
    <w:rsid w:val="6302586E"/>
    <w:rsid w:val="6303716D"/>
    <w:rsid w:val="63203536"/>
    <w:rsid w:val="63365E8E"/>
    <w:rsid w:val="638829FD"/>
    <w:rsid w:val="63961DD6"/>
    <w:rsid w:val="63A77C97"/>
    <w:rsid w:val="63A948B2"/>
    <w:rsid w:val="63C63DA5"/>
    <w:rsid w:val="641461CF"/>
    <w:rsid w:val="641C462A"/>
    <w:rsid w:val="641E0DFC"/>
    <w:rsid w:val="64361DCD"/>
    <w:rsid w:val="64632460"/>
    <w:rsid w:val="647A1DAB"/>
    <w:rsid w:val="64833355"/>
    <w:rsid w:val="64A84817"/>
    <w:rsid w:val="64B61035"/>
    <w:rsid w:val="64BA5CBC"/>
    <w:rsid w:val="64CE04C8"/>
    <w:rsid w:val="64D71433"/>
    <w:rsid w:val="64EA6F30"/>
    <w:rsid w:val="65064DEF"/>
    <w:rsid w:val="65126791"/>
    <w:rsid w:val="65302769"/>
    <w:rsid w:val="654F4267"/>
    <w:rsid w:val="65606679"/>
    <w:rsid w:val="65A17F37"/>
    <w:rsid w:val="65DF2FA7"/>
    <w:rsid w:val="65DF6369"/>
    <w:rsid w:val="65E676F8"/>
    <w:rsid w:val="66000D6B"/>
    <w:rsid w:val="663A71E2"/>
    <w:rsid w:val="669A0CDB"/>
    <w:rsid w:val="66AC7A28"/>
    <w:rsid w:val="66BA1CB1"/>
    <w:rsid w:val="66EB09A6"/>
    <w:rsid w:val="672A7AB8"/>
    <w:rsid w:val="674072DB"/>
    <w:rsid w:val="6750233B"/>
    <w:rsid w:val="675E6100"/>
    <w:rsid w:val="676958DE"/>
    <w:rsid w:val="677551D7"/>
    <w:rsid w:val="677F5452"/>
    <w:rsid w:val="67801DCE"/>
    <w:rsid w:val="67852F40"/>
    <w:rsid w:val="678809D3"/>
    <w:rsid w:val="67D77C40"/>
    <w:rsid w:val="67EB7A4A"/>
    <w:rsid w:val="67F514FF"/>
    <w:rsid w:val="68680CFC"/>
    <w:rsid w:val="68951A5F"/>
    <w:rsid w:val="68C877E1"/>
    <w:rsid w:val="68E329CB"/>
    <w:rsid w:val="68E43191"/>
    <w:rsid w:val="68ED1298"/>
    <w:rsid w:val="69016BD9"/>
    <w:rsid w:val="6908207B"/>
    <w:rsid w:val="692622A5"/>
    <w:rsid w:val="69366BE8"/>
    <w:rsid w:val="69562743"/>
    <w:rsid w:val="695A3DED"/>
    <w:rsid w:val="69801C11"/>
    <w:rsid w:val="698625B0"/>
    <w:rsid w:val="69862E47"/>
    <w:rsid w:val="699C2075"/>
    <w:rsid w:val="69B24000"/>
    <w:rsid w:val="69B775C2"/>
    <w:rsid w:val="69C1430F"/>
    <w:rsid w:val="69DC05AC"/>
    <w:rsid w:val="6A140AFD"/>
    <w:rsid w:val="6A267170"/>
    <w:rsid w:val="6A404747"/>
    <w:rsid w:val="6A5C18FD"/>
    <w:rsid w:val="6A6B167A"/>
    <w:rsid w:val="6A6F200A"/>
    <w:rsid w:val="6A800F11"/>
    <w:rsid w:val="6A8964BF"/>
    <w:rsid w:val="6AC02C0D"/>
    <w:rsid w:val="6AD00976"/>
    <w:rsid w:val="6ADC731B"/>
    <w:rsid w:val="6B0058C9"/>
    <w:rsid w:val="6B0A20DA"/>
    <w:rsid w:val="6B302577"/>
    <w:rsid w:val="6B362ECF"/>
    <w:rsid w:val="6B460C38"/>
    <w:rsid w:val="6B594E10"/>
    <w:rsid w:val="6B625A72"/>
    <w:rsid w:val="6B830ACE"/>
    <w:rsid w:val="6B8620F1"/>
    <w:rsid w:val="6BB824DC"/>
    <w:rsid w:val="6BBE5FCF"/>
    <w:rsid w:val="6BD779E9"/>
    <w:rsid w:val="6BD9385B"/>
    <w:rsid w:val="6BE20961"/>
    <w:rsid w:val="6C040F0E"/>
    <w:rsid w:val="6C20148A"/>
    <w:rsid w:val="6C700348"/>
    <w:rsid w:val="6CBF0EFA"/>
    <w:rsid w:val="6CE777DA"/>
    <w:rsid w:val="6CE86DC3"/>
    <w:rsid w:val="6CF93FC5"/>
    <w:rsid w:val="6D7B44F7"/>
    <w:rsid w:val="6D8C5028"/>
    <w:rsid w:val="6DA301F0"/>
    <w:rsid w:val="6DC9627D"/>
    <w:rsid w:val="6DE0248C"/>
    <w:rsid w:val="6DE84A40"/>
    <w:rsid w:val="6DF461AB"/>
    <w:rsid w:val="6E057474"/>
    <w:rsid w:val="6E252635"/>
    <w:rsid w:val="6E4F136D"/>
    <w:rsid w:val="6E71139E"/>
    <w:rsid w:val="6E7C509D"/>
    <w:rsid w:val="6E9E269F"/>
    <w:rsid w:val="6EA57F5D"/>
    <w:rsid w:val="6EDB7958"/>
    <w:rsid w:val="6F0618DE"/>
    <w:rsid w:val="6F125A01"/>
    <w:rsid w:val="6F3829E8"/>
    <w:rsid w:val="6F6F69B0"/>
    <w:rsid w:val="6F940E9F"/>
    <w:rsid w:val="6FF46EB5"/>
    <w:rsid w:val="6FFB5C1B"/>
    <w:rsid w:val="704A2F02"/>
    <w:rsid w:val="704E1FF8"/>
    <w:rsid w:val="707235AE"/>
    <w:rsid w:val="708F3534"/>
    <w:rsid w:val="710C08E6"/>
    <w:rsid w:val="71B37676"/>
    <w:rsid w:val="71CD20B4"/>
    <w:rsid w:val="71DD0E59"/>
    <w:rsid w:val="71DD634E"/>
    <w:rsid w:val="71E13469"/>
    <w:rsid w:val="71FB24CB"/>
    <w:rsid w:val="71FE226D"/>
    <w:rsid w:val="720553A9"/>
    <w:rsid w:val="72113D4E"/>
    <w:rsid w:val="72121903"/>
    <w:rsid w:val="72591B25"/>
    <w:rsid w:val="72606251"/>
    <w:rsid w:val="72775141"/>
    <w:rsid w:val="72C15778"/>
    <w:rsid w:val="72C9287B"/>
    <w:rsid w:val="72D75763"/>
    <w:rsid w:val="72DC25F2"/>
    <w:rsid w:val="730053D6"/>
    <w:rsid w:val="73315E21"/>
    <w:rsid w:val="7346211D"/>
    <w:rsid w:val="734819F2"/>
    <w:rsid w:val="735C324C"/>
    <w:rsid w:val="735C4039"/>
    <w:rsid w:val="73644352"/>
    <w:rsid w:val="736600CA"/>
    <w:rsid w:val="736B240A"/>
    <w:rsid w:val="736D258D"/>
    <w:rsid w:val="738642C8"/>
    <w:rsid w:val="738C7132"/>
    <w:rsid w:val="74021198"/>
    <w:rsid w:val="74055AE2"/>
    <w:rsid w:val="74137F8A"/>
    <w:rsid w:val="7420471D"/>
    <w:rsid w:val="742B1FE0"/>
    <w:rsid w:val="742C5113"/>
    <w:rsid w:val="742F2D19"/>
    <w:rsid w:val="74314468"/>
    <w:rsid w:val="746740F9"/>
    <w:rsid w:val="74795BDB"/>
    <w:rsid w:val="74991664"/>
    <w:rsid w:val="75046961"/>
    <w:rsid w:val="7510653F"/>
    <w:rsid w:val="751F168D"/>
    <w:rsid w:val="753161AE"/>
    <w:rsid w:val="754B7577"/>
    <w:rsid w:val="75572F1D"/>
    <w:rsid w:val="755D049B"/>
    <w:rsid w:val="75681E19"/>
    <w:rsid w:val="75B07D22"/>
    <w:rsid w:val="75D21A46"/>
    <w:rsid w:val="75F23E97"/>
    <w:rsid w:val="762A6640"/>
    <w:rsid w:val="763C5D0A"/>
    <w:rsid w:val="763E2BEB"/>
    <w:rsid w:val="76610130"/>
    <w:rsid w:val="766A7875"/>
    <w:rsid w:val="76C45869"/>
    <w:rsid w:val="76C6396B"/>
    <w:rsid w:val="76CA4E14"/>
    <w:rsid w:val="76D80CE3"/>
    <w:rsid w:val="76DC13E0"/>
    <w:rsid w:val="77132317"/>
    <w:rsid w:val="771D7CC1"/>
    <w:rsid w:val="773D0465"/>
    <w:rsid w:val="774854EA"/>
    <w:rsid w:val="77560455"/>
    <w:rsid w:val="77580DC0"/>
    <w:rsid w:val="7772791D"/>
    <w:rsid w:val="77843DE3"/>
    <w:rsid w:val="77B04E2F"/>
    <w:rsid w:val="77B31049"/>
    <w:rsid w:val="77B66708"/>
    <w:rsid w:val="77E23EF7"/>
    <w:rsid w:val="77F677E9"/>
    <w:rsid w:val="781C169F"/>
    <w:rsid w:val="781E0018"/>
    <w:rsid w:val="78264052"/>
    <w:rsid w:val="784C2545"/>
    <w:rsid w:val="786B2585"/>
    <w:rsid w:val="78765939"/>
    <w:rsid w:val="78961451"/>
    <w:rsid w:val="78A540D5"/>
    <w:rsid w:val="78C733B9"/>
    <w:rsid w:val="78F21005"/>
    <w:rsid w:val="790523EB"/>
    <w:rsid w:val="79085128"/>
    <w:rsid w:val="79561E54"/>
    <w:rsid w:val="79654980"/>
    <w:rsid w:val="79671759"/>
    <w:rsid w:val="797075DA"/>
    <w:rsid w:val="799A1C76"/>
    <w:rsid w:val="79A64236"/>
    <w:rsid w:val="79B812AC"/>
    <w:rsid w:val="79BC485B"/>
    <w:rsid w:val="79F24120"/>
    <w:rsid w:val="7A1B3C8B"/>
    <w:rsid w:val="7A401791"/>
    <w:rsid w:val="7A545120"/>
    <w:rsid w:val="7A707A80"/>
    <w:rsid w:val="7A820219"/>
    <w:rsid w:val="7AA847FA"/>
    <w:rsid w:val="7AAA0C28"/>
    <w:rsid w:val="7ADA3941"/>
    <w:rsid w:val="7AE41572"/>
    <w:rsid w:val="7AFF4F28"/>
    <w:rsid w:val="7B071954"/>
    <w:rsid w:val="7B1D19B6"/>
    <w:rsid w:val="7B1E510C"/>
    <w:rsid w:val="7B2C39A7"/>
    <w:rsid w:val="7B384E3D"/>
    <w:rsid w:val="7B3B25D2"/>
    <w:rsid w:val="7B3F7C92"/>
    <w:rsid w:val="7B5D6256"/>
    <w:rsid w:val="7B607AF4"/>
    <w:rsid w:val="7B643141"/>
    <w:rsid w:val="7B670E83"/>
    <w:rsid w:val="7B7A5941"/>
    <w:rsid w:val="7B7D30DF"/>
    <w:rsid w:val="7B8276AC"/>
    <w:rsid w:val="7BB41C3D"/>
    <w:rsid w:val="7BCE3BEB"/>
    <w:rsid w:val="7BDC50A2"/>
    <w:rsid w:val="7BE177D3"/>
    <w:rsid w:val="7BF42D23"/>
    <w:rsid w:val="7BF63E27"/>
    <w:rsid w:val="7BF85F7F"/>
    <w:rsid w:val="7C211032"/>
    <w:rsid w:val="7C463BAC"/>
    <w:rsid w:val="7C75184C"/>
    <w:rsid w:val="7C8D501E"/>
    <w:rsid w:val="7C9308C0"/>
    <w:rsid w:val="7C9E08D4"/>
    <w:rsid w:val="7CBB0508"/>
    <w:rsid w:val="7CEB4F9F"/>
    <w:rsid w:val="7CF33177"/>
    <w:rsid w:val="7D0B0461"/>
    <w:rsid w:val="7D0B10C1"/>
    <w:rsid w:val="7D282903"/>
    <w:rsid w:val="7D3A16E9"/>
    <w:rsid w:val="7D401A7F"/>
    <w:rsid w:val="7D5A4F25"/>
    <w:rsid w:val="7D711B45"/>
    <w:rsid w:val="7D8B70AB"/>
    <w:rsid w:val="7D8F646F"/>
    <w:rsid w:val="7D9A6D73"/>
    <w:rsid w:val="7D9F2B56"/>
    <w:rsid w:val="7DBC215F"/>
    <w:rsid w:val="7DC95C76"/>
    <w:rsid w:val="7DD6584C"/>
    <w:rsid w:val="7DED2251"/>
    <w:rsid w:val="7DF54524"/>
    <w:rsid w:val="7DF7709C"/>
    <w:rsid w:val="7DFD13EB"/>
    <w:rsid w:val="7E015867"/>
    <w:rsid w:val="7E066731"/>
    <w:rsid w:val="7E2A4A08"/>
    <w:rsid w:val="7E33558D"/>
    <w:rsid w:val="7E7318ED"/>
    <w:rsid w:val="7E753116"/>
    <w:rsid w:val="7E756086"/>
    <w:rsid w:val="7E7C7B82"/>
    <w:rsid w:val="7EB90BD7"/>
    <w:rsid w:val="7F01339C"/>
    <w:rsid w:val="7F1975EE"/>
    <w:rsid w:val="7F4D0390"/>
    <w:rsid w:val="7F67107D"/>
    <w:rsid w:val="7F7678E7"/>
    <w:rsid w:val="7F7A7692"/>
    <w:rsid w:val="7F8738A2"/>
    <w:rsid w:val="7F8848D0"/>
    <w:rsid w:val="7F8E48CA"/>
    <w:rsid w:val="7F9B3631"/>
    <w:rsid w:val="7FA135F0"/>
    <w:rsid w:val="7FD25B6F"/>
    <w:rsid w:val="7FD50A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qFormat="1" w:unhideWhenUsed="0" w:uiPriority="99" w:semiHidden="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qFormat="1" w:unhideWhenUsed="0" w:uiPriority="0" w:semiHidden="0" w:name="toa heading"/>
    <w:lsdException w:uiPriority="0" w:name="List"/>
    <w:lsdException w:uiPriority="0" w:name="List Bullet"/>
    <w:lsdException w:uiPriority="0" w:name="List Number"/>
    <w:lsdException w:uiPriority="0" w:name="List 2"/>
    <w:lsdException w:uiPriority="0" w:name="List 3"/>
    <w:lsdException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qFormat="1" w:uiPriority="0" w:name="Body Text Indent 3"/>
    <w:lsdException w:qFormat="1" w:unhideWhenUsed="0" w:uiPriority="0" w:semiHidden="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1"/>
    <w:link w:val="57"/>
    <w:autoRedefine/>
    <w:qFormat/>
    <w:uiPriority w:val="9"/>
    <w:pPr>
      <w:spacing w:before="340" w:after="330" w:line="578" w:lineRule="auto"/>
      <w:outlineLvl w:val="0"/>
    </w:pPr>
    <w:rPr>
      <w:bCs/>
      <w:kern w:val="44"/>
      <w:sz w:val="44"/>
      <w:szCs w:val="44"/>
    </w:rPr>
  </w:style>
  <w:style w:type="paragraph" w:styleId="4">
    <w:name w:val="heading 2"/>
    <w:basedOn w:val="1"/>
    <w:next w:val="1"/>
    <w:link w:val="60"/>
    <w:autoRedefine/>
    <w:qFormat/>
    <w:uiPriority w:val="0"/>
    <w:pPr>
      <w:keepNext/>
      <w:keepLines/>
      <w:spacing w:before="260" w:after="260" w:line="500" w:lineRule="exact"/>
      <w:contextualSpacing/>
      <w:jc w:val="center"/>
      <w:outlineLvl w:val="1"/>
    </w:pPr>
    <w:rPr>
      <w:rFonts w:asciiTheme="majorEastAsia" w:hAnsiTheme="majorEastAsia" w:eastAsiaTheme="majorEastAsia"/>
      <w:sz w:val="32"/>
      <w:szCs w:val="28"/>
    </w:rPr>
  </w:style>
  <w:style w:type="paragraph" w:styleId="5">
    <w:name w:val="heading 3"/>
    <w:basedOn w:val="1"/>
    <w:next w:val="6"/>
    <w:link w:val="58"/>
    <w:autoRedefine/>
    <w:qFormat/>
    <w:uiPriority w:val="0"/>
    <w:pPr>
      <w:adjustRightInd w:val="0"/>
      <w:snapToGrid w:val="0"/>
      <w:spacing w:line="500" w:lineRule="exact"/>
      <w:ind w:left="-88" w:leftChars="-42"/>
      <w:jc w:val="center"/>
      <w:outlineLvl w:val="2"/>
    </w:pPr>
    <w:rPr>
      <w:rFonts w:ascii="仿宋_GB2312" w:hAnsi="宋体" w:eastAsiaTheme="minorEastAsia"/>
      <w:b/>
      <w:sz w:val="32"/>
      <w:szCs w:val="32"/>
    </w:rPr>
  </w:style>
  <w:style w:type="paragraph" w:styleId="7">
    <w:name w:val="heading 4"/>
    <w:basedOn w:val="1"/>
    <w:next w:val="1"/>
    <w:link w:val="61"/>
    <w:autoRedefine/>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59"/>
    <w:autoRedefine/>
    <w:qFormat/>
    <w:uiPriority w:val="0"/>
    <w:pPr>
      <w:keepNext/>
      <w:keepLines/>
      <w:spacing w:before="280" w:after="290" w:line="376" w:lineRule="auto"/>
      <w:outlineLvl w:val="4"/>
    </w:pPr>
    <w:rPr>
      <w:b/>
      <w:bCs/>
      <w:sz w:val="28"/>
      <w:szCs w:val="28"/>
    </w:rPr>
  </w:style>
  <w:style w:type="paragraph" w:styleId="9">
    <w:name w:val="heading 6"/>
    <w:basedOn w:val="8"/>
    <w:next w:val="1"/>
    <w:link w:val="62"/>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10">
    <w:name w:val="heading 7"/>
    <w:basedOn w:val="9"/>
    <w:next w:val="1"/>
    <w:link w:val="63"/>
    <w:autoRedefine/>
    <w:qFormat/>
    <w:uiPriority w:val="0"/>
    <w:pPr>
      <w:tabs>
        <w:tab w:val="left" w:pos="1800"/>
        <w:tab w:val="clear" w:pos="1440"/>
      </w:tabs>
      <w:ind w:left="1276" w:hanging="1276"/>
      <w:outlineLvl w:val="6"/>
    </w:pPr>
  </w:style>
  <w:style w:type="paragraph" w:styleId="11">
    <w:name w:val="heading 8"/>
    <w:basedOn w:val="10"/>
    <w:next w:val="1"/>
    <w:link w:val="64"/>
    <w:autoRedefine/>
    <w:qFormat/>
    <w:uiPriority w:val="0"/>
    <w:pPr>
      <w:ind w:left="1418" w:hanging="1418"/>
      <w:outlineLvl w:val="7"/>
    </w:pPr>
  </w:style>
  <w:style w:type="paragraph" w:styleId="12">
    <w:name w:val="heading 9"/>
    <w:basedOn w:val="11"/>
    <w:next w:val="1"/>
    <w:link w:val="65"/>
    <w:autoRedefine/>
    <w:qFormat/>
    <w:uiPriority w:val="0"/>
    <w:pPr>
      <w:tabs>
        <w:tab w:val="left" w:pos="2160"/>
        <w:tab w:val="clear" w:pos="1800"/>
      </w:tabs>
      <w:ind w:left="1559" w:hanging="1559"/>
      <w:outlineLvl w:val="8"/>
    </w:p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sz w:val="24"/>
      <w:szCs w:val="24"/>
    </w:rPr>
  </w:style>
  <w:style w:type="paragraph" w:styleId="6">
    <w:name w:val="Normal Indent"/>
    <w:basedOn w:val="1"/>
    <w:link w:val="72"/>
    <w:autoRedefine/>
    <w:unhideWhenUsed/>
    <w:qFormat/>
    <w:uiPriority w:val="0"/>
    <w:pPr>
      <w:ind w:firstLine="420" w:firstLineChars="200"/>
    </w:pPr>
  </w:style>
  <w:style w:type="paragraph" w:styleId="13">
    <w:name w:val="table of authorities"/>
    <w:basedOn w:val="1"/>
    <w:next w:val="1"/>
    <w:qFormat/>
    <w:uiPriority w:val="0"/>
    <w:pPr>
      <w:ind w:left="420" w:leftChars="200" w:firstLine="0"/>
    </w:pPr>
  </w:style>
  <w:style w:type="paragraph" w:styleId="14">
    <w:name w:val="caption"/>
    <w:basedOn w:val="1"/>
    <w:next w:val="1"/>
    <w:autoRedefine/>
    <w:qFormat/>
    <w:uiPriority w:val="0"/>
    <w:pPr>
      <w:spacing w:before="152" w:after="160"/>
    </w:pPr>
    <w:rPr>
      <w:rFonts w:ascii="Arial" w:hAnsi="Arial" w:eastAsia="黑体" w:cs="Arial"/>
      <w:sz w:val="20"/>
      <w:szCs w:val="20"/>
    </w:rPr>
  </w:style>
  <w:style w:type="paragraph" w:styleId="15">
    <w:name w:val="Document Map"/>
    <w:basedOn w:val="1"/>
    <w:link w:val="77"/>
    <w:autoRedefine/>
    <w:qFormat/>
    <w:uiPriority w:val="0"/>
    <w:rPr>
      <w:rFonts w:ascii="宋体"/>
      <w:sz w:val="18"/>
      <w:szCs w:val="18"/>
    </w:rPr>
  </w:style>
  <w:style w:type="paragraph" w:styleId="16">
    <w:name w:val="annotation text"/>
    <w:basedOn w:val="1"/>
    <w:link w:val="75"/>
    <w:autoRedefine/>
    <w:qFormat/>
    <w:uiPriority w:val="0"/>
    <w:pPr>
      <w:jc w:val="left"/>
    </w:pPr>
  </w:style>
  <w:style w:type="paragraph" w:styleId="17">
    <w:name w:val="index 6"/>
    <w:basedOn w:val="1"/>
    <w:next w:val="1"/>
    <w:autoRedefine/>
    <w:qFormat/>
    <w:uiPriority w:val="99"/>
    <w:pPr>
      <w:ind w:left="2100"/>
    </w:pPr>
  </w:style>
  <w:style w:type="paragraph" w:styleId="18">
    <w:name w:val="Body Text"/>
    <w:basedOn w:val="1"/>
    <w:next w:val="19"/>
    <w:autoRedefine/>
    <w:semiHidden/>
    <w:unhideWhenUsed/>
    <w:qFormat/>
    <w:uiPriority w:val="0"/>
    <w:pPr>
      <w:spacing w:after="120"/>
    </w:pPr>
  </w:style>
  <w:style w:type="paragraph" w:styleId="19">
    <w:name w:val="Body Text First Indent"/>
    <w:basedOn w:val="18"/>
    <w:next w:val="1"/>
    <w:autoRedefine/>
    <w:unhideWhenUsed/>
    <w:qFormat/>
    <w:uiPriority w:val="99"/>
    <w:pPr>
      <w:ind w:firstLine="420" w:firstLineChars="100"/>
    </w:pPr>
  </w:style>
  <w:style w:type="paragraph" w:styleId="20">
    <w:name w:val="Body Text Indent"/>
    <w:basedOn w:val="1"/>
    <w:autoRedefine/>
    <w:qFormat/>
    <w:uiPriority w:val="0"/>
    <w:pPr>
      <w:ind w:firstLine="830" w:firstLineChars="352"/>
    </w:pPr>
    <w:rPr>
      <w:rFonts w:ascii="仿宋_GB2312" w:eastAsia="仿宋_GB2312"/>
      <w:sz w:val="32"/>
      <w:szCs w:val="20"/>
    </w:rPr>
  </w:style>
  <w:style w:type="paragraph" w:styleId="21">
    <w:name w:val="Block Text"/>
    <w:basedOn w:val="1"/>
    <w:autoRedefine/>
    <w:qFormat/>
    <w:uiPriority w:val="0"/>
    <w:pPr>
      <w:autoSpaceDE w:val="0"/>
      <w:autoSpaceDN w:val="0"/>
      <w:adjustRightInd w:val="0"/>
      <w:spacing w:line="500" w:lineRule="exact"/>
      <w:ind w:left="391" w:right="246"/>
    </w:pPr>
    <w:rPr>
      <w:rFonts w:ascii="仿宋_GB2312" w:eastAsia="仿宋_GB2312"/>
      <w:kern w:val="0"/>
      <w:sz w:val="24"/>
    </w:rPr>
  </w:style>
  <w:style w:type="paragraph" w:styleId="22">
    <w:name w:val="toc 3"/>
    <w:basedOn w:val="1"/>
    <w:next w:val="1"/>
    <w:autoRedefine/>
    <w:unhideWhenUsed/>
    <w:qFormat/>
    <w:uiPriority w:val="39"/>
    <w:pPr>
      <w:ind w:left="840" w:leftChars="400"/>
    </w:pPr>
  </w:style>
  <w:style w:type="paragraph" w:styleId="23">
    <w:name w:val="Plain Text"/>
    <w:basedOn w:val="1"/>
    <w:link w:val="69"/>
    <w:autoRedefine/>
    <w:qFormat/>
    <w:uiPriority w:val="0"/>
    <w:rPr>
      <w:rFonts w:ascii="宋体" w:hAnsi="Courier New"/>
      <w:szCs w:val="21"/>
    </w:rPr>
  </w:style>
  <w:style w:type="paragraph" w:styleId="24">
    <w:name w:val="Date"/>
    <w:basedOn w:val="1"/>
    <w:next w:val="1"/>
    <w:autoRedefine/>
    <w:qFormat/>
    <w:uiPriority w:val="0"/>
    <w:pPr>
      <w:ind w:left="100" w:leftChars="2500"/>
    </w:pPr>
    <w:rPr>
      <w:rFonts w:ascii="宋体" w:hAnsi="Courier New" w:cs="Courier New"/>
      <w:szCs w:val="21"/>
    </w:rPr>
  </w:style>
  <w:style w:type="paragraph" w:styleId="25">
    <w:name w:val="Balloon Text"/>
    <w:basedOn w:val="1"/>
    <w:autoRedefine/>
    <w:semiHidden/>
    <w:qFormat/>
    <w:uiPriority w:val="0"/>
    <w:rPr>
      <w:sz w:val="18"/>
      <w:szCs w:val="18"/>
    </w:rPr>
  </w:style>
  <w:style w:type="paragraph" w:styleId="26">
    <w:name w:val="footer"/>
    <w:basedOn w:val="1"/>
    <w:next w:val="1"/>
    <w:autoRedefine/>
    <w:qFormat/>
    <w:uiPriority w:val="0"/>
    <w:pPr>
      <w:tabs>
        <w:tab w:val="center" w:pos="4153"/>
        <w:tab w:val="right" w:pos="8306"/>
      </w:tabs>
      <w:snapToGrid w:val="0"/>
      <w:jc w:val="left"/>
    </w:pPr>
    <w:rPr>
      <w:sz w:val="18"/>
      <w:szCs w:val="18"/>
    </w:rPr>
  </w:style>
  <w:style w:type="paragraph" w:styleId="27">
    <w:name w:val="header"/>
    <w:basedOn w:val="1"/>
    <w:link w:val="68"/>
    <w:autoRedefine/>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qFormat/>
    <w:uiPriority w:val="39"/>
    <w:pPr>
      <w:tabs>
        <w:tab w:val="right" w:leader="dot" w:pos="8222"/>
      </w:tabs>
      <w:spacing w:line="440" w:lineRule="exact"/>
      <w:ind w:right="231" w:rightChars="110"/>
    </w:pPr>
    <w:rPr>
      <w:sz w:val="28"/>
    </w:rPr>
  </w:style>
  <w:style w:type="paragraph" w:styleId="29">
    <w:name w:val="footnote text"/>
    <w:basedOn w:val="1"/>
    <w:autoRedefine/>
    <w:qFormat/>
    <w:uiPriority w:val="0"/>
    <w:pPr>
      <w:snapToGrid w:val="0"/>
      <w:jc w:val="left"/>
    </w:pPr>
    <w:rPr>
      <w:sz w:val="18"/>
    </w:rPr>
  </w:style>
  <w:style w:type="paragraph" w:styleId="30">
    <w:name w:val="Body Text Indent 3"/>
    <w:basedOn w:val="1"/>
    <w:link w:val="84"/>
    <w:autoRedefine/>
    <w:semiHidden/>
    <w:unhideWhenUsed/>
    <w:qFormat/>
    <w:uiPriority w:val="0"/>
    <w:pPr>
      <w:spacing w:after="120"/>
      <w:ind w:left="420" w:leftChars="200"/>
    </w:pPr>
    <w:rPr>
      <w:sz w:val="16"/>
      <w:szCs w:val="16"/>
    </w:rPr>
  </w:style>
  <w:style w:type="paragraph" w:styleId="31">
    <w:name w:val="toc 2"/>
    <w:basedOn w:val="1"/>
    <w:next w:val="1"/>
    <w:autoRedefine/>
    <w:qFormat/>
    <w:uiPriority w:val="39"/>
    <w:pPr>
      <w:tabs>
        <w:tab w:val="right" w:leader="dot" w:pos="8222"/>
      </w:tabs>
      <w:ind w:left="420" w:leftChars="200"/>
      <w:jc w:val="left"/>
    </w:pPr>
    <w:rPr>
      <w:sz w:val="28"/>
    </w:rPr>
  </w:style>
  <w:style w:type="paragraph" w:styleId="32">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33">
    <w:name w:val="Title"/>
    <w:basedOn w:val="4"/>
    <w:next w:val="1"/>
    <w:link w:val="56"/>
    <w:autoRedefine/>
    <w:qFormat/>
    <w:uiPriority w:val="0"/>
    <w:pPr>
      <w:jc w:val="both"/>
    </w:pPr>
    <w:rPr>
      <w:rFonts w:ascii="宋体"/>
      <w:sz w:val="44"/>
    </w:rPr>
  </w:style>
  <w:style w:type="paragraph" w:styleId="34">
    <w:name w:val="annotation subject"/>
    <w:basedOn w:val="16"/>
    <w:next w:val="16"/>
    <w:link w:val="74"/>
    <w:autoRedefine/>
    <w:qFormat/>
    <w:uiPriority w:val="99"/>
    <w:rPr>
      <w:rFonts w:ascii="Times New Roman" w:hAnsi="Times New Roman"/>
      <w:b/>
      <w:sz w:val="28"/>
      <w:szCs w:val="20"/>
    </w:rPr>
  </w:style>
  <w:style w:type="paragraph" w:styleId="35">
    <w:name w:val="Body Text First Indent 2"/>
    <w:basedOn w:val="20"/>
    <w:next w:val="19"/>
    <w:autoRedefine/>
    <w:qFormat/>
    <w:uiPriority w:val="0"/>
    <w:pPr>
      <w:ind w:firstLine="420"/>
    </w:pPr>
    <w:rPr>
      <w:rFonts w:ascii="Calibri" w:hAnsi="Calibri" w:eastAsia="宋体" w:cs="Times New Roman"/>
    </w:rPr>
  </w:style>
  <w:style w:type="table" w:styleId="37">
    <w:name w:val="Table Grid"/>
    <w:basedOn w:val="3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basedOn w:val="38"/>
    <w:autoRedefine/>
    <w:qFormat/>
    <w:uiPriority w:val="0"/>
    <w:rPr>
      <w:b/>
      <w:bCs/>
    </w:rPr>
  </w:style>
  <w:style w:type="character" w:styleId="40">
    <w:name w:val="page number"/>
    <w:basedOn w:val="38"/>
    <w:autoRedefine/>
    <w:qFormat/>
    <w:uiPriority w:val="0"/>
  </w:style>
  <w:style w:type="character" w:styleId="41">
    <w:name w:val="FollowedHyperlink"/>
    <w:basedOn w:val="38"/>
    <w:autoRedefine/>
    <w:semiHidden/>
    <w:unhideWhenUsed/>
    <w:qFormat/>
    <w:uiPriority w:val="0"/>
    <w:rPr>
      <w:color w:val="333333"/>
      <w:u w:val="none"/>
    </w:rPr>
  </w:style>
  <w:style w:type="character" w:styleId="42">
    <w:name w:val="Emphasis"/>
    <w:basedOn w:val="38"/>
    <w:qFormat/>
    <w:uiPriority w:val="0"/>
    <w:rPr>
      <w:i/>
    </w:rPr>
  </w:style>
  <w:style w:type="character" w:styleId="43">
    <w:name w:val="HTML Definition"/>
    <w:basedOn w:val="38"/>
    <w:autoRedefine/>
    <w:semiHidden/>
    <w:unhideWhenUsed/>
    <w:qFormat/>
    <w:uiPriority w:val="0"/>
  </w:style>
  <w:style w:type="character" w:styleId="44">
    <w:name w:val="HTML Typewriter"/>
    <w:basedOn w:val="38"/>
    <w:autoRedefine/>
    <w:semiHidden/>
    <w:unhideWhenUsed/>
    <w:qFormat/>
    <w:uiPriority w:val="0"/>
    <w:rPr>
      <w:rFonts w:hint="default" w:ascii="monospace" w:hAnsi="monospace" w:eastAsia="monospace" w:cs="monospace"/>
      <w:sz w:val="20"/>
    </w:rPr>
  </w:style>
  <w:style w:type="character" w:styleId="45">
    <w:name w:val="HTML Acronym"/>
    <w:basedOn w:val="38"/>
    <w:autoRedefine/>
    <w:semiHidden/>
    <w:unhideWhenUsed/>
    <w:qFormat/>
    <w:uiPriority w:val="0"/>
  </w:style>
  <w:style w:type="character" w:styleId="46">
    <w:name w:val="HTML Variable"/>
    <w:basedOn w:val="38"/>
    <w:autoRedefine/>
    <w:semiHidden/>
    <w:unhideWhenUsed/>
    <w:qFormat/>
    <w:uiPriority w:val="0"/>
  </w:style>
  <w:style w:type="character" w:styleId="47">
    <w:name w:val="Hyperlink"/>
    <w:basedOn w:val="38"/>
    <w:autoRedefine/>
    <w:qFormat/>
    <w:uiPriority w:val="99"/>
    <w:rPr>
      <w:color w:val="333333"/>
      <w:u w:val="none"/>
    </w:rPr>
  </w:style>
  <w:style w:type="character" w:styleId="48">
    <w:name w:val="HTML Code"/>
    <w:basedOn w:val="38"/>
    <w:autoRedefine/>
    <w:semiHidden/>
    <w:unhideWhenUsed/>
    <w:qFormat/>
    <w:uiPriority w:val="0"/>
    <w:rPr>
      <w:rFonts w:hint="default" w:ascii="monospace" w:hAnsi="monospace" w:eastAsia="monospace" w:cs="monospace"/>
      <w:sz w:val="20"/>
    </w:rPr>
  </w:style>
  <w:style w:type="character" w:styleId="49">
    <w:name w:val="annotation reference"/>
    <w:basedOn w:val="38"/>
    <w:autoRedefine/>
    <w:unhideWhenUsed/>
    <w:qFormat/>
    <w:uiPriority w:val="0"/>
    <w:rPr>
      <w:sz w:val="21"/>
      <w:szCs w:val="21"/>
    </w:rPr>
  </w:style>
  <w:style w:type="character" w:styleId="50">
    <w:name w:val="HTML Cite"/>
    <w:basedOn w:val="38"/>
    <w:autoRedefine/>
    <w:semiHidden/>
    <w:unhideWhenUsed/>
    <w:qFormat/>
    <w:uiPriority w:val="0"/>
  </w:style>
  <w:style w:type="character" w:styleId="51">
    <w:name w:val="HTML Keyboard"/>
    <w:basedOn w:val="38"/>
    <w:autoRedefine/>
    <w:semiHidden/>
    <w:unhideWhenUsed/>
    <w:qFormat/>
    <w:uiPriority w:val="0"/>
    <w:rPr>
      <w:rFonts w:hint="default" w:ascii="monospace" w:hAnsi="monospace" w:eastAsia="monospace" w:cs="monospace"/>
      <w:sz w:val="20"/>
    </w:rPr>
  </w:style>
  <w:style w:type="character" w:styleId="52">
    <w:name w:val="HTML Sample"/>
    <w:basedOn w:val="38"/>
    <w:autoRedefine/>
    <w:semiHidden/>
    <w:unhideWhenUsed/>
    <w:qFormat/>
    <w:uiPriority w:val="0"/>
    <w:rPr>
      <w:rFonts w:ascii="monospace" w:hAnsi="monospace" w:eastAsia="monospace" w:cs="monospace"/>
    </w:rPr>
  </w:style>
  <w:style w:type="paragraph" w:customStyle="1" w:styleId="53">
    <w:name w:val="Default"/>
    <w:next w:val="1"/>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54">
    <w:name w:val="样式1"/>
    <w:basedOn w:val="1"/>
    <w:autoRedefine/>
    <w:qFormat/>
    <w:uiPriority w:val="0"/>
    <w:pPr>
      <w:tabs>
        <w:tab w:val="left" w:pos="709"/>
      </w:tabs>
      <w:adjustRightInd w:val="0"/>
      <w:ind w:left="709" w:hanging="709"/>
      <w:textAlignment w:val="baseline"/>
    </w:pPr>
    <w:rPr>
      <w:rFonts w:ascii="宋体" w:hAnsi="宋体"/>
      <w:kern w:val="0"/>
      <w:szCs w:val="21"/>
    </w:rPr>
  </w:style>
  <w:style w:type="character" w:customStyle="1" w:styleId="55">
    <w:name w:val="case31"/>
    <w:autoRedefine/>
    <w:qFormat/>
    <w:uiPriority w:val="0"/>
    <w:rPr>
      <w:rFonts w:hint="default"/>
      <w:spacing w:val="390"/>
      <w:sz w:val="21"/>
      <w:szCs w:val="21"/>
    </w:rPr>
  </w:style>
  <w:style w:type="character" w:customStyle="1" w:styleId="56">
    <w:name w:val="标题 Char"/>
    <w:link w:val="33"/>
    <w:autoRedefine/>
    <w:qFormat/>
    <w:uiPriority w:val="0"/>
    <w:rPr>
      <w:rFonts w:ascii="宋体" w:hAnsiTheme="majorEastAsia" w:eastAsiaTheme="majorEastAsia"/>
      <w:b/>
      <w:kern w:val="2"/>
      <w:sz w:val="44"/>
      <w:szCs w:val="28"/>
    </w:rPr>
  </w:style>
  <w:style w:type="character" w:customStyle="1" w:styleId="57">
    <w:name w:val="标题 1 Char"/>
    <w:link w:val="3"/>
    <w:autoRedefine/>
    <w:qFormat/>
    <w:uiPriority w:val="9"/>
    <w:rPr>
      <w:rFonts w:ascii="Calibri" w:hAnsi="Calibri"/>
      <w:b/>
      <w:bCs/>
      <w:kern w:val="44"/>
      <w:sz w:val="44"/>
      <w:szCs w:val="44"/>
    </w:rPr>
  </w:style>
  <w:style w:type="character" w:customStyle="1" w:styleId="58">
    <w:name w:val="标题 3 Char"/>
    <w:link w:val="5"/>
    <w:autoRedefine/>
    <w:qFormat/>
    <w:uiPriority w:val="0"/>
    <w:rPr>
      <w:rFonts w:ascii="仿宋_GB2312" w:hAnsi="宋体" w:eastAsiaTheme="minorEastAsia"/>
      <w:b/>
      <w:kern w:val="2"/>
      <w:sz w:val="32"/>
      <w:szCs w:val="32"/>
    </w:rPr>
  </w:style>
  <w:style w:type="character" w:customStyle="1" w:styleId="59">
    <w:name w:val="标题 5 Char"/>
    <w:link w:val="8"/>
    <w:autoRedefine/>
    <w:qFormat/>
    <w:uiPriority w:val="0"/>
    <w:rPr>
      <w:rFonts w:ascii="Calibri" w:hAnsi="Calibri"/>
      <w:b/>
      <w:bCs/>
      <w:kern w:val="2"/>
      <w:sz w:val="28"/>
      <w:szCs w:val="28"/>
    </w:rPr>
  </w:style>
  <w:style w:type="character" w:customStyle="1" w:styleId="60">
    <w:name w:val="标题 2 Char"/>
    <w:link w:val="4"/>
    <w:autoRedefine/>
    <w:qFormat/>
    <w:uiPriority w:val="0"/>
    <w:rPr>
      <w:rFonts w:asciiTheme="majorEastAsia" w:hAnsiTheme="majorEastAsia" w:eastAsiaTheme="majorEastAsia"/>
      <w:b/>
      <w:kern w:val="2"/>
      <w:sz w:val="32"/>
      <w:szCs w:val="28"/>
    </w:rPr>
  </w:style>
  <w:style w:type="character" w:customStyle="1" w:styleId="61">
    <w:name w:val="标题 4 Char"/>
    <w:link w:val="7"/>
    <w:autoRedefine/>
    <w:qFormat/>
    <w:uiPriority w:val="0"/>
    <w:rPr>
      <w:rFonts w:ascii="Arial" w:hAnsi="Arial" w:eastAsia="黑体"/>
      <w:b/>
      <w:bCs/>
      <w:kern w:val="2"/>
      <w:sz w:val="28"/>
      <w:szCs w:val="28"/>
    </w:rPr>
  </w:style>
  <w:style w:type="character" w:customStyle="1" w:styleId="62">
    <w:name w:val="标题 6 Char"/>
    <w:link w:val="9"/>
    <w:autoRedefine/>
    <w:qFormat/>
    <w:uiPriority w:val="0"/>
    <w:rPr>
      <w:b/>
      <w:bCs/>
      <w:kern w:val="2"/>
      <w:sz w:val="30"/>
      <w:szCs w:val="18"/>
    </w:rPr>
  </w:style>
  <w:style w:type="character" w:customStyle="1" w:styleId="63">
    <w:name w:val="标题 7 Char"/>
    <w:link w:val="10"/>
    <w:autoRedefine/>
    <w:qFormat/>
    <w:uiPriority w:val="0"/>
    <w:rPr>
      <w:b/>
      <w:bCs/>
      <w:kern w:val="2"/>
      <w:sz w:val="30"/>
      <w:szCs w:val="18"/>
    </w:rPr>
  </w:style>
  <w:style w:type="character" w:customStyle="1" w:styleId="64">
    <w:name w:val="标题 8 Char"/>
    <w:link w:val="11"/>
    <w:autoRedefine/>
    <w:qFormat/>
    <w:uiPriority w:val="0"/>
    <w:rPr>
      <w:b/>
      <w:bCs/>
      <w:kern w:val="2"/>
      <w:sz w:val="30"/>
      <w:szCs w:val="18"/>
    </w:rPr>
  </w:style>
  <w:style w:type="character" w:customStyle="1" w:styleId="65">
    <w:name w:val="标题 9 Char"/>
    <w:link w:val="12"/>
    <w:autoRedefine/>
    <w:qFormat/>
    <w:uiPriority w:val="0"/>
    <w:rPr>
      <w:b/>
      <w:bCs/>
      <w:kern w:val="2"/>
      <w:sz w:val="30"/>
      <w:szCs w:val="18"/>
    </w:rPr>
  </w:style>
  <w:style w:type="paragraph" w:customStyle="1" w:styleId="66">
    <w:name w:val="列出段落1"/>
    <w:basedOn w:val="1"/>
    <w:autoRedefine/>
    <w:qFormat/>
    <w:uiPriority w:val="34"/>
    <w:pPr>
      <w:ind w:firstLine="420" w:firstLineChars="200"/>
    </w:pPr>
  </w:style>
  <w:style w:type="paragraph" w:customStyle="1" w:styleId="67">
    <w:name w:val="TOC 标题1"/>
    <w:basedOn w:val="3"/>
    <w:next w:val="1"/>
    <w:autoRedefine/>
    <w:qFormat/>
    <w:uiPriority w:val="39"/>
    <w:pPr>
      <w:widowControl/>
      <w:spacing w:before="480" w:after="0" w:line="276" w:lineRule="auto"/>
      <w:jc w:val="left"/>
      <w:outlineLvl w:val="9"/>
    </w:pPr>
    <w:rPr>
      <w:rFonts w:ascii="Cambria" w:hAnsi="Cambria"/>
      <w:color w:val="365F91"/>
      <w:kern w:val="0"/>
      <w:sz w:val="28"/>
    </w:rPr>
  </w:style>
  <w:style w:type="character" w:customStyle="1" w:styleId="68">
    <w:name w:val="页眉 Char"/>
    <w:link w:val="27"/>
    <w:autoRedefine/>
    <w:qFormat/>
    <w:uiPriority w:val="99"/>
    <w:rPr>
      <w:rFonts w:ascii="Calibri" w:hAnsi="Calibri" w:eastAsia="宋体" w:cs="Times New Roman"/>
      <w:kern w:val="2"/>
      <w:sz w:val="18"/>
      <w:szCs w:val="18"/>
    </w:rPr>
  </w:style>
  <w:style w:type="character" w:customStyle="1" w:styleId="69">
    <w:name w:val="纯文本 Char"/>
    <w:link w:val="23"/>
    <w:autoRedefine/>
    <w:qFormat/>
    <w:locked/>
    <w:uiPriority w:val="0"/>
    <w:rPr>
      <w:rFonts w:ascii="宋体" w:hAnsi="Courier New" w:eastAsia="宋体" w:cs="Courier New"/>
      <w:kern w:val="2"/>
      <w:sz w:val="21"/>
      <w:szCs w:val="21"/>
    </w:rPr>
  </w:style>
  <w:style w:type="paragraph" w:customStyle="1" w:styleId="70">
    <w:name w:val="需求样式"/>
    <w:basedOn w:val="3"/>
    <w:link w:val="71"/>
    <w:autoRedefine/>
    <w:qFormat/>
    <w:uiPriority w:val="0"/>
    <w:pPr>
      <w:spacing w:before="120" w:after="120" w:line="360" w:lineRule="auto"/>
      <w:ind w:left="425" w:hanging="425"/>
    </w:pPr>
    <w:rPr>
      <w:rFonts w:ascii="Times New Roman" w:hAnsi="Times New Roman"/>
      <w:sz w:val="32"/>
      <w:szCs w:val="28"/>
    </w:rPr>
  </w:style>
  <w:style w:type="character" w:customStyle="1" w:styleId="71">
    <w:name w:val="需求样式 Char"/>
    <w:link w:val="70"/>
    <w:autoRedefine/>
    <w:qFormat/>
    <w:uiPriority w:val="0"/>
    <w:rPr>
      <w:b/>
      <w:bCs/>
      <w:kern w:val="44"/>
      <w:sz w:val="32"/>
      <w:szCs w:val="28"/>
    </w:rPr>
  </w:style>
  <w:style w:type="character" w:customStyle="1" w:styleId="72">
    <w:name w:val="正文缩进 Char"/>
    <w:link w:val="6"/>
    <w:autoRedefine/>
    <w:qFormat/>
    <w:uiPriority w:val="0"/>
    <w:rPr>
      <w:rFonts w:ascii="Calibri" w:hAnsi="Calibri" w:eastAsia="宋体"/>
      <w:kern w:val="2"/>
      <w:sz w:val="21"/>
      <w:szCs w:val="22"/>
      <w:lang w:val="en-US" w:eastAsia="zh-CN" w:bidi="ar-SA"/>
    </w:rPr>
  </w:style>
  <w:style w:type="character" w:customStyle="1" w:styleId="73">
    <w:name w:val="普通文字 Char Char2"/>
    <w:autoRedefine/>
    <w:qFormat/>
    <w:uiPriority w:val="0"/>
    <w:rPr>
      <w:rFonts w:ascii="宋体" w:hAnsi="Courier New" w:cs="Courier New"/>
      <w:kern w:val="2"/>
      <w:sz w:val="21"/>
      <w:szCs w:val="21"/>
    </w:rPr>
  </w:style>
  <w:style w:type="character" w:customStyle="1" w:styleId="74">
    <w:name w:val="批注主题 Char"/>
    <w:link w:val="34"/>
    <w:autoRedefine/>
    <w:qFormat/>
    <w:uiPriority w:val="99"/>
    <w:rPr>
      <w:b/>
      <w:kern w:val="2"/>
      <w:sz w:val="28"/>
    </w:rPr>
  </w:style>
  <w:style w:type="character" w:customStyle="1" w:styleId="75">
    <w:name w:val="批注文字 Char"/>
    <w:basedOn w:val="38"/>
    <w:link w:val="16"/>
    <w:autoRedefine/>
    <w:qFormat/>
    <w:uiPriority w:val="0"/>
    <w:rPr>
      <w:rFonts w:ascii="Calibri" w:hAnsi="Calibri"/>
      <w:kern w:val="2"/>
      <w:sz w:val="21"/>
      <w:szCs w:val="22"/>
    </w:rPr>
  </w:style>
  <w:style w:type="character" w:customStyle="1" w:styleId="76">
    <w:name w:val="批注主题 Char1"/>
    <w:basedOn w:val="75"/>
    <w:autoRedefine/>
    <w:qFormat/>
    <w:uiPriority w:val="0"/>
    <w:rPr>
      <w:rFonts w:ascii="Calibri" w:hAnsi="Calibri"/>
      <w:b/>
      <w:bCs/>
      <w:kern w:val="2"/>
      <w:sz w:val="21"/>
      <w:szCs w:val="22"/>
    </w:rPr>
  </w:style>
  <w:style w:type="character" w:customStyle="1" w:styleId="77">
    <w:name w:val="文档结构图 Char"/>
    <w:basedOn w:val="38"/>
    <w:link w:val="15"/>
    <w:autoRedefine/>
    <w:qFormat/>
    <w:uiPriority w:val="0"/>
    <w:rPr>
      <w:rFonts w:ascii="宋体" w:hAnsi="Calibri"/>
      <w:kern w:val="2"/>
      <w:sz w:val="18"/>
      <w:szCs w:val="18"/>
    </w:rPr>
  </w:style>
  <w:style w:type="paragraph" w:customStyle="1" w:styleId="78">
    <w:name w:val="修订1"/>
    <w:autoRedefine/>
    <w:hidden/>
    <w:semiHidden/>
    <w:qFormat/>
    <w:uiPriority w:val="99"/>
    <w:rPr>
      <w:rFonts w:ascii="Calibri" w:hAnsi="Calibri" w:eastAsia="宋体" w:cs="Times New Roman"/>
      <w:kern w:val="2"/>
      <w:sz w:val="21"/>
      <w:szCs w:val="22"/>
      <w:lang w:val="en-US" w:eastAsia="zh-CN" w:bidi="ar-SA"/>
    </w:rPr>
  </w:style>
  <w:style w:type="paragraph" w:customStyle="1" w:styleId="79">
    <w:name w:val="正文空2格  1."/>
    <w:basedOn w:val="1"/>
    <w:autoRedefine/>
    <w:qFormat/>
    <w:uiPriority w:val="0"/>
    <w:pPr>
      <w:adjustRightInd w:val="0"/>
      <w:spacing w:line="360" w:lineRule="auto"/>
      <w:ind w:firstLine="480" w:firstLineChars="200"/>
      <w:textAlignment w:val="baseline"/>
    </w:pPr>
    <w:rPr>
      <w:rFonts w:ascii="宋体" w:hAnsi="Times New Roman" w:eastAsia="仿宋" w:cs="宋体"/>
      <w:kern w:val="0"/>
      <w:sz w:val="28"/>
      <w:szCs w:val="20"/>
    </w:rPr>
  </w:style>
  <w:style w:type="character" w:customStyle="1" w:styleId="80">
    <w:name w:val="2册标题2 Char"/>
    <w:link w:val="81"/>
    <w:autoRedefine/>
    <w:qFormat/>
    <w:uiPriority w:val="0"/>
    <w:rPr>
      <w:rFonts w:ascii="Arial" w:hAnsi="Arial" w:eastAsia="黑体"/>
      <w:kern w:val="2"/>
      <w:sz w:val="30"/>
    </w:rPr>
  </w:style>
  <w:style w:type="paragraph" w:customStyle="1" w:styleId="81">
    <w:name w:val="2册标题2"/>
    <w:basedOn w:val="1"/>
    <w:next w:val="1"/>
    <w:link w:val="80"/>
    <w:autoRedefine/>
    <w:qFormat/>
    <w:uiPriority w:val="0"/>
    <w:pPr>
      <w:spacing w:beforeLines="50" w:afterLines="50" w:line="300" w:lineRule="auto"/>
      <w:outlineLvl w:val="1"/>
    </w:pPr>
    <w:rPr>
      <w:rFonts w:ascii="Arial" w:hAnsi="Arial" w:eastAsia="黑体"/>
      <w:sz w:val="30"/>
      <w:szCs w:val="20"/>
    </w:rPr>
  </w:style>
  <w:style w:type="paragraph" w:styleId="82">
    <w:name w:val="List Paragraph"/>
    <w:basedOn w:val="1"/>
    <w:autoRedefine/>
    <w:unhideWhenUsed/>
    <w:qFormat/>
    <w:uiPriority w:val="99"/>
    <w:pPr>
      <w:ind w:firstLine="420" w:firstLineChars="200"/>
    </w:pPr>
  </w:style>
  <w:style w:type="paragraph" w:customStyle="1" w:styleId="83">
    <w:name w:val="TOC 标题2"/>
    <w:basedOn w:val="3"/>
    <w:next w:val="1"/>
    <w:autoRedefine/>
    <w:unhideWhenUsed/>
    <w:qFormat/>
    <w:uiPriority w:val="39"/>
    <w:pPr>
      <w:widowControl/>
      <w:spacing w:before="240" w:after="0" w:line="259" w:lineRule="auto"/>
      <w:jc w:val="left"/>
      <w:outlineLvl w:val="9"/>
    </w:pPr>
    <w:rPr>
      <w:rFonts w:asciiTheme="majorHAnsi" w:hAnsiTheme="majorHAnsi" w:cstheme="majorBidi"/>
      <w:bCs w:val="0"/>
      <w:color w:val="376092" w:themeColor="accent1" w:themeShade="BF"/>
      <w:kern w:val="0"/>
      <w:sz w:val="32"/>
      <w:szCs w:val="32"/>
    </w:rPr>
  </w:style>
  <w:style w:type="character" w:customStyle="1" w:styleId="84">
    <w:name w:val="正文文本缩进 3 Char"/>
    <w:basedOn w:val="38"/>
    <w:link w:val="30"/>
    <w:autoRedefine/>
    <w:semiHidden/>
    <w:qFormat/>
    <w:uiPriority w:val="0"/>
    <w:rPr>
      <w:rFonts w:ascii="Calibri" w:hAnsi="Calibri"/>
      <w:kern w:val="2"/>
      <w:sz w:val="16"/>
      <w:szCs w:val="16"/>
    </w:rPr>
  </w:style>
  <w:style w:type="paragraph" w:customStyle="1" w:styleId="85">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正文_0_0"/>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87">
    <w:name w:val="Normal_7"/>
    <w:autoRedefine/>
    <w:qFormat/>
    <w:uiPriority w:val="0"/>
    <w:rPr>
      <w:rFonts w:ascii="黑体" w:hAnsi="黑体" w:eastAsia="黑体" w:cs="Times New Roman"/>
      <w:b/>
      <w:sz w:val="32"/>
      <w:szCs w:val="24"/>
      <w:lang w:val="en-US" w:eastAsia="zh-CN" w:bidi="ar-SA"/>
    </w:rPr>
  </w:style>
  <w:style w:type="paragraph" w:customStyle="1" w:styleId="88">
    <w:name w:val="正文_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正文文本缩进_0_0"/>
    <w:basedOn w:val="88"/>
    <w:autoRedefine/>
    <w:qFormat/>
    <w:uiPriority w:val="0"/>
    <w:pPr>
      <w:spacing w:line="500" w:lineRule="exact"/>
      <w:ind w:left="1588" w:leftChars="832" w:firstLine="433" w:firstLineChars="196"/>
    </w:pPr>
    <w:rPr>
      <w:kern w:val="0"/>
      <w:sz w:val="24"/>
    </w:rPr>
  </w:style>
  <w:style w:type="paragraph" w:customStyle="1" w:styleId="90">
    <w:name w:val="正文文本_0_0"/>
    <w:basedOn w:val="88"/>
    <w:autoRedefine/>
    <w:qFormat/>
    <w:uiPriority w:val="0"/>
    <w:pPr>
      <w:spacing w:after="120"/>
    </w:pPr>
    <w:rPr>
      <w:kern w:val="0"/>
      <w:sz w:val="20"/>
    </w:rPr>
  </w:style>
  <w:style w:type="paragraph" w:customStyle="1" w:styleId="91">
    <w:name w:val="Normal_15"/>
    <w:autoRedefine/>
    <w:qFormat/>
    <w:uiPriority w:val="0"/>
    <w:rPr>
      <w:rFonts w:ascii="黑体" w:hAnsi="黑体" w:eastAsia="黑体" w:cs="Times New Roman"/>
      <w:b/>
      <w:sz w:val="32"/>
      <w:szCs w:val="24"/>
      <w:lang w:val="en-US" w:eastAsia="zh-CN" w:bidi="ar-SA"/>
    </w:rPr>
  </w:style>
  <w:style w:type="paragraph" w:customStyle="1" w:styleId="92">
    <w:name w:val="正文_1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正文文本缩进_3"/>
    <w:basedOn w:val="92"/>
    <w:autoRedefine/>
    <w:qFormat/>
    <w:uiPriority w:val="0"/>
    <w:pPr>
      <w:spacing w:line="500" w:lineRule="exact"/>
      <w:ind w:left="1588" w:leftChars="832" w:firstLine="433" w:firstLineChars="196"/>
    </w:pPr>
    <w:rPr>
      <w:kern w:val="0"/>
      <w:sz w:val="24"/>
    </w:rPr>
  </w:style>
  <w:style w:type="paragraph" w:customStyle="1" w:styleId="94">
    <w:name w:val="Normal_16"/>
    <w:autoRedefine/>
    <w:qFormat/>
    <w:uiPriority w:val="0"/>
    <w:rPr>
      <w:rFonts w:ascii="黑体" w:hAnsi="黑体" w:eastAsia="黑体" w:cs="Times New Roman"/>
      <w:b/>
      <w:sz w:val="32"/>
      <w:szCs w:val="24"/>
      <w:lang w:val="en-US" w:eastAsia="zh-CN" w:bidi="ar-SA"/>
    </w:rPr>
  </w:style>
  <w:style w:type="paragraph" w:customStyle="1" w:styleId="95">
    <w:name w:val="Normal_3"/>
    <w:autoRedefine/>
    <w:qFormat/>
    <w:uiPriority w:val="0"/>
    <w:rPr>
      <w:rFonts w:ascii="黑体" w:hAnsi="黑体" w:eastAsia="黑体" w:cs="Times New Roman"/>
      <w:b/>
      <w:sz w:val="32"/>
      <w:szCs w:val="24"/>
      <w:lang w:val="en-US" w:eastAsia="zh-CN" w:bidi="ar-SA"/>
    </w:rPr>
  </w:style>
  <w:style w:type="paragraph" w:customStyle="1" w:styleId="96">
    <w:name w:val="标题 3_0"/>
    <w:basedOn w:val="86"/>
    <w:next w:val="86"/>
    <w:autoRedefine/>
    <w:qFormat/>
    <w:uiPriority w:val="0"/>
    <w:pPr>
      <w:autoSpaceDE w:val="0"/>
      <w:autoSpaceDN w:val="0"/>
      <w:adjustRightInd w:val="0"/>
      <w:spacing w:line="500" w:lineRule="exact"/>
      <w:jc w:val="center"/>
      <w:outlineLvl w:val="2"/>
    </w:pPr>
    <w:rPr>
      <w:rFonts w:ascii="宋体" w:hAnsi="宋体"/>
      <w:b/>
      <w:szCs w:val="28"/>
    </w:rPr>
  </w:style>
  <w:style w:type="paragraph" w:customStyle="1" w:styleId="97">
    <w:name w:val="正文_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Normal_6"/>
    <w:autoRedefine/>
    <w:qFormat/>
    <w:uiPriority w:val="0"/>
    <w:rPr>
      <w:rFonts w:ascii="黑体" w:hAnsi="黑体" w:eastAsia="黑体" w:cs="Times New Roman"/>
      <w:b/>
      <w:sz w:val="32"/>
      <w:szCs w:val="24"/>
      <w:lang w:val="en-US" w:eastAsia="zh-CN" w:bidi="ar-SA"/>
    </w:rPr>
  </w:style>
  <w:style w:type="paragraph" w:customStyle="1" w:styleId="99">
    <w:name w:val="标题 3_0_0_0"/>
    <w:basedOn w:val="100"/>
    <w:next w:val="100"/>
    <w:autoRedefine/>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100">
    <w:name w:val="正文_0_0_0_0"/>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101">
    <w:name w:val="Normal_8"/>
    <w:autoRedefine/>
    <w:qFormat/>
    <w:uiPriority w:val="0"/>
    <w:rPr>
      <w:rFonts w:ascii="黑体" w:hAnsi="黑体" w:eastAsia="黑体" w:cs="Times New Roman"/>
      <w:b/>
      <w:sz w:val="32"/>
      <w:szCs w:val="24"/>
      <w:lang w:val="en-US" w:eastAsia="zh-CN" w:bidi="ar-SA"/>
    </w:rPr>
  </w:style>
  <w:style w:type="paragraph" w:customStyle="1" w:styleId="102">
    <w:name w:val="正文_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
    <w:name w:val="标题 3_0_1"/>
    <w:basedOn w:val="104"/>
    <w:next w:val="104"/>
    <w:autoRedefine/>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104">
    <w:name w:val="正文_0_0_1"/>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105">
    <w:name w:val="Normal_10"/>
    <w:autoRedefine/>
    <w:qFormat/>
    <w:uiPriority w:val="0"/>
    <w:rPr>
      <w:rFonts w:ascii="黑体" w:hAnsi="黑体" w:eastAsia="黑体" w:cs="Times New Roman"/>
      <w:b/>
      <w:sz w:val="32"/>
      <w:szCs w:val="24"/>
      <w:lang w:val="en-US" w:eastAsia="zh-CN" w:bidi="ar-SA"/>
    </w:rPr>
  </w:style>
  <w:style w:type="paragraph" w:customStyle="1" w:styleId="106">
    <w:name w:val="日期_0"/>
    <w:basedOn w:val="97"/>
    <w:next w:val="97"/>
    <w:autoRedefine/>
    <w:qFormat/>
    <w:uiPriority w:val="0"/>
    <w:pPr>
      <w:ind w:left="100" w:leftChars="2500"/>
    </w:pPr>
    <w:rPr>
      <w:kern w:val="0"/>
      <w:sz w:val="20"/>
    </w:rPr>
  </w:style>
  <w:style w:type="paragraph" w:customStyle="1" w:styleId="107">
    <w:name w:val="正文文本_1_0"/>
    <w:basedOn w:val="97"/>
    <w:autoRedefine/>
    <w:qFormat/>
    <w:uiPriority w:val="0"/>
    <w:pPr>
      <w:spacing w:after="120"/>
    </w:pPr>
    <w:rPr>
      <w:kern w:val="0"/>
      <w:sz w:val="20"/>
    </w:rPr>
  </w:style>
  <w:style w:type="paragraph" w:customStyle="1" w:styleId="108">
    <w:name w:val="Normal_4"/>
    <w:autoRedefine/>
    <w:qFormat/>
    <w:uiPriority w:val="0"/>
    <w:rPr>
      <w:rFonts w:ascii="黑体" w:hAnsi="黑体" w:eastAsia="黑体" w:cs="Times New Roman"/>
      <w:b/>
      <w:sz w:val="32"/>
      <w:szCs w:val="24"/>
      <w:lang w:val="en-US" w:eastAsia="zh-CN" w:bidi="ar-SA"/>
    </w:rPr>
  </w:style>
  <w:style w:type="paragraph" w:customStyle="1" w:styleId="109">
    <w:name w:val="Normal_11"/>
    <w:autoRedefine/>
    <w:qFormat/>
    <w:uiPriority w:val="0"/>
    <w:rPr>
      <w:rFonts w:ascii="黑体" w:hAnsi="黑体" w:eastAsia="黑体" w:cs="Times New Roman"/>
      <w:b/>
      <w:sz w:val="32"/>
      <w:szCs w:val="24"/>
      <w:lang w:val="en-US" w:eastAsia="zh-CN" w:bidi="ar-SA"/>
    </w:rPr>
  </w:style>
  <w:style w:type="paragraph" w:customStyle="1" w:styleId="110">
    <w:name w:val="正文文本_2"/>
    <w:basedOn w:val="111"/>
    <w:autoRedefine/>
    <w:qFormat/>
    <w:uiPriority w:val="0"/>
    <w:pPr>
      <w:spacing w:after="120"/>
    </w:pPr>
    <w:rPr>
      <w:kern w:val="0"/>
      <w:sz w:val="20"/>
    </w:rPr>
  </w:style>
  <w:style w:type="paragraph" w:customStyle="1" w:styleId="111">
    <w:name w:val="正文_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
    <w:name w:val="Normal_12"/>
    <w:autoRedefine/>
    <w:qFormat/>
    <w:uiPriority w:val="0"/>
    <w:rPr>
      <w:rFonts w:ascii="黑体" w:hAnsi="黑体" w:eastAsia="黑体" w:cs="Times New Roman"/>
      <w:b/>
      <w:sz w:val="32"/>
      <w:szCs w:val="24"/>
      <w:lang w:val="en-US" w:eastAsia="zh-CN" w:bidi="ar-SA"/>
    </w:rPr>
  </w:style>
  <w:style w:type="paragraph" w:customStyle="1" w:styleId="113">
    <w:name w:val="正文文本缩进_2"/>
    <w:basedOn w:val="114"/>
    <w:autoRedefine/>
    <w:qFormat/>
    <w:uiPriority w:val="0"/>
    <w:pPr>
      <w:spacing w:line="500" w:lineRule="exact"/>
      <w:ind w:left="1588" w:leftChars="832" w:firstLine="433" w:firstLineChars="196"/>
    </w:pPr>
    <w:rPr>
      <w:kern w:val="0"/>
      <w:sz w:val="24"/>
    </w:rPr>
  </w:style>
  <w:style w:type="paragraph" w:customStyle="1" w:styleId="114">
    <w:name w:val="正文_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5">
    <w:name w:val="Normal_5"/>
    <w:autoRedefine/>
    <w:qFormat/>
    <w:uiPriority w:val="0"/>
    <w:rPr>
      <w:rFonts w:ascii="黑体" w:hAnsi="黑体" w:eastAsia="黑体" w:cs="Times New Roman"/>
      <w:b/>
      <w:sz w:val="32"/>
      <w:szCs w:val="24"/>
      <w:lang w:val="en-US" w:eastAsia="zh-CN" w:bidi="ar-SA"/>
    </w:rPr>
  </w:style>
  <w:style w:type="paragraph" w:customStyle="1" w:styleId="116">
    <w:name w:val="Normal_13"/>
    <w:autoRedefine/>
    <w:qFormat/>
    <w:uiPriority w:val="0"/>
    <w:rPr>
      <w:rFonts w:ascii="黑体" w:hAnsi="黑体" w:eastAsia="黑体" w:cs="Times New Roman"/>
      <w:b/>
      <w:sz w:val="32"/>
      <w:szCs w:val="24"/>
      <w:lang w:val="en-US" w:eastAsia="zh-CN" w:bidi="ar-SA"/>
    </w:rPr>
  </w:style>
  <w:style w:type="paragraph" w:customStyle="1" w:styleId="117">
    <w:name w:val="Normal_17"/>
    <w:autoRedefine/>
    <w:qFormat/>
    <w:uiPriority w:val="0"/>
    <w:rPr>
      <w:rFonts w:ascii="黑体" w:hAnsi="黑体" w:eastAsia="黑体" w:cs="Times New Roman"/>
      <w:b/>
      <w:sz w:val="32"/>
      <w:szCs w:val="24"/>
      <w:lang w:val="en-US" w:eastAsia="zh-CN" w:bidi="ar-SA"/>
    </w:rPr>
  </w:style>
  <w:style w:type="paragraph" w:customStyle="1" w:styleId="118">
    <w:name w:val="正文_1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9">
    <w:name w:val="正文文本缩进_4"/>
    <w:basedOn w:val="118"/>
    <w:autoRedefine/>
    <w:qFormat/>
    <w:uiPriority w:val="0"/>
    <w:pPr>
      <w:spacing w:line="500" w:lineRule="exact"/>
      <w:ind w:left="1588" w:leftChars="832" w:firstLine="433" w:firstLineChars="196"/>
    </w:pPr>
    <w:rPr>
      <w:kern w:val="0"/>
      <w:sz w:val="24"/>
    </w:rPr>
  </w:style>
  <w:style w:type="paragraph" w:customStyle="1" w:styleId="120">
    <w:name w:val="题注_0"/>
    <w:basedOn w:val="118"/>
    <w:next w:val="118"/>
    <w:autoRedefine/>
    <w:qFormat/>
    <w:uiPriority w:val="0"/>
    <w:pPr>
      <w:spacing w:before="152" w:after="160"/>
    </w:pPr>
    <w:rPr>
      <w:rFonts w:ascii="Arial" w:hAnsi="Arial" w:eastAsia="黑体" w:cs="Arial"/>
      <w:sz w:val="20"/>
      <w:szCs w:val="20"/>
    </w:rPr>
  </w:style>
  <w:style w:type="paragraph" w:customStyle="1" w:styleId="121">
    <w:name w:val="Normal_18"/>
    <w:autoRedefine/>
    <w:qFormat/>
    <w:uiPriority w:val="0"/>
    <w:rPr>
      <w:rFonts w:ascii="黑体" w:hAnsi="黑体" w:eastAsia="黑体" w:cs="Times New Roman"/>
      <w:b/>
      <w:sz w:val="32"/>
      <w:szCs w:val="24"/>
      <w:lang w:val="en-US" w:eastAsia="zh-CN" w:bidi="ar-SA"/>
    </w:rPr>
  </w:style>
  <w:style w:type="paragraph" w:customStyle="1" w:styleId="122">
    <w:name w:val="Normal_19"/>
    <w:autoRedefine/>
    <w:qFormat/>
    <w:uiPriority w:val="0"/>
    <w:rPr>
      <w:rFonts w:ascii="黑体" w:hAnsi="黑体" w:eastAsia="黑体" w:cs="Times New Roman"/>
      <w:b/>
      <w:sz w:val="32"/>
      <w:szCs w:val="24"/>
      <w:lang w:val="en-US" w:eastAsia="zh-CN" w:bidi="ar-SA"/>
    </w:rPr>
  </w:style>
  <w:style w:type="paragraph" w:customStyle="1" w:styleId="123">
    <w:name w:val="正文_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
    <w:name w:val="正文文本缩进_5"/>
    <w:basedOn w:val="123"/>
    <w:autoRedefine/>
    <w:qFormat/>
    <w:uiPriority w:val="0"/>
    <w:pPr>
      <w:spacing w:line="500" w:lineRule="exact"/>
      <w:ind w:left="1588" w:leftChars="832" w:firstLine="433" w:firstLineChars="196"/>
    </w:pPr>
    <w:rPr>
      <w:kern w:val="0"/>
      <w:sz w:val="24"/>
    </w:rPr>
  </w:style>
  <w:style w:type="paragraph" w:customStyle="1" w:styleId="125">
    <w:name w:val="题注_0_0"/>
    <w:basedOn w:val="123"/>
    <w:next w:val="123"/>
    <w:autoRedefine/>
    <w:qFormat/>
    <w:uiPriority w:val="0"/>
    <w:pPr>
      <w:spacing w:before="152" w:after="160"/>
    </w:pPr>
    <w:rPr>
      <w:rFonts w:ascii="Arial" w:hAnsi="Arial" w:eastAsia="黑体" w:cs="Arial"/>
      <w:sz w:val="20"/>
      <w:szCs w:val="20"/>
    </w:rPr>
  </w:style>
  <w:style w:type="paragraph" w:customStyle="1" w:styleId="126">
    <w:name w:val="样式 标题 4 + 段前: 5 磅 段后: 5 磅 行距: 单倍行距"/>
    <w:basedOn w:val="7"/>
    <w:autoRedefine/>
    <w:qFormat/>
    <w:uiPriority w:val="0"/>
    <w:pPr>
      <w:spacing w:before="100" w:after="100" w:line="240" w:lineRule="auto"/>
    </w:pPr>
    <w:rPr>
      <w:rFonts w:cs="宋体"/>
      <w:szCs w:val="20"/>
    </w:rPr>
  </w:style>
  <w:style w:type="paragraph" w:customStyle="1" w:styleId="127">
    <w:name w:val="采购正文"/>
    <w:autoRedefine/>
    <w:qFormat/>
    <w:uiPriority w:val="0"/>
    <w:pPr>
      <w:snapToGrid w:val="0"/>
      <w:spacing w:line="560" w:lineRule="exact"/>
      <w:ind w:firstLine="480" w:firstLineChars="200"/>
    </w:pPr>
    <w:rPr>
      <w:rFonts w:ascii="仿宋" w:hAnsi="仿宋" w:eastAsia="仿宋" w:cs="Times New Roman"/>
      <w:kern w:val="2"/>
      <w:sz w:val="24"/>
      <w:szCs w:val="24"/>
      <w:lang w:val="en-US" w:eastAsia="zh-CN" w:bidi="ar-SA"/>
    </w:rPr>
  </w:style>
  <w:style w:type="paragraph" w:customStyle="1" w:styleId="128">
    <w:name w:val="Table Paragraph"/>
    <w:basedOn w:val="1"/>
    <w:autoRedefine/>
    <w:qFormat/>
    <w:uiPriority w:val="1"/>
    <w:rPr>
      <w:rFonts w:ascii="仿宋" w:hAnsi="仿宋" w:eastAsia="仿宋" w:cs="仿宋"/>
      <w:lang w:val="zh-CN" w:eastAsia="zh-CN" w:bidi="zh-CN"/>
    </w:rPr>
  </w:style>
  <w:style w:type="paragraph" w:customStyle="1" w:styleId="129">
    <w:name w:val="采购二级"/>
    <w:basedOn w:val="1"/>
    <w:autoRedefine/>
    <w:qFormat/>
    <w:uiPriority w:val="0"/>
    <w:pPr>
      <w:snapToGrid w:val="0"/>
      <w:spacing w:line="560" w:lineRule="exact"/>
      <w:ind w:firstLine="480" w:firstLineChars="200"/>
      <w:outlineLvl w:val="1"/>
    </w:pPr>
    <w:rPr>
      <w:rFonts w:ascii="仿宋" w:hAnsi="仿宋" w:eastAsia="仿宋"/>
      <w:b/>
      <w:sz w:val="24"/>
      <w:szCs w:val="24"/>
    </w:rPr>
  </w:style>
  <w:style w:type="paragraph" w:customStyle="1" w:styleId="130">
    <w:name w:val="普通正文"/>
    <w:basedOn w:val="1"/>
    <w:autoRedefine/>
    <w:qFormat/>
    <w:uiPriority w:val="0"/>
    <w:pPr>
      <w:spacing w:before="120" w:after="120" w:line="360" w:lineRule="auto"/>
      <w:ind w:firstLine="480"/>
    </w:pPr>
    <w:rPr>
      <w:sz w:val="24"/>
      <w:szCs w:val="24"/>
    </w:rPr>
  </w:style>
  <w:style w:type="table" w:customStyle="1" w:styleId="131">
    <w:name w:val="Table Normal"/>
    <w:autoRedefine/>
    <w:semiHidden/>
    <w:unhideWhenUsed/>
    <w:qFormat/>
    <w:uiPriority w:val="0"/>
    <w:tblPr>
      <w:tblCellMar>
        <w:top w:w="0" w:type="dxa"/>
        <w:left w:w="0" w:type="dxa"/>
        <w:bottom w:w="0" w:type="dxa"/>
        <w:right w:w="0" w:type="dxa"/>
      </w:tblCellMar>
    </w:tblPr>
  </w:style>
  <w:style w:type="character" w:customStyle="1" w:styleId="132">
    <w:name w:val="font31"/>
    <w:basedOn w:val="38"/>
    <w:autoRedefine/>
    <w:qFormat/>
    <w:uiPriority w:val="0"/>
    <w:rPr>
      <w:rFonts w:hint="eastAsia" w:ascii="宋体" w:hAnsi="宋体" w:eastAsia="宋体" w:cs="宋体"/>
      <w:color w:val="000000"/>
      <w:sz w:val="24"/>
      <w:szCs w:val="24"/>
      <w:u w:val="none"/>
    </w:rPr>
  </w:style>
  <w:style w:type="character" w:customStyle="1" w:styleId="133">
    <w:name w:val="font11"/>
    <w:basedOn w:val="38"/>
    <w:qFormat/>
    <w:uiPriority w:val="0"/>
    <w:rPr>
      <w:rFonts w:hint="eastAsia" w:ascii="宋体" w:hAnsi="宋体" w:eastAsia="宋体" w:cs="宋体"/>
      <w:color w:val="000000"/>
      <w:sz w:val="20"/>
      <w:szCs w:val="20"/>
      <w:u w:val="none"/>
    </w:rPr>
  </w:style>
  <w:style w:type="paragraph" w:customStyle="1" w:styleId="134">
    <w:name w:val="0"/>
    <w:basedOn w:val="1"/>
    <w:qFormat/>
    <w:uiPriority w:val="0"/>
    <w:pPr>
      <w:spacing w:line="480" w:lineRule="exact"/>
      <w:ind w:left="113" w:leftChars="113" w:right="50" w:rightChars="50" w:firstLine="181" w:firstLineChars="181"/>
    </w:pPr>
    <w:rPr>
      <w:rFonts w:ascii="楷体_GB2312" w:eastAsia="楷体_GB2312"/>
      <w:sz w:val="24"/>
    </w:rPr>
  </w:style>
  <w:style w:type="paragraph" w:customStyle="1" w:styleId="135">
    <w:name w:val="引文目录标题1"/>
    <w:basedOn w:val="1"/>
    <w:next w:val="1"/>
    <w:qFormat/>
    <w:uiPriority w:val="1902"/>
    <w:rPr>
      <w:rFonts w:ascii="Arial" w:hAnsi="Arial" w:cs="Arial"/>
      <w:sz w:val="24"/>
      <w:szCs w:val="20"/>
    </w:rPr>
  </w:style>
  <w:style w:type="character" w:customStyle="1" w:styleId="136">
    <w:name w:val="font131"/>
    <w:basedOn w:val="38"/>
    <w:qFormat/>
    <w:uiPriority w:val="0"/>
    <w:rPr>
      <w:rFonts w:hint="eastAsia" w:ascii="宋体" w:hAnsi="宋体" w:eastAsia="宋体" w:cs="宋体"/>
      <w:b/>
      <w:color w:val="000000"/>
      <w:sz w:val="24"/>
      <w:szCs w:val="24"/>
      <w:u w:val="none"/>
    </w:rPr>
  </w:style>
  <w:style w:type="character" w:customStyle="1" w:styleId="137">
    <w:name w:val="font91"/>
    <w:basedOn w:val="38"/>
    <w:qFormat/>
    <w:uiPriority w:val="0"/>
    <w:rPr>
      <w:rFonts w:hint="eastAsia" w:ascii="宋体" w:hAnsi="宋体" w:eastAsia="宋体" w:cs="宋体"/>
      <w:b/>
      <w:color w:val="000000"/>
      <w:sz w:val="24"/>
      <w:szCs w:val="24"/>
      <w:u w:val="single"/>
    </w:rPr>
  </w:style>
  <w:style w:type="character" w:customStyle="1" w:styleId="138">
    <w:name w:val="font71"/>
    <w:basedOn w:val="38"/>
    <w:qFormat/>
    <w:uiPriority w:val="0"/>
    <w:rPr>
      <w:rFonts w:hint="eastAsia" w:ascii="宋体" w:hAnsi="宋体" w:eastAsia="宋体" w:cs="宋体"/>
      <w:color w:val="333333"/>
      <w:sz w:val="20"/>
      <w:szCs w:val="20"/>
      <w:u w:val="none"/>
    </w:rPr>
  </w:style>
  <w:style w:type="character" w:customStyle="1" w:styleId="139">
    <w:name w:val="font41"/>
    <w:basedOn w:val="38"/>
    <w:qFormat/>
    <w:uiPriority w:val="0"/>
    <w:rPr>
      <w:rFonts w:hint="eastAsia" w:ascii="宋体" w:hAnsi="宋体" w:eastAsia="宋体" w:cs="宋体"/>
      <w:color w:val="000000"/>
      <w:sz w:val="24"/>
      <w:szCs w:val="24"/>
      <w:u w:val="none"/>
    </w:rPr>
  </w:style>
  <w:style w:type="character" w:customStyle="1" w:styleId="140">
    <w:name w:val="font12"/>
    <w:basedOn w:val="38"/>
    <w:qFormat/>
    <w:uiPriority w:val="0"/>
    <w:rPr>
      <w:rFonts w:hint="eastAsia" w:ascii="宋体" w:hAnsi="宋体" w:eastAsia="宋体" w:cs="宋体"/>
      <w:color w:val="000000"/>
      <w:sz w:val="24"/>
      <w:szCs w:val="24"/>
      <w:u w:val="single"/>
    </w:rPr>
  </w:style>
  <w:style w:type="character" w:customStyle="1" w:styleId="141">
    <w:name w:val="font51"/>
    <w:basedOn w:val="38"/>
    <w:qFormat/>
    <w:uiPriority w:val="0"/>
    <w:rPr>
      <w:rFonts w:hint="eastAsia" w:ascii="仿宋" w:hAnsi="仿宋" w:eastAsia="仿宋" w:cs="仿宋"/>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74</Pages>
  <Words>495</Words>
  <Characters>843</Characters>
  <Lines>178</Lines>
  <Paragraphs>50</Paragraphs>
  <TotalTime>8</TotalTime>
  <ScaleCrop>false</ScaleCrop>
  <LinksUpToDate>false</LinksUpToDate>
  <CharactersWithSpaces>890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2016-10-08T04:40:00Z</dcterms:created>
  <dc:creator>微软用户</dc:creator>
  <cp:lastModifiedBy>欣</cp:lastModifiedBy>
  <cp:lastPrinted>2026-04-09T03:15:00Z</cp:lastPrinted>
  <dcterms:modified xsi:type="dcterms:W3CDTF">2026-04-28T07:30:55Z</dcterms:modified>
  <cp:revision>288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A4AD83A031924EFD8C96B380A5B2EEB9_13</vt:lpwstr>
  </property>
  <property fmtid="{D5CDD505-2E9C-101B-9397-08002B2CF9AE}" pid="4" name="KSOTemplateDocerSaveRecord">
    <vt:lpwstr>eyJoZGlkIjoiMTU2ZjBiNGMxMjk4NGU1MzQ5NmRiYzZlZjg3MjEzMDIiLCJ1c2VySWQiOiIyOTkwOTQxNjMifQ==</vt:lpwstr>
  </property>
</Properties>
</file>